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15, 2011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 No. 000-54245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 FORM FOR REGISTRATION OF SECURITIES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12(b) OR 12(g) OF THE SECURITIES EXCHANGE ACT OF 1934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TPG Specialty Lending,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Borders>
              <w:bottom w:val="single" w:sz="8" w:color="auto"/>
            </w:tcBorders>
          </w:tcPr>
          <w:p>
            <w:pPr>
              <w:jc w:val="center"/>
              <w:ind w:left="1970"/>
              <w:spacing w:after="0"/>
              <w:rPr>
                <w:sz w:val="20"/>
                <w:szCs w:val="20"/>
                <w:color w:val="auto"/>
              </w:rPr>
            </w:pPr>
            <w:r>
              <w:rPr>
                <w:rFonts w:ascii="Arial" w:cs="Arial" w:eastAsia="Arial" w:hAnsi="Arial"/>
                <w:sz w:val="18"/>
                <w:szCs w:val="18"/>
                <w:b w:val="1"/>
                <w:bCs w:val="1"/>
                <w:color w:val="auto"/>
                <w:w w:val="93"/>
              </w:rPr>
              <w:t>Delaware</w:t>
            </w:r>
          </w:p>
        </w:tc>
        <w:tc>
          <w:tcPr>
            <w:tcW w:w="20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tcPr>
          <w:p>
            <w:pPr>
              <w:jc w:val="right"/>
              <w:ind w:right="2250"/>
              <w:spacing w:after="0"/>
              <w:rPr>
                <w:sz w:val="20"/>
                <w:szCs w:val="20"/>
                <w:color w:val="auto"/>
              </w:rPr>
            </w:pPr>
            <w:r>
              <w:rPr>
                <w:rFonts w:ascii="Arial" w:cs="Arial" w:eastAsia="Arial" w:hAnsi="Arial"/>
                <w:sz w:val="18"/>
                <w:szCs w:val="18"/>
                <w:color w:val="auto"/>
              </w:rPr>
              <w:t>27-3380000</w:t>
            </w:r>
          </w:p>
        </w:tc>
      </w:tr>
      <w:tr>
        <w:trPr>
          <w:trHeight w:val="224"/>
        </w:trPr>
        <w:tc>
          <w:tcPr>
            <w:tcW w:w="5540" w:type="dxa"/>
            <w:vAlign w:val="bottom"/>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200" w:type="dxa"/>
            <w:vAlign w:val="bottom"/>
          </w:tcPr>
          <w:p>
            <w:pPr>
              <w:jc w:val="center"/>
              <w:ind w:right="1250"/>
              <w:spacing w:after="0"/>
              <w:rPr>
                <w:sz w:val="20"/>
                <w:szCs w:val="20"/>
                <w:color w:val="auto"/>
              </w:rPr>
            </w:pPr>
            <w:r>
              <w:rPr>
                <w:rFonts w:ascii="Arial" w:cs="Arial" w:eastAsia="Arial" w:hAnsi="Arial"/>
                <w:sz w:val="18"/>
                <w:szCs w:val="18"/>
                <w:color w:val="auto"/>
                <w:w w:val="94"/>
              </w:rPr>
              <w:t>(I.R.S. Employer Identification No.)</w:t>
            </w:r>
          </w:p>
        </w:tc>
      </w:tr>
      <w:tr>
        <w:trPr>
          <w:trHeight w:val="431"/>
        </w:trPr>
        <w:tc>
          <w:tcPr>
            <w:tcW w:w="7220" w:type="dxa"/>
            <w:vAlign w:val="bottom"/>
            <w:gridSpan w:val="4"/>
          </w:tcPr>
          <w:p>
            <w:pPr>
              <w:jc w:val="center"/>
              <w:ind w:right="1680"/>
              <w:spacing w:after="0"/>
              <w:rPr>
                <w:sz w:val="20"/>
                <w:szCs w:val="20"/>
                <w:color w:val="auto"/>
              </w:rPr>
            </w:pPr>
            <w:r>
              <w:rPr>
                <w:rFonts w:ascii="Arial" w:cs="Arial" w:eastAsia="Arial" w:hAnsi="Arial"/>
                <w:sz w:val="18"/>
                <w:szCs w:val="18"/>
                <w:color w:val="auto"/>
                <w:w w:val="91"/>
              </w:rPr>
              <w:t>301 Commerce Street, Suite 3300, Fort Worth, TX</w:t>
            </w:r>
          </w:p>
        </w:tc>
        <w:tc>
          <w:tcPr>
            <w:tcW w:w="4200" w:type="dxa"/>
            <w:vAlign w:val="bottom"/>
          </w:tcPr>
          <w:p>
            <w:pPr>
              <w:jc w:val="right"/>
              <w:ind w:right="2470"/>
              <w:spacing w:after="0"/>
              <w:rPr>
                <w:sz w:val="20"/>
                <w:szCs w:val="20"/>
                <w:color w:val="auto"/>
              </w:rPr>
            </w:pPr>
            <w:r>
              <w:rPr>
                <w:rFonts w:ascii="Arial" w:cs="Arial" w:eastAsia="Arial" w:hAnsi="Arial"/>
                <w:sz w:val="18"/>
                <w:szCs w:val="18"/>
                <w:color w:val="auto"/>
              </w:rPr>
              <w:t>76102</w:t>
            </w:r>
          </w:p>
        </w:tc>
      </w:tr>
      <w:tr>
        <w:trPr>
          <w:trHeight w:val="224"/>
        </w:trPr>
        <w:tc>
          <w:tcPr>
            <w:tcW w:w="55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2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4200" w:type="dxa"/>
            <w:vAlign w:val="bottom"/>
            <w:tcBorders>
              <w:top w:val="single" w:sz="8" w:color="auto"/>
            </w:tcBorders>
          </w:tcPr>
          <w:p>
            <w:pPr>
              <w:jc w:val="center"/>
              <w:ind w:right="1270"/>
              <w:spacing w:after="0"/>
              <w:rPr>
                <w:sz w:val="20"/>
                <w:szCs w:val="20"/>
                <w:color w:val="auto"/>
              </w:rPr>
            </w:pPr>
            <w:r>
              <w:rPr>
                <w:rFonts w:ascii="Arial" w:cs="Arial" w:eastAsia="Arial" w:hAnsi="Arial"/>
                <w:sz w:val="18"/>
                <w:szCs w:val="18"/>
                <w:color w:val="auto"/>
                <w:w w:val="94"/>
              </w:rPr>
              <w:t>(Zip Code)</w:t>
            </w:r>
          </w:p>
        </w:tc>
      </w:tr>
      <w:tr>
        <w:trPr>
          <w:trHeight w:val="417"/>
        </w:trPr>
        <w:tc>
          <w:tcPr>
            <w:tcW w:w="3480" w:type="dxa"/>
            <w:vAlign w:val="bottom"/>
          </w:tcPr>
          <w:p>
            <w:pPr>
              <w:spacing w:after="0"/>
              <w:rPr>
                <w:sz w:val="24"/>
                <w:szCs w:val="24"/>
                <w:color w:val="auto"/>
              </w:rPr>
            </w:pPr>
          </w:p>
        </w:tc>
        <w:tc>
          <w:tcPr>
            <w:tcW w:w="374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0"/>
              </w:rPr>
              <w:t>(817) 871-4000</w:t>
            </w:r>
          </w:p>
        </w:tc>
        <w:tc>
          <w:tcPr>
            <w:tcW w:w="4200" w:type="dxa"/>
            <w:vAlign w:val="bottom"/>
          </w:tcPr>
          <w:p>
            <w:pPr>
              <w:spacing w:after="0"/>
              <w:rPr>
                <w:sz w:val="24"/>
                <w:szCs w:val="24"/>
                <w:color w:val="auto"/>
              </w:rPr>
            </w:pPr>
          </w:p>
        </w:tc>
      </w:tr>
      <w:tr>
        <w:trPr>
          <w:trHeight w:val="230"/>
        </w:trPr>
        <w:tc>
          <w:tcPr>
            <w:tcW w:w="3480" w:type="dxa"/>
            <w:vAlign w:val="bottom"/>
          </w:tcPr>
          <w:p>
            <w:pPr>
              <w:spacing w:after="0"/>
              <w:rPr>
                <w:sz w:val="20"/>
                <w:szCs w:val="20"/>
                <w:color w:val="auto"/>
              </w:rPr>
            </w:pPr>
          </w:p>
        </w:tc>
        <w:tc>
          <w:tcPr>
            <w:tcW w:w="7940" w:type="dxa"/>
            <w:vAlign w:val="bottom"/>
            <w:gridSpan w:val="4"/>
          </w:tcPr>
          <w:p>
            <w:pPr>
              <w:jc w:val="center"/>
              <w:ind w:right="3390"/>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432"/>
        </w:trPr>
        <w:tc>
          <w:tcPr>
            <w:tcW w:w="3480" w:type="dxa"/>
            <w:vAlign w:val="bottom"/>
          </w:tcPr>
          <w:p>
            <w:pPr>
              <w:spacing w:after="0"/>
              <w:rPr>
                <w:sz w:val="24"/>
                <w:szCs w:val="24"/>
                <w:color w:val="auto"/>
              </w:rPr>
            </w:pPr>
          </w:p>
        </w:tc>
        <w:tc>
          <w:tcPr>
            <w:tcW w:w="374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87"/>
              </w:rPr>
              <w:t>with copies to:</w:t>
            </w:r>
          </w:p>
        </w:tc>
        <w:tc>
          <w:tcPr>
            <w:tcW w:w="4200" w:type="dxa"/>
            <w:vAlign w:val="bottom"/>
          </w:tcPr>
          <w:p>
            <w:pPr>
              <w:spacing w:after="0"/>
              <w:rPr>
                <w:sz w:val="24"/>
                <w:szCs w:val="24"/>
                <w:color w:val="auto"/>
              </w:rPr>
            </w:pPr>
          </w:p>
        </w:tc>
      </w:tr>
      <w:tr>
        <w:trPr>
          <w:trHeight w:val="418"/>
        </w:trPr>
        <w:tc>
          <w:tcPr>
            <w:tcW w:w="3480" w:type="dxa"/>
            <w:vAlign w:val="bottom"/>
          </w:tcPr>
          <w:p>
            <w:pPr>
              <w:jc w:val="center"/>
              <w:ind w:left="30"/>
              <w:spacing w:after="0"/>
              <w:rPr>
                <w:sz w:val="20"/>
                <w:szCs w:val="20"/>
                <w:color w:val="auto"/>
              </w:rPr>
            </w:pPr>
            <w:r>
              <w:rPr>
                <w:rFonts w:ascii="Arial" w:cs="Arial" w:eastAsia="Arial" w:hAnsi="Arial"/>
                <w:sz w:val="18"/>
                <w:szCs w:val="18"/>
                <w:color w:val="auto"/>
                <w:w w:val="90"/>
              </w:rPr>
              <w:t>Ronald Cami, Esq.</w:t>
            </w:r>
          </w:p>
        </w:tc>
        <w:tc>
          <w:tcPr>
            <w:tcW w:w="3740" w:type="dxa"/>
            <w:vAlign w:val="bottom"/>
            <w:gridSpan w:val="3"/>
          </w:tcPr>
          <w:p>
            <w:pPr>
              <w:jc w:val="center"/>
              <w:ind w:left="610"/>
              <w:spacing w:after="0"/>
              <w:rPr>
                <w:sz w:val="20"/>
                <w:szCs w:val="20"/>
                <w:color w:val="auto"/>
              </w:rPr>
            </w:pPr>
            <w:r>
              <w:rPr>
                <w:rFonts w:ascii="Arial" w:cs="Arial" w:eastAsia="Arial" w:hAnsi="Arial"/>
                <w:sz w:val="18"/>
                <w:szCs w:val="18"/>
                <w:color w:val="auto"/>
                <w:w w:val="91"/>
              </w:rPr>
              <w:t>Michael L. Ryan, Esq.</w:t>
            </w:r>
          </w:p>
        </w:tc>
        <w:tc>
          <w:tcPr>
            <w:tcW w:w="4200" w:type="dxa"/>
            <w:vAlign w:val="bottom"/>
          </w:tcPr>
          <w:p>
            <w:pPr>
              <w:jc w:val="center"/>
              <w:ind w:left="510"/>
              <w:spacing w:after="0"/>
              <w:rPr>
                <w:sz w:val="20"/>
                <w:szCs w:val="20"/>
                <w:color w:val="auto"/>
              </w:rPr>
            </w:pPr>
            <w:r>
              <w:rPr>
                <w:rFonts w:ascii="Arial" w:cs="Arial" w:eastAsia="Arial" w:hAnsi="Arial"/>
                <w:sz w:val="18"/>
                <w:szCs w:val="18"/>
                <w:color w:val="auto"/>
                <w:w w:val="90"/>
              </w:rPr>
              <w:t>Steven B. Boehm, Esq.</w:t>
            </w:r>
          </w:p>
        </w:tc>
      </w:tr>
      <w:tr>
        <w:trPr>
          <w:trHeight w:val="216"/>
        </w:trPr>
        <w:tc>
          <w:tcPr>
            <w:tcW w:w="3480" w:type="dxa"/>
            <w:vAlign w:val="bottom"/>
          </w:tcPr>
          <w:p>
            <w:pPr>
              <w:jc w:val="center"/>
              <w:ind w:left="10"/>
              <w:spacing w:after="0"/>
              <w:rPr>
                <w:sz w:val="20"/>
                <w:szCs w:val="20"/>
                <w:color w:val="auto"/>
              </w:rPr>
            </w:pPr>
            <w:r>
              <w:rPr>
                <w:rFonts w:ascii="Arial" w:cs="Arial" w:eastAsia="Arial" w:hAnsi="Arial"/>
                <w:sz w:val="18"/>
                <w:szCs w:val="18"/>
                <w:color w:val="auto"/>
                <w:w w:val="89"/>
              </w:rPr>
              <w:t>TPG Capital, L.P.</w:t>
            </w:r>
          </w:p>
        </w:tc>
        <w:tc>
          <w:tcPr>
            <w:tcW w:w="3740" w:type="dxa"/>
            <w:vAlign w:val="bottom"/>
            <w:gridSpan w:val="3"/>
          </w:tcPr>
          <w:p>
            <w:pPr>
              <w:jc w:val="center"/>
              <w:ind w:left="610"/>
              <w:spacing w:after="0"/>
              <w:rPr>
                <w:sz w:val="20"/>
                <w:szCs w:val="20"/>
                <w:color w:val="auto"/>
              </w:rPr>
            </w:pPr>
            <w:r>
              <w:rPr>
                <w:rFonts w:ascii="Arial" w:cs="Arial" w:eastAsia="Arial" w:hAnsi="Arial"/>
                <w:sz w:val="18"/>
                <w:szCs w:val="18"/>
                <w:color w:val="auto"/>
                <w:w w:val="94"/>
              </w:rPr>
              <w:t>Cleary Gottlieb Steen &amp; Hamilton LLP</w:t>
            </w:r>
          </w:p>
        </w:tc>
        <w:tc>
          <w:tcPr>
            <w:tcW w:w="4200" w:type="dxa"/>
            <w:vAlign w:val="bottom"/>
          </w:tcPr>
          <w:p>
            <w:pPr>
              <w:jc w:val="center"/>
              <w:ind w:left="510"/>
              <w:spacing w:after="0"/>
              <w:rPr>
                <w:sz w:val="20"/>
                <w:szCs w:val="20"/>
                <w:color w:val="auto"/>
              </w:rPr>
            </w:pPr>
            <w:r>
              <w:rPr>
                <w:rFonts w:ascii="Arial" w:cs="Arial" w:eastAsia="Arial" w:hAnsi="Arial"/>
                <w:sz w:val="18"/>
                <w:szCs w:val="18"/>
                <w:color w:val="auto"/>
                <w:w w:val="94"/>
              </w:rPr>
              <w:t>Sutherland Asbill &amp; Brennan LLP</w:t>
            </w:r>
          </w:p>
        </w:tc>
      </w:tr>
      <w:tr>
        <w:trPr>
          <w:trHeight w:val="216"/>
        </w:trPr>
        <w:tc>
          <w:tcPr>
            <w:tcW w:w="3480" w:type="dxa"/>
            <w:vAlign w:val="bottom"/>
          </w:tcPr>
          <w:p>
            <w:pPr>
              <w:jc w:val="center"/>
              <w:ind w:left="10"/>
              <w:spacing w:after="0"/>
              <w:rPr>
                <w:sz w:val="20"/>
                <w:szCs w:val="20"/>
                <w:color w:val="auto"/>
              </w:rPr>
            </w:pPr>
            <w:r>
              <w:rPr>
                <w:rFonts w:ascii="Arial" w:cs="Arial" w:eastAsia="Arial" w:hAnsi="Arial"/>
                <w:sz w:val="18"/>
                <w:szCs w:val="18"/>
                <w:color w:val="auto"/>
                <w:w w:val="89"/>
              </w:rPr>
              <w:t>301 Commerce Street</w:t>
            </w:r>
          </w:p>
        </w:tc>
        <w:tc>
          <w:tcPr>
            <w:tcW w:w="374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One Liberty Plaza</w:t>
            </w:r>
          </w:p>
        </w:tc>
        <w:tc>
          <w:tcPr>
            <w:tcW w:w="4200" w:type="dxa"/>
            <w:vAlign w:val="bottom"/>
          </w:tcPr>
          <w:p>
            <w:pPr>
              <w:jc w:val="center"/>
              <w:ind w:left="510"/>
              <w:spacing w:after="0"/>
              <w:rPr>
                <w:sz w:val="20"/>
                <w:szCs w:val="20"/>
                <w:color w:val="auto"/>
              </w:rPr>
            </w:pPr>
            <w:r>
              <w:rPr>
                <w:rFonts w:ascii="Arial" w:cs="Arial" w:eastAsia="Arial" w:hAnsi="Arial"/>
                <w:sz w:val="18"/>
                <w:szCs w:val="18"/>
                <w:color w:val="auto"/>
                <w:w w:val="91"/>
              </w:rPr>
              <w:t>1275 Pennsylvania Ave, NW</w:t>
            </w:r>
          </w:p>
        </w:tc>
      </w:tr>
      <w:tr>
        <w:trPr>
          <w:trHeight w:val="216"/>
        </w:trPr>
        <w:tc>
          <w:tcPr>
            <w:tcW w:w="3480" w:type="dxa"/>
            <w:vAlign w:val="bottom"/>
          </w:tcPr>
          <w:p>
            <w:pPr>
              <w:jc w:val="center"/>
              <w:ind w:left="10"/>
              <w:spacing w:after="0"/>
              <w:rPr>
                <w:sz w:val="20"/>
                <w:szCs w:val="20"/>
                <w:color w:val="auto"/>
              </w:rPr>
            </w:pPr>
            <w:r>
              <w:rPr>
                <w:rFonts w:ascii="Arial" w:cs="Arial" w:eastAsia="Arial" w:hAnsi="Arial"/>
                <w:sz w:val="18"/>
                <w:szCs w:val="18"/>
                <w:color w:val="auto"/>
                <w:w w:val="90"/>
              </w:rPr>
              <w:t>Suite 3300</w:t>
            </w:r>
          </w:p>
        </w:tc>
        <w:tc>
          <w:tcPr>
            <w:tcW w:w="3740" w:type="dxa"/>
            <w:vAlign w:val="bottom"/>
            <w:gridSpan w:val="3"/>
          </w:tcPr>
          <w:p>
            <w:pPr>
              <w:jc w:val="center"/>
              <w:ind w:left="610"/>
              <w:spacing w:after="0"/>
              <w:rPr>
                <w:sz w:val="20"/>
                <w:szCs w:val="20"/>
                <w:color w:val="auto"/>
              </w:rPr>
            </w:pPr>
            <w:r>
              <w:rPr>
                <w:rFonts w:ascii="Arial" w:cs="Arial" w:eastAsia="Arial" w:hAnsi="Arial"/>
                <w:sz w:val="18"/>
                <w:szCs w:val="18"/>
                <w:color w:val="auto"/>
                <w:w w:val="92"/>
              </w:rPr>
              <w:t>New York, New York 10006</w:t>
            </w:r>
          </w:p>
        </w:tc>
        <w:tc>
          <w:tcPr>
            <w:tcW w:w="4200" w:type="dxa"/>
            <w:vAlign w:val="bottom"/>
          </w:tcPr>
          <w:p>
            <w:pPr>
              <w:jc w:val="center"/>
              <w:ind w:left="510"/>
              <w:spacing w:after="0"/>
              <w:rPr>
                <w:sz w:val="20"/>
                <w:szCs w:val="20"/>
                <w:color w:val="auto"/>
              </w:rPr>
            </w:pPr>
            <w:r>
              <w:rPr>
                <w:rFonts w:ascii="Arial" w:cs="Arial" w:eastAsia="Arial" w:hAnsi="Arial"/>
                <w:sz w:val="18"/>
                <w:szCs w:val="18"/>
                <w:color w:val="auto"/>
                <w:w w:val="91"/>
              </w:rPr>
              <w:t>Washington, DC 20004-2415</w:t>
            </w:r>
          </w:p>
        </w:tc>
      </w:tr>
      <w:tr>
        <w:trPr>
          <w:trHeight w:val="216"/>
        </w:trPr>
        <w:tc>
          <w:tcPr>
            <w:tcW w:w="3480" w:type="dxa"/>
            <w:vAlign w:val="bottom"/>
          </w:tcPr>
          <w:p>
            <w:pPr>
              <w:jc w:val="center"/>
              <w:ind w:left="10"/>
              <w:spacing w:after="0"/>
              <w:rPr>
                <w:sz w:val="20"/>
                <w:szCs w:val="20"/>
                <w:color w:val="auto"/>
              </w:rPr>
            </w:pPr>
            <w:r>
              <w:rPr>
                <w:rFonts w:ascii="Arial" w:cs="Arial" w:eastAsia="Arial" w:hAnsi="Arial"/>
                <w:sz w:val="18"/>
                <w:szCs w:val="18"/>
                <w:color w:val="auto"/>
                <w:w w:val="93"/>
              </w:rPr>
              <w:t>Fort Worth, TX 76102</w:t>
            </w:r>
          </w:p>
        </w:tc>
        <w:tc>
          <w:tcPr>
            <w:tcW w:w="3740" w:type="dxa"/>
            <w:vAlign w:val="bottom"/>
            <w:gridSpan w:val="3"/>
          </w:tcPr>
          <w:p>
            <w:pPr>
              <w:jc w:val="center"/>
              <w:ind w:left="610"/>
              <w:spacing w:after="0"/>
              <w:rPr>
                <w:sz w:val="20"/>
                <w:szCs w:val="20"/>
                <w:color w:val="auto"/>
              </w:rPr>
            </w:pPr>
            <w:r>
              <w:rPr>
                <w:rFonts w:ascii="Arial" w:cs="Arial" w:eastAsia="Arial" w:hAnsi="Arial"/>
                <w:sz w:val="18"/>
                <w:szCs w:val="18"/>
                <w:color w:val="auto"/>
                <w:w w:val="90"/>
              </w:rPr>
              <w:t>(212) 225-2000</w:t>
            </w:r>
          </w:p>
        </w:tc>
        <w:tc>
          <w:tcPr>
            <w:tcW w:w="4200" w:type="dxa"/>
            <w:vAlign w:val="bottom"/>
          </w:tcPr>
          <w:p>
            <w:pPr>
              <w:jc w:val="center"/>
              <w:ind w:left="510"/>
              <w:spacing w:after="0"/>
              <w:rPr>
                <w:sz w:val="20"/>
                <w:szCs w:val="20"/>
                <w:color w:val="auto"/>
              </w:rPr>
            </w:pPr>
            <w:r>
              <w:rPr>
                <w:rFonts w:ascii="Arial" w:cs="Arial" w:eastAsia="Arial" w:hAnsi="Arial"/>
                <w:sz w:val="18"/>
                <w:szCs w:val="18"/>
                <w:color w:val="auto"/>
                <w:w w:val="92"/>
              </w:rPr>
              <w:t>(202) 637-3593 fax</w:t>
            </w:r>
          </w:p>
        </w:tc>
      </w:tr>
      <w:tr>
        <w:trPr>
          <w:trHeight w:val="230"/>
        </w:trPr>
        <w:tc>
          <w:tcPr>
            <w:tcW w:w="3480" w:type="dxa"/>
            <w:vAlign w:val="bottom"/>
          </w:tcPr>
          <w:p>
            <w:pPr>
              <w:jc w:val="center"/>
              <w:ind w:left="10"/>
              <w:spacing w:after="0"/>
              <w:rPr>
                <w:sz w:val="20"/>
                <w:szCs w:val="20"/>
                <w:color w:val="auto"/>
              </w:rPr>
            </w:pPr>
            <w:r>
              <w:rPr>
                <w:rFonts w:ascii="Arial" w:cs="Arial" w:eastAsia="Arial" w:hAnsi="Arial"/>
                <w:sz w:val="18"/>
                <w:szCs w:val="18"/>
                <w:color w:val="auto"/>
                <w:w w:val="92"/>
              </w:rPr>
              <w:t>(817) 871-4000</w:t>
            </w:r>
          </w:p>
        </w:tc>
        <w:tc>
          <w:tcPr>
            <w:tcW w:w="2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0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12(b) of the Act: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to be registered pursuant to Section 12(g) of the Act: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Common Stock, par value $0.01 per share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103"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definitions of “large accelerated filer,” “accelerated filer” and “small reporting company” in Rule 12b-2 of the Exchange Act. (Check one)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640" w:type="dxa"/>
            <w:vAlign w:val="bottom"/>
          </w:tcPr>
          <w:p>
            <w:pPr>
              <w:ind w:left="260"/>
              <w:spacing w:after="0"/>
              <w:rPr>
                <w:sz w:val="20"/>
                <w:szCs w:val="20"/>
                <w:color w:val="auto"/>
              </w:rPr>
            </w:pPr>
            <w:r>
              <w:rPr>
                <w:rFonts w:ascii="Arial" w:cs="Arial" w:eastAsia="Arial" w:hAnsi="Arial"/>
                <w:sz w:val="18"/>
                <w:szCs w:val="18"/>
                <w:b w:val="1"/>
                <w:bCs w:val="1"/>
                <w:color w:val="auto"/>
              </w:rPr>
              <w:t xml:space="preserve">Large accelerated filer </w:t>
            </w:r>
            <w:r>
              <w:rPr>
                <w:rFonts w:ascii="Arial" w:cs="Arial" w:eastAsia="Arial" w:hAnsi="Arial"/>
                <w:sz w:val="18"/>
                <w:szCs w:val="18"/>
                <w:color w:val="auto"/>
              </w:rPr>
              <w:t>o</w:t>
            </w:r>
          </w:p>
        </w:tc>
        <w:tc>
          <w:tcPr>
            <w:tcW w:w="2280" w:type="dxa"/>
            <w:vAlign w:val="bottom"/>
          </w:tcPr>
          <w:p>
            <w:pPr>
              <w:ind w:left="500"/>
              <w:spacing w:after="0"/>
              <w:rPr>
                <w:sz w:val="20"/>
                <w:szCs w:val="20"/>
                <w:color w:val="auto"/>
              </w:rPr>
            </w:pPr>
            <w:r>
              <w:rPr>
                <w:rFonts w:ascii="Arial" w:cs="Arial" w:eastAsia="Arial" w:hAnsi="Arial"/>
                <w:sz w:val="18"/>
                <w:szCs w:val="18"/>
                <w:b w:val="1"/>
                <w:bCs w:val="1"/>
                <w:color w:val="auto"/>
              </w:rPr>
              <w:t xml:space="preserve">Accelerated filer </w:t>
            </w:r>
            <w:r>
              <w:rPr>
                <w:rFonts w:ascii="Arial" w:cs="Arial" w:eastAsia="Arial" w:hAnsi="Arial"/>
                <w:sz w:val="18"/>
                <w:szCs w:val="18"/>
                <w:color w:val="auto"/>
              </w:rPr>
              <w:t>o</w:t>
            </w:r>
          </w:p>
        </w:tc>
        <w:tc>
          <w:tcPr>
            <w:tcW w:w="3940" w:type="dxa"/>
            <w:vAlign w:val="bottom"/>
          </w:tcPr>
          <w:p>
            <w:pPr>
              <w:jc w:val="center"/>
              <w:ind w:left="70"/>
              <w:spacing w:after="0" w:line="207" w:lineRule="exact"/>
              <w:rPr>
                <w:sz w:val="20"/>
                <w:szCs w:val="20"/>
                <w:color w:val="auto"/>
              </w:rPr>
            </w:pPr>
            <w:r>
              <w:rPr>
                <w:rFonts w:ascii="Arial" w:cs="Arial" w:eastAsia="Arial" w:hAnsi="Arial"/>
                <w:sz w:val="18"/>
                <w:szCs w:val="18"/>
                <w:b w:val="1"/>
                <w:bCs w:val="1"/>
                <w:color w:val="auto"/>
                <w:w w:val="90"/>
              </w:rPr>
              <w:t xml:space="preserve">Non-accelerated filer </w:t>
            </w:r>
            <w:r>
              <w:rPr>
                <w:rFonts w:ascii="MS PGothic" w:cs="MS PGothic" w:eastAsia="MS PGothic" w:hAnsi="MS PGothic"/>
                <w:sz w:val="18"/>
                <w:szCs w:val="18"/>
                <w:color w:val="auto"/>
                <w:w w:val="90"/>
              </w:rPr>
              <w:t>☑</w:t>
            </w:r>
          </w:p>
        </w:tc>
        <w:tc>
          <w:tcPr>
            <w:tcW w:w="2560" w:type="dxa"/>
            <w:vAlign w:val="bottom"/>
          </w:tcPr>
          <w:p>
            <w:pPr>
              <w:ind w:left="200"/>
              <w:spacing w:after="0"/>
              <w:rPr>
                <w:sz w:val="20"/>
                <w:szCs w:val="20"/>
                <w:color w:val="auto"/>
              </w:rPr>
            </w:pPr>
            <w:r>
              <w:rPr>
                <w:rFonts w:ascii="Arial" w:cs="Arial" w:eastAsia="Arial" w:hAnsi="Arial"/>
                <w:sz w:val="18"/>
                <w:szCs w:val="18"/>
                <w:b w:val="1"/>
                <w:bCs w:val="1"/>
                <w:color w:val="auto"/>
                <w:w w:val="94"/>
              </w:rPr>
              <w:t xml:space="preserve">Smaller reporting company </w:t>
            </w:r>
            <w:r>
              <w:rPr>
                <w:rFonts w:ascii="Arial" w:cs="Arial" w:eastAsia="Arial" w:hAnsi="Arial"/>
                <w:sz w:val="18"/>
                <w:szCs w:val="18"/>
                <w:color w:val="auto"/>
                <w:w w:val="94"/>
              </w:rPr>
              <w:t>o</w:t>
            </w:r>
          </w:p>
        </w:tc>
      </w:tr>
      <w:tr>
        <w:trPr>
          <w:trHeight w:val="230"/>
        </w:trPr>
        <w:tc>
          <w:tcPr>
            <w:tcW w:w="26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940" w:type="dxa"/>
            <w:vAlign w:val="bottom"/>
          </w:tcPr>
          <w:p>
            <w:pPr>
              <w:jc w:val="center"/>
              <w:ind w:left="70"/>
              <w:spacing w:after="0"/>
              <w:rPr>
                <w:sz w:val="20"/>
                <w:szCs w:val="20"/>
                <w:color w:val="auto"/>
              </w:rPr>
            </w:pPr>
            <w:r>
              <w:rPr>
                <w:rFonts w:ascii="Arial" w:cs="Arial" w:eastAsia="Arial" w:hAnsi="Arial"/>
                <w:sz w:val="18"/>
                <w:szCs w:val="18"/>
                <w:color w:val="auto"/>
                <w:w w:val="91"/>
              </w:rPr>
              <w:t>(Do not check if a smaller reporting company)</w:t>
            </w:r>
          </w:p>
        </w:tc>
        <w:tc>
          <w:tcPr>
            <w:tcW w:w="2560" w:type="dxa"/>
            <w:vAlign w:val="bottom"/>
          </w:tcPr>
          <w:p>
            <w:pPr>
              <w:spacing w:after="0"/>
              <w:rPr>
                <w:sz w:val="20"/>
                <w:szCs w:val="20"/>
                <w:color w:val="auto"/>
              </w:rPr>
            </w:pPr>
          </w:p>
        </w:tc>
      </w:tr>
      <w:tr>
        <w:trPr>
          <w:trHeight w:val="237"/>
        </w:trPr>
        <w:tc>
          <w:tcPr>
            <w:tcW w:w="26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r>
      <w:tr>
        <w:trPr>
          <w:trHeight w:val="631"/>
        </w:trPr>
        <w:tc>
          <w:tcPr>
            <w:tcW w:w="264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3940" w:type="dxa"/>
            <w:vAlign w:val="bottom"/>
            <w:tcBorders>
              <w:bottom w:val="single" w:sz="8" w:color="808080"/>
            </w:tcBorders>
          </w:tcPr>
          <w:p>
            <w:pPr>
              <w:spacing w:after="0"/>
              <w:rPr>
                <w:sz w:val="24"/>
                <w:szCs w:val="24"/>
                <w:color w:val="auto"/>
              </w:rPr>
            </w:pPr>
          </w:p>
        </w:tc>
        <w:tc>
          <w:tcPr>
            <w:tcW w:w="2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20" w:type="dxa"/>
            <w:vAlign w:val="bottom"/>
            <w:gridSpan w:val="5"/>
          </w:tcPr>
          <w:p>
            <w:pPr>
              <w:ind w:left="200"/>
              <w:spacing w:after="0"/>
              <w:rPr>
                <w:sz w:val="20"/>
                <w:szCs w:val="20"/>
                <w:color w:val="auto"/>
              </w:rPr>
            </w:pPr>
            <w:r>
              <w:rPr>
                <w:rFonts w:ascii="Arial" w:cs="Arial" w:eastAsia="Arial" w:hAnsi="Arial"/>
                <w:sz w:val="18"/>
                <w:szCs w:val="18"/>
                <w:b w:val="1"/>
                <w:bCs w:val="1"/>
                <w:color w:val="auto"/>
              </w:rPr>
              <w:t>TABLE OF CONTENTS</w:t>
            </w:r>
          </w:p>
        </w:tc>
        <w:tc>
          <w:tcPr>
            <w:tcW w:w="1840" w:type="dxa"/>
            <w:vAlign w:val="bottom"/>
          </w:tcPr>
          <w:p>
            <w:pPr>
              <w:spacing w:after="0"/>
              <w:rPr>
                <w:sz w:val="20"/>
                <w:szCs w:val="20"/>
                <w:color w:val="auto"/>
              </w:rPr>
            </w:pPr>
          </w:p>
        </w:tc>
      </w:tr>
      <w:tr>
        <w:trPr>
          <w:trHeight w:val="392"/>
        </w:trPr>
        <w:tc>
          <w:tcPr>
            <w:tcW w:w="948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Explanatory Note</w:t>
              </w:r>
            </w:hyperlink>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2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48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Forward-Looking Statements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21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Item 1. Business</w:t>
              </w:r>
            </w:hyperlink>
          </w:p>
        </w:tc>
        <w:tc>
          <w:tcPr>
            <w:tcW w:w="7360" w:type="dxa"/>
            <w:vAlign w:val="bottom"/>
            <w:gridSpan w:val="13"/>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20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160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Item 1A. Risk Factors</w:t>
              </w:r>
            </w:hyperlink>
          </w:p>
        </w:tc>
        <w:tc>
          <w:tcPr>
            <w:tcW w:w="7880" w:type="dxa"/>
            <w:vAlign w:val="bottom"/>
            <w:gridSpan w:val="15"/>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31">
              <w:r>
                <w:rPr>
                  <w:rFonts w:ascii="Arial" w:cs="Arial" w:eastAsia="Arial" w:hAnsi="Arial"/>
                  <w:sz w:val="18"/>
                  <w:szCs w:val="18"/>
                  <w:color w:val="0000EE"/>
                  <w:w w:val="93"/>
                </w:rPr>
                <w:t>Item 2. Financial Information</w:t>
              </w:r>
            </w:hyperlink>
          </w:p>
        </w:tc>
        <w:tc>
          <w:tcPr>
            <w:tcW w:w="7340" w:type="dxa"/>
            <w:vAlign w:val="bottom"/>
            <w:gridSpan w:val="12"/>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Item 3. Properties</w:t>
              </w:r>
            </w:hyperlink>
          </w:p>
        </w:tc>
        <w:tc>
          <w:tcPr>
            <w:tcW w:w="8180" w:type="dxa"/>
            <w:vAlign w:val="bottom"/>
            <w:gridSpan w:val="16"/>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9480" w:type="dxa"/>
            <w:vAlign w:val="bottom"/>
            <w:gridSpan w:val="21"/>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4. Security Ownership of Certain Beneficial Owners and Management</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29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Item 5. Directors and Executive Officers</w:t>
              </w:r>
            </w:hyperlink>
          </w:p>
        </w:tc>
        <w:tc>
          <w:tcPr>
            <w:tcW w:w="2500" w:type="dxa"/>
            <w:vAlign w:val="bottom"/>
            <w:tcBorders>
              <w:top w:val="single" w:sz="8" w:color="0000EE"/>
            </w:tcBorders>
            <w:gridSpan w:val="6"/>
          </w:tcPr>
          <w:p>
            <w:pPr>
              <w:spacing w:after="0"/>
              <w:rPr>
                <w:sz w:val="17"/>
                <w:szCs w:val="17"/>
                <w:color w:val="auto"/>
              </w:rPr>
            </w:pPr>
          </w:p>
        </w:tc>
        <w:tc>
          <w:tcPr>
            <w:tcW w:w="4040" w:type="dxa"/>
            <w:vAlign w:val="bottom"/>
            <w:gridSpan w:val="4"/>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540" w:type="dxa"/>
            <w:vAlign w:val="bottom"/>
          </w:tcPr>
          <w:p>
            <w:pPr>
              <w:spacing w:after="0" w:line="196"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6.</w:t>
              </w:r>
            </w:hyperlink>
          </w:p>
        </w:tc>
        <w:tc>
          <w:tcPr>
            <w:tcW w:w="8940" w:type="dxa"/>
            <w:vAlign w:val="bottom"/>
            <w:gridSpan w:val="20"/>
          </w:tcPr>
          <w:p>
            <w:pPr>
              <w:ind w:left="20"/>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Executive Compensation</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540" w:type="dxa"/>
            <w:vAlign w:val="bottom"/>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Item 7.</w:t>
              </w:r>
            </w:hyperlink>
          </w:p>
        </w:tc>
        <w:tc>
          <w:tcPr>
            <w:tcW w:w="5480" w:type="dxa"/>
            <w:vAlign w:val="bottom"/>
            <w:tcBorders>
              <w:bottom w:val="single" w:sz="8" w:color="0000EE"/>
            </w:tcBorders>
            <w:gridSpan w:val="17"/>
          </w:tcPr>
          <w:p>
            <w:pPr>
              <w:ind w:left="20"/>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Certain Relationships and Related Transactions, and Director Independence</w:t>
              </w:r>
            </w:hyperlink>
          </w:p>
        </w:tc>
        <w:tc>
          <w:tcPr>
            <w:tcW w:w="3460" w:type="dxa"/>
            <w:vAlign w:val="bottom"/>
            <w:gridSpan w:val="3"/>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54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Item 8.</w:t>
              </w:r>
            </w:hyperlink>
          </w:p>
        </w:tc>
        <w:tc>
          <w:tcPr>
            <w:tcW w:w="1360" w:type="dxa"/>
            <w:vAlign w:val="bottom"/>
            <w:tcBorders>
              <w:bottom w:val="single" w:sz="8" w:color="0000EE"/>
            </w:tcBorders>
            <w:gridSpan w:val="6"/>
          </w:tcPr>
          <w:p>
            <w:pPr>
              <w:ind w:left="20"/>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Legal Proceedings</w:t>
              </w:r>
            </w:hyperlink>
          </w:p>
        </w:tc>
        <w:tc>
          <w:tcPr>
            <w:tcW w:w="7580" w:type="dxa"/>
            <w:vAlign w:val="bottom"/>
            <w:gridSpan w:val="14"/>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540" w:type="dxa"/>
            <w:vAlign w:val="bottom"/>
          </w:tcPr>
          <w:p>
            <w:pPr>
              <w:spacing w:after="0" w:line="196" w:lineRule="exact"/>
              <w:rPr>
                <w:rFonts w:ascii="Arial" w:cs="Arial" w:eastAsia="Arial" w:hAnsi="Arial"/>
                <w:sz w:val="18"/>
                <w:szCs w:val="18"/>
                <w:color w:val="0000EE"/>
                <w:w w:val="94"/>
              </w:rPr>
            </w:pPr>
            <w:hyperlink w:anchor="page42">
              <w:r>
                <w:rPr>
                  <w:rFonts w:ascii="Arial" w:cs="Arial" w:eastAsia="Arial" w:hAnsi="Arial"/>
                  <w:sz w:val="18"/>
                  <w:szCs w:val="18"/>
                  <w:color w:val="0000EE"/>
                  <w:w w:val="94"/>
                </w:rPr>
                <w:t>Item 9.</w:t>
              </w:r>
            </w:hyperlink>
          </w:p>
        </w:tc>
        <w:tc>
          <w:tcPr>
            <w:tcW w:w="8940" w:type="dxa"/>
            <w:vAlign w:val="bottom"/>
            <w:gridSpan w:val="20"/>
          </w:tcPr>
          <w:p>
            <w:pPr>
              <w:ind w:left="20"/>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Market Price of and Dividends on the Registrant’s Common Equity and Related Stockholder Matters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78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Item 10. Recent Sales of Unregistered Securities</w:t>
              </w:r>
            </w:hyperlink>
          </w:p>
        </w:tc>
        <w:tc>
          <w:tcPr>
            <w:tcW w:w="1660" w:type="dxa"/>
            <w:vAlign w:val="bottom"/>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20"/>
        </w:trPr>
        <w:tc>
          <w:tcPr>
            <w:tcW w:w="3100" w:type="dxa"/>
            <w:vAlign w:val="bottom"/>
            <w:gridSpan w:val="1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45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Item 11. Description of Registrant’s Securities to be Registered</w:t>
              </w:r>
            </w:hyperlink>
          </w:p>
        </w:tc>
        <w:tc>
          <w:tcPr>
            <w:tcW w:w="4920" w:type="dxa"/>
            <w:vAlign w:val="bottom"/>
            <w:gridSpan w:val="5"/>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640" w:type="dxa"/>
            <w:vAlign w:val="bottom"/>
            <w:gridSpan w:val="2"/>
          </w:tcPr>
          <w:p>
            <w:pPr>
              <w:spacing w:after="0" w:line="196" w:lineRule="exact"/>
              <w:rPr>
                <w:rFonts w:ascii="Arial" w:cs="Arial" w:eastAsia="Arial" w:hAnsi="Arial"/>
                <w:sz w:val="18"/>
                <w:szCs w:val="18"/>
                <w:color w:val="0000EE"/>
                <w:w w:val="95"/>
              </w:rPr>
            </w:pPr>
            <w:hyperlink w:anchor="page48">
              <w:r>
                <w:rPr>
                  <w:rFonts w:ascii="Arial" w:cs="Arial" w:eastAsia="Arial" w:hAnsi="Arial"/>
                  <w:sz w:val="18"/>
                  <w:szCs w:val="18"/>
                  <w:color w:val="0000EE"/>
                  <w:w w:val="95"/>
                </w:rPr>
                <w:t>Item 12.</w:t>
              </w:r>
            </w:hyperlink>
          </w:p>
        </w:tc>
        <w:tc>
          <w:tcPr>
            <w:tcW w:w="8840" w:type="dxa"/>
            <w:vAlign w:val="bottom"/>
            <w:gridSpan w:val="19"/>
          </w:tcPr>
          <w:p>
            <w:pPr>
              <w:ind w:left="20"/>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Indemnification of Directors and Officers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60" w:type="dxa"/>
            <w:vAlign w:val="bottom"/>
            <w:gridSpan w:val="10"/>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640" w:type="dxa"/>
            <w:vAlign w:val="bottom"/>
            <w:gridSpan w:val="2"/>
          </w:tcPr>
          <w:p>
            <w:pPr>
              <w:spacing w:after="0" w:line="196" w:lineRule="exact"/>
              <w:rPr>
                <w:rFonts w:ascii="Arial" w:cs="Arial" w:eastAsia="Arial" w:hAnsi="Arial"/>
                <w:sz w:val="18"/>
                <w:szCs w:val="18"/>
                <w:color w:val="0000EE"/>
                <w:w w:val="95"/>
              </w:rPr>
            </w:pPr>
            <w:hyperlink w:anchor="page48">
              <w:r>
                <w:rPr>
                  <w:rFonts w:ascii="Arial" w:cs="Arial" w:eastAsia="Arial" w:hAnsi="Arial"/>
                  <w:sz w:val="18"/>
                  <w:szCs w:val="18"/>
                  <w:color w:val="0000EE"/>
                  <w:w w:val="95"/>
                </w:rPr>
                <w:t>Item 13.</w:t>
              </w:r>
            </w:hyperlink>
          </w:p>
        </w:tc>
        <w:tc>
          <w:tcPr>
            <w:tcW w:w="8840" w:type="dxa"/>
            <w:vAlign w:val="bottom"/>
            <w:gridSpan w:val="19"/>
          </w:tcPr>
          <w:p>
            <w:pPr>
              <w:ind w:left="20"/>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Financial Statements and Supplementary Data</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2460" w:type="dxa"/>
            <w:vAlign w:val="bottom"/>
            <w:gridSpan w:val="10"/>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Item 14.</w:t>
              </w:r>
            </w:hyperlink>
          </w:p>
        </w:tc>
        <w:tc>
          <w:tcPr>
            <w:tcW w:w="6500" w:type="dxa"/>
            <w:vAlign w:val="bottom"/>
            <w:tcBorders>
              <w:bottom w:val="single" w:sz="8" w:color="0000EE"/>
            </w:tcBorders>
            <w:gridSpan w:val="17"/>
          </w:tcPr>
          <w:p>
            <w:pPr>
              <w:ind w:left="20"/>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Changes in and Disagreements with Accountants on Accounting and Financial Disclosure</w:t>
              </w:r>
            </w:hyperlink>
          </w:p>
        </w:tc>
        <w:tc>
          <w:tcPr>
            <w:tcW w:w="2340" w:type="dxa"/>
            <w:vAlign w:val="bottom"/>
            <w:gridSpan w:val="2"/>
          </w:tcPr>
          <w:p>
            <w:pPr>
              <w:spacing w:after="0"/>
              <w:rPr>
                <w:sz w:val="17"/>
                <w:szCs w:val="17"/>
                <w:color w:val="auto"/>
              </w:rPr>
            </w:pPr>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640" w:type="dxa"/>
            <w:vAlign w:val="bottom"/>
            <w:gridSpan w:val="2"/>
          </w:tcPr>
          <w:p>
            <w:pPr>
              <w:spacing w:after="0" w:line="196"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Item 15.</w:t>
              </w:r>
            </w:hyperlink>
          </w:p>
        </w:tc>
        <w:tc>
          <w:tcPr>
            <w:tcW w:w="8840" w:type="dxa"/>
            <w:vAlign w:val="bottom"/>
            <w:gridSpan w:val="19"/>
          </w:tcPr>
          <w:p>
            <w:pPr>
              <w:ind w:left="20"/>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Financial Statements and Exhibits</w:t>
              </w:r>
            </w:hyperlink>
          </w:p>
        </w:tc>
        <w:tc>
          <w:tcPr>
            <w:tcW w:w="18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58"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TPG Specialty Lending, Inc. is filing this amendment no. 2 to the registration statement on Form 10 (the “Registration Statement”) under the Securities Exchange Act of 1934, as amended (the “1934 Act”), on a voluntary basis to permit it to file an election to be regulated as a business development company, (a “BDC”), under the Investment Company Act of 1940, as amended (the “1940 Act”), to provide current public information to the investment community and to comply with applicable requirements for the quotation or listing of its securities on a national securities exchange or other public trading market. In this Registration Statement, the “Company,” “TSL,” “we,” “us,” and “our” refer to TPG Specialty Lending, Inc., unless otherwise specified.</w:t>
      </w:r>
    </w:p>
    <w:p>
      <w:pPr>
        <w:spacing w:after="0" w:line="50"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Once this Registration Statement has been deemed effective, we will be subject to the requirements of Section 13(a) of the 1934 Act, including the rules and regulations promulgated thereunder, which will require us, among other things, to file annual reports on Form 10-K, quarterly reports on Form 10-Q, and current reports on Form 8-K, and we will be required to comply with all other obligations of the 1934 Act applicable to issuers filing registration statements pursuant to Section 12(g) of the 1934 Act.</w:t>
      </w:r>
    </w:p>
    <w:p>
      <w:pPr>
        <w:spacing w:after="0" w:line="79"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Shortly after the effectiveness of this Registration Statement, we will file an election to be regulated as a BDC under the 1940 Act. Upon filing of such election, we will become subject to the 1940 Act requirements applicable to BDCs.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This Registration Statement contains forward-looking statements that involve substantial risks and uncertainties. These forward-looking statements are not historical facts, but rather are based on current expectations, estimates and projections about us, our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 including, without limitation:</w:t>
      </w:r>
    </w:p>
    <w:p>
      <w:pPr>
        <w:spacing w:after="0" w:line="57" w:lineRule="exact"/>
        <w:rPr>
          <w:sz w:val="20"/>
          <w:szCs w:val="20"/>
          <w:color w:val="auto"/>
        </w:rPr>
      </w:pPr>
    </w:p>
    <w:p>
      <w:pPr>
        <w:ind w:left="660" w:right="80" w:hanging="314"/>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an economic downturn, or a continuation or worsening of the current global recession, could impair our portfolio companies’ abilities to continue to operate, which could lead to the loss of some or all of our investments in such portfolio companies;</w:t>
      </w:r>
    </w:p>
    <w:p>
      <w:pPr>
        <w:spacing w:after="0" w:line="75" w:lineRule="exact"/>
        <w:rPr>
          <w:rFonts w:ascii="Arial" w:cs="Arial" w:eastAsia="Arial" w:hAnsi="Arial"/>
          <w:sz w:val="18"/>
          <w:szCs w:val="18"/>
          <w:b w:val="1"/>
          <w:bCs w:val="1"/>
          <w:color w:val="auto"/>
        </w:rPr>
      </w:pPr>
    </w:p>
    <w:p>
      <w:pPr>
        <w:ind w:left="660" w:right="500" w:hanging="314"/>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such an economic downturn could disproportionately impact the companies which we intend to target for investment, potentially causing us to experience a decrease in investment opportunities and diminished demand for capital from these companies;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such an economic downturn could also impact availability and pricing of our financing;</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an inability to access the equity markets could impair our ability to raise capital and our investment activities; and</w:t>
      </w:r>
    </w:p>
    <w:p>
      <w:pPr>
        <w:spacing w:after="0" w:line="130" w:lineRule="exact"/>
        <w:rPr>
          <w:rFonts w:ascii="Arial" w:cs="Arial" w:eastAsia="Arial" w:hAnsi="Arial"/>
          <w:sz w:val="18"/>
          <w:szCs w:val="18"/>
          <w:b w:val="1"/>
          <w:bCs w:val="1"/>
          <w:color w:val="auto"/>
        </w:rPr>
      </w:pPr>
    </w:p>
    <w:p>
      <w:pPr>
        <w:ind w:left="660" w:right="300" w:hanging="314"/>
        <w:spacing w:after="0" w:line="277"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the risks, uncertainties and other factors we identify in the section entitled “Risk Factors” and elsewhere in this Registration Statement and in our filings with the Securities Exchange Commission (the “SEC”).</w:t>
      </w:r>
    </w:p>
    <w:p>
      <w:pPr>
        <w:spacing w:after="0" w:line="62" w:lineRule="exact"/>
        <w:rPr>
          <w:sz w:val="20"/>
          <w:szCs w:val="20"/>
          <w:color w:val="auto"/>
        </w:rPr>
      </w:pPr>
    </w:p>
    <w:p>
      <w:pPr>
        <w:jc w:val="both"/>
        <w:ind w:right="220" w:firstLine="215"/>
        <w:spacing w:after="0" w:line="312"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some of those assumptions are based on the work of third parties and any of those assumptions could prove to be inaccurate; as a result, the forward-looking statements based on those assumptions also could prove to be inaccurate. In light of these and other uncertainties, the inclusion of a projection or forward-looking statement in this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prospectus should not be regarded as a representation by us that our plans and objectives will be achieved. These risks and uncertainties include those described or identified in the section entitled “</w:t>
      </w:r>
      <w:r>
        <w:rPr>
          <w:rFonts w:ascii="Arial" w:cs="Arial" w:eastAsia="Arial" w:hAnsi="Arial"/>
          <w:sz w:val="18"/>
          <w:szCs w:val="18"/>
          <w:i w:val="1"/>
          <w:iCs w:val="1"/>
          <w:color w:val="auto"/>
        </w:rPr>
        <w:t>Item 1A. Risk Factors</w:t>
      </w:r>
      <w:r>
        <w:rPr>
          <w:rFonts w:ascii="Arial" w:cs="Arial" w:eastAsia="Arial" w:hAnsi="Arial"/>
          <w:sz w:val="18"/>
          <w:szCs w:val="18"/>
          <w:color w:val="auto"/>
        </w:rPr>
        <w:t>” and elsewhere in this Registration Statement. You should not place undue reliance on these forward-looking statements, which apply only as of the date of this Registration Statement. We do not undertake any obligation to update or revise any forward-looking statements or any other information contained herein, except as required by applicable law. The safe harbor provisions of Section 21E of the 1934 Act, which preclude civil liability for certain forward-looking statements, do not apply to the forward-looking statements in this Registration Statement because we are an investment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General Development of Business</w:t>
      </w:r>
    </w:p>
    <w:p>
      <w:pPr>
        <w:spacing w:after="0" w:line="117" w:lineRule="exact"/>
        <w:rPr>
          <w:sz w:val="20"/>
          <w:szCs w:val="20"/>
          <w:color w:val="auto"/>
        </w:rPr>
      </w:pPr>
    </w:p>
    <w:p>
      <w:pPr>
        <w:ind w:firstLine="222"/>
        <w:spacing w:after="0" w:line="285" w:lineRule="auto"/>
        <w:rPr>
          <w:sz w:val="20"/>
          <w:szCs w:val="20"/>
          <w:color w:val="auto"/>
        </w:rPr>
      </w:pPr>
      <w:r>
        <w:rPr>
          <w:rFonts w:ascii="Arial" w:cs="Arial" w:eastAsia="Arial" w:hAnsi="Arial"/>
          <w:sz w:val="16"/>
          <w:szCs w:val="16"/>
          <w:color w:val="auto"/>
        </w:rPr>
        <w:t>We were formed on July 21, 2010 as a corporation under the laws of the State of Delaware. We expect to conduct private offerings (the “Private Offering”) of our common shares to investors in reliance on exemptions from the registration requirements of the U.S. Securities Act of 1933, as amended (the “1933 Act”). At the closing of any Private Offering, each investor will make a capital commitment to purchase shares of our common stock pursuant to a subscription agreement entered into with the Company. Investors will be required to fund drawdowns to purchase shares of the Company’s common stock up to the amount of their respective capital commitments on an as-needed basis with a minimum of 10 business days’ prior notice to the investors. See</w:t>
      </w:r>
    </w:p>
    <w:p>
      <w:pPr>
        <w:spacing w:after="0" w:line="2"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Item 1(c). Description of Business—The Private Offering</w:t>
      </w:r>
      <w:r>
        <w:rPr>
          <w:rFonts w:ascii="Arial" w:cs="Arial" w:eastAsia="Arial" w:hAnsi="Arial"/>
          <w:sz w:val="18"/>
          <w:szCs w:val="18"/>
          <w:color w:val="auto"/>
        </w:rPr>
        <w:t>.” We anticipate commencing our loan origination and investment activities contemporaneously with the initial closing of the Private Offering, which is expected to occur in the second quarter of 2011 (the “Closing”).</w:t>
      </w:r>
    </w:p>
    <w:p>
      <w:pPr>
        <w:spacing w:after="0" w:line="76" w:lineRule="exact"/>
        <w:rPr>
          <w:sz w:val="20"/>
          <w:szCs w:val="20"/>
          <w:color w:val="auto"/>
        </w:rPr>
      </w:pPr>
    </w:p>
    <w:p>
      <w:pPr>
        <w:ind w:right="260" w:firstLine="225"/>
        <w:spacing w:after="0" w:line="257" w:lineRule="auto"/>
        <w:rPr>
          <w:sz w:val="20"/>
          <w:szCs w:val="20"/>
          <w:color w:val="auto"/>
        </w:rPr>
      </w:pPr>
      <w:r>
        <w:rPr>
          <w:rFonts w:ascii="Arial" w:cs="Arial" w:eastAsia="Arial" w:hAnsi="Arial"/>
          <w:sz w:val="18"/>
          <w:szCs w:val="18"/>
          <w:color w:val="auto"/>
        </w:rPr>
        <w:t>Shortly after the effectiveness of this Registration Statement, we intend to file with the SEC an election to be treated as a BDC under the 1940 Act. We also intend to elect to be treated for U.S. federal income tax purposes as a regulated investment company (a “RIC”) under Subchapter M of the Internal Revenue Code of 1986, as amended (the “Code”). As a BDC and a RIC, we are required to comply with certain regulatory requirements. See “</w:t>
      </w:r>
      <w:r>
        <w:rPr>
          <w:rFonts w:ascii="Arial" w:cs="Arial" w:eastAsia="Arial" w:hAnsi="Arial"/>
          <w:sz w:val="18"/>
          <w:szCs w:val="18"/>
          <w:i w:val="1"/>
          <w:iCs w:val="1"/>
          <w:color w:val="auto"/>
        </w:rPr>
        <w:t>Item 1(c).</w:t>
      </w:r>
      <w:r>
        <w:rPr>
          <w:rFonts w:ascii="Arial" w:cs="Arial" w:eastAsia="Arial" w:hAnsi="Arial"/>
          <w:sz w:val="18"/>
          <w:szCs w:val="18"/>
          <w:color w:val="auto"/>
        </w:rPr>
        <w:t xml:space="preserve"> </w:t>
      </w:r>
      <w:r>
        <w:rPr>
          <w:rFonts w:ascii="Arial" w:cs="Arial" w:eastAsia="Arial" w:hAnsi="Arial"/>
          <w:sz w:val="18"/>
          <w:szCs w:val="18"/>
          <w:i w:val="1"/>
          <w:iCs w:val="1"/>
          <w:color w:val="auto"/>
        </w:rPr>
        <w:t>Description of Business—Regulation as a Public Business Development Company</w:t>
      </w:r>
      <w:r>
        <w:rPr>
          <w:rFonts w:ascii="Arial" w:cs="Arial" w:eastAsia="Arial" w:hAnsi="Arial"/>
          <w:sz w:val="18"/>
          <w:szCs w:val="18"/>
          <w:color w:val="auto"/>
        </w:rPr>
        <w:t>” and “</w:t>
      </w:r>
      <w:r>
        <w:rPr>
          <w:rFonts w:ascii="Arial" w:cs="Arial" w:eastAsia="Arial" w:hAnsi="Arial"/>
          <w:sz w:val="18"/>
          <w:szCs w:val="18"/>
          <w:i w:val="1"/>
          <w:iCs w:val="1"/>
          <w:color w:val="auto"/>
        </w:rPr>
        <w:t>Item 1(c). Description of Business—Certain U.S. Federal Income Tax Consequences</w:t>
      </w:r>
      <w:r>
        <w:rPr>
          <w:rFonts w:ascii="Arial" w:cs="Arial" w:eastAsia="Arial" w:hAnsi="Arial"/>
          <w:sz w:val="18"/>
          <w:szCs w:val="18"/>
          <w:color w:val="auto"/>
        </w:rPr>
        <w:t>.”</w:t>
      </w:r>
    </w:p>
    <w:p>
      <w:pPr>
        <w:spacing w:after="0" w:line="8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Financial Information about Industry Segments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operations comprise only a single reportable segment. See “</w:t>
      </w:r>
      <w:r>
        <w:rPr>
          <w:rFonts w:ascii="Arial" w:cs="Arial" w:eastAsia="Arial" w:hAnsi="Arial"/>
          <w:sz w:val="18"/>
          <w:szCs w:val="18"/>
          <w:i w:val="1"/>
          <w:iCs w:val="1"/>
          <w:color w:val="auto"/>
        </w:rPr>
        <w:t>Item 2. Financial Information</w:t>
      </w:r>
      <w:r>
        <w:rPr>
          <w:rFonts w:ascii="Arial" w:cs="Arial" w:eastAsia="Arial" w:hAnsi="Arial"/>
          <w:sz w:val="18"/>
          <w:szCs w:val="18"/>
          <w:color w:val="auto"/>
        </w:rPr>
        <w:t>.”</w:t>
      </w:r>
    </w:p>
    <w:p>
      <w:pPr>
        <w:spacing w:after="0" w:line="117"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Description of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We are a specialty finance investment company. Our primary focus is to generate current income and capital appreciation through direct investments in senior secured loans, mezzanine loans and, to a lesser extent, equity securities of eligible portfolio companies (i.e., U.S. domiciled, middle-market issuers). By “middle-market issuers,” we mean companies that have annual earnings before interest, income taxes, depreciation and amortization (EBITDA), which we believe is a useful proxy for cash flow, of $10 million to $250 million. We currently do not expect to limit our focus on any specific industry and we may on occasion invest in larger or smaller companies. We also may invest up to 30% of our portfolio opportunistically in non-eligible portfolio companies.</w:t>
      </w:r>
    </w:p>
    <w:p>
      <w:pPr>
        <w:spacing w:after="0" w:line="50"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Our business model is focused primarily on the direct origination of loans to middle-market companies. We expect to generate returns through a combination of contractual interest payments on debt investments, equity appreciation (through options, warrants, conversion rights or direct equity investments) and origination and similar fees. Our primary focus is to generate current income and capital appreciation through these direct investments. We can offer no assurances that we will achieve our investment objective.</w:t>
      </w:r>
    </w:p>
    <w:p>
      <w:pPr>
        <w:spacing w:after="0" w:line="79" w:lineRule="exact"/>
        <w:rPr>
          <w:sz w:val="20"/>
          <w:szCs w:val="20"/>
          <w:color w:val="auto"/>
        </w:rPr>
      </w:pPr>
    </w:p>
    <w:p>
      <w:pPr>
        <w:jc w:val="both"/>
        <w:ind w:right="240" w:firstLine="222"/>
        <w:spacing w:after="0" w:line="264" w:lineRule="auto"/>
        <w:rPr>
          <w:sz w:val="20"/>
          <w:szCs w:val="20"/>
          <w:color w:val="auto"/>
        </w:rPr>
      </w:pPr>
      <w:r>
        <w:rPr>
          <w:rFonts w:ascii="Arial" w:cs="Arial" w:eastAsia="Arial" w:hAnsi="Arial"/>
          <w:sz w:val="18"/>
          <w:szCs w:val="18"/>
          <w:color w:val="auto"/>
        </w:rPr>
        <w:t>We expect our capital will be used to support organic growth, acquisitions, market or product expansion and/or recapitalizations. Over time, as we build our portfolio, we expect no single investment to be larger than 10% of our available capital base. The debt in which we invest typically will not be initially rated by any rating agency,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but if such investments were rated, it is likely they would be below investment grade. We expect most of our investments to be floating-rate in nature, which we believe will help act as a portfolio-wide hedge against inflation.</w:t>
      </w:r>
    </w:p>
    <w:p>
      <w:pPr>
        <w:spacing w:after="0" w:line="62"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Because we intend to be a BDC, and we intend to qualify as a RIC under the Code, our portfolio will be subject to diversification and other requirements. See “</w:t>
      </w:r>
      <w:r>
        <w:rPr>
          <w:rFonts w:ascii="Arial" w:cs="Arial" w:eastAsia="Arial" w:hAnsi="Arial"/>
          <w:sz w:val="18"/>
          <w:szCs w:val="18"/>
          <w:i w:val="1"/>
          <w:iCs w:val="1"/>
          <w:color w:val="auto"/>
        </w:rPr>
        <w:t>—Certain U.S. Federal Income Tax Consequences.</w:t>
      </w:r>
      <w:r>
        <w:rPr>
          <w:rFonts w:ascii="Arial" w:cs="Arial" w:eastAsia="Arial" w:hAnsi="Arial"/>
          <w:sz w:val="18"/>
          <w:szCs w:val="18"/>
          <w:color w:val="auto"/>
        </w:rPr>
        <w:t>”</w:t>
      </w:r>
    </w:p>
    <w:p>
      <w:pPr>
        <w:spacing w:after="0" w:line="62"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may borrow money from time to time within the levels permitted by the 1940 Act (which generally allows us to incur leverage for up to one-half of our assets). In determining whether to borrow money, we will analyze the maturity, covenant package and rate structure of the proposed borrowings as well as the risks of such borrowings compared to our investment outlook. The use of borrowed funds or the proceeds of preferred stock offerings to make investments would have its own specific set of benefits and risks, and all of the costs of borrowing funds or issuing preferred stock would be borne by holders of our common stock. See “</w:t>
      </w:r>
      <w:r>
        <w:rPr>
          <w:rFonts w:ascii="Arial" w:cs="Arial" w:eastAsia="Arial" w:hAnsi="Arial"/>
          <w:sz w:val="18"/>
          <w:szCs w:val="18"/>
          <w:i w:val="1"/>
          <w:iCs w:val="1"/>
          <w:color w:val="auto"/>
        </w:rPr>
        <w:t>Item 1A. Risk Factors—Risks Relating to Our Business and Structure—We may borrow money, which may magnify the potential for gain</w:t>
      </w:r>
      <w:r>
        <w:rPr>
          <w:rFonts w:ascii="Arial" w:cs="Arial" w:eastAsia="Arial" w:hAnsi="Arial"/>
          <w:sz w:val="18"/>
          <w:szCs w:val="18"/>
          <w:color w:val="auto"/>
        </w:rPr>
        <w:t xml:space="preserve"> </w:t>
      </w:r>
      <w:r>
        <w:rPr>
          <w:rFonts w:ascii="Arial" w:cs="Arial" w:eastAsia="Arial" w:hAnsi="Arial"/>
          <w:sz w:val="18"/>
          <w:szCs w:val="18"/>
          <w:i w:val="1"/>
          <w:iCs w:val="1"/>
          <w:color w:val="auto"/>
        </w:rPr>
        <w:t>or loss and may increase the risk of investing in us</w:t>
      </w:r>
      <w:r>
        <w:rPr>
          <w:rFonts w:ascii="Arial" w:cs="Arial" w:eastAsia="Arial" w:hAnsi="Arial"/>
          <w:sz w:val="18"/>
          <w:szCs w:val="18"/>
          <w:color w:val="auto"/>
        </w:rPr>
        <w:t>.”</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Investment Adviser</w:t>
      </w:r>
    </w:p>
    <w:p>
      <w:pPr>
        <w:spacing w:after="0" w:line="117"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TSL Advisers, LLC (the “Adviser”), a Delaware limited liability company and an affiliate of TPG Capital, L.P. (“TPG”), will act as our investment adviser. The Adviser is a registered investment adviser under the Investment Advisers Act of 1940, as amended (the “Advisers Act”). We expect that the Adviser will source and manage our portfolio through a team of investment professionals (the “Investment Team”), led by Co-Chief Investment Officers Alan Waxman and Joshua Easterly, who have substantial experience in credit origination. Mr. Waxman was the co-founder of the Goldman Sachs Specialty Lending Group (“GSSLG”) and Mr. Easterly is the former co-head of GSSLG. Our investments will also be made in coordination with an investment review committee (the “Investment Review Committee”) that includes senior partners of TPG.</w:t>
      </w:r>
    </w:p>
    <w:p>
      <w:pPr>
        <w:spacing w:after="0" w:line="70"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Adviser is affiliated with TPG, one of the largest diversified alternative investment firms in the world, with total assets under management of approximately $48.3 billion as of September 30, 2010. Management of the Adviser will consist primarily of senior executives of TPG Opportunities Partners, L.P. (“TOP”), formed in 2009 as TPG’s distressed and special situations platform. Along with Messrs. Waxman and Easterly, TOP has a team of over 20 dedicated professionals and collectively brings extensive experience in the credit markets and special situations investing. See “</w:t>
      </w:r>
      <w:r>
        <w:rPr>
          <w:rFonts w:ascii="Arial" w:cs="Arial" w:eastAsia="Arial" w:hAnsi="Arial"/>
          <w:sz w:val="18"/>
          <w:szCs w:val="18"/>
          <w:i w:val="1"/>
          <w:iCs w:val="1"/>
          <w:color w:val="auto"/>
        </w:rPr>
        <w:t>Item 7. Certain Relationships</w:t>
      </w:r>
      <w:r>
        <w:rPr>
          <w:rFonts w:ascii="Arial" w:cs="Arial" w:eastAsia="Arial" w:hAnsi="Arial"/>
          <w:sz w:val="18"/>
          <w:szCs w:val="18"/>
          <w:color w:val="auto"/>
        </w:rPr>
        <w:t xml:space="preserve"> </w:t>
      </w:r>
      <w:r>
        <w:rPr>
          <w:rFonts w:ascii="Arial" w:cs="Arial" w:eastAsia="Arial" w:hAnsi="Arial"/>
          <w:sz w:val="18"/>
          <w:szCs w:val="18"/>
          <w:i w:val="1"/>
          <w:iCs w:val="1"/>
          <w:color w:val="auto"/>
        </w:rPr>
        <w:t>and Related Transactions, and Director Independence</w:t>
      </w:r>
      <w:r>
        <w:rPr>
          <w:rFonts w:ascii="Arial" w:cs="Arial" w:eastAsia="Arial" w:hAnsi="Arial"/>
          <w:sz w:val="18"/>
          <w:szCs w:val="18"/>
          <w:color w:val="auto"/>
        </w:rPr>
        <w: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Board of Directors</w:t>
      </w:r>
    </w:p>
    <w:p>
      <w:pPr>
        <w:spacing w:after="0" w:line="117" w:lineRule="exact"/>
        <w:rPr>
          <w:sz w:val="20"/>
          <w:szCs w:val="20"/>
          <w:color w:val="auto"/>
        </w:rPr>
      </w:pPr>
    </w:p>
    <w:p>
      <w:pPr>
        <w:ind w:right="40" w:firstLine="225"/>
        <w:spacing w:after="0" w:line="255" w:lineRule="auto"/>
        <w:rPr>
          <w:sz w:val="20"/>
          <w:szCs w:val="20"/>
          <w:color w:val="auto"/>
        </w:rPr>
      </w:pPr>
      <w:r>
        <w:rPr>
          <w:rFonts w:ascii="Arial" w:cs="Arial" w:eastAsia="Arial" w:hAnsi="Arial"/>
          <w:sz w:val="18"/>
          <w:szCs w:val="18"/>
          <w:color w:val="auto"/>
        </w:rPr>
        <w:t>Our board of directors (the “Board”) will have ultimate authority as to our investments, but we expect it will delegate authority to the Adviser to select and monitor our investments, subject to the supervision of the Board. Pursuant to our amended and restated certificate of incorporation, (the “Amended and Restated Certificate of Incorporation”), the Board initially consists of four members. A majority of the Board will at all times consist of directors who are not “interested persons” of the Company, of the Adviser or of any of their respective affiliates, as defined in the 1940 Act (the “Independent Directors”). The Board is divided into three classes, each serving staggered, three-year terms: the terms of our Class I directors will expire at the 2012 annual meeting of stockholders; the terms of our Class II directors will expire at the 2013 annual meeting of stockholders; and the terms of our Class III directors will expire at the 2014 annual meeting of stockholders.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Advisory Agreement; Administration Agreement; License Agreement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enter into an Advisory Agreement with our Adviser, which we refer to as the “Advisory Agreement,” under which the Adviser will:</w:t>
      </w:r>
    </w:p>
    <w:p>
      <w:pPr>
        <w:spacing w:after="0" w:line="117" w:lineRule="exact"/>
        <w:rPr>
          <w:sz w:val="20"/>
          <w:szCs w:val="20"/>
          <w:color w:val="auto"/>
        </w:rPr>
      </w:pPr>
    </w:p>
    <w:p>
      <w:pPr>
        <w:ind w:left="660" w:hanging="314"/>
        <w:spacing w:after="0"/>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determine the composition of our portfolio, the nature and timing of the changes to our portfolio and the manner of implementing such changes;</w:t>
      </w:r>
    </w:p>
    <w:p>
      <w:pPr>
        <w:spacing w:after="0" w:line="142" w:lineRule="exact"/>
        <w:rPr>
          <w:rFonts w:ascii="Arial" w:cs="Arial" w:eastAsia="Arial" w:hAnsi="Arial"/>
          <w:sz w:val="17"/>
          <w:szCs w:val="17"/>
          <w:b w:val="1"/>
          <w:bCs w:val="1"/>
          <w:color w:val="auto"/>
        </w:rPr>
      </w:pPr>
    </w:p>
    <w:p>
      <w:pPr>
        <w:ind w:left="660" w:right="80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identify, evaluate and negotiate the structure of the investments we make (including performing due diligence on our prospective portfolio companies);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determine the assets we will originate, purchase, retain or sell;</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close, monitor and administer the investments we make, including the exercise of any rights in our capacity as a lender;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provide us such other investment advice, research and related services as we may, from time to time, require.</w:t>
      </w:r>
    </w:p>
    <w:p>
      <w:pPr>
        <w:spacing w:after="0" w:line="117" w:lineRule="exact"/>
        <w:rPr>
          <w:sz w:val="20"/>
          <w:szCs w:val="20"/>
          <w:color w:val="auto"/>
        </w:rPr>
      </w:pPr>
    </w:p>
    <w:p>
      <w:pPr>
        <w:ind w:right="40" w:firstLine="222"/>
        <w:spacing w:after="0" w:line="277" w:lineRule="auto"/>
        <w:rPr>
          <w:sz w:val="20"/>
          <w:szCs w:val="20"/>
          <w:color w:val="auto"/>
        </w:rPr>
      </w:pPr>
      <w:r>
        <w:rPr>
          <w:rFonts w:ascii="Arial" w:cs="Arial" w:eastAsia="Arial" w:hAnsi="Arial"/>
          <w:sz w:val="18"/>
          <w:szCs w:val="18"/>
          <w:color w:val="auto"/>
        </w:rPr>
        <w:t>The Adviser’s services under the Advisory Agreement are not exclusive, and it is free to furnish similar or other services to others so long as its services to us are not impaired.</w:t>
      </w:r>
    </w:p>
    <w:p>
      <w:pPr>
        <w:spacing w:after="0" w:line="62" w:lineRule="exact"/>
        <w:rPr>
          <w:sz w:val="20"/>
          <w:szCs w:val="20"/>
          <w:color w:val="auto"/>
        </w:rPr>
      </w:pPr>
    </w:p>
    <w:p>
      <w:pPr>
        <w:ind w:right="240" w:firstLine="225"/>
        <w:spacing w:after="0" w:line="257" w:lineRule="auto"/>
        <w:rPr>
          <w:sz w:val="20"/>
          <w:szCs w:val="20"/>
          <w:color w:val="auto"/>
        </w:rPr>
      </w:pPr>
      <w:r>
        <w:rPr>
          <w:rFonts w:ascii="Arial" w:cs="Arial" w:eastAsia="Arial" w:hAnsi="Arial"/>
          <w:sz w:val="18"/>
          <w:szCs w:val="18"/>
          <w:color w:val="auto"/>
        </w:rPr>
        <w:t>Under the terms of the Advisory Agreement, we will pay the Adviser a base management fee (the “Management Fee”) and may also pay to it incentive fees (each, an “Incentive Fee”). The Management Fee will be payable quarterly in arrears as of the last day of the quarter to which it relates. Following any initial public offering of the Company’s common stock (an “IPO”), the Management Fee will be payable at an annual rate of 1.5% of the average of the Company’s total gross assets as of the end of any quarter and the immediately preceding quarter. Prior to an IPO, the Management Fee will be determined based on the total capital available to the Company.</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Incentive Fee will consist of two components:</w:t>
      </w:r>
    </w:p>
    <w:p>
      <w:pPr>
        <w:spacing w:after="0" w:line="117" w:lineRule="exact"/>
        <w:rPr>
          <w:sz w:val="20"/>
          <w:szCs w:val="20"/>
          <w:color w:val="auto"/>
        </w:rPr>
      </w:pPr>
    </w:p>
    <w:p>
      <w:pPr>
        <w:ind w:right="140" w:firstLine="233"/>
        <w:spacing w:after="0" w:line="257"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an IPO, the first component of the Incentive Fee will equal 100% of the excess (if any) of pre-Incentive Fee net investment income over a 1.5% quarterly (6% annualized) hurdle rate, until the Adviser has received 17.5% of total net investment income for that quarter, and 17.5% of all remaining pre-Incentive Fee net investment income for that quarter. No Incentive Fee will be payable under this component for any quarter in which pre-Incentive Fee net investment does not exceed the hurdle rate for that quarter. Prior to an IPO, the first component of the Incentive Fee payable by the Company will be subject to a reduced rate.</w:t>
      </w:r>
    </w:p>
    <w:p>
      <w:pPr>
        <w:spacing w:after="0" w:line="80"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“Pre-Incentive Fee net investment income” means dividends (whether or not reinvested), interest and fee income less operating expenses, calculated on an accrual basis.</w:t>
      </w:r>
    </w:p>
    <w:p>
      <w:pPr>
        <w:spacing w:after="0" w:line="62" w:lineRule="exact"/>
        <w:rPr>
          <w:sz w:val="20"/>
          <w:szCs w:val="20"/>
          <w:color w:val="auto"/>
        </w:rPr>
      </w:pPr>
    </w:p>
    <w:p>
      <w:pPr>
        <w:ind w:firstLine="233"/>
        <w:spacing w:after="0" w:line="269" w:lineRule="auto"/>
        <w:tabs>
          <w:tab w:leader="none" w:pos="490" w:val="left"/>
        </w:tabs>
        <w:numPr>
          <w:ilvl w:val="0"/>
          <w:numId w:val="8"/>
        </w:numPr>
        <w:rPr>
          <w:rFonts w:ascii="Arial" w:cs="Arial" w:eastAsia="Arial" w:hAnsi="Arial"/>
          <w:sz w:val="17"/>
          <w:szCs w:val="17"/>
          <w:color w:val="auto"/>
        </w:rPr>
      </w:pPr>
      <w:r>
        <w:rPr>
          <w:rFonts w:ascii="Arial" w:cs="Arial" w:eastAsia="Arial" w:hAnsi="Arial"/>
          <w:sz w:val="17"/>
          <w:szCs w:val="17"/>
          <w:color w:val="auto"/>
        </w:rPr>
        <w:t>Following an IPO, the second component, payable at the end of each fiscal year in arrears, will equal a percentage, which we refer to as the “Weighted Percentage,” of the cumulative capital gains from the inception of the Company to the end of such fiscal year, minus the aggregate amount of any previously paid capital gain Incentive Fees for prior periods; but in no event will be less than zero. The Weighted Percentage will be calculated at the end of each fiscal year of the Company that occurs following an IPO and is intended to ensure that the portion of the Company’s cumulative capital gains that accrued following an IPO will be subject to an incentive fee rate of 17.5% and the portion of the Company’s cumulative capital gains that accrued prior to an IPO will be subject to an incentive fee rate of 15%. The Weighted Percentage will be calculated in the manner set forth in the Advisory Agreement and will generally be equal to the sum of (i) a percentage determined by multiplying 15% by a fraction, the numerator of which is the dollar amount representing the portion of the Company’s cumulative capital gains that accrued prior to an IPO and the denominator of which is the dollar amount of the Company’s cumulative capital gains and (ii) a percentage determined by multiplying 17.5% by a faction, the numerator of which is the dollar amount representing the portion of the Company’s cumulative capital gains that accrued following an IPO and the denominator of which is the dollar amount of the Company’s cumulative capital gains.</w:t>
      </w:r>
    </w:p>
    <w:p>
      <w:pPr>
        <w:spacing w:after="0" w:line="75" w:lineRule="exact"/>
        <w:rPr>
          <w:sz w:val="20"/>
          <w:szCs w:val="20"/>
          <w:color w:val="auto"/>
        </w:rPr>
      </w:pPr>
    </w:p>
    <w:p>
      <w:pPr>
        <w:ind w:right="360" w:firstLine="225"/>
        <w:spacing w:after="0" w:line="277" w:lineRule="auto"/>
        <w:rPr>
          <w:sz w:val="20"/>
          <w:szCs w:val="20"/>
          <w:color w:val="auto"/>
        </w:rPr>
      </w:pPr>
      <w:r>
        <w:rPr>
          <w:rFonts w:ascii="Arial" w:cs="Arial" w:eastAsia="Arial" w:hAnsi="Arial"/>
          <w:sz w:val="18"/>
          <w:szCs w:val="18"/>
          <w:color w:val="auto"/>
        </w:rPr>
        <w:t>“Cumulative capital gains” means, on any relevant date, cumulative realized capital gains, less the sum of (a) realized capital losses and (b) unrealized capital depreciation on investments, in each case as of such date.</w:t>
      </w:r>
    </w:p>
    <w:p>
      <w:pPr>
        <w:spacing w:after="0" w:line="62" w:lineRule="exact"/>
        <w:rPr>
          <w:sz w:val="20"/>
          <w:szCs w:val="20"/>
          <w:color w:val="auto"/>
        </w:rPr>
      </w:pPr>
    </w:p>
    <w:p>
      <w:pPr>
        <w:ind w:right="320" w:firstLine="225"/>
        <w:spacing w:after="0" w:line="308" w:lineRule="auto"/>
        <w:rPr>
          <w:sz w:val="20"/>
          <w:szCs w:val="20"/>
          <w:color w:val="auto"/>
        </w:rPr>
      </w:pPr>
      <w:r>
        <w:rPr>
          <w:rFonts w:ascii="Arial" w:cs="Arial" w:eastAsia="Arial" w:hAnsi="Arial"/>
          <w:sz w:val="17"/>
          <w:szCs w:val="17"/>
          <w:color w:val="auto"/>
        </w:rPr>
        <w:t>In accordance with US GAAP, the Incentive Fee expense accrual will include the effect of unrealized capital appreciation on investments. The expense will affect net asset value, but will not affect the amount payable to the Adviser, per the calculations described above.</w:t>
      </w:r>
    </w:p>
    <w:p>
      <w:pPr>
        <w:spacing w:after="0" w:line="38"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Our Board will monitor the mix and performance of our investments over time and will seek to satisfy itself that the Adviser is acting in our interests and that our fee structure appropriately incentivizes the Adviser to do so.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2"/>
        <w:spacing w:after="0" w:line="270" w:lineRule="auto"/>
        <w:rPr>
          <w:sz w:val="20"/>
          <w:szCs w:val="20"/>
          <w:color w:val="auto"/>
        </w:rPr>
      </w:pPr>
      <w:r>
        <w:rPr>
          <w:rFonts w:ascii="Arial" w:cs="Arial" w:eastAsia="Arial" w:hAnsi="Arial"/>
          <w:sz w:val="17"/>
          <w:szCs w:val="17"/>
          <w:color w:val="auto"/>
        </w:rPr>
        <w:t>We will also enter into an Administration Agreement with our Adviser, which we refer to as the “Administration Agreement,” under which the Adviser will provide administrative services to us. These services will include providing office space to us, providing us with equipment and office services, maintaining our financial records, preparing reports to our stockholders and reports filed with the SEC and managing the payment of our expenses and the performance of administrative and professional services rendered to us by others. We will reimburse the Adviser for all reasonable costs and expenses incurred by the Adviser in providing these services, facilities and personnel, as provided by the Administration Agreement. We will also reimburse the Adviser for the allocable portion of the compensation paid by the Adviser (or its affiliates) to the Company’s chief compliance officer and chief financial officer (based on the percentage of time such individuals devote, on an estimated basis, to the business and affairs of the Company). See “</w:t>
      </w:r>
      <w:r>
        <w:rPr>
          <w:rFonts w:ascii="Arial" w:cs="Arial" w:eastAsia="Arial" w:hAnsi="Arial"/>
          <w:sz w:val="17"/>
          <w:szCs w:val="17"/>
          <w:i w:val="1"/>
          <w:iCs w:val="1"/>
          <w:color w:val="auto"/>
        </w:rPr>
        <w:t>Fees and</w:t>
      </w:r>
      <w:r>
        <w:rPr>
          <w:rFonts w:ascii="Arial" w:cs="Arial" w:eastAsia="Arial" w:hAnsi="Arial"/>
          <w:sz w:val="17"/>
          <w:szCs w:val="17"/>
          <w:color w:val="auto"/>
        </w:rPr>
        <w:t xml:space="preserve"> </w:t>
      </w:r>
      <w:r>
        <w:rPr>
          <w:rFonts w:ascii="Arial" w:cs="Arial" w:eastAsia="Arial" w:hAnsi="Arial"/>
          <w:sz w:val="17"/>
          <w:szCs w:val="17"/>
          <w:i w:val="1"/>
          <w:iCs w:val="1"/>
          <w:color w:val="auto"/>
        </w:rPr>
        <w:t>Expenses</w:t>
      </w:r>
      <w:r>
        <w:rPr>
          <w:rFonts w:ascii="Arial" w:cs="Arial" w:eastAsia="Arial" w:hAnsi="Arial"/>
          <w:sz w:val="17"/>
          <w:szCs w:val="17"/>
          <w:color w:val="auto"/>
        </w:rPr>
        <w:t>.” In addition, the Adviser is permitted to delegate its duties under the Administration Agreement to affiliates or third parties and we will reimburse</w:t>
      </w:r>
      <w:r>
        <w:rPr>
          <w:rFonts w:ascii="Arial" w:cs="Arial" w:eastAsia="Arial" w:hAnsi="Arial"/>
          <w:sz w:val="17"/>
          <w:szCs w:val="17"/>
          <w:i w:val="1"/>
          <w:iCs w:val="1"/>
          <w:color w:val="auto"/>
        </w:rPr>
        <w:t xml:space="preserve"> </w:t>
      </w:r>
      <w:r>
        <w:rPr>
          <w:rFonts w:ascii="Arial" w:cs="Arial" w:eastAsia="Arial" w:hAnsi="Arial"/>
          <w:sz w:val="17"/>
          <w:szCs w:val="17"/>
          <w:color w:val="auto"/>
        </w:rPr>
        <w:t>the expenses of these parties incurred and paid by the Adviser on our behalf.</w:t>
      </w:r>
    </w:p>
    <w:p>
      <w:pPr>
        <w:spacing w:after="0" w:line="74"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6"/>
          <w:szCs w:val="16"/>
          <w:color w:val="auto"/>
        </w:rPr>
        <w:t>Both the Advisory Agreement and the Administration Agreement have been approved by our Board. Unless earlier terminated as described below, both the Advisory Agreement and the Administration Agreement will remain in effect for a period of two years from their effective date and will remain in effect from year to year thereafter if approved annually by (i) the vote of our Board, or by the vote of a majority of our outstanding voting securities, and (ii) the vote of a majority of our Independent Directors. The Advisory Agreement and the Administration Agreement will automatically terminate in the event of assignment.</w:t>
      </w:r>
    </w:p>
    <w:p>
      <w:pPr>
        <w:spacing w:after="0" w:line="2" w:lineRule="exact"/>
        <w:rPr>
          <w:sz w:val="20"/>
          <w:szCs w:val="20"/>
          <w:color w:val="auto"/>
        </w:rPr>
      </w:pPr>
    </w:p>
    <w:p>
      <w:pPr>
        <w:jc w:val="both"/>
        <w:ind w:right="400"/>
        <w:spacing w:after="0" w:line="255" w:lineRule="auto"/>
        <w:rPr>
          <w:sz w:val="20"/>
          <w:szCs w:val="20"/>
          <w:color w:val="auto"/>
        </w:rPr>
      </w:pPr>
      <w:r>
        <w:rPr>
          <w:rFonts w:ascii="Arial" w:cs="Arial" w:eastAsia="Arial" w:hAnsi="Arial"/>
          <w:sz w:val="18"/>
          <w:szCs w:val="18"/>
          <w:color w:val="auto"/>
        </w:rPr>
        <w:t>Both the Advisory Agreement and the Administration Agreement may be terminated by either party without penalty upon not less than 60 days’ written notice to the other. See “</w:t>
      </w:r>
      <w:r>
        <w:rPr>
          <w:rFonts w:ascii="Arial" w:cs="Arial" w:eastAsia="Arial" w:hAnsi="Arial"/>
          <w:sz w:val="18"/>
          <w:szCs w:val="18"/>
          <w:i w:val="1"/>
          <w:iCs w:val="1"/>
          <w:color w:val="auto"/>
        </w:rPr>
        <w:t>Item 1A. Risk Factors—Risks Relating to Our Business and Structure—We will be dependent upon management personnel of the</w:t>
      </w:r>
      <w:r>
        <w:rPr>
          <w:rFonts w:ascii="Arial" w:cs="Arial" w:eastAsia="Arial" w:hAnsi="Arial"/>
          <w:sz w:val="18"/>
          <w:szCs w:val="18"/>
          <w:color w:val="auto"/>
        </w:rPr>
        <w:t xml:space="preserve"> </w:t>
      </w:r>
      <w:r>
        <w:rPr>
          <w:rFonts w:ascii="Arial" w:cs="Arial" w:eastAsia="Arial" w:hAnsi="Arial"/>
          <w:sz w:val="18"/>
          <w:szCs w:val="18"/>
          <w:i w:val="1"/>
          <w:iCs w:val="1"/>
          <w:color w:val="auto"/>
        </w:rPr>
        <w:t>Adviser for our future success</w:t>
      </w:r>
      <w:r>
        <w:rPr>
          <w:rFonts w:ascii="Arial" w:cs="Arial" w:eastAsia="Arial" w:hAnsi="Arial"/>
          <w:sz w:val="18"/>
          <w:szCs w:val="18"/>
          <w:color w:val="auto"/>
        </w:rPr>
        <w:t>.”</w:t>
      </w:r>
    </w:p>
    <w:p>
      <w:pPr>
        <w:spacing w:after="0" w:line="82" w:lineRule="exact"/>
        <w:rPr>
          <w:sz w:val="20"/>
          <w:szCs w:val="20"/>
          <w:color w:val="auto"/>
        </w:rPr>
      </w:pPr>
    </w:p>
    <w:p>
      <w:pPr>
        <w:ind w:right="40" w:firstLine="222"/>
        <w:spacing w:after="0" w:line="287" w:lineRule="auto"/>
        <w:rPr>
          <w:sz w:val="20"/>
          <w:szCs w:val="20"/>
          <w:color w:val="auto"/>
        </w:rPr>
      </w:pPr>
      <w:r>
        <w:rPr>
          <w:rFonts w:ascii="Arial" w:cs="Arial" w:eastAsia="Arial" w:hAnsi="Arial"/>
          <w:sz w:val="16"/>
          <w:szCs w:val="16"/>
          <w:color w:val="auto"/>
        </w:rPr>
        <w:t>The Adviser will not assume any responsibility to us other than to render the services described in, and on the terms of, the Advisory Agreement and the Administration Agreement, and will not be responsible for any action of our Board in declining to follow the advice or recommendations of the Adviser. Under the terms of the Advisory Agreement and the Administration Agreement, the Adviser (and its members, managers, officers, employees, agents, controlling persons and any other person or entity affiliated with it) shall not be liable to the Company for any action taken or omitted to be taken by the Adviser in connection with the performance of any of its duties or obligations under the Advisory Agreement, the Administration Agreement or otherwise as an investment adviser of the Company (except to the extent specified in Section 36(b) of the Investment Company Act concerning loss resulting from a breach of fiduciary duty (as the same is finally determined by judicial proceedings) with respect to the receipt of compensation for services). The Company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he/she is or was a member, manager, officer, employee, agent, controlling person of the Adviser or any other person or entity affiliated with the Adviser or is or was a member of the Adviser’s Investment Review Committee, on the same general terms set forth in Article VIII of our Amended and Restated Certificate of Incorporation.</w:t>
      </w:r>
    </w:p>
    <w:p>
      <w:pPr>
        <w:spacing w:after="0" w:line="61" w:lineRule="exact"/>
        <w:rPr>
          <w:sz w:val="20"/>
          <w:szCs w:val="20"/>
          <w:color w:val="auto"/>
        </w:rPr>
      </w:pPr>
    </w:p>
    <w:p>
      <w:pPr>
        <w:ind w:right="80" w:firstLine="225"/>
        <w:spacing w:after="0" w:line="308" w:lineRule="auto"/>
        <w:rPr>
          <w:sz w:val="20"/>
          <w:szCs w:val="20"/>
          <w:color w:val="auto"/>
        </w:rPr>
      </w:pPr>
      <w:r>
        <w:rPr>
          <w:rFonts w:ascii="Arial" w:cs="Arial" w:eastAsia="Arial" w:hAnsi="Arial"/>
          <w:sz w:val="17"/>
          <w:szCs w:val="17"/>
          <w:color w:val="auto"/>
        </w:rPr>
        <w:t>United States federal and state securities laws may impose liability under certain circumstances on persons who act in good faith. Nothing in the Advisory Agreement will constitute a waiver or limitation of any rights that the Company may have under any applicable federal or state securities laws.</w:t>
      </w:r>
    </w:p>
    <w:p>
      <w:pPr>
        <w:spacing w:after="0" w:line="38" w:lineRule="exact"/>
        <w:rPr>
          <w:sz w:val="20"/>
          <w:szCs w:val="20"/>
          <w:color w:val="auto"/>
        </w:rPr>
      </w:pPr>
    </w:p>
    <w:p>
      <w:pPr>
        <w:ind w:right="140" w:firstLine="222"/>
        <w:spacing w:after="0" w:line="259" w:lineRule="auto"/>
        <w:rPr>
          <w:sz w:val="20"/>
          <w:szCs w:val="20"/>
          <w:color w:val="auto"/>
        </w:rPr>
      </w:pPr>
      <w:r>
        <w:rPr>
          <w:rFonts w:ascii="Arial" w:cs="Arial" w:eastAsia="Arial" w:hAnsi="Arial"/>
          <w:sz w:val="18"/>
          <w:szCs w:val="18"/>
          <w:color w:val="auto"/>
        </w:rPr>
        <w:t>We have also entered into a license agreement (the “License Agreement”) with an affiliate of TPG, pursuant to which we have been granted a non-exclusive license to use the name “TPG.” Under the License Agreement, we have a right to use the TPG name and logo, for a nominal fee, for so long as the Adviser or one of its affiliates remains our investment adviser. Other than with respect to this limited license, we will have no legal right to the “TPG” name or logo.</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Investment Decision Process</w:t>
      </w:r>
    </w:p>
    <w:p>
      <w:pPr>
        <w:spacing w:after="0" w:line="117" w:lineRule="exact"/>
        <w:rPr>
          <w:sz w:val="20"/>
          <w:szCs w:val="20"/>
          <w:color w:val="auto"/>
        </w:rPr>
      </w:pPr>
    </w:p>
    <w:p>
      <w:pPr>
        <w:jc w:val="both"/>
        <w:ind w:right="180" w:firstLine="222"/>
        <w:spacing w:after="0" w:line="312" w:lineRule="auto"/>
        <w:rPr>
          <w:sz w:val="20"/>
          <w:szCs w:val="20"/>
          <w:color w:val="auto"/>
        </w:rPr>
      </w:pPr>
      <w:r>
        <w:rPr>
          <w:rFonts w:ascii="Arial" w:cs="Arial" w:eastAsia="Arial" w:hAnsi="Arial"/>
          <w:sz w:val="16"/>
          <w:szCs w:val="16"/>
          <w:color w:val="auto"/>
        </w:rPr>
        <w:t>The Adviser will be responsible for managing our day-to-day business affairs, including implementing investment policies and strategic initiatives set by the Investment Team and managing our portfolio and under the general oversight of the Investment Review Committee. The Investment Review Committee will be comprised of senior personnel of TPG, TOP, senior members of the Adviser and certain other persons appointed by the Adviser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from time to time. The investment professionals of the Adviser and the Investment Review Committee will be supported by and have access to the investment professionals, analytical capabilities and support personnel of TPG or its affiliates. Some of the officers and employees of the Adviser, including some of its senior officers, will be also employees of TPG. See “</w:t>
      </w:r>
      <w:r>
        <w:rPr>
          <w:rFonts w:ascii="Arial" w:cs="Arial" w:eastAsia="Arial" w:hAnsi="Arial"/>
          <w:sz w:val="16"/>
          <w:szCs w:val="16"/>
          <w:i w:val="1"/>
          <w:iCs w:val="1"/>
          <w:color w:val="auto"/>
        </w:rPr>
        <w:t>Item 7. Certain Relationships and Related Transactions, and Director Independence</w:t>
      </w:r>
      <w:r>
        <w:rPr>
          <w:rFonts w:ascii="Arial" w:cs="Arial" w:eastAsia="Arial" w:hAnsi="Arial"/>
          <w:sz w:val="16"/>
          <w:szCs w:val="16"/>
          <w:color w:val="auto"/>
        </w:rPr>
        <w:t>.”</w:t>
      </w:r>
    </w:p>
    <w:p>
      <w:pPr>
        <w:spacing w:after="0" w:line="39"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The Adviser will keep our Board well informed as to the identity and title of each member of its Investment Review Committee and provide to the Board such other information with respect to such persons and the functioning of the Investment Review Committee and the Investment Team as the Board may from time to time request.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Portfolio Composition</w:t>
      </w:r>
    </w:p>
    <w:p>
      <w:pPr>
        <w:spacing w:after="0" w:line="117" w:lineRule="exact"/>
        <w:rPr>
          <w:sz w:val="20"/>
          <w:szCs w:val="20"/>
          <w:color w:val="auto"/>
        </w:rPr>
      </w:pPr>
    </w:p>
    <w:p>
      <w:pPr>
        <w:ind w:right="40" w:firstLine="225"/>
        <w:spacing w:after="0" w:line="293" w:lineRule="auto"/>
        <w:rPr>
          <w:sz w:val="20"/>
          <w:szCs w:val="20"/>
          <w:color w:val="auto"/>
        </w:rPr>
      </w:pPr>
      <w:r>
        <w:rPr>
          <w:rFonts w:ascii="Arial" w:cs="Arial" w:eastAsia="Arial" w:hAnsi="Arial"/>
          <w:sz w:val="16"/>
          <w:szCs w:val="16"/>
          <w:color w:val="auto"/>
        </w:rPr>
        <w:t>Our investments will primarily take the form of senior secured loans with embedded first lien and junior secured risk; standalone senior secured loans that are typically senior on a lien basis to other liabilities in the issuer’s capital structure and have the benefit of a security interest over the assets of the portfolio company; standalone second lien loans (i.e., senior secured loans that are typically senior on a lien basis to other liabilities in the issuer’s capital structure and have the benefit of a security interest over the assets of the borrower, though ranking junior to first lien loans); and mezzanine loans/structured equity. Any of our loans may also include an equity component such as a warrant or profit participation right. In certain instances we will also make direct equity investments, although typically in connection with making an investment in a more senior part of the capital structure.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Competition</w:t>
      </w:r>
    </w:p>
    <w:p>
      <w:pPr>
        <w:spacing w:after="0" w:line="117" w:lineRule="exact"/>
        <w:rPr>
          <w:sz w:val="20"/>
          <w:szCs w:val="20"/>
          <w:color w:val="auto"/>
        </w:rPr>
      </w:pPr>
    </w:p>
    <w:p>
      <w:pPr>
        <w:ind w:right="100" w:firstLine="222"/>
        <w:spacing w:after="0" w:line="293" w:lineRule="auto"/>
        <w:rPr>
          <w:sz w:val="20"/>
          <w:szCs w:val="20"/>
          <w:color w:val="auto"/>
        </w:rPr>
      </w:pPr>
      <w:r>
        <w:rPr>
          <w:rFonts w:ascii="Arial" w:cs="Arial" w:eastAsia="Arial" w:hAnsi="Arial"/>
          <w:sz w:val="16"/>
          <w:szCs w:val="16"/>
          <w:color w:val="auto"/>
        </w:rPr>
        <w:t>We will compete for investments with a number of business development companies and other investment funds (including private equity funds and venture capital funds), special purpose acquisition company (“SPAC”) sponsors, investment banks that underwrite initial public offerings, hedge funds that invest in private investments in public equities (“PIPEs”), traditional financial services companies such as commercial banks, and other sources of financing. Many of these entities have greater financial and managerial resources than we do. Furthermore, many of our competitors are not subject to the regulatory restrictions that the 1940 Act will impose on us as a BDC. For additional information concerning the competitive risks we expect to face, see “</w:t>
      </w:r>
      <w:r>
        <w:rPr>
          <w:rFonts w:ascii="Arial" w:cs="Arial" w:eastAsia="Arial" w:hAnsi="Arial"/>
          <w:sz w:val="16"/>
          <w:szCs w:val="16"/>
          <w:i w:val="1"/>
          <w:iCs w:val="1"/>
          <w:color w:val="auto"/>
        </w:rPr>
        <w:t>Item 1A. 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Factors—Risks Relating to Our Business and Structure—We will operate in a highly competitive market for investment opportunities</w:t>
      </w:r>
      <w:r>
        <w:rPr>
          <w:rFonts w:ascii="Arial" w:cs="Arial" w:eastAsia="Arial" w:hAnsi="Arial"/>
          <w:sz w:val="16"/>
          <w:szCs w:val="16"/>
          <w:color w:val="auto"/>
        </w:rPr>
        <w: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Fees and Expenses</w:t>
      </w:r>
    </w:p>
    <w:p>
      <w:pPr>
        <w:spacing w:after="0" w:line="117"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anticipate that all investment professionals and staff of the Adviser, when and to the extent engaged in providing us investment advisory and management services, and the base compensation, bonus and benefits, and the routine overhead expenses, of such personnel allocable to such services, will be provided and paid for by the Adviser.</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bear all other costs and expenses of our operations, administration and transactions, including, but not limited to, those relating to:</w:t>
      </w:r>
    </w:p>
    <w:p>
      <w:pPr>
        <w:spacing w:after="0" w:line="117"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our initial organization costs and operating costs incurred prior to the commencement of our operations (up to an aggregate of $1,500,000);</w:t>
      </w:r>
    </w:p>
    <w:p>
      <w:pPr>
        <w:spacing w:after="0" w:line="142" w:lineRule="exact"/>
        <w:rPr>
          <w:rFonts w:ascii="Arial" w:cs="Arial" w:eastAsia="Arial" w:hAnsi="Arial"/>
          <w:sz w:val="17"/>
          <w:szCs w:val="17"/>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b w:val="1"/>
          <w:bCs w:val="1"/>
          <w:color w:val="auto"/>
        </w:rPr>
      </w:pPr>
    </w:p>
    <w:p>
      <w:pPr>
        <w:ind w:left="660" w:right="600" w:hanging="314"/>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costs of the offerings of common shares and other securities, if any;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the allocated costs incurred by the Adviser in providing managerial assistance to those portfolio companies that request it;</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b w:val="1"/>
          <w:bCs w:val="1"/>
          <w:color w:val="auto"/>
        </w:rPr>
      </w:pPr>
    </w:p>
    <w:p>
      <w:pPr>
        <w:jc w:val="both"/>
        <w:ind w:left="660" w:right="180" w:hanging="314"/>
        <w:spacing w:after="0" w:line="264"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73" w:lineRule="exact"/>
        <w:rPr>
          <w:rFonts w:ascii="Arial" w:cs="Arial" w:eastAsia="Arial" w:hAnsi="Arial"/>
          <w:sz w:val="18"/>
          <w:szCs w:val="18"/>
          <w:b w:val="1"/>
          <w:bCs w:val="1"/>
          <w:color w:val="auto"/>
        </w:rPr>
      </w:pPr>
    </w:p>
    <w:p>
      <w:pPr>
        <w:ind w:left="660" w:right="160" w:hanging="314"/>
        <w:spacing w:after="0" w:line="342" w:lineRule="auto"/>
        <w:tabs>
          <w:tab w:leader="none" w:pos="66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b w:val="1"/>
          <w:bCs w:val="1"/>
          <w:color w:val="auto"/>
        </w:rPr>
      </w:pPr>
    </w:p>
    <w:p>
      <w:pPr>
        <w:ind w:left="660" w:right="360" w:hanging="314"/>
        <w:spacing w:after="0" w:line="277"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our fidelity bond (as described more fully under “</w:t>
      </w:r>
      <w:r>
        <w:rPr>
          <w:rFonts w:ascii="Arial" w:cs="Arial" w:eastAsia="Arial" w:hAnsi="Arial"/>
          <w:sz w:val="18"/>
          <w:szCs w:val="18"/>
          <w:i w:val="1"/>
          <w:iCs w:val="1"/>
          <w:color w:val="auto"/>
        </w:rPr>
        <w:t>Item 1(c). Description of Business—Regulation as a Public Business Development Company</w:t>
      </w:r>
      <w:r>
        <w:rPr>
          <w:rFonts w:ascii="Arial" w:cs="Arial" w:eastAsia="Arial" w:hAnsi="Arial"/>
          <w:sz w:val="18"/>
          <w:szCs w:val="18"/>
          <w:color w:val="auto"/>
        </w:rPr>
        <w:t>,” below);</w:t>
      </w:r>
    </w:p>
    <w:p>
      <w:pPr>
        <w:spacing w:after="0" w:line="62"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We will subsequently reimburse the Adviser for such amounts paid on our behalf. Other than with respect to our initial organization and operating costs, as described above, there is no contractual cap on the reasonable costs and expenses for which the Adviser will be reimbursed. In addition, we will reimburse the Adviser for the allocable portion of the compensation paid by the Adviser (or its affiliates) to the Company’s chief compliance officer and chief financial officer (based on the percentage of time such individuals devote, on an estimated basis, to the business and affairs of the Company). All of these expenses will ultimately be borne by our shareholders.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 and Borrowings</w:t>
      </w:r>
    </w:p>
    <w:p>
      <w:pPr>
        <w:spacing w:after="0" w:line="117" w:lineRule="exact"/>
        <w:rPr>
          <w:sz w:val="20"/>
          <w:szCs w:val="20"/>
          <w:color w:val="auto"/>
        </w:rPr>
      </w:pPr>
    </w:p>
    <w:p>
      <w:pPr>
        <w:ind w:right="80" w:firstLine="222"/>
        <w:spacing w:after="0" w:line="290" w:lineRule="auto"/>
        <w:rPr>
          <w:sz w:val="20"/>
          <w:szCs w:val="20"/>
          <w:color w:val="auto"/>
        </w:rPr>
      </w:pPr>
      <w:r>
        <w:rPr>
          <w:rFonts w:ascii="Arial" w:cs="Arial" w:eastAsia="Arial" w:hAnsi="Arial"/>
          <w:sz w:val="16"/>
          <w:szCs w:val="16"/>
          <w:color w:val="auto"/>
        </w:rPr>
        <w:t>We anticipate cash to be generated from the Private Offering and other future offerings of securities (including an IPO), and cash flows from operations, including interest earned from the temporary investment of cash in cash equivalents, U.S. government securities and other high-quality debt investments that mature in one year or less. Additionally, we will be permitted, under specified conditions, to issue multiple classes of indebtedness and one class of stock senior to our common stock if our asset coverage, as defined in the 1940 Act, is at least equal to 200% immediately after each such issuance. Furthermore, while any indebtedness and senior securities remain outstanding, we must make provisions to prohibit any distribution to our stockholders or the repurchase of such securities or shares unless we meet the applicable asset coverage ratios at the time of the distribution or repurchase. In connection with borrowings, our lenders may require us to pledge assets, investor commitments to fund capital calls and/or the proceeds of those capital calls. In addition, the lenders may ask us to comply with positive or negative covenants that could have an effect on our operations.</w:t>
      </w:r>
    </w:p>
    <w:p>
      <w:pPr>
        <w:spacing w:after="0" w:line="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Reinvestment Plan</w:t>
      </w:r>
    </w:p>
    <w:p>
      <w:pPr>
        <w:spacing w:after="0" w:line="117" w:lineRule="exact"/>
        <w:rPr>
          <w:sz w:val="20"/>
          <w:szCs w:val="20"/>
          <w:color w:val="auto"/>
        </w:rPr>
      </w:pPr>
    </w:p>
    <w:p>
      <w:pPr>
        <w:ind w:right="160" w:firstLine="222"/>
        <w:spacing w:after="0" w:line="279" w:lineRule="auto"/>
        <w:rPr>
          <w:sz w:val="20"/>
          <w:szCs w:val="20"/>
          <w:color w:val="auto"/>
        </w:rPr>
      </w:pPr>
      <w:r>
        <w:rPr>
          <w:rFonts w:ascii="Arial" w:cs="Arial" w:eastAsia="Arial" w:hAnsi="Arial"/>
          <w:sz w:val="17"/>
          <w:szCs w:val="17"/>
          <w:color w:val="auto"/>
        </w:rPr>
        <w:t>We have adopted a dividend reinvestment plan, pursuant to which the Company will reinvest all cash dividends declared by the Board on behalf of investors who do not elect to receive their dividends in cash as provided below. As a result, if the Board authorizes, and we declare, a cash dividend or other distribution, then our stockholders who have not opted out of our dividend reinvestment plan will have their cash distributions automatically reinvested in additional shares of our common stock as described below, rather than receiving the cash dividend or other distribution.</w:t>
      </w:r>
    </w:p>
    <w:p>
      <w:pPr>
        <w:spacing w:after="0" w:line="63" w:lineRule="exact"/>
        <w:rPr>
          <w:sz w:val="20"/>
          <w:szCs w:val="20"/>
          <w:color w:val="auto"/>
        </w:rPr>
      </w:pPr>
    </w:p>
    <w:p>
      <w:pPr>
        <w:ind w:right="280" w:firstLine="222"/>
        <w:spacing w:after="0" w:line="259" w:lineRule="auto"/>
        <w:rPr>
          <w:sz w:val="20"/>
          <w:szCs w:val="20"/>
          <w:color w:val="auto"/>
        </w:rPr>
      </w:pPr>
      <w:r>
        <w:rPr>
          <w:rFonts w:ascii="Arial" w:cs="Arial" w:eastAsia="Arial" w:hAnsi="Arial"/>
          <w:sz w:val="18"/>
          <w:szCs w:val="18"/>
          <w:color w:val="auto"/>
        </w:rPr>
        <w:t>The number of shares to be issued to a stockholder under the dividend reinvestment plan will be determined by dividing the total dollar amount of the distribution payable to such stockholder by (i) prior to an IPO, the net asset value per share of our common stock, as of the last day of our fiscal quarter immediately preceding the date such distribution was declared, or (ii) following an IPO, the market price of our common stock. We intend to use primarily newly issued shares to implement the plan.</w:t>
      </w:r>
    </w:p>
    <w:p>
      <w:pPr>
        <w:spacing w:after="0" w:line="79" w:lineRule="exact"/>
        <w:rPr>
          <w:sz w:val="20"/>
          <w:szCs w:val="20"/>
          <w:color w:val="auto"/>
        </w:rPr>
      </w:pPr>
    </w:p>
    <w:p>
      <w:pPr>
        <w:jc w:val="both"/>
        <w:ind w:right="500" w:firstLine="225"/>
        <w:spacing w:after="0" w:line="286" w:lineRule="auto"/>
        <w:rPr>
          <w:sz w:val="20"/>
          <w:szCs w:val="20"/>
          <w:color w:val="auto"/>
        </w:rPr>
      </w:pPr>
      <w:r>
        <w:rPr>
          <w:rFonts w:ascii="Arial" w:cs="Arial" w:eastAsia="Arial" w:hAnsi="Arial"/>
          <w:sz w:val="17"/>
          <w:szCs w:val="17"/>
          <w:color w:val="auto"/>
        </w:rPr>
        <w:t>No action will be required on the part of a registered stockholder to have his, her or its cash dividend or other distribution reinvested in shares of our common stock. A registered stockholder will be able to elect to receive an entire cash dividend or other distribution in cash by notifying the Adviser in writing, so that such notice is received by the Adviser no later than 10 days prior to the record date for distributions to the stockholders.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There will be no brokerage charges or other charges to stockholders who participate in the plan.</w:t>
      </w:r>
    </w:p>
    <w:p>
      <w:pPr>
        <w:spacing w:after="0" w:line="117"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plan will be terminable by us upon notice in writing mailed to each shareholder of record at least 30 days prior to any record date for the payment of any distribution by us.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Employees</w:t>
      </w:r>
    </w:p>
    <w:p>
      <w:pPr>
        <w:spacing w:after="0" w:line="117"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will be provided by individuals who are employees of our Adviser or its affiliates, pursuant to the terms of the Advisory Agreement and the Administration Agreement. Each of our executive officers described under “</w:t>
      </w:r>
      <w:r>
        <w:rPr>
          <w:rFonts w:ascii="Arial" w:cs="Arial" w:eastAsia="Arial" w:hAnsi="Arial"/>
          <w:sz w:val="18"/>
          <w:szCs w:val="18"/>
          <w:i w:val="1"/>
          <w:iCs w:val="1"/>
          <w:color w:val="auto"/>
        </w:rPr>
        <w:t>Item 5. Directors and Executive Officers</w:t>
      </w:r>
      <w:r>
        <w:rPr>
          <w:rFonts w:ascii="Arial" w:cs="Arial" w:eastAsia="Arial" w:hAnsi="Arial"/>
          <w:sz w:val="18"/>
          <w:szCs w:val="18"/>
          <w:color w:val="auto"/>
        </w:rPr>
        <w:t>” will be an employee of our Adviser or its affiliates. Our day-to-day investment operations will be managed by our Adviser. The services necessary for the origination and administration of our investment portfolio will be provided by investment professionals employed by our Adviser or its affiliates. This Investment Team will focus on origination and transaction development and the ongoing monitoring of our investments. In addition, we will reimburse the Adviser for the allocable portion of the compensation paid by the Adviser (or its affiliates) to the Company’s chief compliance officer and chief financial officer (based on the percentage of time such individuals devote, on an estimated basis, to the business and affairs of the Company). See “</w:t>
      </w:r>
      <w:r>
        <w:rPr>
          <w:rFonts w:ascii="Arial" w:cs="Arial" w:eastAsia="Arial" w:hAnsi="Arial"/>
          <w:sz w:val="18"/>
          <w:szCs w:val="18"/>
          <w:i w:val="1"/>
          <w:iCs w:val="1"/>
          <w:color w:val="auto"/>
        </w:rPr>
        <w:t>Item 1(c). Description of Business—General—Advisory Agreement; Administration Agreement; License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Private Offering</w:t>
      </w:r>
    </w:p>
    <w:p>
      <w:pPr>
        <w:spacing w:after="0" w:line="121" w:lineRule="exact"/>
        <w:rPr>
          <w:sz w:val="20"/>
          <w:szCs w:val="20"/>
          <w:color w:val="auto"/>
        </w:rPr>
      </w:pPr>
    </w:p>
    <w:p>
      <w:pPr>
        <w:ind w:right="40" w:firstLine="222"/>
        <w:spacing w:after="0" w:line="287" w:lineRule="auto"/>
        <w:rPr>
          <w:sz w:val="20"/>
          <w:szCs w:val="20"/>
          <w:color w:val="auto"/>
        </w:rPr>
      </w:pPr>
      <w:r>
        <w:rPr>
          <w:rFonts w:ascii="Arial" w:cs="Arial" w:eastAsia="Arial" w:hAnsi="Arial"/>
          <w:sz w:val="16"/>
          <w:szCs w:val="16"/>
          <w:color w:val="auto"/>
        </w:rPr>
        <w:t xml:space="preserve">We expect to enter into separate subscription agreements with a number of investors providing for the private placement of the Company’s common shares pursuant to the Private Offering. Each investor will make a capital commitment to purchase shares of our common stock pursuant to the subscription agreement. Investors will be required to make capital contributions to purchase shares of the Company’s common stock each time the Company delivers a drawdown notice, which will be issued based on the Company’s anticipated investment activities and capital needs and delivered at least 10 business days prior to the required funding date, in an aggregate amount not to exceed their respective capital commitments. All purchases will generally be made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accordance with the investors’ capital commitments, at a per-share price equal to the net asset value per share of the Company’s common stock as of the close of the last quarter preceding the drawdown date. Upon the earlier to occur of an IPO of the Company’s common stock that results in an unaffiliated public float of at least $75 million (a “Qualified IPO”), and the fourth anniversary of the Closing (the “Commitment Period”), investors will be released from any further obligation to purchase additional shares, subject to certain exceptions contained in the subscription agreement. Prior to a Qualified IPO, no investor who participated in the Private Offering will be permitted to sell, assign, transfer or otherwise dispose of its shares or capital commitment unless the Adviser provides its prior written consent and the transfer is otherwise made in accordance with applicable law.</w:t>
      </w:r>
    </w:p>
    <w:p>
      <w:pPr>
        <w:spacing w:after="0" w:line="65" w:lineRule="exact"/>
        <w:rPr>
          <w:sz w:val="20"/>
          <w:szCs w:val="20"/>
          <w:color w:val="auto"/>
        </w:rPr>
      </w:pPr>
    </w:p>
    <w:p>
      <w:pPr>
        <w:ind w:right="40" w:firstLine="222"/>
        <w:spacing w:after="0" w:line="269" w:lineRule="auto"/>
        <w:rPr>
          <w:sz w:val="20"/>
          <w:szCs w:val="20"/>
          <w:color w:val="auto"/>
        </w:rPr>
      </w:pPr>
      <w:r>
        <w:rPr>
          <w:rFonts w:ascii="Arial" w:cs="Arial" w:eastAsia="Arial" w:hAnsi="Arial"/>
          <w:sz w:val="17"/>
          <w:szCs w:val="17"/>
          <w:color w:val="auto"/>
        </w:rPr>
        <w:t>While the Company expects each subscription agreement to reflect the terms and conditions summarized in the preceding paragraph, the Company reserves the right to enter into subscription agreements that contain terms and conditions not found in the subscription agreements entered into with other investors, subject to applicable law. For example, we anticipate entering into a subscription agreement with one of our founding investors that would permit such investor to nominate a representative to serve as a director on the Company’s Board at any time that a representative of such investor does not already serve on our Board. Pursuant to this subscription agreement, the Adviser will be required to cause a representative of the investor to be nominated for election as a director of the Company at each annual meeting of the Company’s shareholders during which a representative of the investor does not already serve on our Board, subject to applicable law. Furthermore, for so long as the investor’s representative continues to serve as a director of the Company, the Adviser will be required to use its reasonable efforts to cause the investor’s representative to be appointed to the Board’s IPO committee. During any period in which the investor’s representative does not serve on the Board, the Company will generally be required to invite a representative of the investor to attend meetings of the Board in a nonvoting observer capacity. No investor in the Private Offering will be permitted to make an investment in the Company on economic terms and conditions that are more favorable than the economic terms and conditions contained in the subscription agreements entered into with all other investors.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as a Public Business Development Company</w:t>
      </w:r>
    </w:p>
    <w:p>
      <w:pPr>
        <w:spacing w:after="0" w:line="121" w:lineRule="exact"/>
        <w:rPr>
          <w:sz w:val="20"/>
          <w:szCs w:val="20"/>
          <w:color w:val="auto"/>
        </w:rPr>
      </w:pPr>
    </w:p>
    <w:p>
      <w:pPr>
        <w:ind w:right="80" w:firstLine="222"/>
        <w:spacing w:after="0" w:line="302" w:lineRule="auto"/>
        <w:rPr>
          <w:sz w:val="20"/>
          <w:szCs w:val="20"/>
          <w:color w:val="auto"/>
        </w:rPr>
      </w:pPr>
      <w:r>
        <w:rPr>
          <w:rFonts w:ascii="Arial" w:cs="Arial" w:eastAsia="Arial" w:hAnsi="Arial"/>
          <w:sz w:val="16"/>
          <w:szCs w:val="16"/>
          <w:color w:val="auto"/>
        </w:rPr>
        <w:t>We intend to be regulated as a BDC under the 1940 Act. The 1940 Act contains prohibitions and restrictions relating to transactions between BDCs and their affiliates (including any investment advisers or sub-advisers), principal underwriters and affiliates of those affiliates or underwriters. In addition,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46" w:lineRule="exact"/>
        <w:rPr>
          <w:sz w:val="20"/>
          <w:szCs w:val="20"/>
          <w:color w:val="auto"/>
        </w:rPr>
      </w:pPr>
    </w:p>
    <w:p>
      <w:pPr>
        <w:ind w:firstLine="215"/>
        <w:spacing w:after="0" w:line="273" w:lineRule="auto"/>
        <w:rPr>
          <w:sz w:val="20"/>
          <w:szCs w:val="20"/>
          <w:color w:val="auto"/>
        </w:rPr>
      </w:pPr>
      <w:r>
        <w:rPr>
          <w:rFonts w:ascii="Arial" w:cs="Arial" w:eastAsia="Arial" w:hAnsi="Arial"/>
          <w:sz w:val="17"/>
          <w:szCs w:val="17"/>
          <w:color w:val="auto"/>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 As a BDC, we are also required to meet a coverage ratio of the value of total assets to total senior securities, which include all of our borrowings and any preferred stock we may issue in the future, of at least 200%.</w:t>
      </w:r>
    </w:p>
    <w:p>
      <w:pPr>
        <w:spacing w:after="0" w:line="70" w:lineRule="exact"/>
        <w:rPr>
          <w:sz w:val="20"/>
          <w:szCs w:val="20"/>
          <w:color w:val="auto"/>
        </w:rPr>
      </w:pPr>
    </w:p>
    <w:p>
      <w:pPr>
        <w:ind w:right="140" w:firstLine="222"/>
        <w:spacing w:after="0" w:line="312" w:lineRule="auto"/>
        <w:rPr>
          <w:sz w:val="20"/>
          <w:szCs w:val="20"/>
          <w:color w:val="auto"/>
        </w:rPr>
      </w:pPr>
      <w:r>
        <w:rPr>
          <w:rFonts w:ascii="Arial" w:cs="Arial" w:eastAsia="Arial" w:hAnsi="Arial"/>
          <w:sz w:val="16"/>
          <w:szCs w:val="16"/>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 are present or represented by proxy, or (b) more than 50% of the outstanding voting securities of such company. We do not anticipate any substantial change in the nature of our business.</w:t>
      </w:r>
    </w:p>
    <w:p>
      <w:pPr>
        <w:spacing w:after="0" w:line="62"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We may invest up to 100% of our assets in securities acquired directly from, or loans originated directly to, issuers in privately-negotiated transactions. We do not intend to acquire securities issued by any investment company that exceed the limits imposed by the 1940 Act. Under these limits, except for registered money market funds, the Company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tax purposes; the related requirements are set forth below. See “</w:t>
      </w:r>
      <w:r>
        <w:rPr>
          <w:rFonts w:ascii="Arial" w:cs="Arial" w:eastAsia="Arial" w:hAnsi="Arial"/>
          <w:sz w:val="16"/>
          <w:szCs w:val="16"/>
          <w:i w:val="1"/>
          <w:iCs w:val="1"/>
          <w:color w:val="auto"/>
        </w:rPr>
        <w:t>—Certain U.S. Federal Income Tax Considerations—Regulated Investment Company Classification</w:t>
      </w:r>
      <w:r>
        <w:rPr>
          <w:rFonts w:ascii="Arial" w:cs="Arial" w:eastAsia="Arial" w:hAnsi="Arial"/>
          <w:sz w:val="16"/>
          <w:szCs w:val="16"/>
          <w:color w:val="auto"/>
        </w:rPr>
        <w:t>.”</w:t>
      </w:r>
    </w:p>
    <w:p>
      <w:pPr>
        <w:spacing w:after="0" w:line="59"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We are generally not able to issue and sell our common stock at a price below net asset value per share. See “</w:t>
      </w:r>
      <w:r>
        <w:rPr>
          <w:rFonts w:ascii="Arial" w:cs="Arial" w:eastAsia="Arial" w:hAnsi="Arial"/>
          <w:sz w:val="18"/>
          <w:szCs w:val="18"/>
          <w:i w:val="1"/>
          <w:iCs w:val="1"/>
          <w:color w:val="auto"/>
        </w:rPr>
        <w:t>Item 1A. Risk Factors—Risks Relating to Our</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and Structure—Regulations governing our operation as a BDC affect our ability to, and the way in which we, raise additional capital.</w:t>
      </w:r>
      <w:r>
        <w:rPr>
          <w:rFonts w:ascii="Arial" w:cs="Arial" w:eastAsia="Arial" w:hAnsi="Arial"/>
          <w:sz w:val="18"/>
          <w:szCs w:val="18"/>
          <w:color w:val="auto"/>
        </w:rPr>
        <w:t>” We may,</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issue and sell our common stock, or warrants, options or rights to acquire our common stock, at a price below the then current net asset value of our common stock if our Board determines that such sale is in our best interests and the best interests of our stockholders, and our stockholders have approved our policy and practice of making such sales within the preceding 12 months. In any such case, the price at which our securities are to be issued and sold may not be less than a price that, in the determination of our Board, closely approximates the market value of such securities. In addition, we may generally issue new shares of our common stock at a price below net asset value in rights offerings to existing stockholders, in payment of dividends and in certain other limited circumstances.</w:t>
      </w:r>
    </w:p>
    <w:p>
      <w:pPr>
        <w:spacing w:after="0" w:line="84"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without the prior approval of the members of our Board who are not interested persons and, in some cases, prior approval by the SEC through an exemptive order (other than in certain limited situations pursuant to current regulatory guidance). We will apply for an exemptive order from the SEC that will permit us to co-invest with funds or other pools of capital or persons managed by TPG or its affiliates. Any such order will be subject to certain terms and conditions and there can be no assurance that the application for exemptive relief will be granted by the SEC. Accordingly, we cannot assure you that the Company will be permitted to co-invest with funds managed by TPG, other than in the limited circumstances currently permitted by regulatory guidance. See “</w:t>
      </w:r>
      <w:r>
        <w:rPr>
          <w:rFonts w:ascii="Arial" w:cs="Arial" w:eastAsia="Arial" w:hAnsi="Arial"/>
          <w:sz w:val="18"/>
          <w:szCs w:val="18"/>
          <w:i w:val="1"/>
          <w:iCs w:val="1"/>
          <w:color w:val="auto"/>
        </w:rPr>
        <w:t>Item 7. Certain Relationships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w:t>
      </w:r>
      <w:r>
        <w:rPr>
          <w:rFonts w:ascii="Arial" w:cs="Arial" w:eastAsia="Arial" w:hAnsi="Arial"/>
          <w:sz w:val="18"/>
          <w:szCs w:val="18"/>
          <w:color w:val="auto"/>
        </w:rPr>
        <w:t>,</w:t>
      </w:r>
      <w:r>
        <w:rPr>
          <w:rFonts w:ascii="Arial" w:cs="Arial" w:eastAsia="Arial" w:hAnsi="Arial"/>
          <w:sz w:val="18"/>
          <w:szCs w:val="18"/>
          <w:i w:val="1"/>
          <w:iCs w:val="1"/>
          <w:color w:val="auto"/>
        </w:rPr>
        <w:t xml:space="preserve"> and Director Independence</w:t>
      </w:r>
      <w:r>
        <w:rPr>
          <w:rFonts w:ascii="Arial" w:cs="Arial" w:eastAsia="Arial" w:hAnsi="Arial"/>
          <w:sz w:val="18"/>
          <w:szCs w:val="18"/>
          <w:color w:val="auto"/>
        </w:rPr>
        <w:t>.”</w:t>
      </w:r>
    </w:p>
    <w:p>
      <w:pPr>
        <w:spacing w:after="0" w:line="8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be subject to periodic examination by the SEC for compliance with the 1940 Act.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a BDC, we are subject to certain risks and uncertainties. See “</w:t>
      </w:r>
      <w:r>
        <w:rPr>
          <w:rFonts w:ascii="Arial" w:cs="Arial" w:eastAsia="Arial" w:hAnsi="Arial"/>
          <w:sz w:val="18"/>
          <w:szCs w:val="18"/>
          <w:i w:val="1"/>
          <w:iCs w:val="1"/>
          <w:color w:val="auto"/>
        </w:rPr>
        <w:t>Item 1A. Risk Factors—Risks Relating to Our Business and Structure.</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Qualifying Assets</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73" w:lineRule="exact"/>
        <w:rPr>
          <w:sz w:val="20"/>
          <w:szCs w:val="20"/>
          <w:color w:val="auto"/>
        </w:rPr>
      </w:pPr>
    </w:p>
    <w:p>
      <w:pPr>
        <w:ind w:left="660" w:right="440" w:hanging="314"/>
        <w:spacing w:after="0" w:line="259" w:lineRule="auto"/>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78" w:lineRule="exact"/>
        <w:rPr>
          <w:rFonts w:ascii="Arial" w:cs="Arial" w:eastAsia="Arial" w:hAnsi="Arial"/>
          <w:sz w:val="18"/>
          <w:szCs w:val="18"/>
          <w:b w:val="1"/>
          <w:bCs w:val="1"/>
          <w:color w:val="auto"/>
        </w:rPr>
      </w:pPr>
    </w:p>
    <w:p>
      <w:pPr>
        <w:ind w:left="1000" w:hanging="317"/>
        <w:spacing w:after="0"/>
        <w:tabs>
          <w:tab w:leader="none" w:pos="1000" w:val="left"/>
        </w:tabs>
        <w:numPr>
          <w:ilvl w:val="1"/>
          <w:numId w:val="11"/>
        </w:numPr>
        <w:rPr>
          <w:rFonts w:ascii="Arial" w:cs="Arial" w:eastAsia="Arial" w:hAnsi="Arial"/>
          <w:sz w:val="18"/>
          <w:szCs w:val="18"/>
          <w:b w:val="1"/>
          <w:bCs w:val="1"/>
          <w:color w:val="auto"/>
        </w:rPr>
      </w:pPr>
      <w:r>
        <w:rPr>
          <w:rFonts w:ascii="Arial" w:cs="Arial" w:eastAsia="Arial" w:hAnsi="Arial"/>
          <w:sz w:val="18"/>
          <w:szCs w:val="18"/>
          <w:color w:val="auto"/>
        </w:rPr>
        <w:t>is organized under the laws of, and has its principal place of business in, the United States;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00" w:right="40" w:hanging="317"/>
        <w:spacing w:after="0" w:line="277" w:lineRule="auto"/>
        <w:tabs>
          <w:tab w:leader="none" w:pos="100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is not an investment company (other than a small business investment company wholly owned by the Company) or a company that would be an investment company but for certain exclusions under the 1940 Act; and</w:t>
      </w:r>
    </w:p>
    <w:p>
      <w:pPr>
        <w:spacing w:after="0" w:line="62" w:lineRule="exact"/>
        <w:rPr>
          <w:rFonts w:ascii="Arial" w:cs="Arial" w:eastAsia="Arial" w:hAnsi="Arial"/>
          <w:sz w:val="18"/>
          <w:szCs w:val="18"/>
          <w:b w:val="1"/>
          <w:bCs w:val="1"/>
          <w:color w:val="auto"/>
        </w:rPr>
      </w:pPr>
    </w:p>
    <w:p>
      <w:pPr>
        <w:ind w:left="1000" w:hanging="317"/>
        <w:spacing w:after="0"/>
        <w:tabs>
          <w:tab w:leader="none" w:pos="100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satisfies either of the following:</w:t>
      </w:r>
    </w:p>
    <w:p>
      <w:pPr>
        <w:spacing w:after="0" w:line="117" w:lineRule="exact"/>
        <w:rPr>
          <w:rFonts w:ascii="Arial" w:cs="Arial" w:eastAsia="Arial" w:hAnsi="Arial"/>
          <w:sz w:val="18"/>
          <w:szCs w:val="18"/>
          <w:b w:val="1"/>
          <w:bCs w:val="1"/>
          <w:color w:val="auto"/>
        </w:rPr>
      </w:pPr>
    </w:p>
    <w:p>
      <w:pPr>
        <w:ind w:left="1360" w:hanging="326"/>
        <w:spacing w:after="0"/>
        <w:tabs>
          <w:tab w:leader="none" w:pos="1360" w:val="left"/>
        </w:tabs>
        <w:numPr>
          <w:ilvl w:val="2"/>
          <w:numId w:val="12"/>
        </w:numPr>
        <w:rPr>
          <w:rFonts w:ascii="Arial" w:cs="Arial" w:eastAsia="Arial" w:hAnsi="Arial"/>
          <w:sz w:val="16"/>
          <w:szCs w:val="16"/>
          <w:b w:val="1"/>
          <w:bCs w:val="1"/>
          <w:color w:val="auto"/>
        </w:rPr>
      </w:pPr>
      <w:r>
        <w:rPr>
          <w:rFonts w:ascii="Arial" w:cs="Arial" w:eastAsia="Arial" w:hAnsi="Arial"/>
          <w:sz w:val="16"/>
          <w:szCs w:val="16"/>
          <w:color w:val="auto"/>
        </w:rPr>
        <w:t>has a market capitalization of less than $250 million or does not have any class of securities listed on a national securities exchange; or</w:t>
      </w:r>
    </w:p>
    <w:p>
      <w:pPr>
        <w:spacing w:after="0" w:line="140" w:lineRule="exact"/>
        <w:rPr>
          <w:rFonts w:ascii="Arial" w:cs="Arial" w:eastAsia="Arial" w:hAnsi="Arial"/>
          <w:sz w:val="16"/>
          <w:szCs w:val="16"/>
          <w:b w:val="1"/>
          <w:bCs w:val="1"/>
          <w:color w:val="auto"/>
        </w:rPr>
      </w:pPr>
    </w:p>
    <w:p>
      <w:pPr>
        <w:ind w:left="1360" w:right="20" w:hanging="326"/>
        <w:spacing w:after="0" w:line="264" w:lineRule="auto"/>
        <w:tabs>
          <w:tab w:leader="none" w:pos="1360" w:val="left"/>
        </w:tabs>
        <w:numPr>
          <w:ilvl w:val="2"/>
          <w:numId w:val="12"/>
        </w:numPr>
        <w:rPr>
          <w:rFonts w:ascii="Arial" w:cs="Arial" w:eastAsia="Arial" w:hAnsi="Arial"/>
          <w:sz w:val="18"/>
          <w:szCs w:val="18"/>
          <w:b w:val="1"/>
          <w:bCs w:val="1"/>
          <w:color w:val="auto"/>
        </w:rPr>
      </w:pPr>
      <w:r>
        <w:rPr>
          <w:rFonts w:ascii="Arial" w:cs="Arial" w:eastAsia="Arial" w:hAnsi="Arial"/>
          <w:sz w:val="18"/>
          <w:szCs w:val="18"/>
          <w:color w:val="auto"/>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w:t>
      </w:r>
    </w:p>
    <w:p>
      <w:pPr>
        <w:spacing w:after="0" w:line="73"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Securities of any eligible portfolio company that we control.</w:t>
      </w:r>
    </w:p>
    <w:p>
      <w:pPr>
        <w:spacing w:after="0" w:line="117" w:lineRule="exact"/>
        <w:rPr>
          <w:rFonts w:ascii="Arial" w:cs="Arial" w:eastAsia="Arial" w:hAnsi="Arial"/>
          <w:sz w:val="18"/>
          <w:szCs w:val="18"/>
          <w:b w:val="1"/>
          <w:bCs w:val="1"/>
          <w:color w:val="auto"/>
        </w:rPr>
      </w:pPr>
    </w:p>
    <w:p>
      <w:pPr>
        <w:ind w:left="660" w:right="360" w:hanging="314"/>
        <w:spacing w:after="0" w:line="259"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78" w:lineRule="exact"/>
        <w:rPr>
          <w:rFonts w:ascii="Arial" w:cs="Arial" w:eastAsia="Arial" w:hAnsi="Arial"/>
          <w:sz w:val="18"/>
          <w:szCs w:val="18"/>
          <w:b w:val="1"/>
          <w:bCs w:val="1"/>
          <w:color w:val="auto"/>
        </w:rPr>
      </w:pPr>
    </w:p>
    <w:p>
      <w:pPr>
        <w:ind w:left="660" w:right="120" w:hanging="314"/>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62" w:lineRule="exact"/>
        <w:rPr>
          <w:rFonts w:ascii="Arial" w:cs="Arial" w:eastAsia="Arial" w:hAnsi="Arial"/>
          <w:sz w:val="18"/>
          <w:szCs w:val="18"/>
          <w:b w:val="1"/>
          <w:bCs w:val="1"/>
          <w:color w:val="auto"/>
        </w:rPr>
      </w:pPr>
    </w:p>
    <w:p>
      <w:pPr>
        <w:ind w:left="660" w:right="260" w:hanging="314"/>
        <w:spacing w:after="0" w:line="277" w:lineRule="auto"/>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Securities received in exchange for or distributed on or with respect to securities described above, or pursuant to the exercise of warrants or rights relating to such securities.</w:t>
      </w:r>
    </w:p>
    <w:p>
      <w:pPr>
        <w:spacing w:after="0" w:line="62" w:lineRule="exact"/>
        <w:rPr>
          <w:rFonts w:ascii="Arial" w:cs="Arial" w:eastAsia="Arial" w:hAnsi="Arial"/>
          <w:sz w:val="18"/>
          <w:szCs w:val="18"/>
          <w:b w:val="1"/>
          <w:bCs w:val="1"/>
          <w:color w:val="auto"/>
        </w:rPr>
      </w:pPr>
    </w:p>
    <w:p>
      <w:pPr>
        <w:ind w:left="660" w:hanging="314"/>
        <w:spacing w:after="0"/>
        <w:tabs>
          <w:tab w:leader="none" w:pos="66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Limitations on Leverage</w:t>
      </w:r>
    </w:p>
    <w:p>
      <w:pPr>
        <w:spacing w:after="0" w:line="117" w:lineRule="exact"/>
        <w:rPr>
          <w:sz w:val="20"/>
          <w:szCs w:val="20"/>
          <w:color w:val="auto"/>
        </w:rPr>
      </w:pPr>
    </w:p>
    <w:p>
      <w:pPr>
        <w:jc w:val="both"/>
        <w:ind w:right="280" w:firstLine="215"/>
        <w:spacing w:after="0" w:line="342" w:lineRule="auto"/>
        <w:rPr>
          <w:sz w:val="20"/>
          <w:szCs w:val="20"/>
          <w:color w:val="auto"/>
        </w:rPr>
      </w:pPr>
      <w:r>
        <w:rPr>
          <w:rFonts w:ascii="Arial" w:cs="Arial" w:eastAsia="Arial" w:hAnsi="Arial"/>
          <w:sz w:val="16"/>
          <w:szCs w:val="16"/>
          <w:color w:val="auto"/>
        </w:rPr>
        <w:t>As a BDC, the Company generally must have 200% asset coverage for its debt after incurring any new indebtedness, meaning that the total value of the Company’s assets must be at least twice the amount of the debt (i.e., 50% leverage). However, we intend to use less than this amount of allowed leverage.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Managerial Assistance to Portfolio Companies</w:t>
      </w:r>
    </w:p>
    <w:p>
      <w:pPr>
        <w:spacing w:after="0" w:line="117"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 BDC must be operated for the purpose of making investments in the types of securities described under “</w:t>
      </w:r>
      <w:r>
        <w:rPr>
          <w:rFonts w:ascii="Arial" w:cs="Arial" w:eastAsia="Arial" w:hAnsi="Arial"/>
          <w:sz w:val="18"/>
          <w:szCs w:val="18"/>
          <w:i w:val="1"/>
          <w:iCs w:val="1"/>
          <w:color w:val="auto"/>
        </w:rPr>
        <w:t>Qualifying Assets</w:t>
      </w:r>
      <w:r>
        <w:rPr>
          <w:rFonts w:ascii="Arial" w:cs="Arial" w:eastAsia="Arial" w:hAnsi="Arial"/>
          <w:sz w:val="18"/>
          <w:szCs w:val="18"/>
          <w:color w:val="auto"/>
        </w:rPr>
        <w:t>,” above. However, in order to count portfolio securities as qualifying assets for the purpose of the 70% test, the BDC must either control the issuer of the securities or must offer to make available to the issuer of the securities significant managerial assistance; except that, where the BDC purchases such securities in conjunction with one or more other persons acting together, the BDC will satisfy this test if one of the other persons in the group may make available such managerial assistance. Making available managerial assistance means, among other things,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Ongoing Relationships with Portfolio Companies; Valuation</w:t>
      </w:r>
    </w:p>
    <w:p>
      <w:pPr>
        <w:spacing w:after="0" w:line="117" w:lineRule="exact"/>
        <w:rPr>
          <w:sz w:val="20"/>
          <w:szCs w:val="20"/>
          <w:color w:val="auto"/>
        </w:rPr>
      </w:pPr>
    </w:p>
    <w:p>
      <w:pPr>
        <w:ind w:right="660" w:firstLine="222"/>
        <w:spacing w:after="0" w:line="308" w:lineRule="auto"/>
        <w:rPr>
          <w:sz w:val="20"/>
          <w:szCs w:val="20"/>
          <w:color w:val="auto"/>
        </w:rPr>
      </w:pPr>
      <w:r>
        <w:rPr>
          <w:rFonts w:ascii="Arial" w:cs="Arial" w:eastAsia="Arial" w:hAnsi="Arial"/>
          <w:sz w:val="17"/>
          <w:szCs w:val="17"/>
          <w:color w:val="auto"/>
        </w:rPr>
        <w:t>The Adviser will monitor the Company’s portfolio companies on an ongoing basis. The Adviser will monitor the financial trends of each portfolio company to determine if it is meeting its business plans and to assess the appropriate course of action for each company.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Adviser has several methods of evaluating and monitoring the performance and fair value of the Company’s investments, which may include, but are not limited to, the following:</w:t>
      </w:r>
    </w:p>
    <w:p>
      <w:pPr>
        <w:spacing w:after="0" w:line="62" w:lineRule="exact"/>
        <w:rPr>
          <w:sz w:val="20"/>
          <w:szCs w:val="20"/>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Assessment of success of the portfolio company in adhering to its business plan and compliance with covenants;</w:t>
      </w:r>
    </w:p>
    <w:p>
      <w:pPr>
        <w:spacing w:after="0" w:line="117" w:lineRule="exact"/>
        <w:rPr>
          <w:rFonts w:ascii="Arial" w:cs="Arial" w:eastAsia="Arial" w:hAnsi="Arial"/>
          <w:sz w:val="18"/>
          <w:szCs w:val="18"/>
          <w:b w:val="1"/>
          <w:bCs w:val="1"/>
          <w:color w:val="auto"/>
        </w:rPr>
      </w:pPr>
    </w:p>
    <w:p>
      <w:pPr>
        <w:ind w:left="660" w:right="80" w:hanging="314"/>
        <w:spacing w:after="0" w:line="277"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Periodic and regular contact with portfolio company management and, if appropriate, the financial or strategic sponsor, to discuss financial position, requirements and accomplishments;</w:t>
      </w:r>
    </w:p>
    <w:p>
      <w:pPr>
        <w:spacing w:after="0" w:line="62" w:lineRule="exact"/>
        <w:rPr>
          <w:rFonts w:ascii="Arial" w:cs="Arial" w:eastAsia="Arial" w:hAnsi="Arial"/>
          <w:sz w:val="18"/>
          <w:szCs w:val="18"/>
          <w:b w:val="1"/>
          <w:bCs w:val="1"/>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Comparisons to other companies in the industry;</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Attendance at and participation in board meetings; and</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Review of monthly and quarterly financial statements and financial projections for portfolio companies.</w:t>
      </w:r>
    </w:p>
    <w:p>
      <w:pPr>
        <w:spacing w:after="0" w:line="117" w:lineRule="exact"/>
        <w:rPr>
          <w:sz w:val="20"/>
          <w:szCs w:val="20"/>
          <w:color w:val="auto"/>
        </w:rPr>
      </w:pPr>
    </w:p>
    <w:p>
      <w:pPr>
        <w:ind w:left="240" w:right="400" w:firstLine="3"/>
        <w:spacing w:after="0" w:line="375"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Item 9. Market Price of and Dividends on the Registrant’s Common Equity and Related Stockholder Matters—Valuation of Portfolio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Temporary Investments</w:t>
      </w:r>
    </w:p>
    <w:p>
      <w:pPr>
        <w:spacing w:after="0" w:line="1" w:lineRule="exact"/>
        <w:rPr>
          <w:sz w:val="20"/>
          <w:szCs w:val="20"/>
          <w:color w:val="auto"/>
        </w:rPr>
      </w:pPr>
    </w:p>
    <w:p>
      <w:pPr>
        <w:ind w:right="180" w:firstLine="225"/>
        <w:spacing w:after="0" w:line="302" w:lineRule="auto"/>
        <w:rPr>
          <w:sz w:val="20"/>
          <w:szCs w:val="20"/>
          <w:color w:val="auto"/>
        </w:rPr>
      </w:pPr>
      <w:r>
        <w:rPr>
          <w:rFonts w:ascii="Arial" w:cs="Arial" w:eastAsia="Arial" w:hAnsi="Arial"/>
          <w:sz w:val="16"/>
          <w:szCs w:val="16"/>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 See “</w:t>
      </w:r>
      <w:r>
        <w:rPr>
          <w:rFonts w:ascii="Arial" w:cs="Arial" w:eastAsia="Arial" w:hAnsi="Arial"/>
          <w:sz w:val="16"/>
          <w:szCs w:val="16"/>
          <w:i w:val="1"/>
          <w:iCs w:val="1"/>
          <w:color w:val="auto"/>
        </w:rPr>
        <w:t>Item I. Certain U.S. Federal Income Tax Consequences—Regulated Investment Company</w:t>
      </w:r>
      <w:r>
        <w:rPr>
          <w:rFonts w:ascii="Arial" w:cs="Arial" w:eastAsia="Arial" w:hAnsi="Arial"/>
          <w:sz w:val="16"/>
          <w:szCs w:val="16"/>
          <w:color w:val="auto"/>
        </w:rPr>
        <w:t xml:space="preserve"> </w:t>
      </w:r>
      <w:r>
        <w:rPr>
          <w:rFonts w:ascii="Arial" w:cs="Arial" w:eastAsia="Arial" w:hAnsi="Arial"/>
          <w:sz w:val="16"/>
          <w:szCs w:val="16"/>
          <w:i w:val="1"/>
          <w:iCs w:val="1"/>
          <w:color w:val="auto"/>
        </w:rPr>
        <w:t>Classification</w:t>
      </w:r>
      <w:r>
        <w:rPr>
          <w:rFonts w:ascii="Arial" w:cs="Arial" w:eastAsia="Arial" w:hAnsi="Arial"/>
          <w:sz w:val="16"/>
          <w:szCs w:val="16"/>
          <w:color w:val="auto"/>
        </w:rPr>
        <w:t>.” Our investment adviser will monitor the creditworthiness of the counterparties with which we enter into repurchase agreement transactions.</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Senior Securities</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immediately after each such issuance. In addition, while any preferred stock or publicly traded debt securities are outstanding, we may be prohibited from making distributions to our stockholders or the repurchasing of such securities or shares unless we meet the applicable asset coverage ratios at the time of the distribution or repurchase. We may also borrow amounts up to 5% of the value of our total assets for temporary or emergency purposes without regard to asset coverage. For a discussion of the risks associated with leverage, 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w:t>
      </w:r>
      <w:r>
        <w:rPr>
          <w:rFonts w:ascii="Arial" w:cs="Arial" w:eastAsia="Arial" w:hAnsi="Arial"/>
          <w:sz w:val="18"/>
          <w:szCs w:val="18"/>
          <w:i w:val="1"/>
          <w:iCs w:val="1"/>
          <w:color w:val="auto"/>
        </w:rPr>
        <w:t>Risks Relating to Our Business and Structure—We may borrow money, which may magnify the potential for gain or loss and may increase the risk of investing in us</w:t>
      </w:r>
      <w:r>
        <w:rPr>
          <w:rFonts w:ascii="Arial" w:cs="Arial" w:eastAsia="Arial" w:hAnsi="Arial"/>
          <w:sz w:val="18"/>
          <w:szCs w:val="18"/>
          <w:color w:val="auto"/>
        </w:rPr>
        <w:t>.”</w:t>
      </w:r>
    </w:p>
    <w:p>
      <w:pPr>
        <w:spacing w:after="0" w:line="81"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1940 Act imposes limitations on a BDC’s issuance of preferred shares, which are considered “senior securities” and thus are subject to the 200% asset coverage requirement described above. In addition, (i) preferred shares must have the same voting rights as the common stockholders (one share, one vote); and (ii) preferred stockholders must have the right, as a class, to appoint directors to the board of directors.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Code of Ethics</w:t>
      </w:r>
    </w:p>
    <w:p>
      <w:pPr>
        <w:spacing w:after="0" w:line="117" w:lineRule="exact"/>
        <w:rPr>
          <w:sz w:val="20"/>
          <w:szCs w:val="20"/>
          <w:color w:val="auto"/>
        </w:rPr>
      </w:pPr>
    </w:p>
    <w:p>
      <w:pPr>
        <w:ind w:right="140" w:firstLine="222"/>
        <w:spacing w:after="0" w:line="297" w:lineRule="auto"/>
        <w:rPr>
          <w:sz w:val="20"/>
          <w:szCs w:val="20"/>
          <w:color w:val="auto"/>
        </w:rPr>
      </w:pPr>
      <w:r>
        <w:rPr>
          <w:rFonts w:ascii="Arial" w:cs="Arial" w:eastAsia="Arial" w:hAnsi="Arial"/>
          <w:sz w:val="16"/>
          <w:szCs w:val="16"/>
          <w:color w:val="auto"/>
        </w:rPr>
        <w:t>We and our Adviser have each adopted a code of ethics pursuant to Rule 17j-1 under the 1940 Act and Rule 204A-1 under the Advisers Act, respectively, that establishes procedures for personal investments and restricts certain transactions by our personnel. Our code of ethics generally does not permit investments by our employees in securities that may be purchased or held by us. Once it is filed, you may read and copy this code of ethics at the SEC’s Public Reference Room in Washington, D.C. You may obtain information on the operation of the Public Reference Room by calling the SEC at (202) 551-8090. You may also obtain copies of the codes of ethics, after paying a duplicating fee, by electronic request at the following email address: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publicinfo@sec.gov</w:t>
      </w:r>
      <w:r>
        <w:rPr>
          <w:rFonts w:ascii="Arial" w:cs="Arial" w:eastAsia="Arial" w:hAnsi="Arial"/>
          <w:sz w:val="18"/>
          <w:szCs w:val="18"/>
          <w:color w:val="auto"/>
        </w:rPr>
        <w:t>, or by writing the SEC’s Public Reference Section, 100 F Street, N.E., Washington, D.C. 20549.</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Compliance Policies and Procedures</w:t>
      </w:r>
    </w:p>
    <w:p>
      <w:pPr>
        <w:spacing w:after="0" w:line="117" w:lineRule="exact"/>
        <w:rPr>
          <w:sz w:val="20"/>
          <w:szCs w:val="20"/>
          <w:color w:val="auto"/>
        </w:rPr>
      </w:pPr>
    </w:p>
    <w:p>
      <w:pPr>
        <w:ind w:right="400" w:firstLine="222"/>
        <w:spacing w:after="0" w:line="259" w:lineRule="auto"/>
        <w:rPr>
          <w:sz w:val="20"/>
          <w:szCs w:val="20"/>
          <w:color w:val="auto"/>
        </w:rPr>
      </w:pPr>
      <w:r>
        <w:rPr>
          <w:rFonts w:ascii="Arial" w:cs="Arial" w:eastAsia="Arial" w:hAnsi="Arial"/>
          <w:sz w:val="18"/>
          <w:szCs w:val="18"/>
          <w:color w:val="auto"/>
        </w:rPr>
        <w:t>We and our Adviser have adopted and implemented written policies and procedures reasonably designed to detect and prevent violation of the federal securities laws and will be required to review these compliance policies and procedures annually for their adequacy and the effectiveness of their implementation and designate a chief compliance officer to be responsible for administering the policies and procedures. The chief compliance officer of TPG, David Reintjes, is our chief compliance officer.</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Sarbanes-Oxley Act of 2002</w:t>
      </w:r>
    </w:p>
    <w:p>
      <w:pPr>
        <w:spacing w:after="0" w:line="117" w:lineRule="exact"/>
        <w:rPr>
          <w:sz w:val="20"/>
          <w:szCs w:val="20"/>
          <w:color w:val="auto"/>
        </w:rPr>
      </w:pPr>
    </w:p>
    <w:p>
      <w:pPr>
        <w:ind w:right="480" w:firstLine="222"/>
        <w:spacing w:after="0" w:line="277" w:lineRule="auto"/>
        <w:rPr>
          <w:sz w:val="20"/>
          <w:szCs w:val="20"/>
          <w:color w:val="auto"/>
        </w:rPr>
      </w:pPr>
      <w:r>
        <w:rPr>
          <w:rFonts w:ascii="Arial" w:cs="Arial" w:eastAsia="Arial" w:hAnsi="Arial"/>
          <w:sz w:val="18"/>
          <w:szCs w:val="18"/>
          <w:color w:val="auto"/>
        </w:rPr>
        <w:t>The Sarbanes-Oxley Act of 2002 imposes a wide variety of regulatory requirements on certain publicly held companies and their insiders. Assuming certain requirements are met, many of these requirements affect us. For example:</w:t>
      </w:r>
    </w:p>
    <w:p>
      <w:pPr>
        <w:spacing w:after="0" w:line="62" w:lineRule="exact"/>
        <w:rPr>
          <w:sz w:val="20"/>
          <w:szCs w:val="20"/>
          <w:color w:val="auto"/>
        </w:rPr>
      </w:pPr>
    </w:p>
    <w:p>
      <w:pPr>
        <w:ind w:left="660" w:right="620" w:hanging="314"/>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pursuant to Rule 13a-14 of the Exchange Act, our chief executive officer and chief financial officer would have to certify the accuracy of the financial statements contained in our periodic reports;</w:t>
      </w:r>
    </w:p>
    <w:p>
      <w:pPr>
        <w:spacing w:after="0" w:line="62" w:lineRule="exact"/>
        <w:rPr>
          <w:rFonts w:ascii="Arial" w:cs="Arial" w:eastAsia="Arial" w:hAnsi="Arial"/>
          <w:sz w:val="18"/>
          <w:szCs w:val="18"/>
          <w:b w:val="1"/>
          <w:bCs w:val="1"/>
          <w:color w:val="auto"/>
        </w:rPr>
      </w:pPr>
    </w:p>
    <w:p>
      <w:pPr>
        <w:ind w:left="660" w:right="560" w:hanging="314"/>
        <w:spacing w:after="0" w:line="277"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pursuant to Item 307 of Regulation S-K, our periodic reports would have to disclose our conclusions about the effectiveness of our disclosure controls and procedures;</w:t>
      </w:r>
    </w:p>
    <w:p>
      <w:pPr>
        <w:spacing w:after="0" w:line="62" w:lineRule="exact"/>
        <w:rPr>
          <w:rFonts w:ascii="Arial" w:cs="Arial" w:eastAsia="Arial" w:hAnsi="Arial"/>
          <w:sz w:val="18"/>
          <w:szCs w:val="18"/>
          <w:b w:val="1"/>
          <w:bCs w:val="1"/>
          <w:color w:val="auto"/>
        </w:rPr>
      </w:pPr>
    </w:p>
    <w:p>
      <w:pPr>
        <w:ind w:left="660" w:right="320" w:hanging="314"/>
        <w:spacing w:after="0" w:line="264" w:lineRule="auto"/>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pursuant to Rule 13a-15 of the Exchange Act, subject to certain assumptions, our management will in the future be required to prepare an annual report regarding its assessment of our internal control over financial reporting and, depending on our accelerated filer status, this report may be required to be audited by our independent registered public accounting firm; and</w:t>
      </w:r>
    </w:p>
    <w:p>
      <w:pPr>
        <w:spacing w:after="0" w:line="73" w:lineRule="exact"/>
        <w:rPr>
          <w:rFonts w:ascii="Arial" w:cs="Arial" w:eastAsia="Arial" w:hAnsi="Arial"/>
          <w:sz w:val="18"/>
          <w:szCs w:val="18"/>
          <w:b w:val="1"/>
          <w:bCs w:val="1"/>
          <w:color w:val="auto"/>
        </w:rPr>
      </w:pPr>
    </w:p>
    <w:p>
      <w:pPr>
        <w:ind w:left="660" w:right="100" w:hanging="314"/>
        <w:spacing w:after="0" w:line="286" w:lineRule="auto"/>
        <w:tabs>
          <w:tab w:leader="none" w:pos="66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pursuant to Item 308 of Regulation S-K and Rule 13a-15 of the 1934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57" w:lineRule="exact"/>
        <w:rPr>
          <w:sz w:val="20"/>
          <w:szCs w:val="20"/>
          <w:color w:val="auto"/>
        </w:rPr>
      </w:pPr>
    </w:p>
    <w:p>
      <w:pPr>
        <w:jc w:val="both"/>
        <w:ind w:right="160" w:firstLine="222"/>
        <w:spacing w:after="0" w:line="264" w:lineRule="auto"/>
        <w:rPr>
          <w:sz w:val="20"/>
          <w:szCs w:val="20"/>
          <w:color w:val="auto"/>
        </w:rPr>
      </w:pPr>
      <w:r>
        <w:rPr>
          <w:rFonts w:ascii="Arial" w:cs="Arial" w:eastAsia="Arial" w:hAnsi="Arial"/>
          <w:sz w:val="18"/>
          <w:szCs w:val="18"/>
          <w:color w:val="auto"/>
        </w:rPr>
        <w:t>The Sarbanes-Oxley Act will require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Proxy Voting Policies and Procedures</w:t>
      </w:r>
    </w:p>
    <w:p>
      <w:pPr>
        <w:spacing w:after="0" w:line="117" w:lineRule="exact"/>
        <w:rPr>
          <w:sz w:val="20"/>
          <w:szCs w:val="20"/>
          <w:color w:val="auto"/>
        </w:rPr>
      </w:pPr>
    </w:p>
    <w:p>
      <w:pPr>
        <w:ind w:right="300" w:firstLine="222"/>
        <w:spacing w:after="0" w:line="342" w:lineRule="auto"/>
        <w:rPr>
          <w:sz w:val="20"/>
          <w:szCs w:val="20"/>
          <w:color w:val="auto"/>
        </w:rPr>
      </w:pPr>
      <w:r>
        <w:rPr>
          <w:rFonts w:ascii="Arial" w:cs="Arial" w:eastAsia="Arial" w:hAnsi="Arial"/>
          <w:sz w:val="16"/>
          <w:szCs w:val="16"/>
          <w:color w:val="auto"/>
        </w:rPr>
        <w:t>We intend to delegate our proxy voting responsibility to our Adviser. The Proxy Voting Policies and Procedures of our Adviser are set forth below. The guidelines will be reviewed periodically by our investment adviser and our non-interested directors, and, accordingly, are subject to change.</w:t>
      </w:r>
    </w:p>
    <w:p>
      <w:pPr>
        <w:spacing w:after="0" w:line="16" w:lineRule="exact"/>
        <w:rPr>
          <w:sz w:val="20"/>
          <w:szCs w:val="20"/>
          <w:color w:val="auto"/>
        </w:rPr>
      </w:pPr>
    </w:p>
    <w:p>
      <w:pPr>
        <w:ind w:firstLine="215"/>
        <w:spacing w:after="0" w:line="259" w:lineRule="auto"/>
        <w:rPr>
          <w:sz w:val="20"/>
          <w:szCs w:val="20"/>
          <w:color w:val="auto"/>
        </w:rPr>
      </w:pPr>
      <w:r>
        <w:rPr>
          <w:rFonts w:ascii="Arial" w:cs="Arial" w:eastAsia="Arial" w:hAnsi="Arial"/>
          <w:sz w:val="18"/>
          <w:szCs w:val="18"/>
          <w:color w:val="auto"/>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79" w:lineRule="exact"/>
        <w:rPr>
          <w:sz w:val="20"/>
          <w:szCs w:val="20"/>
          <w:color w:val="auto"/>
        </w:rPr>
      </w:pPr>
    </w:p>
    <w:p>
      <w:pPr>
        <w:ind w:right="20" w:firstLine="222"/>
        <w:spacing w:after="0" w:line="259" w:lineRule="auto"/>
        <w:rPr>
          <w:sz w:val="20"/>
          <w:szCs w:val="20"/>
          <w:color w:val="auto"/>
        </w:rPr>
      </w:pPr>
      <w:r>
        <w:rPr>
          <w:rFonts w:ascii="Arial" w:cs="Arial" w:eastAsia="Arial" w:hAnsi="Arial"/>
          <w:sz w:val="18"/>
          <w:szCs w:val="18"/>
          <w:color w:val="auto"/>
        </w:rPr>
        <w:t>The Adviser will vote all proxies based upon the guiding principle of seeking the maximization of the ultimate long term economic value of our shareholders’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the Company’s Chief Compliance Officer in accordance with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the Company’s Chief Compliance Officer or the relevant investment professional(s) employed by the Adviser, the costs associated with voting such proxy outweigh the benefits to our shareholders or if the circumstances make such an abstention or withholding otherwise advisable and in the best interest of the relevant shareholder(s).</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Privacy Principles</w:t>
      </w:r>
    </w:p>
    <w:p>
      <w:pPr>
        <w:spacing w:after="0" w:line="117" w:lineRule="exact"/>
        <w:rPr>
          <w:sz w:val="20"/>
          <w:szCs w:val="20"/>
          <w:color w:val="auto"/>
        </w:rPr>
      </w:pPr>
    </w:p>
    <w:p>
      <w:pPr>
        <w:ind w:right="400" w:firstLine="222"/>
        <w:spacing w:after="0" w:line="264" w:lineRule="auto"/>
        <w:rPr>
          <w:sz w:val="20"/>
          <w:szCs w:val="20"/>
          <w:color w:val="auto"/>
        </w:rPr>
      </w:pPr>
      <w:r>
        <w:rPr>
          <w:rFonts w:ascii="Arial" w:cs="Arial" w:eastAsia="Arial" w:hAnsi="Arial"/>
          <w:sz w:val="18"/>
          <w:szCs w:val="18"/>
          <w:color w:val="auto"/>
        </w:rPr>
        <w:t>We are committed to maintaining the confidentiality, integrity and security of nonpublic personal information relating to investors. The following information is provided to help you understand what personal information we collect, how we protect that information and why, in certain cases, we may share information with select other parties.</w:t>
      </w:r>
    </w:p>
    <w:p>
      <w:pPr>
        <w:spacing w:after="0" w:line="73"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We may collect nonpublic personal information regarding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in order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or Company transactions.</w:t>
      </w:r>
    </w:p>
    <w:p>
      <w:pPr>
        <w:spacing w:after="0" w:line="70" w:lineRule="exact"/>
        <w:rPr>
          <w:sz w:val="20"/>
          <w:szCs w:val="20"/>
          <w:color w:val="auto"/>
        </w:rPr>
      </w:pPr>
    </w:p>
    <w:p>
      <w:pPr>
        <w:ind w:firstLine="215"/>
        <w:spacing w:after="0" w:line="279" w:lineRule="auto"/>
        <w:rPr>
          <w:sz w:val="20"/>
          <w:szCs w:val="20"/>
          <w:color w:val="auto"/>
        </w:rPr>
      </w:pPr>
      <w:r>
        <w:rPr>
          <w:rFonts w:ascii="Arial" w:cs="Arial" w:eastAsia="Arial" w:hAnsi="Arial"/>
          <w:sz w:val="17"/>
          <w:szCs w:val="17"/>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in order to provide services to the Company and investors. The Company maintains physical, electronic and procedural safeguards to seek to guard investor nonpublic personal information.</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Reporting Obligations</w:t>
      </w:r>
    </w:p>
    <w:p>
      <w:pPr>
        <w:spacing w:after="0" w:line="11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We will furnish our stockholders with annual reports containing audited financial statements, quarterly reports, and such other periodic reports as we determine to be appropriate or as may be required by law. We are filing this Registration Statement with the SEC voluntarily with the intention of establishing the Company as a reporting company under the 1934 Act. Upon the effectiveness of this Registration Statement, we will be required to comply with all periodic reporting, proxy solicitation and other applicable requirements under the 1934 Act.</w:t>
      </w:r>
    </w:p>
    <w:p>
      <w:pPr>
        <w:spacing w:after="0" w:line="79" w:lineRule="exact"/>
        <w:rPr>
          <w:sz w:val="20"/>
          <w:szCs w:val="20"/>
          <w:color w:val="auto"/>
        </w:rPr>
      </w:pPr>
    </w:p>
    <w:p>
      <w:pPr>
        <w:jc w:val="both"/>
        <w:ind w:right="260" w:firstLine="225"/>
        <w:spacing w:after="0" w:line="264" w:lineRule="auto"/>
        <w:rPr>
          <w:sz w:val="20"/>
          <w:szCs w:val="20"/>
          <w:color w:val="auto"/>
        </w:rPr>
      </w:pPr>
      <w:r>
        <w:rPr>
          <w:rFonts w:ascii="Arial" w:cs="Arial" w:eastAsia="Arial" w:hAnsi="Arial"/>
          <w:sz w:val="18"/>
          <w:szCs w:val="18"/>
          <w:color w:val="auto"/>
        </w:rPr>
        <w:t>Because we do not currently maintain a corporate website, we do not intend to make available on a website our annual reports on Form 10-K, quarterly reports on Form 10-Q and our current reports on Form 8-K. We do intend, however, to provide electronic or paper copies of our filings free of charge upon request.</w:t>
      </w:r>
    </w:p>
    <w:p>
      <w:pPr>
        <w:spacing w:after="0" w:line="73"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Stockholders and the public may also read and copy any materials we file with the SEC at the SEC’s Public Reference Room at 450 Fifth Street, NW, Washington, DC 20549. The public may also obtain information on the operation of the Public Reference Room by calling the SEC at 1-800-SEC-0330. The SEC also maintains a website (</w:t>
      </w:r>
      <w:r>
        <w:rPr>
          <w:rFonts w:ascii="Arial" w:cs="Arial" w:eastAsia="Arial" w:hAnsi="Arial"/>
          <w:sz w:val="18"/>
          <w:szCs w:val="18"/>
          <w:i w:val="1"/>
          <w:iCs w:val="1"/>
          <w:u w:val="single" w:color="auto"/>
          <w:color w:val="auto"/>
        </w:rPr>
        <w:t>www.sec.gov</w:t>
      </w:r>
      <w:r>
        <w:rPr>
          <w:rFonts w:ascii="Arial" w:cs="Arial" w:eastAsia="Arial" w:hAnsi="Arial"/>
          <w:sz w:val="18"/>
          <w:szCs w:val="18"/>
          <w:color w:val="auto"/>
        </w:rPr>
        <w:t>) that contains such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U.S. Federal Income Tax Consequences</w:t>
      </w:r>
    </w:p>
    <w:p>
      <w:pPr>
        <w:spacing w:after="0" w:line="121"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following is a summary of certain material U.S. federal income tax considerations related to an investment in our shares. This summary is based upon the provisions of the Code, as amended, the Treasury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regulations promulgated thereunder, published rulings of the Internal Revenue Service (the “IRS”) and judicial decisions in effect as of the date hereof, all of which are subject to change, possibly with retroactive effect. The discussion does not purport to describe all of the U.S. federal income tax consequences that may be relevant to a particular investor in light of that investor’s particular circumstances and is not directed to investors subject to special treatment under the U.S. federal income tax laws, such as banks, dealers in securities, tax-exempt entities and insurance companies. In addition, this summary does not discuss any aspect of state, local or foreign tax law and assumes that investors will hold their interests in us as capital assets (generally, assets held for investment).</w:t>
      </w:r>
    </w:p>
    <w:p>
      <w:pPr>
        <w:spacing w:after="0" w:line="50"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For purposes of this discussion, a “U.S. Holder” is a holder that is, for U.S. federal income tax purposes: (a) an individual who is a citizen or resident of the United States; (b) a corporation created or organized in or under the laws of the United States, any state thereof or the District of Columbia; (c) an estate, the income of which is subject to U.S. federal income taxation regardless of its source or (d) a trust if a court within the United States can exercise primary supervision over its administration and certain other conditions are met. A “Non-U.S. Holder” is a holder who is not a U.S. Holder.</w:t>
      </w:r>
    </w:p>
    <w:p>
      <w:pPr>
        <w:spacing w:after="0" w:line="46" w:lineRule="exact"/>
        <w:rPr>
          <w:sz w:val="20"/>
          <w:szCs w:val="20"/>
          <w:color w:val="auto"/>
        </w:rPr>
      </w:pPr>
    </w:p>
    <w:p>
      <w:pPr>
        <w:jc w:val="both"/>
        <w:ind w:right="40" w:firstLine="225"/>
        <w:spacing w:after="0" w:line="312" w:lineRule="auto"/>
        <w:rPr>
          <w:sz w:val="20"/>
          <w:szCs w:val="20"/>
          <w:color w:val="auto"/>
        </w:rPr>
      </w:pPr>
      <w:r>
        <w:rPr>
          <w:rFonts w:ascii="Arial" w:cs="Arial" w:eastAsia="Arial" w:hAnsi="Arial"/>
          <w:sz w:val="16"/>
          <w:szCs w:val="16"/>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investor that will own shares of our common stock through a partnership should consult its tax advisors with respect to the purchase, ownership and disposition of those shares.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Regulated Investment Company Classification.</w:t>
      </w:r>
    </w:p>
    <w:p>
      <w:pPr>
        <w:spacing w:after="0" w:line="117" w:lineRule="exact"/>
        <w:rPr>
          <w:sz w:val="20"/>
          <w:szCs w:val="20"/>
          <w:color w:val="auto"/>
        </w:rPr>
      </w:pPr>
    </w:p>
    <w:p>
      <w:pPr>
        <w:ind w:right="160" w:firstLine="222"/>
        <w:spacing w:after="0" w:line="312" w:lineRule="auto"/>
        <w:rPr>
          <w:sz w:val="20"/>
          <w:szCs w:val="20"/>
          <w:color w:val="auto"/>
        </w:rPr>
      </w:pPr>
      <w:r>
        <w:rPr>
          <w:rFonts w:ascii="Arial" w:cs="Arial" w:eastAsia="Arial" w:hAnsi="Arial"/>
          <w:sz w:val="16"/>
          <w:szCs w:val="16"/>
          <w:color w:val="auto"/>
        </w:rPr>
        <w:t>We intend to qualify as a RIC for U.S. tax purposes. Our status as a RIC will enable us to deduct qualifying distributions to our stockholders, so that we will be subject to U.S. federal income taxation only in respect of earnings that we retain and do not distribute. In addition, certain distributions that we make to our stockholders may be eligible for look-through tax treatment determined by reference to the earnings from which the distribution is made.</w:t>
      </w:r>
    </w:p>
    <w:p>
      <w:pPr>
        <w:spacing w:after="0" w:line="39"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In order to qualify as a RIC, we must, among other things, (a) derive in each taxable year at least 90% of our gross income from dividends, interest, gains from the sale or other disposition of stock or securities and other specified categories of investment income; and (b) diversify our holdings so that, subject to certain exceptions and cure periods, at the end of each quarter (i) at least 50% of the value of our total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and greater than 10% of the outstanding voting securities of such issuer, and</w:t>
      </w:r>
    </w:p>
    <w:p>
      <w:pPr>
        <w:spacing w:after="0" w:line="2" w:lineRule="exact"/>
        <w:rPr>
          <w:sz w:val="20"/>
          <w:szCs w:val="20"/>
          <w:color w:val="auto"/>
        </w:rPr>
      </w:pPr>
    </w:p>
    <w:p>
      <w:pPr>
        <w:jc w:val="both"/>
        <w:ind w:right="20" w:firstLine="8"/>
        <w:spacing w:after="0" w:line="255" w:lineRule="auto"/>
        <w:tabs>
          <w:tab w:leader="none" w:pos="265"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82" w:lineRule="exact"/>
        <w:rPr>
          <w:sz w:val="20"/>
          <w:szCs w:val="20"/>
          <w:color w:val="auto"/>
        </w:rPr>
      </w:pPr>
    </w:p>
    <w:p>
      <w:pPr>
        <w:ind w:right="120" w:firstLine="215"/>
        <w:spacing w:after="0" w:line="297" w:lineRule="auto"/>
        <w:rPr>
          <w:sz w:val="20"/>
          <w:szCs w:val="20"/>
          <w:color w:val="auto"/>
        </w:rPr>
      </w:pPr>
      <w:r>
        <w:rPr>
          <w:rFonts w:ascii="Arial" w:cs="Arial" w:eastAsia="Arial" w:hAnsi="Arial"/>
          <w:sz w:val="16"/>
          <w:szCs w:val="16"/>
          <w:color w:val="auto"/>
        </w:rPr>
        <w:t>As a RIC, in any taxable year with respect to which we distribute at least 90% of our investment company taxable income (which includes, among other items, dividends, interest and the excess of any net short-term capital gains over net long-term capital losses and other taxable income other than any net capital gain reduced by deductible expenses), we generally will not be subject to U.S. federal income tax on our investment company taxable income and net capital gains that we distribute to stockholders. If we fail to distribute our income on a timely basis, we will be subject to a nondeductible 4% excise tax. To avoid this tax, we must distribute (or be deemed to have distributed) during each calendar year an amount equal to the sum of:</w:t>
      </w:r>
    </w:p>
    <w:p>
      <w:pPr>
        <w:spacing w:after="0" w:line="50" w:lineRule="exact"/>
        <w:rPr>
          <w:sz w:val="20"/>
          <w:szCs w:val="20"/>
          <w:color w:val="auto"/>
        </w:rPr>
      </w:pPr>
    </w:p>
    <w:p>
      <w:pPr>
        <w:ind w:left="1000" w:hanging="317"/>
        <w:spacing w:after="0"/>
        <w:tabs>
          <w:tab w:leader="none" w:pos="10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at least 98% of our ordinary income (not taking into account any capital gains or losses) for the calendar year;</w:t>
      </w:r>
    </w:p>
    <w:p>
      <w:pPr>
        <w:spacing w:after="0" w:line="130" w:lineRule="exact"/>
        <w:rPr>
          <w:rFonts w:ascii="Arial" w:cs="Arial" w:eastAsia="Arial" w:hAnsi="Arial"/>
          <w:sz w:val="18"/>
          <w:szCs w:val="18"/>
          <w:b w:val="1"/>
          <w:bCs w:val="1"/>
          <w:color w:val="auto"/>
        </w:rPr>
      </w:pPr>
    </w:p>
    <w:p>
      <w:pPr>
        <w:ind w:left="1000" w:right="80" w:hanging="317"/>
        <w:spacing w:after="0" w:line="277" w:lineRule="auto"/>
        <w:tabs>
          <w:tab w:leader="none" w:pos="10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at least 98.2% of our capital gains in excess of our capital losses (adjusted for certain ordinary losses) for a one-year period generally ending on October 31 of the calendar year; and</w:t>
      </w:r>
    </w:p>
    <w:p>
      <w:pPr>
        <w:spacing w:after="0" w:line="75" w:lineRule="exact"/>
        <w:rPr>
          <w:rFonts w:ascii="Arial" w:cs="Arial" w:eastAsia="Arial" w:hAnsi="Arial"/>
          <w:sz w:val="18"/>
          <w:szCs w:val="18"/>
          <w:b w:val="1"/>
          <w:bCs w:val="1"/>
          <w:color w:val="auto"/>
        </w:rPr>
      </w:pPr>
    </w:p>
    <w:p>
      <w:pPr>
        <w:ind w:left="1000" w:hanging="317"/>
        <w:spacing w:after="0"/>
        <w:tabs>
          <w:tab w:leader="none" w:pos="100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any undistributed amounts from previous years on which we paid no U.S. federal income tax.</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firstLine="222"/>
        <w:spacing w:after="0" w:line="264" w:lineRule="auto"/>
        <w:rPr>
          <w:sz w:val="20"/>
          <w:szCs w:val="20"/>
          <w:color w:val="auto"/>
        </w:rPr>
      </w:pPr>
      <w:r>
        <w:rPr>
          <w:rFonts w:ascii="Arial" w:cs="Arial" w:eastAsia="Arial" w:hAnsi="Arial"/>
          <w:sz w:val="18"/>
          <w:szCs w:val="18"/>
          <w:color w:val="auto"/>
        </w:rPr>
        <w:t>We generally expect to distribute all of our earnings on a quarterly basis, but will reinvest dividends on behalf of those investors that do not elect to receive their dividends in cash. See “</w:t>
      </w:r>
      <w:r>
        <w:rPr>
          <w:rFonts w:ascii="Arial" w:cs="Arial" w:eastAsia="Arial" w:hAnsi="Arial"/>
          <w:sz w:val="18"/>
          <w:szCs w:val="18"/>
          <w:i w:val="1"/>
          <w:iCs w:val="1"/>
          <w:color w:val="auto"/>
        </w:rPr>
        <w:t>Item 1(c). Description of—General—Dividend Reinvestment Plan.</w:t>
      </w:r>
      <w:r>
        <w:rPr>
          <w:rFonts w:ascii="Arial" w:cs="Arial" w:eastAsia="Arial" w:hAnsi="Arial"/>
          <w:sz w:val="18"/>
          <w:szCs w:val="18"/>
          <w:color w:val="auto"/>
        </w:rPr>
        <w:t>” One or more of the considerations described below, however, could result in the deferral of dividend distributions until the end of the fiscal year:</w:t>
      </w:r>
    </w:p>
    <w:p>
      <w:pPr>
        <w:spacing w:after="0" w:line="73" w:lineRule="exact"/>
        <w:rPr>
          <w:sz w:val="20"/>
          <w:szCs w:val="20"/>
          <w:color w:val="auto"/>
        </w:rPr>
      </w:pPr>
    </w:p>
    <w:p>
      <w:pPr>
        <w:ind w:left="1000" w:hanging="317"/>
        <w:spacing w:after="0" w:line="312" w:lineRule="auto"/>
        <w:tabs>
          <w:tab w:leader="none" w:pos="100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discount will be included in income in the taxable year of accrual and before we receive any corresponding cash payments.</w:t>
      </w:r>
    </w:p>
    <w:p>
      <w:pPr>
        <w:spacing w:after="0" w:line="52" w:lineRule="exact"/>
        <w:rPr>
          <w:rFonts w:ascii="Arial" w:cs="Arial" w:eastAsia="Arial" w:hAnsi="Arial"/>
          <w:sz w:val="16"/>
          <w:szCs w:val="16"/>
          <w:b w:val="1"/>
          <w:bCs w:val="1"/>
          <w:color w:val="auto"/>
        </w:rPr>
      </w:pPr>
    </w:p>
    <w:p>
      <w:pPr>
        <w:ind w:left="1000" w:right="120" w:hanging="317"/>
        <w:spacing w:after="0" w:line="277" w:lineRule="auto"/>
        <w:tabs>
          <w:tab w:leader="none" w:pos="100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In cases where our taxable income exceeds our available cash flow, we will need to fund distributions with the proceeds of sale of securities or with borrowed money, and will raise funds for this purpose opportunistically over the course of the year.</w:t>
      </w:r>
    </w:p>
    <w:p>
      <w:pPr>
        <w:spacing w:after="0" w:line="75" w:lineRule="exact"/>
        <w:rPr>
          <w:rFonts w:ascii="Arial" w:cs="Arial" w:eastAsia="Arial" w:hAnsi="Arial"/>
          <w:sz w:val="18"/>
          <w:szCs w:val="18"/>
          <w:b w:val="1"/>
          <w:bCs w:val="1"/>
          <w:color w:val="auto"/>
        </w:rPr>
      </w:pPr>
    </w:p>
    <w:p>
      <w:pPr>
        <w:ind w:left="1000" w:right="20" w:hanging="317"/>
        <w:spacing w:after="0" w:line="286" w:lineRule="auto"/>
        <w:tabs>
          <w:tab w:leader="none" w:pos="100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The withholding tax treatment of dividends payable to certain non-U.S. stockholders will depend on the extension by Congress of the pass-through rules applicable to “interest-related dividends” and “short-term capital gain dividends” (see “</w:t>
      </w:r>
      <w:r>
        <w:rPr>
          <w:rFonts w:ascii="Arial" w:cs="Arial" w:eastAsia="Arial" w:hAnsi="Arial"/>
          <w:sz w:val="17"/>
          <w:szCs w:val="17"/>
          <w:i w:val="1"/>
          <w:iCs w:val="1"/>
          <w:color w:val="auto"/>
        </w:rPr>
        <w:t>Taxation of Non-U.S. Holders</w:t>
      </w:r>
      <w:r>
        <w:rPr>
          <w:rFonts w:ascii="Arial" w:cs="Arial" w:eastAsia="Arial" w:hAnsi="Arial"/>
          <w:sz w:val="17"/>
          <w:szCs w:val="17"/>
          <w:color w:val="auto"/>
        </w:rPr>
        <w:t>,” below) for periods after December 31, 2011, and we may defer dividends pending the resolution of this issue in those periods.</w:t>
      </w:r>
    </w:p>
    <w:p>
      <w:pPr>
        <w:spacing w:after="0" w:line="57" w:lineRule="exact"/>
        <w:rPr>
          <w:sz w:val="20"/>
          <w:szCs w:val="20"/>
          <w:color w:val="auto"/>
        </w:rPr>
      </w:pPr>
    </w:p>
    <w:p>
      <w:pPr>
        <w:ind w:right="200" w:firstLine="225"/>
        <w:spacing w:after="0" w:line="257" w:lineRule="auto"/>
        <w:rPr>
          <w:sz w:val="20"/>
          <w:szCs w:val="20"/>
          <w:color w:val="auto"/>
        </w:rPr>
      </w:pPr>
      <w:r>
        <w:rPr>
          <w:rFonts w:ascii="Arial" w:cs="Arial" w:eastAsia="Arial" w:hAnsi="Arial"/>
          <w:sz w:val="18"/>
          <w:szCs w:val="18"/>
          <w:color w:val="auto"/>
        </w:rPr>
        <w:t>In certain circumstances (e.g., where we are required to recognize income before or without receiving cash representing such income), we may have difficulty making distributions in the amounts necessary to satisfy the requirements for maintaining RIC status and for avoiding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income tax.</w:t>
      </w:r>
    </w:p>
    <w:p>
      <w:pPr>
        <w:spacing w:after="0" w:line="80"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While we intend to distribute income and capital gains to the extent necessary to avoid or minimize exposure to the 4% excise tax, we may not be able to distribute amounts sufficient to avoid the imposition of the tax entirely. In that event, we will be liable for the tax only on the amount by which we do not meet the foregoing distribution requirement.</w:t>
      </w:r>
    </w:p>
    <w:p>
      <w:pPr>
        <w:spacing w:after="0" w:line="73" w:lineRule="exact"/>
        <w:rPr>
          <w:sz w:val="20"/>
          <w:szCs w:val="20"/>
          <w:color w:val="auto"/>
        </w:rPr>
      </w:pPr>
    </w:p>
    <w:p>
      <w:pPr>
        <w:jc w:val="both"/>
        <w:ind w:right="380" w:firstLine="225"/>
        <w:spacing w:after="0" w:line="264" w:lineRule="auto"/>
        <w:rPr>
          <w:sz w:val="20"/>
          <w:szCs w:val="20"/>
          <w:color w:val="auto"/>
        </w:rPr>
      </w:pPr>
      <w:r>
        <w:rPr>
          <w:rFonts w:ascii="Arial" w:cs="Arial" w:eastAsia="Arial" w:hAnsi="Arial"/>
          <w:sz w:val="18"/>
          <w:szCs w:val="18"/>
          <w:color w:val="auto"/>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and accumulated earnings and profits.</w:t>
      </w:r>
    </w:p>
    <w:p>
      <w:pPr>
        <w:spacing w:after="0" w:line="73"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U.S. Holders</w:t>
      </w:r>
      <w:r>
        <w:rPr>
          <w:rFonts w:ascii="Arial" w:cs="Arial" w:eastAsia="Arial" w:hAnsi="Arial"/>
          <w:sz w:val="18"/>
          <w:szCs w:val="18"/>
          <w:color w:val="auto"/>
        </w:rPr>
        <w:t>.</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Distributions from our investment company taxable income (consisting generally of net investment income, net short-term capital gain, and net gains from certain foreign currency transactions) generally will be taxable to U.S. Holders as ordinary income to the extent made out of our current or accumulated earnings and profits. Distributions generally will not be eligible for the dividends received deduction allowed to corporate stockholders. Distributions that we designate as net capital gain distributions will be taxable to U.S. Holders as long-term capital gain regardless of how long particular U.S. Holders have held their shares.</w:t>
      </w:r>
    </w:p>
    <w:p>
      <w:pPr>
        <w:spacing w:after="0" w:line="80" w:lineRule="exact"/>
        <w:rPr>
          <w:sz w:val="20"/>
          <w:szCs w:val="20"/>
          <w:color w:val="auto"/>
        </w:rPr>
      </w:pPr>
    </w:p>
    <w:p>
      <w:pPr>
        <w:jc w:val="both"/>
        <w:ind w:right="460" w:firstLine="222"/>
        <w:spacing w:after="0" w:line="264" w:lineRule="auto"/>
        <w:rPr>
          <w:sz w:val="20"/>
          <w:szCs w:val="20"/>
          <w:color w:val="auto"/>
        </w:rPr>
      </w:pPr>
      <w:r>
        <w:rPr>
          <w:rFonts w:ascii="Arial" w:cs="Arial" w:eastAsia="Arial" w:hAnsi="Arial"/>
          <w:sz w:val="18"/>
          <w:szCs w:val="18"/>
          <w:color w:val="auto"/>
        </w:rPr>
        <w:t>We expect to give holders the option of participating in a dividend reinvestment plan that will allow them to elect to receive dividends in the form of additional shares instead of in cash. If you elect to reinvest dividends in additional shares, you will be treated as if you had received a distribution in the amount of cash that you would have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received if you had not made the election. Any such additional shares will have a basis equal to the amount of the distribution.</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Distributions declared by us in October, November, or December of any year and payable to stockholders of record on a specified date in such a month will be deemed to have been paid by us on December 31st if the distributions are paid by us during the following January. Accordingly, distributions received in January may be subject to taxation in the preceding year.</w:t>
      </w:r>
    </w:p>
    <w:p>
      <w:pPr>
        <w:spacing w:after="0" w:line="73"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If a U.S. Holder sells or exchanges shares of our common stock, the holder will recognize gain or loss equal to the difference between its adjusted basis in the shares sold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Deduction for Certain Expenses</w:t>
      </w:r>
      <w:r>
        <w:rPr>
          <w:rFonts w:ascii="Arial" w:cs="Arial" w:eastAsia="Arial" w:hAnsi="Arial"/>
          <w:sz w:val="18"/>
          <w:szCs w:val="18"/>
          <w:color w:val="auto"/>
        </w:rPr>
        <w:t>.</w:t>
      </w:r>
    </w:p>
    <w:p>
      <w:pPr>
        <w:spacing w:after="0" w:line="11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If our shares are not beneficially owned by at least 500 persons at all times during the taxable year, then a U.S. Holder that is an individual, estate or trust may be subject to limitations on miscellaneous itemized deductions in respect of its share of expenses that we incur, to the extent that the expenses would have been subject to limitations if the holder had incurred them directly. The Company does not expect its shares to be beneficially owned by 500 or more persons until the occurrence of an IPO.</w:t>
      </w:r>
    </w:p>
    <w:p>
      <w:pPr>
        <w:spacing w:after="0" w:line="79"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If we do not satisfy the 500-stockholder requirement, we would be required to report the relevant expenses, including the management fee, on Form 1099-DIV, and affected holders will be required to take into account their allocable share of such income and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Taxation of Tax-Exempt U.S. Holders.</w:t>
      </w:r>
    </w:p>
    <w:p>
      <w:pPr>
        <w:spacing w:after="0" w:line="117" w:lineRule="exact"/>
        <w:rPr>
          <w:sz w:val="20"/>
          <w:szCs w:val="20"/>
          <w:color w:val="auto"/>
        </w:rPr>
      </w:pPr>
    </w:p>
    <w:p>
      <w:pPr>
        <w:ind w:right="80" w:firstLine="215"/>
        <w:spacing w:after="0" w:line="288" w:lineRule="auto"/>
        <w:rPr>
          <w:sz w:val="20"/>
          <w:szCs w:val="20"/>
          <w:color w:val="auto"/>
        </w:rPr>
      </w:pPr>
      <w:r>
        <w:rPr>
          <w:rFonts w:ascii="Arial" w:cs="Arial" w:eastAsia="Arial" w:hAnsi="Arial"/>
          <w:sz w:val="16"/>
          <w:szCs w:val="16"/>
          <w:color w:val="auto"/>
        </w:rPr>
        <w:t>A U.S. Holder that is a tax-exempt organization for U.S. federal income tax purposes and therefore generally exempt from U.S. federal income taxation may nevertheless be subject to taxation to the extent that it is considered to derive unrelated business taxable income (“UBTI”). The direct conduct by a tax-exempt U.S. Holder of the activities that we propose to conduct could give rise to UBTI. However, a BDC is a corporation for U.S. federal income tax purposes and its business activities generally will not be attributed to its stockholders for purposes of determining their treatment under current law. Therefore, a tax-exempt U.S. Holder should not be subject to U.S. taxation solely as a result of the holder’s ownership of our shares and receipt of dividends that we pay. Moreover, under current law, if we incur indebtedness, such indebtedness will not be attributed to portfolio investors in our stock. Therefore, a tax-exempt U.S. Holder should not be treated as earning income from “debt-financed property” and dividends we pay should not be treated as “unrelated debt-financed income” solely as a result of indebtedness that we incur. Proposals periodically are made to change the treatment of “blocker” investment vehicles interposed between tax-exempt investors and nonqualifying investments. In the event that any such proposals were to be adopted and applied to BDCs, the treatment of dividends payable to tax-exempt investors could be adversely affected.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Non-U.S. Holders</w:t>
      </w:r>
      <w:r>
        <w:rPr>
          <w:rFonts w:ascii="Arial" w:cs="Arial" w:eastAsia="Arial" w:hAnsi="Arial"/>
          <w:sz w:val="18"/>
          <w:szCs w:val="18"/>
          <w:color w:val="auto"/>
        </w:rPr>
        <w:t>.</w:t>
      </w:r>
    </w:p>
    <w:p>
      <w:pPr>
        <w:spacing w:after="0" w:line="117" w:lineRule="exact"/>
        <w:rPr>
          <w:sz w:val="20"/>
          <w:szCs w:val="20"/>
          <w:color w:val="auto"/>
        </w:rPr>
      </w:pPr>
    </w:p>
    <w:p>
      <w:pPr>
        <w:ind w:right="60" w:firstLine="225"/>
        <w:spacing w:after="0" w:line="285" w:lineRule="auto"/>
        <w:rPr>
          <w:sz w:val="20"/>
          <w:szCs w:val="20"/>
          <w:color w:val="auto"/>
        </w:rPr>
      </w:pPr>
      <w:r>
        <w:rPr>
          <w:rFonts w:ascii="Arial" w:cs="Arial" w:eastAsia="Arial" w:hAnsi="Arial"/>
          <w:sz w:val="16"/>
          <w:szCs w:val="16"/>
          <w:color w:val="auto"/>
        </w:rPr>
        <w:t>Dividends that we pay to a Non-U.S. Holder will be subject to U.S. withholding tax at a 30% rate unless (i) the dividend qualifies for pass-through treatment under the rules described below, and the holder could have received the underlying income free of tax; or (ii) the holder qualifies for, and complies with the procedures for claiming, an exemption or reduced rate under an applicable income tax treaty; or (iii) the holder qualifies, and complies with the procedures for claiming, an exemption by reason of its status as a foreign government-related entity. Non-U.S. Holders generally are not subject to U.S. tax on capital gains realized on the sale of our shares if (i) such gains are not effectively connected with the conduct of a U.S. trade or business by the holder,</w:t>
      </w:r>
    </w:p>
    <w:p>
      <w:pPr>
        <w:spacing w:after="0" w:line="2" w:lineRule="exact"/>
        <w:rPr>
          <w:sz w:val="20"/>
          <w:szCs w:val="20"/>
          <w:color w:val="auto"/>
        </w:rPr>
      </w:pPr>
    </w:p>
    <w:p>
      <w:pPr>
        <w:ind w:right="320" w:firstLine="8"/>
        <w:spacing w:after="0" w:line="261" w:lineRule="auto"/>
        <w:tabs>
          <w:tab w:leader="none" w:pos="26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holder is not present in the United States for 183 or more days during the taxable year; and (iii) the holder is not a former citizen or resident of the United States.</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 xml:space="preserve">In recent years, Congress has renewed the pass-through rules under which certain dividend distributions by RICs qualify for an exemption from U.S. withholding tax annually for a one-year period. The exemption expired at the end of 2009, and a two-year exemption (applicable to dividends distributed in 2010 and 2011) was enacted in December 2010. Further legislation would be required to make the exemption available in years beyond 2011. </w:t>
      </w:r>
      <w:r>
        <w:rPr>
          <w:rFonts w:ascii="Arial" w:cs="Arial" w:eastAsia="Arial" w:hAnsi="Arial"/>
          <w:sz w:val="17"/>
          <w:szCs w:val="17"/>
          <w:b w:val="1"/>
          <w:bCs w:val="1"/>
          <w:color w:val="auto"/>
        </w:rPr>
        <w:t>There can be</w:t>
      </w:r>
      <w:r>
        <w:rPr>
          <w:rFonts w:ascii="Arial" w:cs="Arial" w:eastAsia="Arial" w:hAnsi="Arial"/>
          <w:sz w:val="17"/>
          <w:szCs w:val="17"/>
          <w:color w:val="auto"/>
        </w:rPr>
        <w:t xml:space="preserve"> </w:t>
      </w:r>
      <w:r>
        <w:rPr>
          <w:rFonts w:ascii="Arial" w:cs="Arial" w:eastAsia="Arial" w:hAnsi="Arial"/>
          <w:sz w:val="17"/>
          <w:szCs w:val="17"/>
          <w:b w:val="1"/>
          <w:bCs w:val="1"/>
          <w:color w:val="auto"/>
        </w:rPr>
        <w:t>no assurance that Congress will extend the pass-through rules for periods after December 31, 2011, or that any such extension will apply to dividends that we distribute after that date</w:t>
      </w:r>
      <w:r>
        <w:rPr>
          <w:rFonts w:ascii="Arial" w:cs="Arial" w:eastAsia="Arial" w:hAnsi="Arial"/>
          <w:sz w:val="17"/>
          <w:szCs w:val="17"/>
          <w:color w:val="auto"/>
        </w:rPr>
        <w:t>. If, and for so long as, Congress extends the exemption, dividends that we designate as “interest-related</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or “short-term capital gain dividends” generally will be exempt from U.S. withholding tax if the holder could have received the underlying income free of tax. If the exemption is not extended, some Non-U.S. 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 potential implications of a failure to extend the U.S. withholding tax exemption in light of their particular circumstances, and regarding their eligibility for a reduced rate or exemption as described above.</w:t>
      </w:r>
    </w:p>
    <w:p>
      <w:pPr>
        <w:spacing w:after="0" w:line="70" w:lineRule="exact"/>
        <w:rPr>
          <w:sz w:val="20"/>
          <w:szCs w:val="20"/>
          <w:color w:val="auto"/>
        </w:rPr>
      </w:pPr>
    </w:p>
    <w:p>
      <w:pPr>
        <w:ind w:right="160" w:firstLine="225"/>
        <w:spacing w:after="0" w:line="270" w:lineRule="auto"/>
        <w:rPr>
          <w:sz w:val="20"/>
          <w:szCs w:val="20"/>
          <w:color w:val="auto"/>
        </w:rPr>
      </w:pPr>
      <w:r>
        <w:rPr>
          <w:rFonts w:ascii="Arial" w:cs="Arial" w:eastAsia="Arial" w:hAnsi="Arial"/>
          <w:sz w:val="17"/>
          <w:szCs w:val="17"/>
          <w:color w:val="auto"/>
        </w:rPr>
        <w:t>In order to qualify for an exemption or reduced rate of U.S. withholding tax (under a treaty, by reason of an exemption for sovereign investors, or under the rules applicable to interest-related dividends or short-term capital gain dividends), a holder must comply with the U.S. tax certification requirements described below. A Non-U.S. Holder must deliver and maintain in effect a valid IRS Form W-8BEN or other applicable tax certification establishing its entitlement to the exemption or reduced rate. In the case of distributions and proceeds from the sale of shares after December 31, 2012, additional requirements will apply to Non-U.S. Holders that are considered for U.S. tax purposes to be a foreign financial institution or entity and to Non-U.S. Holders that hold their shares through such an institution or entity. In general, an exemption from U.S. withholding tax will be available only if the foreign financial institution or entity has entered into an agreement with the U.S. government to collect and provide to the U.S. tax authorities information about its accountholders (including certain investors in such institution or entity) and, if required, the Non-U.S. Holder has provided the withholding agent with a certification identifying its direct and indirect U.S. owners.</w:t>
      </w:r>
    </w:p>
    <w:p>
      <w:pPr>
        <w:spacing w:after="0" w:line="74" w:lineRule="exact"/>
        <w:rPr>
          <w:sz w:val="20"/>
          <w:szCs w:val="20"/>
          <w:color w:val="auto"/>
        </w:rPr>
      </w:pPr>
    </w:p>
    <w:p>
      <w:pPr>
        <w:ind w:right="20" w:firstLine="215"/>
        <w:spacing w:after="0" w:line="257" w:lineRule="auto"/>
        <w:rPr>
          <w:sz w:val="20"/>
          <w:szCs w:val="20"/>
          <w:color w:val="auto"/>
        </w:rPr>
      </w:pPr>
      <w:r>
        <w:rPr>
          <w:rFonts w:ascii="Arial" w:cs="Arial" w:eastAsia="Arial" w:hAnsi="Arial"/>
          <w:sz w:val="18"/>
          <w:szCs w:val="18"/>
          <w:color w:val="auto"/>
        </w:rPr>
        <w:t>A BDC is a corporation for U.S. federal income tax purposes. Under current law, a Non-U.S. Holder will not be considered to be engaged in the conduct of a business in the United States solely by reason of its ownership in a BDC. Proposals periodically are made to change the treatment of “blocker” investment vehicles interposed between foreign investors and investments that would otherwise result in such investors being considered to be engaged in the conduct of a business in the United States. In the event that any such proposals were to be adopted and applied to BDCs, the treatment of dividends payable to foreign investors could be adversely affected.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Backup Withholding</w:t>
      </w:r>
      <w:r>
        <w:rPr>
          <w:rFonts w:ascii="Arial" w:cs="Arial" w:eastAsia="Arial" w:hAnsi="Arial"/>
          <w:sz w:val="18"/>
          <w:szCs w:val="18"/>
          <w:color w:val="auto"/>
        </w:rPr>
        <w:t>.</w:t>
      </w:r>
    </w:p>
    <w:p>
      <w:pPr>
        <w:spacing w:after="0" w:line="117"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U.S. information reporting requirements and backup withholding tax will not apply to dividends paid on our shares to a Non-U.S. Holder, provided the Non-U.S. Holder provides a Form W-8BEN (or satisfies certain documentary evidence requirements for establishing that it is a non-United States person) or otherwise establishes an exemption. Information reporting and backup withholding also generally will not apply to a payment of the proceeds of a sale of our shares effected outside the United States by a foreign office of a foreign broker. However,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 U.S. holder and certain conditions are met, or the holder otherwise establishes an exemption. Payment by a United States office of a broker of the proceeds of a sale of our shares will be subject to both backup withholding and information reporting unless the holder certifies its non United States status under penalties of perjury or otherwise establishes an exemption. Backup withholding is not an additional tax. Any amounts withheld from payments made to a stockholder may be refunded or credited against such stockholder’s U.S. federal income tax liability, if any, provided that the required information is furnished to the IRS.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80" w:firstLine="215"/>
        <w:spacing w:after="0" w:line="259" w:lineRule="auto"/>
        <w:rPr>
          <w:sz w:val="20"/>
          <w:szCs w:val="20"/>
          <w:color w:val="auto"/>
        </w:rPr>
      </w:pPr>
      <w:r>
        <w:rPr>
          <w:rFonts w:ascii="Arial" w:cs="Arial" w:eastAsia="Arial" w:hAnsi="Arial"/>
          <w:sz w:val="18"/>
          <w:szCs w:val="18"/>
          <w:color w:val="auto"/>
        </w:rPr>
        <w:t>An investment in our securities involves certain risks relating to our structure and investment objective. The risks set forth below are not the only risks we face, and we may face other risks that we have not yet identified, which we do not currently deem material or which are not yet predictable. If any of the following risks occur, our business, financial condition and results of operations could be materially adversely affected. In such case, our net asset value and the price of our common stock could decline, and you may lose all or part of your investment.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are a newly-formed company with no operating history.</w:t>
      </w:r>
    </w:p>
    <w:p>
      <w:pPr>
        <w:spacing w:after="0" w:line="117"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We were initially formed in July 2010. As a result, we have limited financial information on which you can evaluate an investment in our company or our prior performance. We are subject to all of the business risks and uncertainties associated with any new business, including the risk that we will not achieve our investment objective and that the value of your investment could decline substantially or your investment could become worthless. We anticipate that it may take multiple years to invest substantially all of the capital commitments we expect to receive from the Private Offering due to market conditions generally and the time necessary to identify, evaluate, structure, negotiate and close suitable investments in private middle-market companies. To the extent required to comply with diversification requirements during the startup period, we will use funds to invest in temporary investments, such as cash, cash equivalents, U.S. government securities and other high-quality debt investments that mature in one year or less, which we expect will earn yields substantially lower than the interest, dividend or other income that we anticipate receiving in respect of suitable portfolio investments. We may not be able to pay any significant dividends during this period, and any such dividends may be substantially lower than the dividends we expect to pay when our portfolio is fully invested.</w:t>
      </w:r>
    </w:p>
    <w:p>
      <w:pPr>
        <w:spacing w:after="0" w:line="87"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We will pay a Management Fee to the Adviser throughout this interim period. If the Management Fee and our other expenses exceed the return on the temporary investments, our equity capital will be eroded.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will be dependent upon management personnel of the Adviser for our future success.</w:t>
      </w:r>
    </w:p>
    <w:p>
      <w:pPr>
        <w:spacing w:after="0" w:line="117" w:lineRule="exact"/>
        <w:rPr>
          <w:sz w:val="20"/>
          <w:szCs w:val="20"/>
          <w:color w:val="auto"/>
        </w:rPr>
      </w:pPr>
    </w:p>
    <w:p>
      <w:pPr>
        <w:ind w:right="220" w:firstLine="222"/>
        <w:spacing w:after="0" w:line="272" w:lineRule="auto"/>
        <w:rPr>
          <w:sz w:val="20"/>
          <w:szCs w:val="20"/>
          <w:color w:val="auto"/>
        </w:rPr>
      </w:pPr>
      <w:r>
        <w:rPr>
          <w:rFonts w:ascii="Arial" w:cs="Arial" w:eastAsia="Arial" w:hAnsi="Arial"/>
          <w:sz w:val="17"/>
          <w:szCs w:val="17"/>
          <w:color w:val="auto"/>
        </w:rPr>
        <w:t>We will depend on the experience, diligence, skill and network of business contacts of the Adviser’s senior investment professionals. The senior investment professionals, together with other investment professionals that the Adviser currently retains or may subsequently retain, will identify, evaluate, negotiate, structure, close, monitor and manage our investments. Our future success will depend to a significant extent on the continued service and coordination of the Adviser’s senior investment professionals. The departure of any of the Adviser’s key personnel, including members of the Adviser’s Investment Review Committee, or of a significant number of the investment professionals or partners of TPG, could have a material adverse effect on our business, financial condition or results of operations. In addition, we cannot assure you that the Adviser will remain our investment adviser or that we will continue to have access to TPG or its investment professionals.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Adviser and its management have no prior experience managing a BDC.</w:t>
      </w:r>
    </w:p>
    <w:p>
      <w:pPr>
        <w:spacing w:after="0" w:line="117" w:lineRule="exact"/>
        <w:rPr>
          <w:sz w:val="20"/>
          <w:szCs w:val="20"/>
          <w:color w:val="auto"/>
        </w:rPr>
      </w:pPr>
    </w:p>
    <w:p>
      <w:pPr>
        <w:ind w:right="180" w:firstLine="222"/>
        <w:spacing w:after="0" w:line="276" w:lineRule="auto"/>
        <w:rPr>
          <w:sz w:val="20"/>
          <w:szCs w:val="20"/>
          <w:color w:val="auto"/>
        </w:rPr>
      </w:pPr>
      <w:r>
        <w:rPr>
          <w:rFonts w:ascii="Arial" w:cs="Arial" w:eastAsia="Arial" w:hAnsi="Arial"/>
          <w:sz w:val="17"/>
          <w:szCs w:val="17"/>
          <w:color w:val="auto"/>
        </w:rPr>
        <w:t>The senior investment professionals of the Adviser have no prior experience managing a business development company, and the investment philosophy and techniques used by the Adviser to manage a public company may differ from the investment philosophy and techniques previously employed by the Adviser’s senior investment professionals in identifying and managing past investments. Accordingly, we can offer no assurance that we will replicate the historical performance of other businesses or companies with which the Adviser’s senior investment professionals have been affiliated, and we caution you that our investment returns could be substantially lower than the returns achieved by such other companies.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Regulations governing our operation as a BDC affect our ability to, and the way in which we, raise additional capital.</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222"/>
        <w:spacing w:after="0" w:line="257" w:lineRule="auto"/>
        <w:rPr>
          <w:sz w:val="20"/>
          <w:szCs w:val="20"/>
          <w:color w:val="auto"/>
        </w:rPr>
      </w:pPr>
      <w:r>
        <w:rPr>
          <w:rFonts w:ascii="Arial" w:cs="Arial" w:eastAsia="Arial" w:hAnsi="Arial"/>
          <w:sz w:val="18"/>
          <w:szCs w:val="18"/>
          <w:color w:val="auto"/>
        </w:rPr>
        <w:t>The 1940 Act imposes numerous constraints on the operations of business development companies. See “</w:t>
      </w:r>
      <w:r>
        <w:rPr>
          <w:rFonts w:ascii="Arial" w:cs="Arial" w:eastAsia="Arial" w:hAnsi="Arial"/>
          <w:sz w:val="18"/>
          <w:szCs w:val="18"/>
          <w:i w:val="1"/>
          <w:iCs w:val="1"/>
          <w:color w:val="auto"/>
        </w:rPr>
        <w:t>Item 1(c). Regulation as a Public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Company</w:t>
      </w:r>
      <w:r>
        <w:rPr>
          <w:rFonts w:ascii="Arial" w:cs="Arial" w:eastAsia="Arial" w:hAnsi="Arial"/>
          <w:sz w:val="18"/>
          <w:szCs w:val="18"/>
          <w:color w:val="auto"/>
        </w:rPr>
        <w:t>” for a discussion of business development company limitations. For example, business development companies are required to invest</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70% of their total assets in securities of nonpublic or thinly traded U.S. companies, cash, cash equivalents, U.S. government securities and other high quality debt investments that mature in one year or less. These constraints may hinder the Adviser’s ability to take advantage of attractive investment opportunities and to achieve our investment objective.</w:t>
      </w:r>
    </w:p>
    <w:p>
      <w:pPr>
        <w:spacing w:after="0" w:line="80"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Regulations governing our operation as a business development company affect our ability to raise additional capital, and the ways in which we can do so. Raising additional capital may expose us to risks, including the typical risks associated with leverage, and may result in dilution to our current stockholders. The 1940 Act limits our ability to issue debt and preferred stock (“senior securities”) to amounts such that our asset coverage ratio is at least 200% of assets less liabilities and other indebtedness. Consequently, if the value of our assets declines, we may be required to sell a portion of our investments and, depending on the nature of our leverage, repay a portion of our indebtedness at a time when this may be disadvantageous.</w:t>
      </w:r>
    </w:p>
    <w:p>
      <w:pPr>
        <w:spacing w:after="0" w:line="64" w:lineRule="exact"/>
        <w:rPr>
          <w:sz w:val="20"/>
          <w:szCs w:val="20"/>
          <w:color w:val="auto"/>
        </w:rPr>
      </w:pPr>
    </w:p>
    <w:p>
      <w:pPr>
        <w:ind w:right="400" w:firstLine="222"/>
        <w:spacing w:after="0" w:line="264" w:lineRule="auto"/>
        <w:rPr>
          <w:sz w:val="20"/>
          <w:szCs w:val="20"/>
          <w:color w:val="auto"/>
        </w:rPr>
      </w:pPr>
      <w:r>
        <w:rPr>
          <w:rFonts w:ascii="Arial" w:cs="Arial" w:eastAsia="Arial" w:hAnsi="Arial"/>
          <w:sz w:val="18"/>
          <w:szCs w:val="18"/>
          <w:color w:val="auto"/>
        </w:rPr>
        <w:t>We are not generally able to issue and sell our common stock at a price below net asset value per share. We may, however, sell our common stock, or warrants, options or rights to acquire our common stock, at a price below the then-current net asset value per share of our common stock if our Board determines that a sale is in the best interests of us and our stockholders, and our stockholders approve it.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borrow money, which may magnify the potential for gain or loss and may increase the risk of investing in us.</w:t>
      </w:r>
    </w:p>
    <w:p>
      <w:pPr>
        <w:spacing w:after="0" w:line="117" w:lineRule="exact"/>
        <w:rPr>
          <w:sz w:val="20"/>
          <w:szCs w:val="20"/>
          <w:color w:val="auto"/>
        </w:rPr>
      </w:pPr>
    </w:p>
    <w:p>
      <w:pPr>
        <w:ind w:right="20" w:firstLine="215"/>
        <w:spacing w:after="0" w:line="255" w:lineRule="auto"/>
        <w:rPr>
          <w:sz w:val="20"/>
          <w:szCs w:val="20"/>
          <w:color w:val="auto"/>
        </w:rPr>
      </w:pPr>
      <w:r>
        <w:rPr>
          <w:rFonts w:ascii="Arial" w:cs="Arial" w:eastAsia="Arial" w:hAnsi="Arial"/>
          <w:sz w:val="18"/>
          <w:szCs w:val="18"/>
          <w:color w:val="auto"/>
        </w:rPr>
        <w:t>As part of our business strategy, we may borrow from and issue senior debt securities to banks, insurance companies, and other lenders. Holders of these senior securities will have fixed-dollar claims on our assets that are superior to the claims of our common stockholders. If the value of our assets decreases, leveraging would cause net asset value to decline more sharply than it otherwise would have had we not leveraged. Similarly, any decrease in our income would cause net income to decline more sharply than it would have had we not borrowed. Such a decline could negatively affect our ability to make common stock dividend payments. Our ability to service any debt that we incur will depend largely on our financial performance and will be subject to prevailing economic conditions and competitive pressures. Moreover, the Management Fee will be payable based on our gross assets, including those assets acquired through the use of leverage.</w:t>
      </w:r>
    </w:p>
    <w:p>
      <w:pPr>
        <w:spacing w:after="0" w:line="81"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Furthermore, any debt facility into which we may enter may impose financial and operating covenants that restrict our business activities, our ability to call capital, remedies on default and similar matters. In connection with borrowings, our lenders may also require us to pledge assets, subscription commitments and/or the proceeds of our capital calls.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Lastly, we may be unable to obtain our desired leverage, which would, in turn, affect our return on capital.</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will operate in a highly competitive market for investment opportunities.</w:t>
      </w:r>
    </w:p>
    <w:p>
      <w:pPr>
        <w:spacing w:after="0" w:line="117" w:lineRule="exact"/>
        <w:rPr>
          <w:sz w:val="20"/>
          <w:szCs w:val="20"/>
          <w:color w:val="auto"/>
        </w:rPr>
      </w:pPr>
    </w:p>
    <w:p>
      <w:pPr>
        <w:ind w:right="140" w:firstLine="225"/>
        <w:spacing w:after="0" w:line="297" w:lineRule="auto"/>
        <w:rPr>
          <w:sz w:val="20"/>
          <w:szCs w:val="20"/>
          <w:color w:val="auto"/>
        </w:rPr>
      </w:pPr>
      <w:r>
        <w:rPr>
          <w:rFonts w:ascii="Arial" w:cs="Arial" w:eastAsia="Arial" w:hAnsi="Arial"/>
          <w:sz w:val="16"/>
          <w:szCs w:val="16"/>
          <w:color w:val="auto"/>
        </w:rPr>
        <w:t>Other entities, including commercial banks, commercial financing companies, other business development companies and insurance companies compete with us to make the types of investments that we plan to make in middle-market companies. Certain of these competitors may be substantially larger, have considerably greater financial, technical and marketing resources than we will have and offer a wider array of financial services. For example, some competitors may have a lower cost of funds and access to funding sources that are not available to us. Many competitors are not subject to the regulatory restrictions that the 1940 Act will impose on us as a business development company or the restrictions that the Code will impose on us as a RIC.</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7"/>
          <w:szCs w:val="17"/>
          <w:i w:val="1"/>
          <w:iCs w:val="1"/>
          <w:color w:val="auto"/>
        </w:rPr>
        <w:t>Even in the event the value of your investment declines, the Management Fee and, in certain circumstances, the Incentive Fee will still be payable.</w:t>
      </w:r>
    </w:p>
    <w:p>
      <w:pPr>
        <w:spacing w:after="0" w:line="129"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color w:val="auto"/>
        </w:rPr>
        <w:t>Even in the event the value of your investment declines, the Management Fee and, in certain circumstances, the Incentive Fee will still be payable. Following an IPO, the Management Fee will be calculated as a percentage of the value of our gross assets at a specific time. Accordingly, the Management Fee will be payable regardless of</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whether the value of our gross assets and/or your investment have decreased. Moreover, one component of the Incentive Fee is calculated annually based upon our realized capital gains, computed net of realized capital losses and unrealized capital depreciation on a cumulative basis. As a result, we may owe the Adviser an Incentive Fee during one year as a result of realized capital gains on certain investments, and then later incur significant realized capital losses and unrealized capital depreciation on the remaining investments in our portfolio during subsequent years.</w:t>
      </w:r>
    </w:p>
    <w:p>
      <w:pPr>
        <w:spacing w:after="0" w:line="63"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 producing securities. Such a practice could result in our investing in more speculative securities than would otherwise be the case, which could result in higher investment losses, particularly during cyclical economic downturns.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will be subject to corporate-level income tax if we are unable to qualify as a RIC under Subchapter M of the Code.</w:t>
      </w:r>
    </w:p>
    <w:p>
      <w:pPr>
        <w:spacing w:after="0" w:line="117"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We will incur corporate-level income tax costs if we are unable to qualify as a RIC for U.S. tax purposes or if we are not able to distribute all of our income in a timely fashion. Although we intend to elect to be treated as a RIC shortly after the effectiveness of this Registration Statement, no assurance can be given that we will be able to qualify for and maintain RIC status. To obtain and maintain RIC tax treatment under the Code, we must meet the following annual distribution, income source and asset diversification requirements:</w:t>
      </w:r>
    </w:p>
    <w:p>
      <w:pPr>
        <w:spacing w:after="0" w:line="79" w:lineRule="exact"/>
        <w:rPr>
          <w:sz w:val="20"/>
          <w:szCs w:val="20"/>
          <w:color w:val="auto"/>
        </w:rPr>
      </w:pPr>
    </w:p>
    <w:p>
      <w:pPr>
        <w:ind w:left="660" w:right="60" w:hanging="314"/>
        <w:spacing w:after="0" w:line="255" w:lineRule="auto"/>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We must distribute to our stockholders on an annual basis at least 90% of our net ordinary income and realized net short-term capital gains in excess of realized net long-term capital losses, if any. In the event we use debt financing, we will be subject to certain asset coverage ratio requirements under the 1940 Act and financial covenants under loan and credit agreements that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qualify for RIC tax treatment and thus become subject to corporate-level income tax.</w:t>
      </w:r>
    </w:p>
    <w:p>
      <w:pPr>
        <w:spacing w:after="0" w:line="85" w:lineRule="exact"/>
        <w:rPr>
          <w:rFonts w:ascii="Arial" w:cs="Arial" w:eastAsia="Arial" w:hAnsi="Arial"/>
          <w:sz w:val="18"/>
          <w:szCs w:val="18"/>
          <w:b w:val="1"/>
          <w:bCs w:val="1"/>
          <w:color w:val="auto"/>
        </w:rPr>
      </w:pPr>
    </w:p>
    <w:p>
      <w:pPr>
        <w:ind w:left="660" w:hanging="314"/>
        <w:spacing w:after="0"/>
        <w:tabs>
          <w:tab w:leader="none" w:pos="66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We must derive at least 90% of our gross income for each year from dividends, interest, gains from the sale of stock or securities or similar sources.</w:t>
      </w:r>
    </w:p>
    <w:p>
      <w:pPr>
        <w:spacing w:after="0" w:line="140" w:lineRule="exact"/>
        <w:rPr>
          <w:rFonts w:ascii="Arial" w:cs="Arial" w:eastAsia="Arial" w:hAnsi="Arial"/>
          <w:sz w:val="16"/>
          <w:szCs w:val="16"/>
          <w:b w:val="1"/>
          <w:bCs w:val="1"/>
          <w:color w:val="auto"/>
        </w:rPr>
      </w:pPr>
    </w:p>
    <w:p>
      <w:pPr>
        <w:ind w:left="660" w:right="60" w:hanging="314"/>
        <w:spacing w:after="0" w:line="312" w:lineRule="auto"/>
        <w:tabs>
          <w:tab w:leader="none" w:pos="66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We must meet specified asset diversification requirements at the end of each quarter of our taxable year. The need to satisfy these requirements in order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39" w:lineRule="exact"/>
        <w:rPr>
          <w:sz w:val="20"/>
          <w:szCs w:val="20"/>
          <w:color w:val="auto"/>
        </w:rPr>
      </w:pPr>
    </w:p>
    <w:p>
      <w:pPr>
        <w:ind w:right="100" w:firstLine="225"/>
        <w:spacing w:after="0" w:line="277" w:lineRule="auto"/>
        <w:rPr>
          <w:sz w:val="20"/>
          <w:szCs w:val="20"/>
          <w:color w:val="auto"/>
        </w:rPr>
      </w:pPr>
      <w:r>
        <w:rPr>
          <w:rFonts w:ascii="Arial" w:cs="Arial" w:eastAsia="Arial" w:hAnsi="Arial"/>
          <w:sz w:val="18"/>
          <w:szCs w:val="18"/>
          <w:color w:val="auto"/>
        </w:rPr>
        <w:t>If we fail to qualify for RIC tax treatment for any reason, the resulting federal income tax liability could substantially reduce our net assets, the amount of income available for distribution, and the amount of our distributions.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There is a risk that you may not receive dividends or that our dividends may not grow over time.</w:t>
      </w:r>
    </w:p>
    <w:p>
      <w:pPr>
        <w:spacing w:after="0" w:line="117"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We cannot assure you that we will achieve investment results or maintain a tax status that will allow or require any specified level of cash distributions or year-to-year increases in cash distributions.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225"/>
        <w:spacing w:after="0" w:line="273" w:lineRule="auto"/>
        <w:rPr>
          <w:sz w:val="20"/>
          <w:szCs w:val="20"/>
          <w:color w:val="auto"/>
        </w:rPr>
      </w:pPr>
      <w:r>
        <w:rPr>
          <w:rFonts w:ascii="Arial" w:cs="Arial" w:eastAsia="Arial" w:hAnsi="Arial"/>
          <w:sz w:val="17"/>
          <w:szCs w:val="17"/>
          <w:color w:val="auto"/>
        </w:rPr>
        <w:t>In certain cases, we may recognize income before or without receiving cash representing the income. Depending on the amount of noncash income, this could result in difficulty satisfying the annual distribution requirement applicable to RICs. Accordingly, we may delay distributions during a year until we generate cash or we may have to sell some of our investments at times we would not consider advantageous, raise additional debt or equity capital or reduce new investments to meet these distribution requirements. In addition, the withholding tax treatment of our distributions to certain of our non-U.S. stockholders will depend on whether and when Congress enacts legislation extending the pass-through treatment of “interest-related dividends,” and we may elect to defer the payment of dividends in any year pending the resolution of this issue.</w:t>
      </w:r>
    </w:p>
    <w:p>
      <w:pPr>
        <w:spacing w:after="0" w:line="70"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Since we expect to have an average holding period for our portfolio company investments of two to four years, it is unlikely we will generate any capital gains during our initial years of operation and thus we are likely to pay dividends in those years principally from interest we receive from our initial and follow-on investments prior to the sale or refinancing of loans we make. Moreover, our ability to pay dividends in our initial years of operation will be based on our ability to invest our capital in suitable portfolio companies in a timely manner.</w:t>
      </w:r>
    </w:p>
    <w:p>
      <w:pPr>
        <w:spacing w:after="0" w:line="79" w:lineRule="exact"/>
        <w:rPr>
          <w:sz w:val="20"/>
          <w:szCs w:val="20"/>
          <w:color w:val="auto"/>
        </w:rPr>
      </w:pPr>
    </w:p>
    <w:p>
      <w:pPr>
        <w:ind w:right="140" w:firstLine="225"/>
        <w:spacing w:after="0" w:line="312" w:lineRule="auto"/>
        <w:rPr>
          <w:sz w:val="20"/>
          <w:szCs w:val="20"/>
          <w:color w:val="auto"/>
        </w:rPr>
      </w:pPr>
      <w:r>
        <w:rPr>
          <w:rFonts w:ascii="Arial" w:cs="Arial" w:eastAsia="Arial" w:hAnsi="Arial"/>
          <w:sz w:val="16"/>
          <w:szCs w:val="16"/>
          <w:color w:val="auto"/>
        </w:rPr>
        <w:t>In addition, the middle-market companies in which we intend to invest are generally more susceptible to economic downturns than larger operating companies, and therefore may be more likely to default on their payment obligations to us during recessionary periods, including the current economic environment. Any such defaults could substantially reduce our net investment income available for distribution in the form of dividends to our stockholders.</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You may be subject to filing requirements under the 1934 Act as a result of your investment in the Company.</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Because our common stock will be registered under the 1934 Act, ownership information for any person who beneficially owns 5% or more of our common stock will have to be disclosed in a Schedule 13G or other filings with the SEC. Beneficial ownership for these purposes is determined in accordance with the rules of the SEC, and includes having voting or investment power over the securities. In some circumstances, investors who choose to reinvest their dividends may see their percentage stake in the Company increased to more than 5%, thus triggering this filing requirement. Although we will provide in our quarterly statements the amount of outstanding stock and the amount of the investor’s stock, the responsibility for determining the filing obligation and preparing the filing remains with the investor.</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You may be subject to the short-swing profits rules under the 1934 Act as a result of your investment in the Company.</w:t>
      </w:r>
    </w:p>
    <w:p>
      <w:pPr>
        <w:spacing w:after="0" w:line="117"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Persons with the right to appoint a director or who hold more than 10% of a class of our shares may be subject to Section 16(b) of the 1934 Act, which recaptures for the benefit of the Company profits from the purchase and sale of registered stock within a six-month period.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Potential conflicts of interest could impact our investment returns.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Stockholders should note the matters discussed in “</w:t>
      </w:r>
      <w:r>
        <w:rPr>
          <w:rFonts w:ascii="Arial" w:cs="Arial" w:eastAsia="Arial" w:hAnsi="Arial"/>
          <w:sz w:val="18"/>
          <w:szCs w:val="18"/>
          <w:i w:val="1"/>
          <w:iCs w:val="1"/>
          <w:color w:val="auto"/>
        </w:rPr>
        <w:t>Item 7. Certain Relationships and Related Transactions</w:t>
      </w:r>
      <w:r>
        <w:rPr>
          <w:rFonts w:ascii="Arial" w:cs="Arial" w:eastAsia="Arial" w:hAnsi="Arial"/>
          <w:sz w:val="18"/>
          <w:szCs w:val="18"/>
          <w:color w:val="auto"/>
        </w:rPr>
        <w:t xml:space="preserve">, </w:t>
      </w:r>
      <w:r>
        <w:rPr>
          <w:rFonts w:ascii="Arial" w:cs="Arial" w:eastAsia="Arial" w:hAnsi="Arial"/>
          <w:sz w:val="18"/>
          <w:szCs w:val="18"/>
          <w:i w:val="1"/>
          <w:iCs w:val="1"/>
          <w:color w:val="auto"/>
        </w:rPr>
        <w:t>and Director Independence</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Board may change our investment objective, operating policies and strategies without prior notice or stockholder approval.</w:t>
      </w:r>
    </w:p>
    <w:p>
      <w:pPr>
        <w:spacing w:after="0" w:line="117" w:lineRule="exact"/>
        <w:rPr>
          <w:sz w:val="20"/>
          <w:szCs w:val="20"/>
          <w:color w:val="auto"/>
        </w:rPr>
      </w:pPr>
    </w:p>
    <w:p>
      <w:pPr>
        <w:ind w:right="100" w:firstLine="225"/>
        <w:spacing w:after="0" w:line="302" w:lineRule="auto"/>
        <w:rPr>
          <w:sz w:val="20"/>
          <w:szCs w:val="20"/>
          <w:color w:val="auto"/>
        </w:rPr>
      </w:pPr>
      <w:r>
        <w:rPr>
          <w:rFonts w:ascii="Arial" w:cs="Arial" w:eastAsia="Arial" w:hAnsi="Arial"/>
          <w:sz w:val="16"/>
          <w:szCs w:val="16"/>
          <w:color w:val="auto"/>
        </w:rPr>
        <w:t>Our Board has the authority to modify or waive certain of our operating policies and strategies without prior notice (except as required by the 1940 Act) and without stockholder approval. However, absent stockholder approval, we may not change the nature of our business so as to cease to be, or withdraw our election as, a business development company.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laws or regulations governing our operations may adversely affect our business.</w:t>
      </w:r>
    </w:p>
    <w:p>
      <w:pPr>
        <w:spacing w:after="0" w:line="117" w:lineRule="exact"/>
        <w:rPr>
          <w:sz w:val="20"/>
          <w:szCs w:val="20"/>
          <w:color w:val="auto"/>
        </w:rPr>
      </w:pPr>
    </w:p>
    <w:p>
      <w:pPr>
        <w:jc w:val="both"/>
        <w:ind w:right="140" w:firstLine="225"/>
        <w:spacing w:after="0" w:line="342" w:lineRule="auto"/>
        <w:rPr>
          <w:sz w:val="20"/>
          <w:szCs w:val="20"/>
          <w:color w:val="auto"/>
        </w:rPr>
      </w:pPr>
      <w:r>
        <w:rPr>
          <w:rFonts w:ascii="Arial" w:cs="Arial" w:eastAsia="Arial" w:hAnsi="Arial"/>
          <w:sz w:val="16"/>
          <w:szCs w:val="16"/>
          <w:color w:val="auto"/>
        </w:rPr>
        <w:t>Changes to the laws and regulations governing our operations may cause us to alter our investment strategy in order to avail ourselves of new or different opportunities. These changes could result in material differences to the strategies and plans described herein and may result in our investment focus shifting.</w:t>
      </w:r>
    </w:p>
    <w:p>
      <w:pPr>
        <w:spacing w:after="0" w:line="16"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i w:val="1"/>
          <w:iCs w:val="1"/>
          <w:color w:val="auto"/>
        </w:rPr>
        <w:t>The Adviser can resign on 60 days’ notice. We may not be able to find a suitable replacement within that time, resulting in a disruption in our operations that could adversely affect our financial condition, business and results of operations.</w:t>
      </w:r>
    </w:p>
    <w:p>
      <w:pPr>
        <w:spacing w:after="0" w:line="62"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Adviser has the right, under the Advisory Agreement, to resign at any time upon not less than 60 days’ written notice, regardless of whether we have found a replacement. If the Adviser resigns,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our financial condition, business and results of operations as well as our ability to pay distributions are likely to be adversely affected, and the market price of our common stock may decline.</w:t>
      </w:r>
    </w:p>
    <w:p>
      <w:pPr>
        <w:spacing w:after="0" w:line="80"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i w:val="1"/>
          <w:iCs w:val="1"/>
          <w:color w:val="auto"/>
        </w:rPr>
        <w:t>To the extent that we do not realize income or choose not to retain after-tax realized capital gains, we will have a greater need for additional capital to fund our investments and operating expenses.</w:t>
      </w:r>
    </w:p>
    <w:p>
      <w:pPr>
        <w:spacing w:after="0" w:line="62" w:lineRule="exact"/>
        <w:rPr>
          <w:sz w:val="20"/>
          <w:szCs w:val="20"/>
          <w:color w:val="auto"/>
        </w:rPr>
      </w:pPr>
    </w:p>
    <w:p>
      <w:pPr>
        <w:ind w:right="80" w:firstLine="215"/>
        <w:spacing w:after="0" w:line="273" w:lineRule="auto"/>
        <w:rPr>
          <w:sz w:val="20"/>
          <w:szCs w:val="20"/>
          <w:color w:val="auto"/>
        </w:rPr>
      </w:pPr>
      <w:r>
        <w:rPr>
          <w:rFonts w:ascii="Arial" w:cs="Arial" w:eastAsia="Arial" w:hAnsi="Arial"/>
          <w:sz w:val="17"/>
          <w:szCs w:val="17"/>
          <w:color w:val="auto"/>
        </w:rPr>
        <w:t>As a RIC, we must annually distribute at least 90% of our investment company taxable income as a dividend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There is no assurance that we will be able to sell our investments and thereby fund our operating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Portfolio Company Investments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investments are very risky and highly speculative.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will invest primarily in senior secured term loans, and select mezzanine and/or equity investments issued by middle-market companies.</w:t>
      </w:r>
    </w:p>
    <w:p>
      <w:pPr>
        <w:spacing w:after="0" w:line="117" w:lineRule="exact"/>
        <w:rPr>
          <w:sz w:val="20"/>
          <w:szCs w:val="20"/>
          <w:color w:val="auto"/>
        </w:rPr>
      </w:pPr>
    </w:p>
    <w:p>
      <w:pPr>
        <w:ind w:right="120" w:firstLine="225"/>
        <w:spacing w:after="0" w:line="271" w:lineRule="auto"/>
        <w:rPr>
          <w:sz w:val="20"/>
          <w:szCs w:val="20"/>
          <w:color w:val="auto"/>
        </w:rPr>
      </w:pPr>
      <w:r>
        <w:rPr>
          <w:rFonts w:ascii="Arial" w:cs="Arial" w:eastAsia="Arial" w:hAnsi="Arial"/>
          <w:sz w:val="17"/>
          <w:szCs w:val="17"/>
          <w:i w:val="1"/>
          <w:iCs w:val="1"/>
          <w:color w:val="auto"/>
        </w:rPr>
        <w:t xml:space="preserve">Senior Secured Loans. </w:t>
      </w:r>
      <w:r>
        <w:rPr>
          <w:rFonts w:ascii="Arial" w:cs="Arial" w:eastAsia="Arial" w:hAnsi="Arial"/>
          <w:sz w:val="17"/>
          <w:szCs w:val="17"/>
          <w:color w:val="auto"/>
        </w:rPr>
        <w:t>When we make a senior secured loan, we generally take a security interest in the available assets of the portfolio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the 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could be subordinated to claims of other creditors. In addition, deterioration in a portfolio company’s financial condition and prospects, including its inability to raise additional capital, may be accompanied by deterioration in the value of the collateral for the loan. Consequently, the fact that a loan is secured does not guarantee that we will receive principal and interest payments according to the loan’s terms, or at all, or that we will be able to collect on the loan should we be forced to enforce our remedies.</w:t>
      </w:r>
    </w:p>
    <w:p>
      <w:pPr>
        <w:spacing w:after="0" w:line="71"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i w:val="1"/>
          <w:iCs w:val="1"/>
          <w:color w:val="auto"/>
        </w:rPr>
        <w:t xml:space="preserve">Mezzanine or Other Junior Debt. </w:t>
      </w:r>
      <w:r>
        <w:rPr>
          <w:rFonts w:ascii="Arial" w:cs="Arial" w:eastAsia="Arial" w:hAnsi="Arial"/>
          <w:sz w:val="18"/>
          <w:szCs w:val="18"/>
          <w:color w:val="auto"/>
        </w:rPr>
        <w:t>Our junior debt investments generally will be subordinated to senior loans and will either have junior security interests or</w:t>
      </w:r>
      <w:r>
        <w:rPr>
          <w:rFonts w:ascii="Arial" w:cs="Arial" w:eastAsia="Arial" w:hAnsi="Arial"/>
          <w:sz w:val="18"/>
          <w:szCs w:val="18"/>
          <w:i w:val="1"/>
          <w:iCs w:val="1"/>
          <w:color w:val="auto"/>
        </w:rPr>
        <w:t xml:space="preserve"> </w:t>
      </w:r>
      <w:r>
        <w:rPr>
          <w:rFonts w:ascii="Arial" w:cs="Arial" w:eastAsia="Arial" w:hAnsi="Arial"/>
          <w:sz w:val="18"/>
          <w:szCs w:val="18"/>
          <w:color w:val="auto"/>
        </w:rPr>
        <w:t>be unsecured. As such, other creditors may rank senior to us in the event of an insolvency. This may result in an above average amount of risk and loss of principal.</w:t>
      </w:r>
    </w:p>
    <w:p>
      <w:pPr>
        <w:spacing w:after="0" w:line="73" w:lineRule="exact"/>
        <w:rPr>
          <w:sz w:val="20"/>
          <w:szCs w:val="20"/>
          <w:color w:val="auto"/>
        </w:rPr>
      </w:pPr>
    </w:p>
    <w:p>
      <w:pPr>
        <w:ind w:right="20" w:firstLine="225"/>
        <w:spacing w:after="0" w:line="264" w:lineRule="auto"/>
        <w:rPr>
          <w:sz w:val="20"/>
          <w:szCs w:val="20"/>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When we invest in senior secured loans or mezzanine loans, we may acquire equity securities as well. In addition, we may invest</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in the equity securities of portfolio companies. Our goal is ultimately to dispose of such equity interests and realize gains upon our disposition of such interests. However, the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117" w:lineRule="exact"/>
        <w:rPr>
          <w:sz w:val="20"/>
          <w:szCs w:val="20"/>
          <w:color w:val="auto"/>
        </w:rPr>
      </w:pPr>
    </w:p>
    <w:p>
      <w:pPr>
        <w:ind w:left="660" w:right="240" w:hanging="314"/>
        <w:spacing w:after="0" w:line="264"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such 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73" w:lineRule="exact"/>
        <w:rPr>
          <w:rFonts w:ascii="Arial" w:cs="Arial" w:eastAsia="Arial" w:hAnsi="Arial"/>
          <w:sz w:val="18"/>
          <w:szCs w:val="18"/>
          <w:b w:val="1"/>
          <w:bCs w:val="1"/>
          <w:color w:val="auto"/>
        </w:rPr>
      </w:pPr>
    </w:p>
    <w:p>
      <w:pPr>
        <w:ind w:left="660" w:right="300" w:hanging="314"/>
        <w:spacing w:after="0" w:line="308" w:lineRule="auto"/>
        <w:tabs>
          <w:tab w:leader="none" w:pos="660" w:val="left"/>
        </w:tabs>
        <w:numPr>
          <w:ilvl w:val="0"/>
          <w:numId w:val="20"/>
        </w:numPr>
        <w:rPr>
          <w:rFonts w:ascii="Arial" w:cs="Arial" w:eastAsia="Arial" w:hAnsi="Arial"/>
          <w:sz w:val="17"/>
          <w:szCs w:val="17"/>
          <w:b w:val="1"/>
          <w:bCs w:val="1"/>
          <w:color w:val="auto"/>
        </w:rPr>
      </w:pPr>
      <w:r>
        <w:rPr>
          <w:rFonts w:ascii="Arial" w:cs="Arial" w:eastAsia="Arial" w:hAnsi="Arial"/>
          <w:sz w:val="17"/>
          <w:szCs w:val="17"/>
          <w:color w:val="auto"/>
        </w:rPr>
        <w:t>such companies typically have shorter operating histories, narrower product lines and smaller market shares than larger businesses, which tend to render them more vulnerable to competitors’ actions and market conditions, as well as general economic downturns;</w:t>
      </w:r>
    </w:p>
    <w:p>
      <w:pPr>
        <w:spacing w:after="0" w:line="38" w:lineRule="exact"/>
        <w:rPr>
          <w:rFonts w:ascii="Arial" w:cs="Arial" w:eastAsia="Arial" w:hAnsi="Arial"/>
          <w:sz w:val="17"/>
          <w:szCs w:val="17"/>
          <w:b w:val="1"/>
          <w:bCs w:val="1"/>
          <w:color w:val="auto"/>
        </w:rPr>
      </w:pPr>
    </w:p>
    <w:p>
      <w:pPr>
        <w:ind w:left="660" w:right="560" w:hanging="314"/>
        <w:spacing w:after="0" w:line="342" w:lineRule="auto"/>
        <w:tabs>
          <w:tab w:leader="none" w:pos="660" w:val="left"/>
        </w:tabs>
        <w:numPr>
          <w:ilvl w:val="0"/>
          <w:numId w:val="20"/>
        </w:numPr>
        <w:rPr>
          <w:rFonts w:ascii="Arial" w:cs="Arial" w:eastAsia="Arial" w:hAnsi="Arial"/>
          <w:sz w:val="16"/>
          <w:szCs w:val="16"/>
          <w:b w:val="1"/>
          <w:bCs w:val="1"/>
          <w:color w:val="auto"/>
        </w:rPr>
      </w:pPr>
      <w:r>
        <w:rPr>
          <w:rFonts w:ascii="Arial" w:cs="Arial" w:eastAsia="Arial" w:hAnsi="Arial"/>
          <w:sz w:val="16"/>
          <w:szCs w:val="16"/>
          <w:color w:val="auto"/>
        </w:rPr>
        <w:t>such companies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15" w:lineRule="exact"/>
        <w:rPr>
          <w:rFonts w:ascii="Arial" w:cs="Arial" w:eastAsia="Arial" w:hAnsi="Arial"/>
          <w:sz w:val="16"/>
          <w:szCs w:val="16"/>
          <w:b w:val="1"/>
          <w:bCs w:val="1"/>
          <w:color w:val="auto"/>
        </w:rPr>
      </w:pPr>
    </w:p>
    <w:p>
      <w:pPr>
        <w:ind w:left="660" w:right="80" w:hanging="314"/>
        <w:spacing w:after="0" w:line="264"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such companies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73" w:lineRule="exact"/>
        <w:rPr>
          <w:rFonts w:ascii="Arial" w:cs="Arial" w:eastAsia="Arial" w:hAnsi="Arial"/>
          <w:sz w:val="18"/>
          <w:szCs w:val="18"/>
          <w:b w:val="1"/>
          <w:bCs w:val="1"/>
          <w:color w:val="auto"/>
        </w:rPr>
      </w:pPr>
    </w:p>
    <w:p>
      <w:pPr>
        <w:ind w:left="660" w:hanging="314"/>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our executive officers, directors and our investment adviser may, in the ordinary course of business, be named as defendants in litigation arising from our investments in the portfolio companies; and</w:t>
      </w:r>
    </w:p>
    <w:p>
      <w:pPr>
        <w:spacing w:after="0" w:line="62" w:lineRule="exact"/>
        <w:rPr>
          <w:rFonts w:ascii="Arial" w:cs="Arial" w:eastAsia="Arial" w:hAnsi="Arial"/>
          <w:sz w:val="18"/>
          <w:szCs w:val="18"/>
          <w:b w:val="1"/>
          <w:bCs w:val="1"/>
          <w:color w:val="auto"/>
        </w:rPr>
      </w:pPr>
    </w:p>
    <w:p>
      <w:pPr>
        <w:ind w:left="660" w:right="40" w:hanging="314"/>
        <w:spacing w:after="0" w:line="277" w:lineRule="auto"/>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such companies may have difficulty accessing the capital markets to meet future capital needs, which may limit their ability to grow or to repay their outstanding indebtedness upon maturity.</w:t>
      </w:r>
    </w:p>
    <w:p>
      <w:pPr>
        <w:spacing w:after="0" w:line="62" w:lineRule="exact"/>
        <w:rPr>
          <w:sz w:val="20"/>
          <w:szCs w:val="20"/>
          <w:color w:val="auto"/>
        </w:rPr>
      </w:pPr>
    </w:p>
    <w:p>
      <w:pPr>
        <w:ind w:right="500" w:firstLine="225"/>
        <w:spacing w:after="0" w:line="264" w:lineRule="auto"/>
        <w:rPr>
          <w:sz w:val="20"/>
          <w:szCs w:val="20"/>
          <w:color w:val="auto"/>
        </w:rPr>
      </w:pPr>
      <w:r>
        <w:rPr>
          <w:rFonts w:ascii="Arial" w:cs="Arial" w:eastAsia="Arial" w:hAnsi="Arial"/>
          <w:sz w:val="18"/>
          <w:szCs w:val="18"/>
          <w:i w:val="1"/>
          <w:iCs w:val="1"/>
          <w:color w:val="auto"/>
        </w:rPr>
        <w:t>The value of our portfolio securities may not have a readily available market price and, in such a case, we will value these securities at fair value as determined in good faith by our Board, which valuation is inherently subjective and may not reflect what we may actually realize for the sale of the investment.</w:t>
      </w:r>
    </w:p>
    <w:p>
      <w:pPr>
        <w:spacing w:after="0" w:line="73" w:lineRule="exact"/>
        <w:rPr>
          <w:sz w:val="20"/>
          <w:szCs w:val="20"/>
          <w:color w:val="auto"/>
        </w:rPr>
      </w:pPr>
    </w:p>
    <w:p>
      <w:pPr>
        <w:ind w:right="160" w:firstLine="225"/>
        <w:spacing w:after="0" w:line="254" w:lineRule="auto"/>
        <w:rPr>
          <w:sz w:val="20"/>
          <w:szCs w:val="20"/>
          <w:color w:val="auto"/>
        </w:rPr>
      </w:pPr>
      <w:r>
        <w:rPr>
          <w:rFonts w:ascii="Arial" w:cs="Arial" w:eastAsia="Arial" w:hAnsi="Arial"/>
          <w:sz w:val="18"/>
          <w:szCs w:val="18"/>
          <w:color w:val="auto"/>
        </w:rPr>
        <w:t>Investments are valued at the end of each fiscal quarter. Substantially all of our investments are expected to be in loans that do not have readily ascertainable market prices. The fair value of assets that are not publicly traded or whose market prices are not readily available will be determined in good faith by the valuation committee of our Adviser and reviewed by the audit committee of our Board. Pursuant to a letter agreement, the Board has retained Duff &amp; Phelps, a global independent provider of financial advisory and investment banking services, to assist the Board by performing certain limited third-party valuation services. In connection with that determination, investment professionals from the Adviser will prepare portfolio company valuations using sources and/or proprietary models depending on the availability of information on our assets and the type of asset being valued, all in accordance with our valuation policy. The participation of the Adviser in our valuation process could result in a conflict of interest, since the Management Fee is based in part on our gross assets.</w:t>
      </w:r>
    </w:p>
    <w:p>
      <w:pPr>
        <w:spacing w:after="0" w:line="84"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shares. In addition, the valuation of these types of securities may result in substantial write-downs and earnings volatility.</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portfolio securities may be thinly traded and, as a result, the lack of liquidity in our investments may adversely affect our business.</w:t>
      </w:r>
    </w:p>
    <w:p>
      <w:pPr>
        <w:spacing w:after="0" w:line="117" w:lineRule="exact"/>
        <w:rPr>
          <w:sz w:val="20"/>
          <w:szCs w:val="20"/>
          <w:color w:val="auto"/>
        </w:rPr>
      </w:pPr>
    </w:p>
    <w:p>
      <w:pPr>
        <w:jc w:val="both"/>
        <w:ind w:right="180" w:firstLine="222"/>
        <w:spacing w:after="0" w:line="279" w:lineRule="auto"/>
        <w:rPr>
          <w:sz w:val="20"/>
          <w:szCs w:val="20"/>
          <w:color w:val="auto"/>
        </w:rPr>
      </w:pPr>
      <w:r>
        <w:rPr>
          <w:rFonts w:ascii="Arial" w:cs="Arial" w:eastAsia="Arial" w:hAnsi="Arial"/>
          <w:sz w:val="17"/>
          <w:szCs w:val="17"/>
          <w:color w:val="auto"/>
        </w:rPr>
        <w:t>We will generally make loans to private companies. The illiquidity of these investments may make it difficult for us to sell positions if the need arises. In addition, if we are required to liquidate all or a portion of our portfolio quickly, we may realize significantly less than the value at which we had previously recorded such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63" w:lineRule="exact"/>
        <w:rPr>
          <w:sz w:val="20"/>
          <w:szCs w:val="20"/>
          <w:color w:val="auto"/>
        </w:rPr>
      </w:pPr>
    </w:p>
    <w:p>
      <w:pPr>
        <w:ind w:right="520" w:firstLine="225"/>
        <w:spacing w:after="0" w:line="277" w:lineRule="auto"/>
        <w:rPr>
          <w:sz w:val="20"/>
          <w:szCs w:val="20"/>
          <w:color w:val="auto"/>
        </w:rPr>
      </w:pPr>
      <w:r>
        <w:rPr>
          <w:rFonts w:ascii="Arial" w:cs="Arial" w:eastAsia="Arial" w:hAnsi="Arial"/>
          <w:sz w:val="18"/>
          <w:szCs w:val="18"/>
          <w:i w:val="1"/>
          <w:iCs w:val="1"/>
          <w:color w:val="auto"/>
        </w:rPr>
        <w:t>Our portfolio may be focused in a limited number of portfolio companies, which will subject us to a risk of significant loss if any of these companies defaults on its obligations under any of its debt instruments or if there is a downturn in a particular industry.</w:t>
      </w:r>
    </w:p>
    <w:p>
      <w:pPr>
        <w:spacing w:after="0" w:line="62" w:lineRule="exact"/>
        <w:rPr>
          <w:sz w:val="20"/>
          <w:szCs w:val="20"/>
          <w:color w:val="auto"/>
        </w:rPr>
      </w:pPr>
    </w:p>
    <w:p>
      <w:pPr>
        <w:ind w:right="340" w:firstLine="225"/>
        <w:spacing w:after="0" w:line="276" w:lineRule="auto"/>
        <w:rPr>
          <w:sz w:val="20"/>
          <w:szCs w:val="20"/>
          <w:color w:val="auto"/>
        </w:rPr>
      </w:pPr>
      <w:r>
        <w:rPr>
          <w:rFonts w:ascii="Arial" w:cs="Arial" w:eastAsia="Arial" w:hAnsi="Arial"/>
          <w:sz w:val="17"/>
          <w:szCs w:val="17"/>
          <w:color w:val="auto"/>
        </w:rPr>
        <w:t>Our portfolio may be concentrated in a limited number of portfolio companies and industries. Beyond the asset diversification requirements associated with our qualification as a RIC for U.S. tax purposes, we do not have fixed guidelines for diversification, and while we are not targeting any specific industries, our investments may be concentrated in relatively few industries.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have not yet identified any potential investments.</w:t>
      </w:r>
    </w:p>
    <w:p>
      <w:pPr>
        <w:spacing w:after="0" w:line="11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We have not identified any of the portfolio companies in which we will invest the net proceeds of this offering. Our investments will be selected by our Adviser’s investment professionals, subject to the approval of its Investment Review Committee, and our stockholders will not have input into our investment decisions. These factors will increase the uncertainty, and possibly also the risk, of investing in our common stock as compared with an established portfolio and operating history.</w:t>
      </w:r>
    </w:p>
    <w:p>
      <w:pPr>
        <w:spacing w:after="0" w:line="79" w:lineRule="exact"/>
        <w:rPr>
          <w:sz w:val="20"/>
          <w:szCs w:val="20"/>
          <w:color w:val="auto"/>
        </w:rPr>
      </w:pPr>
    </w:p>
    <w:p>
      <w:pPr>
        <w:ind w:right="220" w:firstLine="225"/>
        <w:spacing w:after="0" w:line="277" w:lineRule="auto"/>
        <w:rPr>
          <w:sz w:val="20"/>
          <w:szCs w:val="20"/>
          <w:color w:val="auto"/>
        </w:rPr>
      </w:pPr>
      <w:r>
        <w:rPr>
          <w:rFonts w:ascii="Arial" w:cs="Arial" w:eastAsia="Arial" w:hAnsi="Arial"/>
          <w:sz w:val="18"/>
          <w:szCs w:val="18"/>
          <w:i w:val="1"/>
          <w:iCs w:val="1"/>
          <w:color w:val="auto"/>
        </w:rPr>
        <w:t>We are currently in a period of capital markets disruption and recession and do not expect these conditions to improve in the near future; as a result, we may be unable to list shares of our common stock.</w:t>
      </w:r>
    </w:p>
    <w:p>
      <w:pPr>
        <w:spacing w:after="0" w:line="62"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The U.S. capital markets have been experiencing extreme volatility and disruption for more than two years and we believe that the U.S. economy has not fully emerged from a period of recession. Disruptions in the capital markets have increased the spread between the yields realized on risk-free and higher risk securities, resulting in illiquidity in parts of the capital markets. We believe these conditions may continue for a prolonged period of time or worsen in the future. A prolonged period of market illiquidity may have an adverse effect on our business, financial condition and results of operations. Unfavorable economic conditions could also increase our portfolio companies’ funding costs, limit their access to the capital markets or result in a decision by lenders not to extend credit to them. These events could limit our investment originations, limit their ability to grow, negatively impact our operating results, and delay or prevent us from launching or completing an IPO of our common stock.</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enter into collateralized loan obligations, which may subject us to certain structured financing risks.</w:t>
      </w:r>
    </w:p>
    <w:p>
      <w:pPr>
        <w:spacing w:after="0" w:line="11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To finance investments, the Company may securitize certain of its investments, including through the formation of one or more Collateralized Loan Obligations (“CLOs”), while retaining all or most of the exposure to the performance of these investments. This would involve contributing a pool of assets to a special purpose entity, and selling debt interests in such entity on a non-recourse or limited-recourse basis to purchasers. Any interest in any such CLO held by the Company may be considered a “non-qualifying asset” for purposes of Section 55 of the 1940 Act.</w:t>
      </w:r>
    </w:p>
    <w:p>
      <w:pPr>
        <w:spacing w:after="0" w:line="79" w:lineRule="exact"/>
        <w:rPr>
          <w:sz w:val="20"/>
          <w:szCs w:val="20"/>
          <w:color w:val="auto"/>
        </w:rPr>
      </w:pPr>
    </w:p>
    <w:p>
      <w:pPr>
        <w:ind w:right="560" w:firstLine="225"/>
        <w:spacing w:after="0" w:line="277" w:lineRule="auto"/>
        <w:rPr>
          <w:sz w:val="20"/>
          <w:szCs w:val="20"/>
          <w:color w:val="auto"/>
        </w:rPr>
      </w:pPr>
      <w:r>
        <w:rPr>
          <w:rFonts w:ascii="Arial" w:cs="Arial" w:eastAsia="Arial" w:hAnsi="Arial"/>
          <w:sz w:val="18"/>
          <w:szCs w:val="18"/>
          <w:color w:val="auto"/>
        </w:rPr>
        <w:t>If the Company creates a CLO, the Company depends on distributions from the CLO’s assets out of its earnings and cash flows to enable it to make distributions to its stockholders. The ability of a CLO to make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distributions or pay dividends will be subject to various limitations, including the terms and covenants of the debt it issues. For example, tests (based on interest coverage or other financial ratios or other criteria) may restrict our ability, as holder of a CLO’s equity interests, to receive cash flow from these investments. There is no assurance any such performance tests will be satisfied. Also, a CLO may take actions that delay distributions in order to preserve ratings and to keep the cost of present and future financings lower or the CLO may be obligated to retain cash or other assets to satisfy over-collateralization requirements commonly provided for holders of the CLO’s debt. As a result, there may be a lag, which could be significant, between the repayment or other realization on a loan or other assets in, and the distribution of cash out of, a CLO, or cash flow may be completely restricted for the life of the CLO.</w:t>
      </w:r>
    </w:p>
    <w:p>
      <w:pPr>
        <w:spacing w:after="0" w:line="57" w:lineRule="exact"/>
        <w:rPr>
          <w:sz w:val="20"/>
          <w:szCs w:val="20"/>
          <w:color w:val="auto"/>
        </w:rPr>
      </w:pPr>
    </w:p>
    <w:p>
      <w:pPr>
        <w:ind w:right="40" w:firstLine="225"/>
        <w:spacing w:after="0" w:line="264" w:lineRule="auto"/>
        <w:rPr>
          <w:sz w:val="20"/>
          <w:szCs w:val="20"/>
          <w:color w:val="auto"/>
        </w:rPr>
      </w:pPr>
      <w:r>
        <w:rPr>
          <w:rFonts w:ascii="Arial" w:cs="Arial" w:eastAsia="Arial" w:hAnsi="Arial"/>
          <w:sz w:val="18"/>
          <w:szCs w:val="18"/>
          <w:color w:val="auto"/>
        </w:rPr>
        <w:t>In addition, a decline in the credit quality of loans in a CLO due to poor operating results of the relevant borrower, declines in the value of loan collateral or increases in defaults, among other things, may force a CLO to sell certain assets at a loss, reducing their earnings and, in turn, cash potentially available for distribution to the Company for distribution to its stockholders.</w:t>
      </w:r>
    </w:p>
    <w:p>
      <w:pPr>
        <w:spacing w:after="0" w:line="73" w:lineRule="exact"/>
        <w:rPr>
          <w:sz w:val="20"/>
          <w:szCs w:val="20"/>
          <w:color w:val="auto"/>
        </w:rPr>
      </w:pPr>
    </w:p>
    <w:p>
      <w:pPr>
        <w:ind w:right="180" w:firstLine="222"/>
        <w:spacing w:after="0" w:line="264" w:lineRule="auto"/>
        <w:rPr>
          <w:sz w:val="20"/>
          <w:szCs w:val="20"/>
          <w:color w:val="auto"/>
        </w:rPr>
      </w:pPr>
      <w:r>
        <w:rPr>
          <w:rFonts w:ascii="Arial" w:cs="Arial" w:eastAsia="Arial" w:hAnsi="Arial"/>
          <w:sz w:val="18"/>
          <w:szCs w:val="18"/>
          <w:color w:val="auto"/>
        </w:rPr>
        <w:t>To the extent that any losses are incurred by the CLO in respect of any collateral, such losses will be borne first by the Company as owner of equity interests. Finally, any equity interests that the Company retains in a CLO will not be secured by the assets of the CLO and the Company will rank behind all creditors of the CLO.</w:t>
      </w:r>
    </w:p>
    <w:p>
      <w:pPr>
        <w:spacing w:after="0" w:line="73" w:lineRule="exact"/>
        <w:rPr>
          <w:sz w:val="20"/>
          <w:szCs w:val="20"/>
          <w:color w:val="auto"/>
        </w:rPr>
      </w:pPr>
    </w:p>
    <w:p>
      <w:pPr>
        <w:ind w:right="640" w:firstLine="225"/>
        <w:spacing w:after="0" w:line="308" w:lineRule="auto"/>
        <w:rPr>
          <w:sz w:val="20"/>
          <w:szCs w:val="20"/>
          <w:color w:val="auto"/>
        </w:rPr>
      </w:pPr>
      <w:r>
        <w:rPr>
          <w:rFonts w:ascii="Arial" w:cs="Arial" w:eastAsia="Arial" w:hAnsi="Arial"/>
          <w:sz w:val="17"/>
          <w:szCs w:val="17"/>
          <w:i w:val="1"/>
          <w:iCs w:val="1"/>
          <w:color w:val="auto"/>
        </w:rPr>
        <w:t>Because we likely will not hold controlling interests in our portfolio companies, we may not be in a position to exercise control over such portfolio companies or to prevent decisions by management of such portfolio companies that could decrease the value of our investments.</w:t>
      </w:r>
    </w:p>
    <w:p>
      <w:pPr>
        <w:spacing w:after="0" w:line="38" w:lineRule="exact"/>
        <w:rPr>
          <w:sz w:val="20"/>
          <w:szCs w:val="20"/>
          <w:color w:val="auto"/>
        </w:rPr>
      </w:pPr>
    </w:p>
    <w:p>
      <w:pPr>
        <w:ind w:right="20" w:firstLine="222"/>
        <w:spacing w:after="0" w:line="273" w:lineRule="auto"/>
        <w:rPr>
          <w:sz w:val="20"/>
          <w:szCs w:val="20"/>
          <w:color w:val="auto"/>
        </w:rPr>
      </w:pPr>
      <w:r>
        <w:rPr>
          <w:rFonts w:ascii="Arial" w:cs="Arial" w:eastAsia="Arial" w:hAnsi="Arial"/>
          <w:sz w:val="17"/>
          <w:szCs w:val="17"/>
          <w:color w:val="auto"/>
        </w:rPr>
        <w:t>We are a lender, and loans (and any equity investments we make) will be non-controlling investments, meaning we will not be in a position to control the management, operation and strategic decision-making of the companies we invest in. As a result, we will be subject to the risk that a portfolio company we do not control, or in which we do not have a majority ownership position, may make business decisions with which we disagree, and the equityholders and management of such a portfolio company may take risks or otherwise act in ways that are adverse to our interests. Due to the lack of liquidity for the debt and equity investments that we will typically hold in our portfolio companies, we may not be able to dispose of our investments in the event that we disagree with the actions of a portfolio company, and may therefore suffer a decrease in the value of our investments.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will be exposed to risks associated with changes in interest rates.</w:t>
      </w:r>
    </w:p>
    <w:p>
      <w:pPr>
        <w:spacing w:after="0" w:line="117" w:lineRule="exact"/>
        <w:rPr>
          <w:sz w:val="20"/>
          <w:szCs w:val="20"/>
          <w:color w:val="auto"/>
        </w:rPr>
      </w:pPr>
    </w:p>
    <w:p>
      <w:pPr>
        <w:ind w:firstLine="222"/>
        <w:spacing w:after="0" w:line="272" w:lineRule="auto"/>
        <w:rPr>
          <w:sz w:val="20"/>
          <w:szCs w:val="20"/>
          <w:color w:val="auto"/>
        </w:rPr>
      </w:pPr>
      <w:r>
        <w:rPr>
          <w:rFonts w:ascii="Arial" w:cs="Arial" w:eastAsia="Arial" w:hAnsi="Arial"/>
          <w:sz w:val="17"/>
          <w:szCs w:val="17"/>
          <w:color w:val="auto"/>
        </w:rPr>
        <w:t>The majority of our debt investments are likely to be based on floating rates, such as LIBOR, EURIBOR, the Federal Funds Rate or the Prime Rate. 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including subordinated loans, senior and junior secured and unsecured debt securities and loans and high yield bonds,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 portion of our debt securities may be rated below investment grade, or of comparative quality, and may be considered speculative.</w:t>
      </w:r>
    </w:p>
    <w:p>
      <w:pPr>
        <w:spacing w:after="0" w:line="117"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Our investments are likely to be in lower grade obligations. The lower grade investments in which we invest may be rated below investment grade by one or more nationally recognized statistical rating agencies at the time of investment or may be unrated but determined by the Adviser to be of comparable quality. Loans or debt securities rated below investment grade are considered speculative with respect to the issuer’s capacity to pay interest and repay principal.</w:t>
      </w:r>
    </w:p>
    <w:p>
      <w:pPr>
        <w:spacing w:after="0" w:line="79" w:lineRule="exact"/>
        <w:rPr>
          <w:sz w:val="20"/>
          <w:szCs w:val="20"/>
          <w:color w:val="auto"/>
        </w:rPr>
      </w:pPr>
    </w:p>
    <w:p>
      <w:pPr>
        <w:jc w:val="center"/>
        <w:ind w:right="320"/>
        <w:spacing w:after="0"/>
        <w:rPr>
          <w:sz w:val="20"/>
          <w:szCs w:val="20"/>
          <w:color w:val="auto"/>
        </w:rPr>
      </w:pPr>
      <w:r>
        <w:rPr>
          <w:rFonts w:ascii="Arial" w:cs="Arial" w:eastAsia="Arial" w:hAnsi="Arial"/>
          <w:sz w:val="17"/>
          <w:szCs w:val="17"/>
          <w:i w:val="1"/>
          <w:iCs w:val="1"/>
          <w:color w:val="auto"/>
        </w:rPr>
        <w:t>By originating loans to companies that are experiencing significant financial or business difficulties, we may be exposed to distressed lending risks.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215"/>
        <w:spacing w:after="0" w:line="272" w:lineRule="auto"/>
        <w:rPr>
          <w:sz w:val="20"/>
          <w:szCs w:val="20"/>
          <w:color w:val="auto"/>
        </w:rPr>
      </w:pPr>
      <w:r>
        <w:rPr>
          <w:rFonts w:ascii="Arial" w:cs="Arial" w:eastAsia="Arial" w:hAnsi="Arial"/>
          <w:sz w:val="17"/>
          <w:szCs w:val="17"/>
          <w:color w:val="auto"/>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There is no assurance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be exposed to special risks associated with bankruptcy cases.</w:t>
      </w:r>
    </w:p>
    <w:p>
      <w:pPr>
        <w:spacing w:after="0" w:line="117" w:lineRule="exact"/>
        <w:rPr>
          <w:sz w:val="20"/>
          <w:szCs w:val="20"/>
          <w:color w:val="auto"/>
        </w:rPr>
      </w:pPr>
    </w:p>
    <w:p>
      <w:pPr>
        <w:ind w:right="80" w:firstLine="225"/>
        <w:spacing w:after="0" w:line="259" w:lineRule="auto"/>
        <w:rPr>
          <w:sz w:val="20"/>
          <w:szCs w:val="20"/>
          <w:color w:val="auto"/>
        </w:rPr>
      </w:pPr>
      <w:r>
        <w:rPr>
          <w:rFonts w:ascii="Arial" w:cs="Arial" w:eastAsia="Arial" w:hAnsi="Arial"/>
          <w:sz w:val="18"/>
          <w:szCs w:val="18"/>
          <w:color w:val="auto"/>
        </w:rPr>
        <w:t>Many of the events within a bankruptcy case are adversarial and often beyond the control of the creditors. While creditors generally are afforded an opportunity to object to significant actions, there can be no assurance that a bankruptcy court would not approve actions that may be contrary to the interests of the Company. Furthermore, there are instances where creditors can lose their ranking and priority if they are considered to have taken over management of a borrower.</w:t>
      </w:r>
    </w:p>
    <w:p>
      <w:pPr>
        <w:spacing w:after="0" w:line="79" w:lineRule="exact"/>
        <w:rPr>
          <w:sz w:val="20"/>
          <w:szCs w:val="20"/>
          <w:color w:val="auto"/>
        </w:rPr>
      </w:pPr>
    </w:p>
    <w:p>
      <w:pPr>
        <w:ind w:right="60" w:firstLine="222"/>
        <w:spacing w:after="0" w:line="257" w:lineRule="auto"/>
        <w:rPr>
          <w:sz w:val="20"/>
          <w:szCs w:val="20"/>
          <w:color w:val="auto"/>
        </w:rPr>
      </w:pPr>
      <w:r>
        <w:rPr>
          <w:rFonts w:ascii="Arial" w:cs="Arial" w:eastAsia="Arial" w:hAnsi="Arial"/>
          <w:sz w:val="18"/>
          <w:szCs w:val="18"/>
          <w:color w:val="auto"/>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80" w:lineRule="exact"/>
        <w:rPr>
          <w:sz w:val="20"/>
          <w:szCs w:val="20"/>
          <w:color w:val="auto"/>
        </w:rPr>
      </w:pPr>
    </w:p>
    <w:p>
      <w:pPr>
        <w:ind w:right="520" w:firstLine="225"/>
        <w:spacing w:after="0" w:line="286" w:lineRule="auto"/>
        <w:rPr>
          <w:sz w:val="20"/>
          <w:szCs w:val="20"/>
          <w:color w:val="auto"/>
        </w:rPr>
      </w:pPr>
      <w:r>
        <w:rPr>
          <w:rFonts w:ascii="Arial" w:cs="Arial" w:eastAsia="Arial" w:hAnsi="Arial"/>
          <w:sz w:val="17"/>
          <w:szCs w:val="17"/>
          <w:color w:val="auto"/>
        </w:rPr>
        <w:t>In addition, lenders can be subject to lender liability claims for actions taken by them where they become too involved in the borrower’s business or exercise control over the borrower. For example, we could become subject to a lender’s liability claim, if, among other things, the borrower requests significant managerial assistance from us and we provide such assistance as contemplated by the 1940 Act.</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cannot guarantee that we will be able to obtain various required state licenses.</w:t>
      </w:r>
    </w:p>
    <w:p>
      <w:pPr>
        <w:spacing w:after="0" w:line="117"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Company may be required to obtain various state licenses in order to, among other things, originate commercial loans. Applying for and obtaining required licenses can be costly and take several months. There is no assurance that the Company will obtain all of the licenses that we need on a timely basis. Furthermore, the Company will be subject to various information and other requirements in order to obtain and maintain these licenses, and there is no assurance that the Company will satisfy those requirements. Our failure to obtain or maintain licenses might restrict investment options and have other adverse consequences.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We will have broad discretion over the use of proceeds of the funds we raise from investors and will use proceeds in part to satisfy operating expenses.</w:t>
      </w:r>
    </w:p>
    <w:p>
      <w:pPr>
        <w:spacing w:after="0" w:line="140" w:lineRule="exact"/>
        <w:rPr>
          <w:sz w:val="20"/>
          <w:szCs w:val="20"/>
          <w:color w:val="auto"/>
        </w:rPr>
      </w:pPr>
    </w:p>
    <w:p>
      <w:pPr>
        <w:ind w:right="60" w:firstLine="222"/>
        <w:spacing w:after="0" w:line="259" w:lineRule="auto"/>
        <w:rPr>
          <w:sz w:val="20"/>
          <w:szCs w:val="20"/>
          <w:color w:val="auto"/>
        </w:rPr>
      </w:pPr>
      <w:r>
        <w:rPr>
          <w:rFonts w:ascii="Arial" w:cs="Arial" w:eastAsia="Arial" w:hAnsi="Arial"/>
          <w:sz w:val="18"/>
          <w:szCs w:val="18"/>
          <w:color w:val="auto"/>
        </w:rPr>
        <w:t>There can be no assurance that we will be able to locate a sufficient number of suitable investment opportunities to allow us to successfully deploy substantially all of the net proceeds of the offering in a timeframe that will permit investors to earn above-market returns. To the extent we are unable to invest substantially all of the net proceeds of the offering within our contemplated timeframe after the completion of the offering, our investment income, and in turn our results of operations, will likely be materially adversely affected.</w:t>
      </w:r>
    </w:p>
    <w:p>
      <w:pPr>
        <w:spacing w:after="0" w:line="79"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We will have significant flexibility in applying the proceeds of the funds we raise from investors and may use the net proceeds in ways with which stockholders may not agree, or for purposes other than those contemplated at the time of the capital raising. We will also pay operating expenses, and may pay other expenses such as due diligence expenses of potential new investments, from net proceeds. Our ability to achieve our investment objective may be limited to the extent that net proceeds of the funds we raise from investors, pending full investment by us in portfolio companies, are used to pay operating expenses.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Overview</w:t>
      </w:r>
    </w:p>
    <w:p>
      <w:pPr>
        <w:spacing w:after="0" w:line="117" w:lineRule="exact"/>
        <w:rPr>
          <w:sz w:val="20"/>
          <w:szCs w:val="20"/>
          <w:color w:val="auto"/>
        </w:rPr>
      </w:pPr>
    </w:p>
    <w:p>
      <w:pPr>
        <w:ind w:firstLine="222"/>
        <w:spacing w:after="0" w:line="255" w:lineRule="auto"/>
        <w:rPr>
          <w:sz w:val="20"/>
          <w:szCs w:val="20"/>
          <w:color w:val="auto"/>
        </w:rPr>
      </w:pPr>
      <w:r>
        <w:rPr>
          <w:rFonts w:ascii="Arial" w:cs="Arial" w:eastAsia="Arial" w:hAnsi="Arial"/>
          <w:sz w:val="18"/>
          <w:szCs w:val="18"/>
          <w:color w:val="auto"/>
        </w:rPr>
        <w:t>We were incorporated under the laws of the State of Delaware on July 21, 2010. We intend to file an election to be treated as a business development company under the 1940 Act, and as a regulated investment company for federal income tax purposes. As such, we will be required to comply with various regulatory requirements, such as the requirement to invest at least 70% of our assets in “qualifying assets,” source of income limitations, asset diversification requirements, and the requirement to distribute annually at least 90% of our taxable income and tax-exempt interest. See “</w:t>
      </w:r>
      <w:r>
        <w:rPr>
          <w:rFonts w:ascii="Arial" w:cs="Arial" w:eastAsia="Arial" w:hAnsi="Arial"/>
          <w:sz w:val="18"/>
          <w:szCs w:val="18"/>
          <w:i w:val="1"/>
          <w:iCs w:val="1"/>
          <w:color w:val="auto"/>
        </w:rPr>
        <w:t>Item 1(c). Description of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Regulation as a Public Business Development Company</w:t>
      </w:r>
      <w:r>
        <w:rPr>
          <w:rFonts w:ascii="Arial" w:cs="Arial" w:eastAsia="Arial" w:hAnsi="Arial"/>
          <w:sz w:val="18"/>
          <w:szCs w:val="18"/>
          <w:color w:val="auto"/>
        </w:rPr>
        <w:t>” and “</w:t>
      </w:r>
      <w:r>
        <w:rPr>
          <w:rFonts w:ascii="Arial" w:cs="Arial" w:eastAsia="Arial" w:hAnsi="Arial"/>
          <w:sz w:val="18"/>
          <w:szCs w:val="18"/>
          <w:i w:val="1"/>
          <w:iCs w:val="1"/>
          <w:color w:val="auto"/>
        </w:rPr>
        <w:t>Item 1(c). Description of Business</w:t>
      </w:r>
      <w:r>
        <w:rPr>
          <w:rFonts w:ascii="Arial" w:cs="Arial" w:eastAsia="Arial" w:hAnsi="Arial"/>
          <w:sz w:val="18"/>
          <w:szCs w:val="18"/>
          <w:color w:val="auto"/>
        </w:rPr>
        <w:t>—</w:t>
      </w:r>
      <w:r>
        <w:rPr>
          <w:rFonts w:ascii="Arial" w:cs="Arial" w:eastAsia="Arial" w:hAnsi="Arial"/>
          <w:sz w:val="18"/>
          <w:szCs w:val="18"/>
          <w:i w:val="1"/>
          <w:iCs w:val="1"/>
          <w:color w:val="auto"/>
        </w:rPr>
        <w:t>Certain U.S. Federal Income Tax Consequences— Regulated Investment Company Classification</w:t>
      </w:r>
      <w:r>
        <w:rPr>
          <w:rFonts w:ascii="Arial" w:cs="Arial" w:eastAsia="Arial" w:hAnsi="Arial"/>
          <w:sz w:val="18"/>
          <w:szCs w:val="18"/>
          <w:color w:val="auto"/>
        </w:rPr>
        <w:t>.”</w:t>
      </w:r>
    </w:p>
    <w:p>
      <w:pPr>
        <w:spacing w:after="0" w:line="85" w:lineRule="exact"/>
        <w:rPr>
          <w:sz w:val="20"/>
          <w:szCs w:val="20"/>
          <w:color w:val="auto"/>
        </w:rPr>
      </w:pPr>
    </w:p>
    <w:p>
      <w:pPr>
        <w:ind w:right="60" w:firstLine="222"/>
        <w:spacing w:after="0" w:line="293" w:lineRule="auto"/>
        <w:rPr>
          <w:sz w:val="20"/>
          <w:szCs w:val="20"/>
          <w:color w:val="auto"/>
        </w:rPr>
      </w:pPr>
      <w:r>
        <w:rPr>
          <w:rFonts w:ascii="Arial" w:cs="Arial" w:eastAsia="Arial" w:hAnsi="Arial"/>
          <w:sz w:val="16"/>
          <w:szCs w:val="16"/>
          <w:color w:val="auto"/>
        </w:rPr>
        <w:t>TSL is currently in the development stage and has not commenced commercial operations. Since inception, there has been no activity other than an initial $1,000 capital contribution received from Tarrant Advisors, Inc., an affiliate of TPG and our initial shareholder, in exchange for 1,000 shares of our common stock. To date our efforts have been limited to organizational and initial operating activities, the cost of which has been borne by the Adviser. We have agreed to repay the Adviser for initial organization and operating costs incurred up to a maximum of $1.5 million, upon receipt of a formal commitment of external capital. In the event receipt of a formal commitment of external capital does not occur, all initial organization and operating costs will be borne by the Adviser. As there has been no formal commitment of external capital to date, no such costs have been recorded by the Company.</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firstLine="222"/>
        <w:spacing w:after="0" w:line="271" w:lineRule="auto"/>
        <w:rPr>
          <w:sz w:val="20"/>
          <w:szCs w:val="20"/>
          <w:color w:val="auto"/>
        </w:rPr>
      </w:pPr>
      <w:r>
        <w:rPr>
          <w:rFonts w:ascii="Arial" w:cs="Arial" w:eastAsia="Arial" w:hAnsi="Arial"/>
          <w:sz w:val="17"/>
          <w:szCs w:val="17"/>
          <w:color w:val="auto"/>
        </w:rPr>
        <w:t>We plan to generate revenues in the form of interest income from the debt securities we hold and dividends and capital appreciation on either direct equity investments or equity interests obtained in connection with originating loans, such as options, warrants or conversion rights. We expect most of the debt securities we will hold will be floating rate in nature. The debt we invest in will typically not be rated by any rating agency, but if it were, it is likely that such debt would be below investment grade. We intend to structure our debt investments with interest payable quarterly, semi-annually or annually, but we may structure certain investments with terms to provide for longer interest payment periods or to allow interest to be paid by adding amounts due to the principal balance of the loan, resulting in deferred cash receipts. In addition, we may also generate revenue in the form of commitment, loan origination, structuring or diligence fees, fees for providing managerial assistance to our portfolio companies, and possibly consulting fees. Certain of these fees may be capitalized and amortized as additional interest income over the life of the related loan.</w:t>
      </w:r>
    </w:p>
    <w:p>
      <w:pPr>
        <w:spacing w:after="0" w:line="7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Expenses</w:t>
      </w:r>
    </w:p>
    <w:p>
      <w:pPr>
        <w:spacing w:after="0" w:line="117" w:lineRule="exact"/>
        <w:rPr>
          <w:sz w:val="20"/>
          <w:szCs w:val="20"/>
          <w:color w:val="auto"/>
        </w:rPr>
      </w:pPr>
    </w:p>
    <w:p>
      <w:pPr>
        <w:ind w:right="120" w:firstLine="215"/>
        <w:spacing w:after="0" w:line="277" w:lineRule="auto"/>
        <w:rPr>
          <w:sz w:val="20"/>
          <w:szCs w:val="20"/>
          <w:color w:val="auto"/>
        </w:rPr>
      </w:pPr>
      <w:r>
        <w:rPr>
          <w:rFonts w:ascii="Arial" w:cs="Arial" w:eastAsia="Arial" w:hAnsi="Arial"/>
          <w:sz w:val="18"/>
          <w:szCs w:val="18"/>
          <w:color w:val="auto"/>
        </w:rPr>
        <w:t>All of our officers are employees of TSL Advisers, LLC or of other TPG affiliated companies. We do not have any direct employees. Once we commence commercial operations, our primary operating expenses will include those related to:</w:t>
      </w:r>
    </w:p>
    <w:p>
      <w:pPr>
        <w:spacing w:after="0" w:line="62" w:lineRule="exact"/>
        <w:rPr>
          <w:sz w:val="20"/>
          <w:szCs w:val="20"/>
          <w:color w:val="auto"/>
        </w:rPr>
      </w:pPr>
    </w:p>
    <w:p>
      <w:pPr>
        <w:ind w:left="660" w:hanging="314"/>
        <w:spacing w:after="0"/>
        <w:tabs>
          <w:tab w:leader="none" w:pos="660" w:val="left"/>
        </w:tabs>
        <w:numPr>
          <w:ilvl w:val="0"/>
          <w:numId w:val="21"/>
        </w:numPr>
        <w:rPr>
          <w:rFonts w:ascii="Arial" w:cs="Arial" w:eastAsia="Arial" w:hAnsi="Arial"/>
          <w:sz w:val="17"/>
          <w:szCs w:val="17"/>
          <w:b w:val="1"/>
          <w:bCs w:val="1"/>
          <w:color w:val="auto"/>
        </w:rPr>
      </w:pPr>
      <w:r>
        <w:rPr>
          <w:rFonts w:ascii="Arial" w:cs="Arial" w:eastAsia="Arial" w:hAnsi="Arial"/>
          <w:sz w:val="17"/>
          <w:szCs w:val="17"/>
          <w:color w:val="auto"/>
        </w:rPr>
        <w:t>our initial organization costs and operating costs incurred prior to the commencement of our operations (up to an aggregate of $1,500,000);</w:t>
      </w:r>
    </w:p>
    <w:p>
      <w:pPr>
        <w:spacing w:after="0" w:line="128" w:lineRule="exact"/>
        <w:rPr>
          <w:rFonts w:ascii="Arial" w:cs="Arial" w:eastAsia="Arial" w:hAnsi="Arial"/>
          <w:sz w:val="17"/>
          <w:szCs w:val="17"/>
          <w:b w:val="1"/>
          <w:bCs w:val="1"/>
          <w:color w:val="auto"/>
        </w:rPr>
      </w:pPr>
    </w:p>
    <w:p>
      <w:pPr>
        <w:ind w:left="660" w:hanging="314"/>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17" w:lineRule="exact"/>
        <w:rPr>
          <w:rFonts w:ascii="Arial" w:cs="Arial" w:eastAsia="Arial" w:hAnsi="Arial"/>
          <w:sz w:val="18"/>
          <w:szCs w:val="18"/>
          <w:b w:val="1"/>
          <w:bCs w:val="1"/>
          <w:color w:val="auto"/>
        </w:rPr>
      </w:pPr>
    </w:p>
    <w:p>
      <w:pPr>
        <w:ind w:left="660" w:right="620" w:hanging="314"/>
        <w:spacing w:after="0" w:line="277" w:lineRule="auto"/>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costs of the offerings of common shares and other securities, if any;</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Management Fee and any Incentive Fee;</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certain costs and expenses relating to distributions paid on our shares;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administration fees payable under our Administration Agreement;</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debt service and other costs of borrowings or other financing arrangements;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allocated costs incurred by the Adviser in providing managerial assistance to those portfolio companies that request it;</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amounts payable to third parties relating to, or associated with, making or holding investments;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transfer agent and custodial fees;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costs of hedging;</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commissions and other compensation payable to brokers or dealers;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taxes;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Independent Director fees and expenses;</w:t>
      </w:r>
    </w:p>
    <w:p>
      <w:pPr>
        <w:spacing w:after="0" w:line="117" w:lineRule="exact"/>
        <w:rPr>
          <w:rFonts w:ascii="Arial" w:cs="Arial" w:eastAsia="Arial" w:hAnsi="Arial"/>
          <w:sz w:val="18"/>
          <w:szCs w:val="18"/>
          <w:b w:val="1"/>
          <w:bCs w:val="1"/>
          <w:color w:val="auto"/>
        </w:rPr>
      </w:pPr>
    </w:p>
    <w:p>
      <w:pPr>
        <w:jc w:val="both"/>
        <w:ind w:left="660" w:right="180" w:hanging="314"/>
        <w:spacing w:after="0" w:line="264"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73" w:lineRule="exact"/>
        <w:rPr>
          <w:rFonts w:ascii="Arial" w:cs="Arial" w:eastAsia="Arial" w:hAnsi="Arial"/>
          <w:sz w:val="18"/>
          <w:szCs w:val="18"/>
          <w:b w:val="1"/>
          <w:bCs w:val="1"/>
          <w:color w:val="auto"/>
        </w:rPr>
      </w:pPr>
    </w:p>
    <w:p>
      <w:pPr>
        <w:ind w:left="660" w:right="160" w:hanging="314"/>
        <w:spacing w:after="0" w:line="342" w:lineRule="auto"/>
        <w:tabs>
          <w:tab w:leader="none" w:pos="66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15" w:lineRule="exact"/>
        <w:rPr>
          <w:rFonts w:ascii="Arial" w:cs="Arial" w:eastAsia="Arial" w:hAnsi="Arial"/>
          <w:sz w:val="16"/>
          <w:szCs w:val="16"/>
          <w:b w:val="1"/>
          <w:bCs w:val="1"/>
          <w:color w:val="auto"/>
        </w:rPr>
      </w:pPr>
    </w:p>
    <w:p>
      <w:pPr>
        <w:ind w:left="660" w:right="320" w:hanging="314"/>
        <w:spacing w:after="0" w:line="277" w:lineRule="auto"/>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our fidelity bond (as described more fully under “Item 1(c). Description of Business—Regulation as a Public Business Development Company,” below);</w:t>
      </w:r>
    </w:p>
    <w:p>
      <w:pPr>
        <w:spacing w:after="0" w:line="62"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directors and officers/errors and omissions liability insurance, and any other insurance premiums;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indemnification payments;</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direct costs and expenses of administration, including audit, accounting, consulting and legal costs; and</w:t>
      </w:r>
    </w:p>
    <w:p>
      <w:pPr>
        <w:spacing w:after="0" w:line="117" w:lineRule="exact"/>
        <w:rPr>
          <w:rFonts w:ascii="Arial" w:cs="Arial" w:eastAsia="Arial" w:hAnsi="Arial"/>
          <w:sz w:val="18"/>
          <w:szCs w:val="18"/>
          <w:b w:val="1"/>
          <w:bCs w:val="1"/>
          <w:color w:val="auto"/>
        </w:rPr>
      </w:pPr>
    </w:p>
    <w:p>
      <w:pPr>
        <w:ind w:left="660" w:hanging="314"/>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17" w:lineRule="exact"/>
        <w:rPr>
          <w:sz w:val="20"/>
          <w:szCs w:val="20"/>
          <w:color w:val="auto"/>
        </w:rPr>
      </w:pPr>
    </w:p>
    <w:p>
      <w:pPr>
        <w:ind w:firstLine="225"/>
        <w:spacing w:after="0" w:line="276" w:lineRule="auto"/>
        <w:rPr>
          <w:sz w:val="20"/>
          <w:szCs w:val="20"/>
          <w:color w:val="auto"/>
        </w:rPr>
      </w:pPr>
      <w:r>
        <w:rPr>
          <w:rFonts w:ascii="Arial" w:cs="Arial" w:eastAsia="Arial" w:hAnsi="Arial"/>
          <w:sz w:val="17"/>
          <w:szCs w:val="17"/>
          <w:color w:val="auto"/>
        </w:rPr>
        <w:t>From time to time, the Adviser may pay amounts owed by us to third-party providers of goods or services. We will subsequently reimburse the Adviser for such amounts paid on our behalf. Other than with respect to our initial organization and operating costs, as described above, there is no contractual cap on the amount of reasonable costs and expenses for which the Adviser will be reimbursed. In addition, we will reimburse the Adviser for the allocable portion of the compensation paid by the Adviser (or its affiliates) to the Company’s chief compliance officer and chief financial officer (based on the percentage of time such individuals devote, on an estimated basis, to the business and affairs of the Company).</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0" w:firstLine="222"/>
        <w:spacing w:after="0" w:line="277" w:lineRule="auto"/>
        <w:rPr>
          <w:sz w:val="20"/>
          <w:szCs w:val="20"/>
          <w:color w:val="auto"/>
        </w:rPr>
      </w:pPr>
      <w:r>
        <w:rPr>
          <w:rFonts w:ascii="Arial" w:cs="Arial" w:eastAsia="Arial" w:hAnsi="Arial"/>
          <w:sz w:val="18"/>
          <w:szCs w:val="18"/>
          <w:color w:val="auto"/>
        </w:rPr>
        <w:t>We may also enter into a credit facility or other debt arrangements to partially fund our operations, and could incur costs and expenses including commitment, origination, or structuring fees and the related interest costs associated with any amounts borrowed.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Hedging</w:t>
      </w:r>
    </w:p>
    <w:p>
      <w:pPr>
        <w:spacing w:after="0" w:line="117" w:lineRule="exact"/>
        <w:rPr>
          <w:sz w:val="20"/>
          <w:szCs w:val="20"/>
          <w:color w:val="auto"/>
        </w:rPr>
      </w:pPr>
    </w:p>
    <w:p>
      <w:pPr>
        <w:ind w:firstLine="222"/>
        <w:spacing w:after="0" w:line="297" w:lineRule="auto"/>
        <w:rPr>
          <w:sz w:val="20"/>
          <w:szCs w:val="20"/>
          <w:color w:val="auto"/>
        </w:rPr>
      </w:pPr>
      <w:r>
        <w:rPr>
          <w:rFonts w:ascii="Arial" w:cs="Arial" w:eastAsia="Arial" w:hAnsi="Arial"/>
          <w:sz w:val="16"/>
          <w:szCs w:val="16"/>
          <w:color w:val="auto"/>
        </w:rPr>
        <w:t>We may, but are not required to, enter into interest rate, foreign exchange or other derivative agreements to hedge interest rate, currency, credit or other risks, but we do not generally intend to enter into any such derivative agreements for speculative purposes. Any derivative agreements entered into for speculative purposes are not expected to be material to the Company’s business or results of operations. These hedging activities, which will be in compliance with applicable legal and regulatory requirements, may include the use of futures, options and forward contracts. We will bear the costs incurred in connection with entering into, administering and settling any such derivative contracts. There can be no assurance any hedging strategy we employ will be successful.</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Condition, Liquidity and Capital Resources</w:t>
      </w:r>
    </w:p>
    <w:p>
      <w:pPr>
        <w:spacing w:after="0" w:line="117" w:lineRule="exact"/>
        <w:rPr>
          <w:sz w:val="20"/>
          <w:szCs w:val="20"/>
          <w:color w:val="auto"/>
        </w:rPr>
      </w:pPr>
    </w:p>
    <w:p>
      <w:pPr>
        <w:ind w:right="360" w:firstLine="215"/>
        <w:spacing w:after="0" w:line="291" w:lineRule="auto"/>
        <w:rPr>
          <w:sz w:val="20"/>
          <w:szCs w:val="20"/>
          <w:color w:val="auto"/>
        </w:rPr>
      </w:pPr>
      <w:r>
        <w:rPr>
          <w:rFonts w:ascii="Arial" w:cs="Arial" w:eastAsia="Arial" w:hAnsi="Arial"/>
          <w:sz w:val="16"/>
          <w:szCs w:val="16"/>
          <w:color w:val="auto"/>
        </w:rPr>
        <w:t>As we have not yet commenced commercial activities, the only transaction to date has been the receipt of an initial capital contribution of $1,000 from Tarrant Advisors, Inc., an affiliate of TPG and our initial shareholder, in exchange for 1,000 shares of our securities. We expect to generate cash from</w:t>
      </w:r>
    </w:p>
    <w:p>
      <w:pPr>
        <w:jc w:val="both"/>
        <w:ind w:right="200" w:firstLine="8"/>
        <w:spacing w:after="0" w:line="255"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offerings of our common or preferred stock, (2) cash flows from operations and (3) borrowings from banks or other lenders. We will seek to enter into any bank debt, credit facility or other financing arrangements on at least customary market terms; however, we cannot assure you we will be able to do so.</w:t>
      </w:r>
    </w:p>
    <w:p>
      <w:pPr>
        <w:spacing w:after="0" w:line="82" w:lineRule="exact"/>
        <w:rPr>
          <w:sz w:val="20"/>
          <w:szCs w:val="20"/>
          <w:color w:val="auto"/>
        </w:rPr>
      </w:pPr>
    </w:p>
    <w:p>
      <w:pPr>
        <w:ind w:right="380" w:firstLine="225"/>
        <w:spacing w:after="0" w:line="264" w:lineRule="auto"/>
        <w:rPr>
          <w:sz w:val="20"/>
          <w:szCs w:val="20"/>
          <w:color w:val="auto"/>
        </w:rPr>
      </w:pPr>
      <w:r>
        <w:rPr>
          <w:rFonts w:ascii="Arial" w:cs="Arial" w:eastAsia="Arial" w:hAnsi="Arial"/>
          <w:sz w:val="18"/>
          <w:szCs w:val="18"/>
          <w:color w:val="auto"/>
        </w:rPr>
        <w:t>Our primary use of cash will be for (1) investments in portfolio companies and other investments to comply with certain portfolio diversification requirements, (2) the cost of operations (including paying the Adviser), (3) debt service of any borrowings and (4) cash distributions to the holders of our stock.</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Current Economic Environment</w:t>
      </w:r>
    </w:p>
    <w:p>
      <w:pPr>
        <w:spacing w:after="0" w:line="117" w:lineRule="exact"/>
        <w:rPr>
          <w:sz w:val="20"/>
          <w:szCs w:val="20"/>
          <w:color w:val="auto"/>
        </w:rPr>
      </w:pPr>
    </w:p>
    <w:p>
      <w:pPr>
        <w:ind w:right="40" w:firstLine="222"/>
        <w:spacing w:after="0" w:line="272" w:lineRule="auto"/>
        <w:rPr>
          <w:sz w:val="20"/>
          <w:szCs w:val="20"/>
          <w:color w:val="auto"/>
        </w:rPr>
      </w:pPr>
      <w:r>
        <w:rPr>
          <w:rFonts w:ascii="Arial" w:cs="Arial" w:eastAsia="Arial" w:hAnsi="Arial"/>
          <w:sz w:val="17"/>
          <w:szCs w:val="17"/>
          <w:color w:val="auto"/>
        </w:rPr>
        <w:t>The U.S. capital markets have been experiencing extreme volatility and disruption for more than two years, and we believe that the U.S. economy has not fully emerged from a period of recession. Disruptions in the capital markets have increased the spread between the yields realized on risk-free and higher risk securities, resulting in illiquidity in parts of the capital markets. We believe these conditions may continue for a prolonged period of time or worsen in the future. A prolonged period of market illiquidity may have an adverse effect on our business, financial condition and results of operations. Unfavorable economic conditions could also increase our portfolio companies’ funding costs, limit their access to the capital markets or result in a decision by lenders not to extend credit to them. These events could limit our investment originations, limit their ability to grow, negatively impact our operating results, and delay or prevent us from launching or completing an IPO of our common stock.</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117" w:lineRule="exact"/>
        <w:rPr>
          <w:sz w:val="20"/>
          <w:szCs w:val="20"/>
          <w:color w:val="auto"/>
        </w:rPr>
      </w:pPr>
    </w:p>
    <w:p>
      <w:pPr>
        <w:ind w:right="100" w:firstLine="222"/>
        <w:spacing w:after="0" w:line="255" w:lineRule="auto"/>
        <w:rPr>
          <w:sz w:val="20"/>
          <w:szCs w:val="20"/>
          <w:color w:val="auto"/>
        </w:rPr>
      </w:pPr>
      <w:r>
        <w:rPr>
          <w:rFonts w:ascii="Arial" w:cs="Arial" w:eastAsia="Arial" w:hAnsi="Arial"/>
          <w:sz w:val="18"/>
          <w:szCs w:val="18"/>
          <w:color w:val="auto"/>
        </w:rPr>
        <w:t>We are subject to financial market risks, including changes in interest rates. We plan to invest primarily in illiquid debt and equity securities of private companies. Most of our investments will not have a readily available market price, and we will value these investments at fair value as determined in good faith by the Board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See “</w:t>
      </w:r>
      <w:r>
        <w:rPr>
          <w:rFonts w:ascii="Arial" w:cs="Arial" w:eastAsia="Arial" w:hAnsi="Arial"/>
          <w:sz w:val="18"/>
          <w:szCs w:val="18"/>
          <w:i w:val="1"/>
          <w:iCs w:val="1"/>
          <w:color w:val="auto"/>
        </w:rPr>
        <w:t>Item 9. Market Price of and Dividends on the Registrant’s Common Equity and Related Stockholder</w:t>
      </w:r>
      <w:r>
        <w:rPr>
          <w:rFonts w:ascii="Arial" w:cs="Arial" w:eastAsia="Arial" w:hAnsi="Arial"/>
          <w:sz w:val="18"/>
          <w:szCs w:val="18"/>
          <w:color w:val="auto"/>
        </w:rPr>
        <w:t xml:space="preserve"> </w:t>
      </w:r>
      <w:r>
        <w:rPr>
          <w:rFonts w:ascii="Arial" w:cs="Arial" w:eastAsia="Arial" w:hAnsi="Arial"/>
          <w:sz w:val="18"/>
          <w:szCs w:val="18"/>
          <w:i w:val="1"/>
          <w:iCs w:val="1"/>
          <w:color w:val="auto"/>
        </w:rPr>
        <w:t>Matters—Valuation of Portfolio Securities</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Properties</w:t>
      </w:r>
    </w:p>
    <w:p>
      <w:pPr>
        <w:spacing w:after="0" w:line="121" w:lineRule="exact"/>
        <w:rPr>
          <w:sz w:val="20"/>
          <w:szCs w:val="20"/>
          <w:color w:val="auto"/>
        </w:rPr>
      </w:pPr>
    </w:p>
    <w:p>
      <w:pPr>
        <w:jc w:val="both"/>
        <w:ind w:firstLine="222"/>
        <w:spacing w:after="0" w:line="264" w:lineRule="auto"/>
        <w:rPr>
          <w:sz w:val="20"/>
          <w:szCs w:val="20"/>
          <w:color w:val="auto"/>
        </w:rPr>
      </w:pPr>
      <w:r>
        <w:rPr>
          <w:rFonts w:ascii="Arial" w:cs="Arial" w:eastAsia="Arial" w:hAnsi="Arial"/>
          <w:sz w:val="18"/>
          <w:szCs w:val="18"/>
          <w:color w:val="auto"/>
        </w:rPr>
        <w:t>We maintain our principal executive office at 301 Commerce Street, Suite 3300, Fort Worth, TX 76102. We do not own any real estate. We believe that our present facilities are adequate to meet our current needs. If new or additional space is required, we believe that adequate facilities are available at competitive prices in the same area.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Security Ownership of Certain Beneficial Owners and Management.</w:t>
      </w:r>
    </w:p>
    <w:p>
      <w:pPr>
        <w:spacing w:after="0" w:line="121" w:lineRule="exact"/>
        <w:rPr>
          <w:sz w:val="20"/>
          <w:szCs w:val="20"/>
          <w:color w:val="auto"/>
        </w:rPr>
      </w:pPr>
    </w:p>
    <w:p>
      <w:pPr>
        <w:ind w:right="360" w:firstLine="225"/>
        <w:spacing w:after="0" w:line="264" w:lineRule="auto"/>
        <w:rPr>
          <w:sz w:val="20"/>
          <w:szCs w:val="20"/>
          <w:color w:val="auto"/>
        </w:rPr>
      </w:pPr>
      <w:r>
        <w:rPr>
          <w:rFonts w:ascii="Arial" w:cs="Arial" w:eastAsia="Arial" w:hAnsi="Arial"/>
          <w:sz w:val="18"/>
          <w:szCs w:val="18"/>
          <w:color w:val="auto"/>
        </w:rPr>
        <w:t>In conjunction with our initial incorporation, Tarrant Advisors, Inc., an affiliate of TPG, purchased 1,000 common shares of the Company at a price of $1.00 per share as our initial capital. The Company intends to redeem these shares at cost immediately prior to the initial capital drawdown date and the issuance of shares of our common stock pursuant to the Private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Directors and Executive Officers.</w:t>
      </w:r>
    </w:p>
    <w:p>
      <w:pPr>
        <w:spacing w:after="0" w:line="121"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Our Board will oversee our management. Our Board elects our officers, who will serve at the discretion of the Board. Pursuant to our Amended and Restated Certificate of Incorporation and our Bylaws, our Board initially consists of four members, a majority of whom are Independent Directors. The responsibilities of each director include, among other things, the oversight of our investment activity, the quarterly valuation of our assets, and oversight of our financing arrangements. The Board currently maintains an Audit Committee and an IPO Committee, but may establish additional committees in the future. Unless approved by our Board, we will not permit our executive officers or directors to serve as officers, directors or principals of entities that operate in the same or related line of business as we do, other than investment funds, if any, managed by the Adviser and its affiliates.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and Executive Officers</w:t>
      </w:r>
    </w:p>
    <w:p>
      <w:pPr>
        <w:spacing w:after="0" w:line="121"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Under our Amended and Restated Certificate of Incorporation, our directors are divided into three classes. Each class of directors will hold office for a three-year term. However, the initial members of the three classes have initial terms of one, two and three years, respectively.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will hold office for the term to which he or she is elected and until his or her successor is duly elected and qualified.</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Directors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address for each director is c/o TPG Specialty Lending, Inc., 301 Commerce Street, Suite 3300, Fort Worth, TX 76102. Information regarding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Board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4"/>
                <w:szCs w:val="14"/>
                <w:color w:val="auto"/>
              </w:rPr>
            </w:pPr>
          </w:p>
        </w:tc>
        <w:tc>
          <w:tcPr>
            <w:tcW w:w="332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Position(s)</w:t>
            </w:r>
          </w:p>
        </w:tc>
        <w:tc>
          <w:tcPr>
            <w:tcW w:w="120" w:type="dxa"/>
            <w:vAlign w:val="bottom"/>
          </w:tcPr>
          <w:p>
            <w:pPr>
              <w:spacing w:after="0"/>
              <w:rPr>
                <w:sz w:val="14"/>
                <w:szCs w:val="14"/>
                <w:color w:val="auto"/>
              </w:rPr>
            </w:pPr>
          </w:p>
        </w:tc>
        <w:tc>
          <w:tcPr>
            <w:tcW w:w="3600" w:type="dxa"/>
            <w:vAlign w:val="bottom"/>
            <w:tcBorders>
              <w:bottom w:val="single" w:sz="8" w:color="auto"/>
            </w:tcBorders>
          </w:tcPr>
          <w:p>
            <w:pPr>
              <w:jc w:val="right"/>
              <w:ind w:right="1128"/>
              <w:spacing w:after="0"/>
              <w:rPr>
                <w:sz w:val="20"/>
                <w:szCs w:val="20"/>
                <w:color w:val="auto"/>
              </w:rPr>
            </w:pPr>
            <w:r>
              <w:rPr>
                <w:rFonts w:ascii="Arial" w:cs="Arial" w:eastAsia="Arial" w:hAnsi="Arial"/>
                <w:sz w:val="14"/>
                <w:szCs w:val="14"/>
                <w:b w:val="1"/>
                <w:bCs w:val="1"/>
                <w:color w:val="auto"/>
              </w:rPr>
              <w:t>Expiration of Term</w:t>
            </w:r>
          </w:p>
        </w:tc>
      </w:tr>
      <w:tr>
        <w:trPr>
          <w:trHeight w:val="195"/>
        </w:trPr>
        <w:tc>
          <w:tcPr>
            <w:tcW w:w="3300" w:type="dxa"/>
            <w:vAlign w:val="bottom"/>
          </w:tcPr>
          <w:p>
            <w:pPr>
              <w:spacing w:after="0" w:line="195" w:lineRule="exact"/>
              <w:rPr>
                <w:sz w:val="20"/>
                <w:szCs w:val="20"/>
                <w:color w:val="auto"/>
              </w:rPr>
            </w:pPr>
            <w:r>
              <w:rPr>
                <w:rFonts w:ascii="Arial" w:cs="Arial" w:eastAsia="Arial" w:hAnsi="Arial"/>
                <w:sz w:val="18"/>
                <w:szCs w:val="18"/>
                <w:i w:val="1"/>
                <w:iCs w:val="1"/>
                <w:color w:val="auto"/>
              </w:rPr>
              <w:t>Independent Directors</w:t>
            </w: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spacing w:after="0"/>
              <w:rPr>
                <w:sz w:val="16"/>
                <w:szCs w:val="16"/>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Richard Higginbotham</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Director</w:t>
            </w:r>
          </w:p>
        </w:tc>
        <w:tc>
          <w:tcPr>
            <w:tcW w:w="3720" w:type="dxa"/>
            <w:vAlign w:val="bottom"/>
            <w:gridSpan w:val="2"/>
          </w:tcPr>
          <w:p>
            <w:pPr>
              <w:jc w:val="right"/>
              <w:ind w:right="1608"/>
              <w:spacing w:after="0"/>
              <w:rPr>
                <w:sz w:val="20"/>
                <w:szCs w:val="20"/>
                <w:color w:val="auto"/>
              </w:rPr>
            </w:pPr>
            <w:r>
              <w:rPr>
                <w:rFonts w:ascii="Arial" w:cs="Arial" w:eastAsia="Arial" w:hAnsi="Arial"/>
                <w:sz w:val="18"/>
                <w:szCs w:val="18"/>
                <w:color w:val="auto"/>
              </w:rPr>
              <w:t>2012</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John Ross</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66</w:t>
            </w:r>
          </w:p>
        </w:tc>
        <w:tc>
          <w:tcPr>
            <w:tcW w:w="1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Director</w:t>
            </w:r>
          </w:p>
        </w:tc>
        <w:tc>
          <w:tcPr>
            <w:tcW w:w="3720" w:type="dxa"/>
            <w:vAlign w:val="bottom"/>
            <w:gridSpan w:val="2"/>
          </w:tcPr>
          <w:p>
            <w:pPr>
              <w:jc w:val="right"/>
              <w:ind w:right="1608"/>
              <w:spacing w:after="0"/>
              <w:rPr>
                <w:sz w:val="20"/>
                <w:szCs w:val="20"/>
                <w:color w:val="auto"/>
              </w:rPr>
            </w:pPr>
            <w:r>
              <w:rPr>
                <w:rFonts w:ascii="Arial" w:cs="Arial" w:eastAsia="Arial" w:hAnsi="Arial"/>
                <w:sz w:val="18"/>
                <w:szCs w:val="18"/>
                <w:color w:val="auto"/>
              </w:rPr>
              <w:t>2013</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Ronald Tanemura</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Director</w:t>
            </w:r>
          </w:p>
        </w:tc>
        <w:tc>
          <w:tcPr>
            <w:tcW w:w="3720" w:type="dxa"/>
            <w:vAlign w:val="bottom"/>
            <w:gridSpan w:val="2"/>
          </w:tcPr>
          <w:p>
            <w:pPr>
              <w:jc w:val="right"/>
              <w:ind w:right="1608"/>
              <w:spacing w:after="0"/>
              <w:rPr>
                <w:sz w:val="20"/>
                <w:szCs w:val="20"/>
                <w:color w:val="auto"/>
              </w:rPr>
            </w:pPr>
            <w:r>
              <w:rPr>
                <w:rFonts w:ascii="Arial" w:cs="Arial" w:eastAsia="Arial" w:hAnsi="Arial"/>
                <w:sz w:val="18"/>
                <w:szCs w:val="18"/>
                <w:color w:val="auto"/>
              </w:rPr>
              <w:t>2012</w:t>
            </w:r>
          </w:p>
        </w:tc>
      </w:tr>
      <w:tr>
        <w:trPr>
          <w:trHeight w:val="418"/>
        </w:trPr>
        <w:tc>
          <w:tcPr>
            <w:tcW w:w="3300" w:type="dxa"/>
            <w:vAlign w:val="bottom"/>
          </w:tcPr>
          <w:p>
            <w:pPr>
              <w:spacing w:after="0"/>
              <w:rPr>
                <w:sz w:val="20"/>
                <w:szCs w:val="20"/>
                <w:color w:val="auto"/>
              </w:rPr>
            </w:pPr>
            <w:r>
              <w:rPr>
                <w:rFonts w:ascii="Arial" w:cs="Arial" w:eastAsia="Arial" w:hAnsi="Arial"/>
                <w:sz w:val="18"/>
                <w:szCs w:val="18"/>
                <w:i w:val="1"/>
                <w:iCs w:val="1"/>
                <w:color w:val="auto"/>
              </w:rPr>
              <w:t>Interested Directors</w:t>
            </w: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Joshua Easterly</w:t>
            </w:r>
          </w:p>
        </w:tc>
        <w:tc>
          <w:tcPr>
            <w:tcW w:w="9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34</w:t>
            </w:r>
          </w:p>
        </w:tc>
        <w:tc>
          <w:tcPr>
            <w:tcW w:w="1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2"/>
              </w:rPr>
              <w:t>Vice President, Director and Chairman of the</w:t>
            </w:r>
          </w:p>
        </w:tc>
        <w:tc>
          <w:tcPr>
            <w:tcW w:w="3720" w:type="dxa"/>
            <w:vAlign w:val="bottom"/>
            <w:gridSpan w:val="2"/>
          </w:tcPr>
          <w:p>
            <w:pPr>
              <w:jc w:val="right"/>
              <w:ind w:right="1608"/>
              <w:spacing w:after="0"/>
              <w:rPr>
                <w:sz w:val="20"/>
                <w:szCs w:val="20"/>
                <w:color w:val="auto"/>
              </w:rPr>
            </w:pPr>
            <w:r>
              <w:rPr>
                <w:rFonts w:ascii="Arial" w:cs="Arial" w:eastAsia="Arial" w:hAnsi="Arial"/>
                <w:sz w:val="18"/>
                <w:szCs w:val="18"/>
                <w:color w:val="auto"/>
              </w:rPr>
              <w:t>2014</w:t>
            </w:r>
          </w:p>
        </w:tc>
      </w:tr>
      <w:tr>
        <w:trPr>
          <w:trHeight w:val="230"/>
        </w:trPr>
        <w:tc>
          <w:tcPr>
            <w:tcW w:w="3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Board</w:t>
            </w: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05"/>
        </w:trPr>
        <w:tc>
          <w:tcPr>
            <w:tcW w:w="3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20" w:type="dxa"/>
            <w:vAlign w:val="bottom"/>
            <w:gridSpan w:val="2"/>
          </w:tcPr>
          <w:p>
            <w:pPr>
              <w:jc w:val="right"/>
              <w:ind w:right="1813"/>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26"/>
        </w:trPr>
        <w:tc>
          <w:tcPr>
            <w:tcW w:w="3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Executive Officers who are not Directors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Information regarding our executive officers who are not directors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4"/>
                <w:szCs w:val="14"/>
                <w:color w:val="auto"/>
              </w:rPr>
            </w:pPr>
          </w:p>
        </w:tc>
        <w:tc>
          <w:tcPr>
            <w:tcW w:w="9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Age</w:t>
            </w:r>
          </w:p>
        </w:tc>
        <w:tc>
          <w:tcPr>
            <w:tcW w:w="100" w:type="dxa"/>
            <w:vAlign w:val="bottom"/>
          </w:tcPr>
          <w:p>
            <w:pPr>
              <w:spacing w:after="0"/>
              <w:rPr>
                <w:sz w:val="14"/>
                <w:szCs w:val="14"/>
                <w:color w:val="auto"/>
              </w:rPr>
            </w:pPr>
          </w:p>
        </w:tc>
        <w:tc>
          <w:tcPr>
            <w:tcW w:w="5120" w:type="dxa"/>
            <w:vAlign w:val="bottom"/>
            <w:tcBorders>
              <w:bottom w:val="single" w:sz="8" w:color="auto"/>
            </w:tcBorders>
          </w:tcPr>
          <w:p>
            <w:pPr>
              <w:ind w:left="2240"/>
              <w:spacing w:after="0"/>
              <w:rPr>
                <w:sz w:val="20"/>
                <w:szCs w:val="20"/>
                <w:color w:val="auto"/>
              </w:rPr>
            </w:pPr>
            <w:r>
              <w:rPr>
                <w:rFonts w:ascii="Arial" w:cs="Arial" w:eastAsia="Arial" w:hAnsi="Arial"/>
                <w:sz w:val="14"/>
                <w:szCs w:val="14"/>
                <w:b w:val="1"/>
                <w:bCs w:val="1"/>
                <w:color w:val="auto"/>
              </w:rPr>
              <w:t>Position(s)</w:t>
            </w:r>
          </w:p>
        </w:tc>
      </w:tr>
      <w:tr>
        <w:trPr>
          <w:trHeight w:val="195"/>
        </w:trPr>
        <w:tc>
          <w:tcPr>
            <w:tcW w:w="5120" w:type="dxa"/>
            <w:vAlign w:val="bottom"/>
          </w:tcPr>
          <w:p>
            <w:pPr>
              <w:spacing w:after="0" w:line="195" w:lineRule="exact"/>
              <w:rPr>
                <w:sz w:val="20"/>
                <w:szCs w:val="20"/>
                <w:color w:val="auto"/>
              </w:rPr>
            </w:pPr>
            <w:r>
              <w:rPr>
                <w:rFonts w:ascii="Arial" w:cs="Arial" w:eastAsia="Arial" w:hAnsi="Arial"/>
                <w:sz w:val="18"/>
                <w:szCs w:val="18"/>
                <w:color w:val="auto"/>
              </w:rPr>
              <w:t>Ronald Cami</w:t>
            </w:r>
          </w:p>
        </w:tc>
        <w:tc>
          <w:tcPr>
            <w:tcW w:w="100" w:type="dxa"/>
            <w:vAlign w:val="bottom"/>
          </w:tcPr>
          <w:p>
            <w:pPr>
              <w:spacing w:after="0"/>
              <w:rPr>
                <w:sz w:val="16"/>
                <w:szCs w:val="16"/>
                <w:color w:val="auto"/>
              </w:rPr>
            </w:pPr>
          </w:p>
        </w:tc>
        <w:tc>
          <w:tcPr>
            <w:tcW w:w="980" w:type="dxa"/>
            <w:vAlign w:val="bottom"/>
          </w:tcPr>
          <w:p>
            <w:pPr>
              <w:ind w:left="340"/>
              <w:spacing w:after="0" w:line="195"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6"/>
                <w:szCs w:val="16"/>
                <w:color w:val="auto"/>
              </w:rPr>
            </w:pPr>
          </w:p>
        </w:tc>
        <w:tc>
          <w:tcPr>
            <w:tcW w:w="5120" w:type="dxa"/>
            <w:vAlign w:val="bottom"/>
          </w:tcPr>
          <w:p>
            <w:pPr>
              <w:spacing w:after="0" w:line="195" w:lineRule="exact"/>
              <w:rPr>
                <w:sz w:val="20"/>
                <w:szCs w:val="20"/>
                <w:color w:val="auto"/>
              </w:rPr>
            </w:pPr>
            <w:r>
              <w:rPr>
                <w:rFonts w:ascii="Arial" w:cs="Arial" w:eastAsia="Arial" w:hAnsi="Arial"/>
                <w:sz w:val="18"/>
                <w:szCs w:val="18"/>
                <w:color w:val="auto"/>
              </w:rPr>
              <w:t>Vice President</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David Reintjes</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39</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Chief Compliance Officer and Secretary</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David Stiepleman</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39</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Vice President</w:t>
            </w: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John Viola</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45</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Alan Waxman</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36</w:t>
            </w:r>
          </w:p>
        </w:tc>
        <w:tc>
          <w:tcPr>
            <w:tcW w:w="5220" w:type="dxa"/>
            <w:vAlign w:val="bottom"/>
            <w:gridSpan w:val="2"/>
          </w:tcPr>
          <w:p>
            <w:pPr>
              <w:ind w:left="100"/>
              <w:spacing w:after="0"/>
              <w:rPr>
                <w:sz w:val="20"/>
                <w:szCs w:val="20"/>
                <w:color w:val="auto"/>
              </w:rPr>
            </w:pPr>
            <w:r>
              <w:rPr>
                <w:rFonts w:ascii="Arial" w:cs="Arial" w:eastAsia="Arial" w:hAnsi="Arial"/>
                <w:sz w:val="18"/>
                <w:szCs w:val="18"/>
                <w:color w:val="auto"/>
              </w:rPr>
              <w:t>Vice President</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Independent Directors</w:t>
      </w:r>
    </w:p>
    <w:p>
      <w:pPr>
        <w:spacing w:after="0" w:line="113" w:lineRule="exact"/>
        <w:rPr>
          <w:sz w:val="20"/>
          <w:szCs w:val="20"/>
          <w:color w:val="auto"/>
        </w:rPr>
      </w:pPr>
    </w:p>
    <w:p>
      <w:pPr>
        <w:jc w:val="both"/>
        <w:ind w:right="160" w:firstLine="225"/>
        <w:spacing w:after="0" w:line="281" w:lineRule="auto"/>
        <w:rPr>
          <w:sz w:val="20"/>
          <w:szCs w:val="20"/>
          <w:color w:val="auto"/>
        </w:rPr>
      </w:pPr>
      <w:r>
        <w:rPr>
          <w:rFonts w:ascii="Arial" w:cs="Arial" w:eastAsia="Arial" w:hAnsi="Arial"/>
          <w:sz w:val="17"/>
          <w:szCs w:val="17"/>
          <w:b w:val="1"/>
          <w:bCs w:val="1"/>
          <w:color w:val="auto"/>
        </w:rPr>
        <w:t xml:space="preserve">Richard Higginbotham </w:t>
      </w:r>
      <w:r>
        <w:rPr>
          <w:rFonts w:ascii="Arial" w:cs="Arial" w:eastAsia="Arial" w:hAnsi="Arial"/>
          <w:sz w:val="17"/>
          <w:szCs w:val="17"/>
          <w:color w:val="auto"/>
        </w:rPr>
        <w:t>was elected a director of TSL in March 2011. From 2004 to 2005, Mr. Higginbotham was the President of Asset Based Lending</w:t>
      </w:r>
      <w:r>
        <w:rPr>
          <w:rFonts w:ascii="Arial" w:cs="Arial" w:eastAsia="Arial" w:hAnsi="Arial"/>
          <w:sz w:val="17"/>
          <w:szCs w:val="17"/>
          <w:b w:val="1"/>
          <w:bCs w:val="1"/>
          <w:color w:val="auto"/>
        </w:rPr>
        <w:t xml:space="preserve"> </w:t>
      </w:r>
      <w:r>
        <w:rPr>
          <w:rFonts w:ascii="Arial" w:cs="Arial" w:eastAsia="Arial" w:hAnsi="Arial"/>
          <w:sz w:val="17"/>
          <w:szCs w:val="17"/>
          <w:color w:val="auto"/>
        </w:rPr>
        <w:t>and Leasing at Bank of America. Prior to that, he worked for 35 years, including in various senior executive positions, at Fleet Bank, Fleet Financial Group, Inc., and FleetBoston Financial, Inc. Mr. Higginbotham holds a BA in Political Science from Brown University. Mr. Higginbotham’s depth of experience in senior executive positions in the financial sector provides the Board with valuable experience, insight and perspective.</w:t>
      </w:r>
    </w:p>
    <w:p>
      <w:pPr>
        <w:spacing w:after="0" w:line="57" w:lineRule="exact"/>
        <w:rPr>
          <w:sz w:val="20"/>
          <w:szCs w:val="20"/>
          <w:color w:val="auto"/>
        </w:rPr>
      </w:pPr>
    </w:p>
    <w:p>
      <w:pPr>
        <w:ind w:right="20" w:firstLine="225"/>
        <w:spacing w:after="0" w:line="277" w:lineRule="auto"/>
        <w:rPr>
          <w:sz w:val="20"/>
          <w:szCs w:val="20"/>
          <w:color w:val="auto"/>
        </w:rPr>
      </w:pPr>
      <w:r>
        <w:rPr>
          <w:rFonts w:ascii="Arial" w:cs="Arial" w:eastAsia="Arial" w:hAnsi="Arial"/>
          <w:sz w:val="17"/>
          <w:szCs w:val="17"/>
          <w:b w:val="1"/>
          <w:bCs w:val="1"/>
          <w:color w:val="auto"/>
        </w:rPr>
        <w:t xml:space="preserve">John Ross </w:t>
      </w:r>
      <w:r>
        <w:rPr>
          <w:rFonts w:ascii="Arial" w:cs="Arial" w:eastAsia="Arial" w:hAnsi="Arial"/>
          <w:sz w:val="17"/>
          <w:szCs w:val="17"/>
          <w:color w:val="auto"/>
        </w:rPr>
        <w:t>was elected a director of TSL in March 2011. Mr. Ross is also a director of DBS Bank Ltd., Singapore. From 1992 to 2002, Mr. Ross worked at</w:t>
      </w:r>
      <w:r>
        <w:rPr>
          <w:rFonts w:ascii="Arial" w:cs="Arial" w:eastAsia="Arial" w:hAnsi="Arial"/>
          <w:sz w:val="17"/>
          <w:szCs w:val="17"/>
          <w:b w:val="1"/>
          <w:bCs w:val="1"/>
          <w:color w:val="auto"/>
        </w:rPr>
        <w:t xml:space="preserve"> </w:t>
      </w:r>
      <w:r>
        <w:rPr>
          <w:rFonts w:ascii="Arial" w:cs="Arial" w:eastAsia="Arial" w:hAnsi="Arial"/>
          <w:sz w:val="17"/>
          <w:szCs w:val="17"/>
          <w:color w:val="auto"/>
        </w:rPr>
        <w:t>Deutsche Bank 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with valuable knowledge and insight in the financial services sector as well as experience in financial and accounting matters.</w:t>
      </w:r>
    </w:p>
    <w:p>
      <w:pPr>
        <w:spacing w:after="0" w:line="6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Ronald Tanemura </w:t>
      </w:r>
      <w:r>
        <w:rPr>
          <w:rFonts w:ascii="Arial" w:cs="Arial" w:eastAsia="Arial" w:hAnsi="Arial"/>
          <w:sz w:val="17"/>
          <w:szCs w:val="17"/>
          <w:color w:val="auto"/>
        </w:rPr>
        <w:t>was elected a director of TSL in March 2011. Mr. Tanemura is also a director of ICE Clear Europe in London. Prior to that,</w:t>
      </w:r>
    </w:p>
    <w:p>
      <w:pPr>
        <w:spacing w:after="0" w:line="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Mr. Tanemura was a Partner at Goldman, Sachs &amp; Co. from 2000 to 2004, where he was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Interested Directors</w:t>
      </w:r>
    </w:p>
    <w:p>
      <w:pPr>
        <w:spacing w:after="0" w:line="113" w:lineRule="exact"/>
        <w:rPr>
          <w:sz w:val="20"/>
          <w:szCs w:val="20"/>
          <w:color w:val="auto"/>
        </w:rPr>
      </w:pPr>
    </w:p>
    <w:p>
      <w:pPr>
        <w:ind w:right="120" w:firstLine="225"/>
        <w:spacing w:after="0" w:line="255" w:lineRule="auto"/>
        <w:rPr>
          <w:sz w:val="20"/>
          <w:szCs w:val="20"/>
          <w:color w:val="auto"/>
        </w:rPr>
      </w:pPr>
      <w:r>
        <w:rPr>
          <w:rFonts w:ascii="Arial" w:cs="Arial" w:eastAsia="Arial" w:hAnsi="Arial"/>
          <w:sz w:val="18"/>
          <w:szCs w:val="18"/>
          <w:b w:val="1"/>
          <w:bCs w:val="1"/>
          <w:color w:val="auto"/>
        </w:rPr>
        <w:t xml:space="preserve">Joshua Easterly </w:t>
      </w:r>
      <w:r>
        <w:rPr>
          <w:rFonts w:ascii="Arial" w:cs="Arial" w:eastAsia="Arial" w:hAnsi="Arial"/>
          <w:sz w:val="18"/>
          <w:szCs w:val="18"/>
          <w:color w:val="auto"/>
        </w:rPr>
        <w:t>was appointed a vice president and elected a director of TSL in March 2011. Mr. Easterly is a Managing Director of TPG Opportunities</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and the Co-Chief Investment Officer of TPG Specialty Lending. Until 2010, he was a Managing Director at Goldman, Sachs &amp; Co. in the Americas Special Situations Group, which invested Goldman’s capital in both the public markets and private transactions in distressed and special situations. Prior to joining Goldman Sachs in March 2006, Mr. Easterly was Senior Vice President, Northeast Regional Originations Manager at Wells Fargo Foothill, the $8 billion commercial finance company of Wells Fargo and Company. Mr. Easterly graduated from California State University, Fresno with a Bachelor of Science degree in Business Administration, magna cum laude. Mr. Easterly’s depth of experience investing in a variety of distressed and special situations transactions as well as his extensive knowledge of the business and operations of TPG Opportunities Partners provides the Board with the valuable insight and expertise.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Executive Officers who are not Directors</w:t>
      </w:r>
    </w:p>
    <w:p>
      <w:pPr>
        <w:spacing w:after="0" w:line="113" w:lineRule="exact"/>
        <w:rPr>
          <w:sz w:val="20"/>
          <w:szCs w:val="20"/>
          <w:color w:val="auto"/>
        </w:rPr>
      </w:pPr>
    </w:p>
    <w:p>
      <w:pPr>
        <w:ind w:right="320" w:firstLine="225"/>
        <w:spacing w:after="0" w:line="281" w:lineRule="auto"/>
        <w:rPr>
          <w:sz w:val="20"/>
          <w:szCs w:val="20"/>
          <w:color w:val="auto"/>
        </w:rPr>
      </w:pPr>
      <w:r>
        <w:rPr>
          <w:rFonts w:ascii="Arial" w:cs="Arial" w:eastAsia="Arial" w:hAnsi="Arial"/>
          <w:sz w:val="17"/>
          <w:szCs w:val="17"/>
          <w:b w:val="1"/>
          <w:bCs w:val="1"/>
          <w:color w:val="auto"/>
        </w:rPr>
        <w:t xml:space="preserve">Ronald Cami </w:t>
      </w:r>
      <w:r>
        <w:rPr>
          <w:rFonts w:ascii="Arial" w:cs="Arial" w:eastAsia="Arial" w:hAnsi="Arial"/>
          <w:sz w:val="17"/>
          <w:szCs w:val="17"/>
          <w:color w:val="auto"/>
        </w:rPr>
        <w:t>is a vice president of the Company. Mr. Cami joined TPG as a Partner and General Counsel in June 2010. Prior to TPG, Mr. Cami was a</w:t>
      </w:r>
      <w:r>
        <w:rPr>
          <w:rFonts w:ascii="Arial" w:cs="Arial" w:eastAsia="Arial" w:hAnsi="Arial"/>
          <w:sz w:val="17"/>
          <w:szCs w:val="17"/>
          <w:b w:val="1"/>
          <w:bCs w:val="1"/>
          <w:color w:val="auto"/>
        </w:rPr>
        <w:t xml:space="preserve"> </w:t>
      </w:r>
      <w:r>
        <w:rPr>
          <w:rFonts w:ascii="Arial" w:cs="Arial" w:eastAsia="Arial" w:hAnsi="Arial"/>
          <w:sz w:val="17"/>
          <w:szCs w:val="17"/>
          <w:color w:val="auto"/>
        </w:rPr>
        <w:t>Partner at Cravath, Swaine &amp; Moore LLP, where he advised a wide variety of corporate clients on mergers and acquisitions, securities offerings, risk management and compliance. Prior to joining Cravath, Mr. Cami was a clerk for the US District Court for the Southern District of New York. Mr. Cami received his JD from Rutgers University Law School and also holds a BA in Government from Harvard University.</w:t>
      </w:r>
    </w:p>
    <w:p>
      <w:pPr>
        <w:spacing w:after="0" w:line="57"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b w:val="1"/>
          <w:bCs w:val="1"/>
          <w:color w:val="auto"/>
        </w:rPr>
        <w:t xml:space="preserve">David Reintjes </w:t>
      </w:r>
      <w:r>
        <w:rPr>
          <w:rFonts w:ascii="Arial" w:cs="Arial" w:eastAsia="Arial" w:hAnsi="Arial"/>
          <w:sz w:val="18"/>
          <w:szCs w:val="18"/>
          <w:color w:val="auto"/>
        </w:rPr>
        <w:t>is the Chief Compliance Officer and Secretary of the Company. He is also Chief Compliance Officer and Deputy General Counsel of TPG.</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joining TPG in 2007, Mr. Reintjes was a member of the corporate practice group at Sonnenschein Nath &amp; Rosenthal LLP, and, from 1997 to 2005, he was a member of the corporate and securities practice group at Kelly, Hart &amp; Hallman LLP. Mr. Reintjes received a J.D. from the University of Kansas and a B.A. from the University of Notre Dame.</w:t>
      </w:r>
    </w:p>
    <w:p>
      <w:pPr>
        <w:spacing w:after="0" w:line="72" w:lineRule="exact"/>
        <w:rPr>
          <w:sz w:val="20"/>
          <w:szCs w:val="20"/>
          <w:color w:val="auto"/>
        </w:rPr>
      </w:pPr>
    </w:p>
    <w:p>
      <w:pPr>
        <w:ind w:right="60" w:firstLine="225"/>
        <w:spacing w:after="0" w:line="303" w:lineRule="auto"/>
        <w:rPr>
          <w:sz w:val="20"/>
          <w:szCs w:val="20"/>
          <w:color w:val="auto"/>
        </w:rPr>
      </w:pPr>
      <w:r>
        <w:rPr>
          <w:rFonts w:ascii="Arial" w:cs="Arial" w:eastAsia="Arial" w:hAnsi="Arial"/>
          <w:sz w:val="16"/>
          <w:szCs w:val="16"/>
          <w:b w:val="1"/>
          <w:bCs w:val="1"/>
          <w:color w:val="auto"/>
        </w:rPr>
        <w:t xml:space="preserve">David Stiepleman </w:t>
      </w:r>
      <w:r>
        <w:rPr>
          <w:rFonts w:ascii="Arial" w:cs="Arial" w:eastAsia="Arial" w:hAnsi="Arial"/>
          <w:sz w:val="16"/>
          <w:szCs w:val="16"/>
          <w:color w:val="auto"/>
        </w:rPr>
        <w:t>is a vice president of the Company. He is also the Chief Operating Officer and a Managing Director of TPG Opportunities Partners.</w:t>
      </w:r>
      <w:r>
        <w:rPr>
          <w:rFonts w:ascii="Arial" w:cs="Arial" w:eastAsia="Arial" w:hAnsi="Arial"/>
          <w:sz w:val="16"/>
          <w:szCs w:val="16"/>
          <w:b w:val="1"/>
          <w:bCs w:val="1"/>
          <w:color w:val="auto"/>
        </w:rPr>
        <w:t xml:space="preserve"> </w:t>
      </w:r>
      <w:r>
        <w:rPr>
          <w:rFonts w:ascii="Arial" w:cs="Arial" w:eastAsia="Arial" w:hAnsi="Arial"/>
          <w:sz w:val="16"/>
          <w:szCs w:val="16"/>
          <w:color w:val="auto"/>
        </w:rPr>
        <w:t>Until 2010, Mr. Stiepleman was a Managing Director and the Deputy General Counsel of Fortress Investment Group LLC, where he was the lead lawyer responsible for the firm’s new business initiatives. Prior to that, he was lead counsel to the Americas Special Situations Group and the Mortgages Department at Goldman, Sachs &amp; Co. Mr. Stiepleman received a BA in French and Political Science from Amherst College and a JD from Columbia University.</w:t>
      </w:r>
    </w:p>
    <w:p>
      <w:pPr>
        <w:spacing w:after="0" w:line="43" w:lineRule="exact"/>
        <w:rPr>
          <w:sz w:val="20"/>
          <w:szCs w:val="20"/>
          <w:color w:val="auto"/>
        </w:rPr>
      </w:pPr>
    </w:p>
    <w:p>
      <w:pPr>
        <w:ind w:right="100" w:firstLine="225"/>
        <w:spacing w:after="0" w:line="255" w:lineRule="auto"/>
        <w:rPr>
          <w:sz w:val="20"/>
          <w:szCs w:val="20"/>
          <w:color w:val="auto"/>
        </w:rPr>
      </w:pPr>
      <w:r>
        <w:rPr>
          <w:rFonts w:ascii="Arial" w:cs="Arial" w:eastAsia="Arial" w:hAnsi="Arial"/>
          <w:sz w:val="18"/>
          <w:szCs w:val="18"/>
          <w:b w:val="1"/>
          <w:bCs w:val="1"/>
          <w:color w:val="auto"/>
        </w:rPr>
        <w:t xml:space="preserve">John Viola </w:t>
      </w:r>
      <w:r>
        <w:rPr>
          <w:rFonts w:ascii="Arial" w:cs="Arial" w:eastAsia="Arial" w:hAnsi="Arial"/>
          <w:sz w:val="18"/>
          <w:szCs w:val="18"/>
          <w:color w:val="auto"/>
        </w:rPr>
        <w:t>is Chief Financial Officer of the Company. He is also a partner of TPG, TPG’s Chief Financial Officer and a member of the TPG’s</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Committee. Prior to joining TPG in 2001, Mr. Viola was Vice President of Colony Capital, LLC, responsible for the general management of Colony Capital, LLC’s operations and for certain financial matters, including investor reporting and deal structuring. Prior to joining Colony Capital, LLC in 1993, Mr. Viola was controller for the California Community Reinvestment Corporation (“CCRC”). Before joining CCRC, Mr. Viola spent five years in the Los Angeles office of Ernst &amp; Young, where he worked with a number of public and private entrepreneurial clients. Mr. Viola received a B.S. from Loyola Marymount University and an M.B.A. from the UCLA Anderson School of Management. Mr. Viola is a Certified Public Accountant and a member of the American Institute of Certified Public Accountants.</w:t>
      </w:r>
    </w:p>
    <w:p>
      <w:pPr>
        <w:spacing w:after="0" w:line="81"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is a vice president of the Company. Mr. Waxman is a TPG Partner and is a member of the firm’s Executive Committee. He is the Chief</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Officer of TPG Opportunities Partners and Co-Chief Investment Officer of TPG Specialty Lending. Prior to joining TPG in 2009, Mr. Waxman was a Partner at Goldman, Sachs &amp; Co. During his career at Goldman Sachs, he co-headed the Americas Special Situations Group, which invested Goldman’s capital in both the public markets and private transactions in distressed and special situations. Mr. Waxman began his career at Goldman Sachs in 1998. He holds a B.A. in International Relations from University of Pennsylvania.</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right="40" w:firstLine="222"/>
        <w:spacing w:after="0" w:line="273" w:lineRule="auto"/>
        <w:rPr>
          <w:sz w:val="20"/>
          <w:szCs w:val="20"/>
          <w:color w:val="auto"/>
        </w:rPr>
      </w:pPr>
      <w:r>
        <w:rPr>
          <w:rFonts w:ascii="Arial" w:cs="Arial" w:eastAsia="Arial" w:hAnsi="Arial"/>
          <w:sz w:val="17"/>
          <w:szCs w:val="17"/>
          <w:color w:val="auto"/>
        </w:rPr>
        <w:t>The audit committee operates pursuant to our bylaws (the “Bylaws”). The Bylaws set forth the responsibilities of the audit committee. The primary function of the audit committee is to serve as an independent and objective party to assist the Board in fulfilling its responsibilities for valuing our assets, overseeing and monitoring the quality and integrity of our financial statements, the adequacy of our system of internal controls, the review of the independence and performance of, as well as communicate openly with, our registered public accounting firm and our compliance with legal and regulatory requirements. Our Board has designated Mr. John Ross as an “audit committee financial expert” pursuant to the provisions of Item 407(d)(5) of Regulation S-K, and pursuant to the Bylaws, our audit committee is comprised solely of members who are Independent Directors.</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IPO Committee</w:t>
      </w:r>
    </w:p>
    <w:p>
      <w:pPr>
        <w:spacing w:after="0" w:line="117" w:lineRule="exact"/>
        <w:rPr>
          <w:sz w:val="20"/>
          <w:szCs w:val="20"/>
          <w:color w:val="auto"/>
        </w:rPr>
      </w:pPr>
    </w:p>
    <w:p>
      <w:pPr>
        <w:ind w:right="220" w:firstLine="222"/>
        <w:spacing w:after="0" w:line="264" w:lineRule="auto"/>
        <w:rPr>
          <w:sz w:val="20"/>
          <w:szCs w:val="20"/>
          <w:color w:val="auto"/>
        </w:rPr>
      </w:pPr>
      <w:r>
        <w:rPr>
          <w:rFonts w:ascii="Arial" w:cs="Arial" w:eastAsia="Arial" w:hAnsi="Arial"/>
          <w:sz w:val="18"/>
          <w:szCs w:val="18"/>
          <w:color w:val="auto"/>
        </w:rPr>
        <w:t>The Bylaws also establish an IPO committee. The IPO committee’s primary function is to advise the Board regarding matters relating to an IPO of the Company, including: (i) the preparation of any registration statement and prospectus in connection with an IPO, (ii) the issuance and sale of the Company’s common stock, (iii)</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negotiation of the terms and conditions of any underwriting agreements relating to an IPO, (iv) the determination that all common stock is validly issued and (v) the authorization of certain of the Company’s officers to execute and deliver the documents relevant to an IPO. The IPO committee acts solely in an advisory capacity to the Board and is not authorized to take any actions on behalf of the Board or the Company.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right="420" w:firstLine="222"/>
        <w:spacing w:after="0" w:line="277" w:lineRule="auto"/>
        <w:rPr>
          <w:sz w:val="20"/>
          <w:szCs w:val="20"/>
          <w:color w:val="auto"/>
        </w:rPr>
      </w:pPr>
      <w:r>
        <w:rPr>
          <w:rFonts w:ascii="Arial" w:cs="Arial" w:eastAsia="Arial" w:hAnsi="Arial"/>
          <w:sz w:val="18"/>
          <w:szCs w:val="18"/>
          <w:color w:val="auto"/>
        </w:rPr>
        <w:t>The Board does not currently intend to delegate any authority to a compensation committee because our executive officers will not receive any direct compensation from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code of ethics relates to written standards that are reasonably designed to deter wrongdoing and to promote:</w:t>
      </w:r>
    </w:p>
    <w:p>
      <w:pPr>
        <w:spacing w:after="0" w:line="117" w:lineRule="exact"/>
        <w:rPr>
          <w:sz w:val="20"/>
          <w:szCs w:val="20"/>
          <w:color w:val="auto"/>
        </w:rPr>
      </w:pPr>
    </w:p>
    <w:p>
      <w:pPr>
        <w:ind w:left="540" w:hanging="316"/>
        <w:spacing w:after="0"/>
        <w:tabs>
          <w:tab w:leader="none" w:pos="540"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honest and ethical conduct, including the ethical handling of actual or apparent conflicts of interest between personal and professional relationships;</w:t>
      </w:r>
    </w:p>
    <w:p>
      <w:pPr>
        <w:spacing w:after="0" w:line="153" w:lineRule="exact"/>
        <w:rPr>
          <w:rFonts w:ascii="Arial" w:cs="Arial" w:eastAsia="Arial" w:hAnsi="Arial"/>
          <w:sz w:val="16"/>
          <w:szCs w:val="16"/>
          <w:b w:val="1"/>
          <w:bCs w:val="1"/>
          <w:color w:val="auto"/>
        </w:rPr>
      </w:pPr>
    </w:p>
    <w:p>
      <w:pPr>
        <w:ind w:left="540" w:right="380" w:hanging="316"/>
        <w:spacing w:after="0" w:line="277" w:lineRule="auto"/>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full, fair, accurate, timely and understandable disclosure in reports and documents that are filed with, or submitted to, the SEC and in other public communications made by us;</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compliance with applicable governmental laws, rules and regulations;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the prompt internal reporting of violations of the code to an appropriate person or persons identified in the code;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accountability for adherence to the code.</w:t>
      </w:r>
    </w:p>
    <w:p>
      <w:pPr>
        <w:spacing w:after="0" w:line="117" w:lineRule="exact"/>
        <w:rPr>
          <w:sz w:val="20"/>
          <w:szCs w:val="20"/>
          <w:color w:val="auto"/>
        </w:rPr>
      </w:pPr>
    </w:p>
    <w:p>
      <w:pPr>
        <w:ind w:right="80" w:firstLine="225"/>
        <w:spacing w:after="0" w:line="277" w:lineRule="auto"/>
        <w:rPr>
          <w:sz w:val="20"/>
          <w:szCs w:val="20"/>
          <w:color w:val="auto"/>
        </w:rPr>
      </w:pPr>
      <w:r>
        <w:rPr>
          <w:rFonts w:ascii="Arial" w:cs="Arial" w:eastAsia="Arial" w:hAnsi="Arial"/>
          <w:sz w:val="18"/>
          <w:szCs w:val="18"/>
          <w:color w:val="auto"/>
        </w:rPr>
        <w:t>Our Board has adopted a corporate code of ethics that applies to our executive officers. See “</w:t>
      </w:r>
      <w:r>
        <w:rPr>
          <w:rFonts w:ascii="Arial" w:cs="Arial" w:eastAsia="Arial" w:hAnsi="Arial"/>
          <w:sz w:val="18"/>
          <w:szCs w:val="18"/>
          <w:i w:val="1"/>
          <w:iCs w:val="1"/>
          <w:color w:val="auto"/>
        </w:rPr>
        <w:t>Item I(c). Description of Business—Regulation as a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Development Company—Code of Ethics</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Executive Compensation.</w:t>
      </w:r>
    </w:p>
    <w:p>
      <w:pPr>
        <w:spacing w:after="0" w:line="121" w:lineRule="exact"/>
        <w:rPr>
          <w:sz w:val="20"/>
          <w:szCs w:val="20"/>
          <w:color w:val="auto"/>
        </w:rPr>
      </w:pP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Compensation of Executive Officers</w:t>
      </w:r>
    </w:p>
    <w:p>
      <w:pPr>
        <w:spacing w:after="0" w:line="117" w:lineRule="exact"/>
        <w:rPr>
          <w:sz w:val="20"/>
          <w:szCs w:val="20"/>
          <w:color w:val="auto"/>
        </w:rPr>
      </w:pPr>
    </w:p>
    <w:p>
      <w:pPr>
        <w:ind w:right="300" w:firstLine="222"/>
        <w:spacing w:after="0" w:line="257"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will be provided by individuals who are employees of TSL Advisers, LLC or its affiliates, pursuant to the terms of our Advisory and Administration Agreements. Each of our executive officers will be an employee of the Adviser or its affiliates. Our day-to-day investment operations will be managed by the Adviser. Most of the services necessary for the origination and administration of our investment portfolio will be provided by investment professionals employed by the Adviser or its affiliates.</w:t>
      </w:r>
    </w:p>
    <w:p>
      <w:pPr>
        <w:spacing w:after="0" w:line="80"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None of our executive officers will receive direct compensation from us. We will reimburse the Adviser the allocable portion of the compensation paid by the Adviser (or its affiliates) to the Company’s chief compliance officer and chief financial officer (based on the percentage of time such individuals devote, on an estimated basis, to the business and affairs of the Company). Certain of our executive officers and other members of our Investment Team, through their ownership interest in or management positions with the Adviser, may be entitled to a portion of any profits earned by the Adviser, which includes any fees payable to the Adviser under the terms of our Advisory Agreement, less expenses incurred by the Adviser in performing its services under our Advisory Agreement. The Adviser may pay additional salaries, bonuses, and individual performance awards and/or individual performance bonuses to our executive officers in addition to their ownership interest.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Compensation of Independent Directors</w:t>
      </w:r>
    </w:p>
    <w:p>
      <w:pPr>
        <w:spacing w:after="0" w:line="117"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We will pay no compensation to officers who are “interested persons” (as defined in the 1940 Act) of the Adviser or to directors other than the Independent Directors. We are authorized to pay each Independent Director the following amounts for serving as a director: (i) $75,000 ($100,000 after an IPO) per year,</w:t>
      </w:r>
    </w:p>
    <w:p>
      <w:pPr>
        <w:ind w:right="40" w:firstLine="8"/>
        <w:spacing w:after="0" w:line="254" w:lineRule="auto"/>
        <w:tabs>
          <w:tab w:leader="none" w:pos="2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$2,500 for each meeting of the Board attended, (iii) $1,000 for each committee meeting of the Company attended, (iv) an additional fee of $5,000 ($7,500 after an IPO) per year for the chairman of the audit committee and (v) an additional fee of $2,500 per year for each chairman of any other committee of the Board. We are also authorized to pay the reasonable out-of-pocket expenses of each Independent Director incurred by such director in connection with the fulfillment of his or her duties as an Independent Director.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Certain Relationships and Related Transactions, and Director Independence.</w:t>
      </w:r>
    </w:p>
    <w:p>
      <w:pPr>
        <w:spacing w:after="0" w:line="121" w:lineRule="exact"/>
        <w:rPr>
          <w:sz w:val="20"/>
          <w:szCs w:val="20"/>
          <w:color w:val="auto"/>
        </w:rPr>
      </w:pPr>
    </w:p>
    <w:p>
      <w:pPr>
        <w:ind w:left="260" w:hanging="252"/>
        <w:spacing w:after="0"/>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Transactions with Related Persons; Review Approval or Ratification of Transaction with Related Persons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TPG</w:t>
      </w:r>
    </w:p>
    <w:p>
      <w:pPr>
        <w:spacing w:after="0" w:line="121" w:lineRule="exact"/>
        <w:rPr>
          <w:sz w:val="20"/>
          <w:szCs w:val="20"/>
          <w:color w:val="auto"/>
        </w:rPr>
      </w:pPr>
    </w:p>
    <w:p>
      <w:pPr>
        <w:ind w:firstLine="225"/>
        <w:spacing w:after="0" w:line="342" w:lineRule="auto"/>
        <w:rPr>
          <w:sz w:val="20"/>
          <w:szCs w:val="20"/>
          <w:color w:val="auto"/>
        </w:rPr>
      </w:pPr>
      <w:r>
        <w:rPr>
          <w:rFonts w:ascii="Arial" w:cs="Arial" w:eastAsia="Arial" w:hAnsi="Arial"/>
          <w:sz w:val="16"/>
          <w:szCs w:val="16"/>
          <w:color w:val="auto"/>
        </w:rPr>
        <w:t>Our investment activities are managed by our Adviser, which is responsible for sourcing, researching and structuring potential investments, monitoring our portfolio companies and providing operating, managerial and administrative assistance to the Company and to our portfolio companies as required.</w:t>
      </w:r>
    </w:p>
    <w:p>
      <w:pPr>
        <w:spacing w:after="0" w:line="16" w:lineRule="exact"/>
        <w:rPr>
          <w:sz w:val="20"/>
          <w:szCs w:val="20"/>
          <w:color w:val="auto"/>
        </w:rPr>
      </w:pPr>
    </w:p>
    <w:p>
      <w:pPr>
        <w:ind w:right="140" w:firstLine="222"/>
        <w:spacing w:after="0" w:line="257" w:lineRule="auto"/>
        <w:rPr>
          <w:sz w:val="20"/>
          <w:szCs w:val="20"/>
          <w:color w:val="auto"/>
        </w:rPr>
      </w:pPr>
      <w:r>
        <w:rPr>
          <w:rFonts w:ascii="Arial" w:cs="Arial" w:eastAsia="Arial" w:hAnsi="Arial"/>
          <w:sz w:val="18"/>
          <w:szCs w:val="18"/>
          <w:color w:val="auto"/>
        </w:rPr>
        <w:t>The Adviser is a registered investment adviser under the Advisers Act, and is an affiliate of TPG. Another affiliate of TPG is also an SEC-registered investment adviser and provides investment advisory services to a number of private investment funds. However, the Adviser, and not TPG, will be responsible for providing the services to the Company described herein. In addition, TPG and its affiliates engage in a broad range of other investment activities, including pursuing investments for their own account and for the account of associated funds and providing other services to these funds and their portfolio companies.</w:t>
      </w:r>
    </w:p>
    <w:p>
      <w:pPr>
        <w:spacing w:after="0" w:line="80"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In addition, the Adviser will make capital commitments to purchase shares of our common stock as of the Closing. These capital commitments will be made by the Adviser pursuant to a subscription agreement entered into with the Company, on terms and conditions substantially the same as those offered to our other investors.</w:t>
      </w:r>
    </w:p>
    <w:p>
      <w:pPr>
        <w:spacing w:after="0" w:line="73" w:lineRule="exact"/>
        <w:rPr>
          <w:sz w:val="20"/>
          <w:szCs w:val="20"/>
          <w:color w:val="auto"/>
        </w:rPr>
      </w:pPr>
    </w:p>
    <w:p>
      <w:pPr>
        <w:ind w:right="220" w:firstLine="222"/>
        <w:spacing w:after="0" w:line="255" w:lineRule="auto"/>
        <w:rPr>
          <w:sz w:val="20"/>
          <w:szCs w:val="20"/>
          <w:color w:val="auto"/>
        </w:rPr>
      </w:pPr>
      <w:r>
        <w:rPr>
          <w:rFonts w:ascii="Arial" w:cs="Arial" w:eastAsia="Arial" w:hAnsi="Arial"/>
          <w:sz w:val="18"/>
          <w:szCs w:val="18"/>
          <w:color w:val="auto"/>
        </w:rPr>
        <w:t>We expect to benefit from the Adviser’s relationships with TPG, since the Adviser will have access to the contacts and industry knowledge of TPG’s investment professionals, and will also be able to consult with TPG investment professionals on specific industry issues, trends and other matters to complement our investment process. However, the Adviser and members of the Adviser’s Investment Review Committee are expected to face a number of actual and potential conflicts of interest involving the Company, TPG and other private investment funds affiliated with TPG, including conflicts in the allocation of investment opportunities among the Company and other TPG-affiliated funds as well as in their time and attention requirements to these other funds. Various potential and actual conflicts of interest may arise from the overall advisory, investment and other activities of the Adviser, its affiliates, including TPG, and their respective clients.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Allocations of Investment Opportunities</w:t>
      </w:r>
    </w:p>
    <w:p>
      <w:pPr>
        <w:spacing w:after="0" w:line="121" w:lineRule="exact"/>
        <w:rPr>
          <w:sz w:val="20"/>
          <w:szCs w:val="20"/>
          <w:color w:val="auto"/>
        </w:rPr>
      </w:pPr>
    </w:p>
    <w:p>
      <w:pPr>
        <w:ind w:right="200" w:firstLine="225"/>
        <w:spacing w:after="0" w:line="259" w:lineRule="auto"/>
        <w:rPr>
          <w:sz w:val="20"/>
          <w:szCs w:val="20"/>
          <w:color w:val="auto"/>
        </w:rPr>
      </w:pPr>
      <w:r>
        <w:rPr>
          <w:rFonts w:ascii="Arial" w:cs="Arial" w:eastAsia="Arial" w:hAnsi="Arial"/>
          <w:sz w:val="18"/>
          <w:szCs w:val="18"/>
          <w:color w:val="auto"/>
        </w:rPr>
        <w:t>In the ordinary course of conducting its activities, the Adviser and members of the Adviser’s Investment Review Committee are expected to encounter situations in which they must determine how to allocate investment opportunities among the Company and other investment funds affiliated with TPG. The Adviser, TOP and TPG expect to first make all loan origination opportunities to middle-market borrowers (including any equity or equity-like interests connected to such opportunities) available to the Company.</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Obligations to TPG-Affiliated Funds</w:t>
      </w:r>
    </w:p>
    <w:p>
      <w:pPr>
        <w:spacing w:after="0" w:line="11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Members of the Adviser’s senior management and Investment Review Committee are and will continue to be active in other investment funds affiliated with TPG that pursue investment opportunities that could overlap with those pursued by the Company. Under the agreements governing these other investment funds, such investment opportunities may be required to be offered first to these funds. While the investment strategy pursued by these funds may overlap with the investment objective pursued by the Company in certain respects, members of the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Adviser’s senior management and Investment Review Committee are generally not required to offer investment opportunities in middle-market loan originations, which is the Company’s primary investment focus, to TPG’s existing funds.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Allocation of Loan Origination Investment Opportunities</w:t>
      </w:r>
    </w:p>
    <w:p>
      <w:pPr>
        <w:spacing w:after="0" w:line="117"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Subject to the above, TPG intends to conduct all middle-market loan origination activities through the Company, unless it would not be permissible, advisable or otherwise suitable for the Company to pursue a particular investment opportunity. For example, certain loan origination investment opportunities may not be appropriate for the Company if they might cause the Company to violate asset coverage or concentration limitations imposed by the 1940 Act or the Code, would be ineligible for financing under the Company’s financing arrangements, pose adverse legal, regulatory or tax risks, constrain the Company’s resources to make future investments or would otherwise be inappropriate or inadvisable as an investment for the Company. TPG or TOP may in the future organize a separate investment vehicle aimed specifically at non-U.S. middle-market loan originations or other loan origination opportunities that are inappropriate for the Company. Any such loan origination opportunities not pursued by the Company may then be presented to other TPG-managed or sponsored vehicles, including vehicles managed by TOP investment professionals. Pursuant to the subscription agreement, the Adviser and its affiliates are not permitted to act as manager of, or the primary source of transactions for, other pooled investment funds, the principal objective of which is to source, originate and manage loans to middle-market companies whose principal business operations are in the United States until the first to occur of (i) the fourth anniversary of the Closing, (ii) the date of a Qualified IPO and (iii) the time that at least 75% of the investors’ aggregate capital commitments have been contributed to the Company. This restriction will not prevent the Adviser from acting as manager of, or the primary source of transactions for, investment vehicles in which the Company invests or otherwise holds an economic interest.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Allocation of Non-Loan Origination Investment Opportunities</w:t>
      </w:r>
    </w:p>
    <w:p>
      <w:pPr>
        <w:spacing w:after="0" w:line="117" w:lineRule="exact"/>
        <w:rPr>
          <w:sz w:val="20"/>
          <w:szCs w:val="20"/>
          <w:color w:val="auto"/>
        </w:rPr>
      </w:pPr>
    </w:p>
    <w:p>
      <w:pPr>
        <w:ind w:right="40" w:firstLine="222"/>
        <w:spacing w:after="0" w:line="302" w:lineRule="auto"/>
        <w:rPr>
          <w:sz w:val="20"/>
          <w:szCs w:val="20"/>
          <w:color w:val="auto"/>
        </w:rPr>
      </w:pPr>
      <w:r>
        <w:rPr>
          <w:rFonts w:ascii="Arial" w:cs="Arial" w:eastAsia="Arial" w:hAnsi="Arial"/>
          <w:sz w:val="16"/>
          <w:szCs w:val="16"/>
          <w:color w:val="auto"/>
        </w:rPr>
        <w:t>While our primary focus is to generate current income and capital appreciation through direct lending to eligible portfolio companies (i.e., U.S. domiciled, middle-market issuers in which a BDC must invest at least 70% of its total assets), we also may invest up to 30% of our portfolio opportunistically in non-eligible portfolio companies. These non-eligible assets may include, among other things, debt issued by companies located outside the United States, publicly and privately traded debt and equity securities, high yield bonds and other instruments or assets (including consumer and commercial loans).</w:t>
      </w:r>
    </w:p>
    <w:p>
      <w:pPr>
        <w:spacing w:after="0" w:line="46" w:lineRule="exact"/>
        <w:rPr>
          <w:sz w:val="20"/>
          <w:szCs w:val="20"/>
          <w:color w:val="auto"/>
        </w:rPr>
      </w:pPr>
    </w:p>
    <w:p>
      <w:pPr>
        <w:jc w:val="both"/>
        <w:ind w:right="60" w:firstLine="225"/>
        <w:spacing w:after="0" w:line="279" w:lineRule="auto"/>
        <w:rPr>
          <w:sz w:val="20"/>
          <w:szCs w:val="20"/>
          <w:color w:val="auto"/>
        </w:rPr>
      </w:pPr>
      <w:r>
        <w:rPr>
          <w:rFonts w:ascii="Arial" w:cs="Arial" w:eastAsia="Arial" w:hAnsi="Arial"/>
          <w:sz w:val="17"/>
          <w:szCs w:val="17"/>
          <w:color w:val="auto"/>
        </w:rPr>
        <w:t>In the event that TPG is not required to forward a particular investment opportunity to an affiliated fund, then the Company may be permitted to take up such opportunity. The decision to allocate any such opportunity as between the Company and other TPG-managed or TPG-sponsored vehicles will take into account various factors that TPG and the Adviser deem appropriate. It is possible that the Company may not be given the opportunity to participate in certain investments made by other TPG-affiliated funds that would otherwise be suitable for the Company.</w:t>
      </w:r>
    </w:p>
    <w:p>
      <w:pPr>
        <w:spacing w:after="0" w:line="63" w:lineRule="exact"/>
        <w:rPr>
          <w:sz w:val="20"/>
          <w:szCs w:val="20"/>
          <w:color w:val="auto"/>
        </w:rPr>
      </w:pPr>
    </w:p>
    <w:p>
      <w:pPr>
        <w:ind w:right="40" w:firstLine="225"/>
        <w:spacing w:after="0" w:line="279" w:lineRule="auto"/>
        <w:rPr>
          <w:sz w:val="20"/>
          <w:szCs w:val="20"/>
          <w:color w:val="auto"/>
        </w:rPr>
      </w:pPr>
      <w:r>
        <w:rPr>
          <w:rFonts w:ascii="Arial" w:cs="Arial" w:eastAsia="Arial" w:hAnsi="Arial"/>
          <w:sz w:val="17"/>
          <w:szCs w:val="17"/>
          <w:color w:val="auto"/>
        </w:rPr>
        <w:t>If TPG and the Adviser were to determine that an investment is appropriate both for the Company and for one or more other TPG-managed or TPG-sponsored vehicles, the Company would only be able to make any such investments subject to compliance with applicable regulations and interpretations and in accordance with the Adviser’s allocation procedures. In certain circumstances, co-investments with affiliates may be made only if the Company requests and receives an order from the SEC permitting us to do so. There can be no assurance that such an order will be obtained.</w:t>
      </w:r>
    </w:p>
    <w:p>
      <w:pPr>
        <w:spacing w:after="0" w:line="63" w:lineRule="exact"/>
        <w:rPr>
          <w:sz w:val="20"/>
          <w:szCs w:val="20"/>
          <w:color w:val="auto"/>
        </w:rPr>
      </w:pPr>
    </w:p>
    <w:p>
      <w:pPr>
        <w:ind w:right="60" w:firstLine="222"/>
        <w:spacing w:after="0" w:line="279" w:lineRule="auto"/>
        <w:rPr>
          <w:sz w:val="20"/>
          <w:szCs w:val="20"/>
          <w:color w:val="auto"/>
        </w:rPr>
      </w:pPr>
      <w:r>
        <w:rPr>
          <w:rFonts w:ascii="Arial" w:cs="Arial" w:eastAsia="Arial" w:hAnsi="Arial"/>
          <w:sz w:val="17"/>
          <w:szCs w:val="17"/>
          <w:color w:val="auto"/>
        </w:rPr>
        <w:t>The Adviser will also serve as our administrator. The administrator, on behalf of and at the expense of the Company, may retain one or more service providers that may also be affiliates of TPG to serve as sub-administrator, custodian, accounting agent, investor services agent, transfer agent or other service provider for the Company. Any fees paid by the Company, or indemnification obligations undertaken by the Company, in respect of the administrator and such other service providers that are TPG affiliates will be set at arm’s length and approved by the Independent Directors.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w:t>
      </w:r>
    </w:p>
    <w:p>
      <w:pPr>
        <w:spacing w:after="0" w:line="121"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In the course of our investing activities, we will pay Management Fees and Incentive Fees to the Adviser, incur direct expenses and will reimburse the Adviser for certain expenses it incurs. See “</w:t>
      </w:r>
      <w:r>
        <w:rPr>
          <w:rFonts w:ascii="Arial" w:cs="Arial" w:eastAsia="Arial" w:hAnsi="Arial"/>
          <w:sz w:val="18"/>
          <w:szCs w:val="18"/>
          <w:i w:val="1"/>
          <w:iCs w:val="1"/>
          <w:color w:val="auto"/>
        </w:rPr>
        <w:t>Item 1(c). Description of Business—General—The Investment Adviser</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Business Relationships</w:t>
      </w:r>
    </w:p>
    <w:p>
      <w:pPr>
        <w:spacing w:after="0" w:line="121"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Certain of the current directors and officers of the Company are directors or officers of the Adviser. See Item 7(b) below for a description of the Advisory Agreement and the Administration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 of Management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ind w:left="260" w:hanging="252"/>
        <w:spacing w:after="0"/>
        <w:tabs>
          <w:tab w:leader="none" w:pos="2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Promoters and Certain Control Persons</w:t>
      </w:r>
    </w:p>
    <w:p>
      <w:pPr>
        <w:spacing w:after="0" w:line="117"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Adviser may be deemed a promoter of the Company. The Company will enter into the Advisory Agreement and the Administration Agreement with the Adviser.</w:t>
      </w:r>
    </w:p>
    <w:p>
      <w:pPr>
        <w:spacing w:after="0" w:line="62" w:lineRule="exact"/>
        <w:rPr>
          <w:sz w:val="20"/>
          <w:szCs w:val="20"/>
          <w:color w:val="auto"/>
        </w:rPr>
      </w:pPr>
    </w:p>
    <w:p>
      <w:pPr>
        <w:ind w:right="80" w:firstLine="225"/>
        <w:spacing w:after="0" w:line="257" w:lineRule="auto"/>
        <w:rPr>
          <w:sz w:val="20"/>
          <w:szCs w:val="20"/>
          <w:color w:val="auto"/>
        </w:rPr>
      </w:pPr>
      <w:r>
        <w:rPr>
          <w:rFonts w:ascii="Arial" w:cs="Arial" w:eastAsia="Arial" w:hAnsi="Arial"/>
          <w:sz w:val="18"/>
          <w:szCs w:val="18"/>
          <w:color w:val="auto"/>
        </w:rPr>
        <w:t>Pursuant to the Advisory Agreement, the Adviser will act as the investment adviser to the Company and manage the investment and reinvestment of the assets of the Company, subject to the supervision of the Board, in accordance with the investment objective, policies and restrictions set forth in this Registration Statement, in accordance with all applicable federal and state laws, rules and regulations, and the Company’s certificate of incorporation and bylaws (as amended from time to time), and in accordance with the 1940 Act. In carrying out its duties as the investment adviser to the Company pursuant to the Advisory Agreement, the Adviser will:</w:t>
      </w:r>
    </w:p>
    <w:p>
      <w:pPr>
        <w:spacing w:after="0" w:line="80" w:lineRule="exact"/>
        <w:rPr>
          <w:sz w:val="20"/>
          <w:szCs w:val="20"/>
          <w:color w:val="auto"/>
        </w:rPr>
      </w:pPr>
    </w:p>
    <w:p>
      <w:pPr>
        <w:ind w:left="540" w:right="580" w:hanging="316"/>
        <w:spacing w:after="0" w:line="277" w:lineRule="auto"/>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determine the composition of the portfolio of the Company, the nature and timing of the changes therein and the manner of implementing such changes;</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identify/source, research, evaluate and negotiate the structure of the investments made by the Company;</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close and monitor the Company’s investments;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determine the assets that the Company will originate, purchase, retain, or sell;</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perform due diligence on prospective portfolio companies; and</w:t>
      </w:r>
    </w:p>
    <w:p>
      <w:pPr>
        <w:spacing w:after="0" w:line="130" w:lineRule="exact"/>
        <w:rPr>
          <w:rFonts w:ascii="Arial" w:cs="Arial" w:eastAsia="Arial" w:hAnsi="Arial"/>
          <w:sz w:val="18"/>
          <w:szCs w:val="18"/>
          <w:b w:val="1"/>
          <w:bCs w:val="1"/>
          <w:color w:val="auto"/>
        </w:rPr>
      </w:pPr>
    </w:p>
    <w:p>
      <w:pPr>
        <w:ind w:left="540" w:right="120" w:hanging="316"/>
        <w:spacing w:after="0" w:line="342" w:lineRule="auto"/>
        <w:tabs>
          <w:tab w:leader="none" w:pos="540"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provide the Company with such other investment advisory, research, and related services as the Company may, from time to time, reasonably require for the investment of its funds, including providing operating and managerial assistance to the Company and its portfolio companies as required.</w:t>
      </w:r>
    </w:p>
    <w:p>
      <w:pPr>
        <w:spacing w:after="0" w:line="16" w:lineRule="exact"/>
        <w:rPr>
          <w:sz w:val="20"/>
          <w:szCs w:val="20"/>
          <w:color w:val="auto"/>
        </w:rPr>
      </w:pPr>
    </w:p>
    <w:p>
      <w:pPr>
        <w:ind w:right="20" w:firstLine="222"/>
        <w:spacing w:after="0" w:line="293" w:lineRule="auto"/>
        <w:rPr>
          <w:sz w:val="20"/>
          <w:szCs w:val="20"/>
          <w:color w:val="auto"/>
        </w:rPr>
      </w:pPr>
      <w:r>
        <w:rPr>
          <w:rFonts w:ascii="Arial" w:cs="Arial" w:eastAsia="Arial" w:hAnsi="Arial"/>
          <w:sz w:val="16"/>
          <w:szCs w:val="16"/>
          <w:color w:val="auto"/>
        </w:rPr>
        <w:t>We will also enter into the Administration Agreement with our Adviser, under which the Adviser will provide administrative services to us. These services will include providing office space to us, providing us with equipment and office services, maintaining our financial records, preparing reports to our stockholders and reports filed with the SEC and managing the payment of our expenses and the performance of administrative and professional services rendered to us by others. We will reimburse the Adviser for reasonable costs and expenses incurred by the Adviser in providing these services, facilities and personnel, as provided by the Administration Agreement. In addition, the Adviser is permitted to delegate its duties under the Administration Agreement to affiliates or third parties and we will reimburse the expenses of these parties incurred and paid by the Adviser on our behalf.</w:t>
      </w:r>
    </w:p>
    <w:p>
      <w:pPr>
        <w:spacing w:after="0" w:line="57"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Except as otherwise provided herein, the Adviser will bear all costs and expenses of its employees and any overhead incurred in connection with its duties under the Advisory Agreement and Administration Agreement and will be solely responsible for the compensation of its investment professionals and employees and all overhead expenses of the Adviser (including rent, office equipment and utilities). The Company will bear all other costs and expenses of its operations, administration and transactions, including (without limitation) those relating to:</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 w:hanging="316"/>
        <w:spacing w:after="0"/>
        <w:tabs>
          <w:tab w:leader="none" w:pos="540" w:val="left"/>
        </w:tabs>
        <w:numPr>
          <w:ilvl w:val="0"/>
          <w:numId w:val="31"/>
        </w:numPr>
        <w:rPr>
          <w:rFonts w:ascii="Arial" w:cs="Arial" w:eastAsia="Arial" w:hAnsi="Arial"/>
          <w:sz w:val="17"/>
          <w:szCs w:val="17"/>
          <w:b w:val="1"/>
          <w:bCs w:val="1"/>
          <w:color w:val="auto"/>
        </w:rPr>
      </w:pPr>
      <w:r>
        <w:rPr>
          <w:rFonts w:ascii="Arial" w:cs="Arial" w:eastAsia="Arial" w:hAnsi="Arial"/>
          <w:sz w:val="17"/>
          <w:szCs w:val="17"/>
          <w:color w:val="auto"/>
        </w:rPr>
        <w:t>our initial organization costs and operating costs incurred prior to the commencement of our operations (up to an aggregate of $1,500,000);</w:t>
      </w:r>
    </w:p>
    <w:p>
      <w:pPr>
        <w:spacing w:after="0" w:line="142" w:lineRule="exact"/>
        <w:rPr>
          <w:rFonts w:ascii="Arial" w:cs="Arial" w:eastAsia="Arial" w:hAnsi="Arial"/>
          <w:sz w:val="17"/>
          <w:szCs w:val="17"/>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calculating individual asset values and our net asset value (including the cost and expenses of any independent valuation firms);</w:t>
      </w:r>
    </w:p>
    <w:p>
      <w:pPr>
        <w:spacing w:after="0" w:line="130" w:lineRule="exact"/>
        <w:rPr>
          <w:rFonts w:ascii="Arial" w:cs="Arial" w:eastAsia="Arial" w:hAnsi="Arial"/>
          <w:sz w:val="18"/>
          <w:szCs w:val="18"/>
          <w:b w:val="1"/>
          <w:bCs w:val="1"/>
          <w:color w:val="auto"/>
        </w:rPr>
      </w:pPr>
    </w:p>
    <w:p>
      <w:pPr>
        <w:ind w:left="540" w:hanging="316"/>
        <w:spacing w:after="0" w:line="277" w:lineRule="auto"/>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expenses, including travel expense, incurred by the Adviser, or members of the Investment Team, or payable to third parties, performing due diligence on prospective portfolio companies and, if necessary, enforcing our rights;</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costs of the offerings of common shares and other securities, if any;</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the allocated costs incurred by the Adviser in providing managerial assistance to those portfolio companies that request it;</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b w:val="1"/>
          <w:bCs w:val="1"/>
          <w:color w:val="auto"/>
        </w:rPr>
      </w:pPr>
    </w:p>
    <w:p>
      <w:pPr>
        <w:jc w:val="both"/>
        <w:ind w:left="540" w:right="280" w:hanging="316"/>
        <w:spacing w:after="0" w:line="264" w:lineRule="auto"/>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including registration and listing fees, and the compensation of professionals responsible for the preparation of the foregoing;</w:t>
      </w:r>
    </w:p>
    <w:p>
      <w:pPr>
        <w:spacing w:after="0" w:line="86" w:lineRule="exact"/>
        <w:rPr>
          <w:rFonts w:ascii="Arial" w:cs="Arial" w:eastAsia="Arial" w:hAnsi="Arial"/>
          <w:sz w:val="18"/>
          <w:szCs w:val="18"/>
          <w:b w:val="1"/>
          <w:bCs w:val="1"/>
          <w:color w:val="auto"/>
        </w:rPr>
      </w:pPr>
    </w:p>
    <w:p>
      <w:pPr>
        <w:ind w:left="540" w:right="260" w:hanging="316"/>
        <w:spacing w:after="0" w:line="342" w:lineRule="auto"/>
        <w:tabs>
          <w:tab w:leader="none" w:pos="540"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29" w:lineRule="exact"/>
        <w:rPr>
          <w:rFonts w:ascii="Arial" w:cs="Arial" w:eastAsia="Arial" w:hAnsi="Arial"/>
          <w:sz w:val="16"/>
          <w:szCs w:val="16"/>
          <w:b w:val="1"/>
          <w:bCs w:val="1"/>
          <w:color w:val="auto"/>
        </w:rPr>
      </w:pPr>
    </w:p>
    <w:p>
      <w:pPr>
        <w:ind w:left="540" w:right="460" w:hanging="316"/>
        <w:spacing w:after="0" w:line="277" w:lineRule="auto"/>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our fidelity bond (as described more fully under “</w:t>
      </w:r>
      <w:r>
        <w:rPr>
          <w:rFonts w:ascii="Arial" w:cs="Arial" w:eastAsia="Arial" w:hAnsi="Arial"/>
          <w:sz w:val="18"/>
          <w:szCs w:val="18"/>
          <w:i w:val="1"/>
          <w:iCs w:val="1"/>
          <w:color w:val="auto"/>
        </w:rPr>
        <w:t>Item 1(c). Description of Business—Regulation as a Public Business Development Company</w:t>
      </w:r>
      <w:r>
        <w:rPr>
          <w:rFonts w:ascii="Arial" w:cs="Arial" w:eastAsia="Arial" w:hAnsi="Arial"/>
          <w:sz w:val="18"/>
          <w:szCs w:val="18"/>
          <w:color w:val="auto"/>
        </w:rPr>
        <w:t>,” below);</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direct costs and expenses of administration, including audit, accounting, consulting and legal costs; and</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 w:hanging="316"/>
        <w:spacing w:after="0"/>
        <w:tabs>
          <w:tab w:leader="none" w:pos="54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117"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From time to time, the Adviser may pay amounts owed by us to third-party providers of goods or services. We will subsequently reimburse the Adviser for such amounts paid on our behalf. Other than with respect to initial organization and operating costs, as described above, there is no contractual cap on the reasonable costs and expenses for which the Adviser will be reimbursed. Furthermore, the Company will reimburse the Adviser for the allocable portion of the compensation paid by the Adviser (or its affiliates) to the Company’s chief compliance officer and chief financial officer (based on the percentage of time such individuals devote, on an estimated basis, to the business and affairs of the Company).</w:t>
      </w:r>
    </w:p>
    <w:p>
      <w:pPr>
        <w:spacing w:after="0" w:line="64"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Adviser, for its services to the Company, will be entitled to receive fees as described under “</w:t>
      </w:r>
      <w:r>
        <w:rPr>
          <w:rFonts w:ascii="Arial" w:cs="Arial" w:eastAsia="Arial" w:hAnsi="Arial"/>
          <w:sz w:val="18"/>
          <w:szCs w:val="18"/>
          <w:i w:val="1"/>
          <w:iCs w:val="1"/>
          <w:color w:val="auto"/>
        </w:rPr>
        <w:t>Item 1(c). Description of Business—General—Advisory</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 Administration Agreement; License Agreement</w:t>
      </w:r>
      <w:r>
        <w:rPr>
          <w:rFonts w:ascii="Arial" w:cs="Arial" w:eastAsia="Arial" w:hAnsi="Arial"/>
          <w:sz w:val="18"/>
          <w:szCs w:val="18"/>
          <w:color w:val="auto"/>
        </w:rPr>
        <w:t>.”</w:t>
      </w:r>
    </w:p>
    <w:p>
      <w:pPr>
        <w:spacing w:after="0" w:line="62" w:lineRule="exact"/>
        <w:rPr>
          <w:sz w:val="20"/>
          <w:szCs w:val="20"/>
          <w:color w:val="auto"/>
        </w:rPr>
      </w:pPr>
    </w:p>
    <w:p>
      <w:pPr>
        <w:jc w:val="both"/>
        <w:ind w:right="480" w:firstLine="225"/>
        <w:spacing w:after="0" w:line="264" w:lineRule="auto"/>
        <w:rPr>
          <w:sz w:val="20"/>
          <w:szCs w:val="20"/>
          <w:color w:val="auto"/>
        </w:rPr>
      </w:pPr>
      <w:r>
        <w:rPr>
          <w:rFonts w:ascii="Arial" w:cs="Arial" w:eastAsia="Arial" w:hAnsi="Arial"/>
          <w:sz w:val="18"/>
          <w:szCs w:val="18"/>
          <w:color w:val="auto"/>
        </w:rPr>
        <w:t>Under the Advisory Agreement, the Company expects, to the extent permitted by applicable law and in the discretion of the Board, to indemnify the Adviser and certain of its affiliates, as described under “</w:t>
      </w:r>
      <w:r>
        <w:rPr>
          <w:rFonts w:ascii="Arial" w:cs="Arial" w:eastAsia="Arial" w:hAnsi="Arial"/>
          <w:sz w:val="18"/>
          <w:szCs w:val="18"/>
          <w:i w:val="1"/>
          <w:iCs w:val="1"/>
          <w:color w:val="auto"/>
        </w:rPr>
        <w:t>Item 1(c). Description of Business—General—Advisory Agreement; Administration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License Agreement</w:t>
      </w:r>
      <w:r>
        <w:rPr>
          <w:rFonts w:ascii="Arial" w:cs="Arial" w:eastAsia="Arial" w:hAnsi="Arial"/>
          <w:sz w:val="18"/>
          <w:szCs w:val="18"/>
          <w:color w:val="auto"/>
        </w:rPr>
        <w:t>.”</w:t>
      </w:r>
    </w:p>
    <w:p>
      <w:pPr>
        <w:spacing w:after="0" w:line="73" w:lineRule="exact"/>
        <w:rPr>
          <w:sz w:val="20"/>
          <w:szCs w:val="20"/>
          <w:color w:val="auto"/>
        </w:rPr>
      </w:pPr>
    </w:p>
    <w:p>
      <w:pPr>
        <w:ind w:firstLine="225"/>
        <w:spacing w:after="0" w:line="286" w:lineRule="auto"/>
        <w:rPr>
          <w:sz w:val="20"/>
          <w:szCs w:val="20"/>
          <w:color w:val="auto"/>
        </w:rPr>
      </w:pPr>
      <w:r>
        <w:rPr>
          <w:rFonts w:ascii="Arial" w:cs="Arial" w:eastAsia="Arial" w:hAnsi="Arial"/>
          <w:sz w:val="16"/>
          <w:szCs w:val="16"/>
          <w:color w:val="auto"/>
        </w:rPr>
        <w:t>Both the Advisory Agreement and the Administration Agreement have been approved by our Board. Unless earlier terminated as described below, both the Advisory Agreement and the Administration Agreement will remain in effect for a period from their effective date and will remain in effect from year to year thereafter if approved annually by (i) the vote of our Board, or by the vote of a majority of our outstanding voting securities, and (ii) the vote of a majority of our Independent Directors. The Advisory Agreement and the Administration Agreement will automatically terminate in the event of assignment. See</w:t>
      </w:r>
    </w:p>
    <w:p>
      <w:pPr>
        <w:spacing w:after="0" w:line="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Item 1A. Risk Factors—Risks Relating to Our Business and Structure—We will be dependent upon management personnel of the Adviser for our future</w:t>
      </w:r>
      <w:r>
        <w:rPr>
          <w:rFonts w:ascii="Arial" w:cs="Arial" w:eastAsia="Arial" w:hAnsi="Arial"/>
          <w:sz w:val="18"/>
          <w:szCs w:val="18"/>
          <w:color w:val="auto"/>
        </w:rPr>
        <w:t xml:space="preserve"> </w:t>
      </w:r>
      <w:r>
        <w:rPr>
          <w:rFonts w:ascii="Arial" w:cs="Arial" w:eastAsia="Arial" w:hAnsi="Arial"/>
          <w:sz w:val="18"/>
          <w:szCs w:val="18"/>
          <w:i w:val="1"/>
          <w:iCs w:val="1"/>
          <w:color w:val="auto"/>
        </w:rPr>
        <w:t>success</w:t>
      </w:r>
      <w:r>
        <w:rPr>
          <w:rFonts w:ascii="Arial" w:cs="Arial" w:eastAsia="Arial" w:hAnsi="Arial"/>
          <w:sz w:val="18"/>
          <w:szCs w:val="18"/>
          <w:color w:val="auto"/>
        </w:rPr>
        <w:t>.”</w:t>
      </w:r>
    </w:p>
    <w:p>
      <w:pPr>
        <w:spacing w:after="0" w:line="76" w:lineRule="exact"/>
        <w:rPr>
          <w:sz w:val="20"/>
          <w:szCs w:val="20"/>
          <w:color w:val="auto"/>
        </w:rPr>
      </w:pPr>
    </w:p>
    <w:p>
      <w:pPr>
        <w:ind w:right="180" w:firstLine="225"/>
        <w:spacing w:after="0" w:line="257" w:lineRule="auto"/>
        <w:rPr>
          <w:sz w:val="20"/>
          <w:szCs w:val="20"/>
          <w:color w:val="auto"/>
        </w:rPr>
      </w:pPr>
      <w:r>
        <w:rPr>
          <w:rFonts w:ascii="Arial" w:cs="Arial" w:eastAsia="Arial" w:hAnsi="Arial"/>
          <w:sz w:val="18"/>
          <w:szCs w:val="18"/>
          <w:color w:val="auto"/>
        </w:rPr>
        <w:t>Notwithstanding the foregoing, the Advisory Agreement and the Administration Agreement may be terminated at any time, without the payment of any penalty, upon sixty (60) days’ written notice, provided that such termination will be directed or approved by the vote of a majority of the outstanding voting securities of the Company, by the vote of the Company’s directors, or by the Adviser. The Advisory Agreement will also immediately terminate in the event of its assignment. If the Advisory Agreement is terminated according to this paragraph, the Company will pay the Adviser a pro-rated portion of the Management Fee and Incentive Fee.</w:t>
      </w:r>
    </w:p>
    <w:p>
      <w:pPr>
        <w:spacing w:after="0" w:line="80" w:lineRule="exact"/>
        <w:rPr>
          <w:sz w:val="20"/>
          <w:szCs w:val="20"/>
          <w:color w:val="auto"/>
        </w:rPr>
      </w:pPr>
    </w:p>
    <w:p>
      <w:pPr>
        <w:jc w:val="both"/>
        <w:ind w:right="20" w:firstLine="222"/>
        <w:spacing w:after="0" w:line="259" w:lineRule="auto"/>
        <w:rPr>
          <w:sz w:val="20"/>
          <w:szCs w:val="20"/>
          <w:color w:val="auto"/>
        </w:rPr>
      </w:pPr>
      <w:r>
        <w:rPr>
          <w:rFonts w:ascii="Arial" w:cs="Arial" w:eastAsia="Arial" w:hAnsi="Arial"/>
          <w:sz w:val="18"/>
          <w:szCs w:val="18"/>
          <w:color w:val="auto"/>
        </w:rPr>
        <w:t>The Company will engage at its own expense a firm acceptable to the Company and the Adviser to determine the maximum reasonable fair value as of the termination date of the Company’s consolidated assets (assuming each asset is readily marketable among institutional investors without minority discount and with an appropriate control premium for any control positions and ascribing an appropriate net present value to unamortized organizational and offering costs and going concern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Legal Proceedings</w:t>
      </w:r>
    </w:p>
    <w:p>
      <w:pPr>
        <w:spacing w:after="0" w:line="121" w:lineRule="exact"/>
        <w:rPr>
          <w:sz w:val="20"/>
          <w:szCs w:val="20"/>
          <w:color w:val="auto"/>
        </w:rPr>
      </w:pPr>
    </w:p>
    <w:p>
      <w:pPr>
        <w:ind w:right="80" w:firstLine="222"/>
        <w:spacing w:after="0" w:line="279" w:lineRule="auto"/>
        <w:rPr>
          <w:sz w:val="20"/>
          <w:szCs w:val="20"/>
          <w:color w:val="auto"/>
        </w:rPr>
      </w:pPr>
      <w:r>
        <w:rPr>
          <w:rFonts w:ascii="Arial" w:cs="Arial" w:eastAsia="Arial" w:hAnsi="Arial"/>
          <w:sz w:val="17"/>
          <w:szCs w:val="17"/>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loans to or other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67" w:lineRule="exact"/>
        <w:rPr>
          <w:sz w:val="20"/>
          <w:szCs w:val="20"/>
          <w:color w:val="auto"/>
        </w:rPr>
      </w:pPr>
    </w:p>
    <w:p>
      <w:pPr>
        <w:ind w:right="3040"/>
        <w:spacing w:after="0" w:line="378" w:lineRule="auto"/>
        <w:rPr>
          <w:sz w:val="20"/>
          <w:szCs w:val="20"/>
          <w:color w:val="auto"/>
        </w:rPr>
      </w:pPr>
      <w:r>
        <w:rPr>
          <w:rFonts w:ascii="Arial" w:cs="Arial" w:eastAsia="Arial" w:hAnsi="Arial"/>
          <w:sz w:val="18"/>
          <w:szCs w:val="18"/>
          <w:b w:val="1"/>
          <w:bCs w:val="1"/>
          <w:color w:val="auto"/>
        </w:rPr>
        <w:t>Item 9. Market Price of and Dividends on the Registrant’s Common Equity and Related Stockholder Matters Market Information</w:t>
      </w:r>
    </w:p>
    <w:p>
      <w:pPr>
        <w:ind w:right="180" w:firstLine="225"/>
        <w:spacing w:after="0" w:line="277" w:lineRule="auto"/>
        <w:rPr>
          <w:sz w:val="20"/>
          <w:szCs w:val="20"/>
          <w:color w:val="auto"/>
        </w:rPr>
      </w:pPr>
      <w:r>
        <w:rPr>
          <w:rFonts w:ascii="Arial" w:cs="Arial" w:eastAsia="Arial" w:hAnsi="Arial"/>
          <w:sz w:val="18"/>
          <w:szCs w:val="18"/>
          <w:color w:val="auto"/>
        </w:rPr>
        <w:t>Until an IPO, our outstanding common stock will be offered and sold in transactions exempt from registration under the 1933 Act under section 4(2) and Regulation D. See “</w:t>
      </w:r>
      <w:r>
        <w:rPr>
          <w:rFonts w:ascii="Arial" w:cs="Arial" w:eastAsia="Arial" w:hAnsi="Arial"/>
          <w:sz w:val="18"/>
          <w:szCs w:val="18"/>
          <w:i w:val="1"/>
          <w:iCs w:val="1"/>
          <w:color w:val="auto"/>
        </w:rPr>
        <w:t>Item 10. Recent Sales of Unregistered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Securities</w:t>
      </w:r>
      <w:r>
        <w:rPr>
          <w:rFonts w:ascii="Arial" w:cs="Arial" w:eastAsia="Arial" w:hAnsi="Arial"/>
          <w:sz w:val="17"/>
          <w:szCs w:val="17"/>
          <w:color w:val="auto"/>
        </w:rPr>
        <w:t>” for more information. There is currently no public market for our common stock, nor can we give any assurance that one will develop.</w:t>
      </w:r>
    </w:p>
    <w:p>
      <w:pPr>
        <w:spacing w:after="0" w:line="129" w:lineRule="exact"/>
        <w:rPr>
          <w:sz w:val="20"/>
          <w:szCs w:val="20"/>
          <w:color w:val="auto"/>
        </w:rPr>
      </w:pPr>
    </w:p>
    <w:p>
      <w:pPr>
        <w:ind w:right="200" w:firstLine="225"/>
        <w:spacing w:after="0" w:line="291" w:lineRule="auto"/>
        <w:rPr>
          <w:sz w:val="20"/>
          <w:szCs w:val="20"/>
          <w:color w:val="auto"/>
        </w:rPr>
      </w:pPr>
      <w:r>
        <w:rPr>
          <w:rFonts w:ascii="Arial" w:cs="Arial" w:eastAsia="Arial" w:hAnsi="Arial"/>
          <w:sz w:val="16"/>
          <w:szCs w:val="16"/>
          <w:color w:val="auto"/>
        </w:rPr>
        <w:t>Because shares of our common stock are being acquired by investors in one or more transactions “not involving a public offering,” they are “restricted securities” and may be required to be held indefinitely. Our common shares may not be sold, transferred, assigned, pledged or otherwise disposed of unless</w:t>
      </w:r>
    </w:p>
    <w:p>
      <w:pPr>
        <w:ind w:firstLine="8"/>
        <w:spacing w:after="0" w:line="270" w:lineRule="auto"/>
        <w:tabs>
          <w:tab w:leader="none" w:pos="215"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consent is granted, and (ii) the common shares are registered under applicable securities laws or specifically exempted from registration (in which case the stockholder may, at our option, be required to provide us with a legal opinion, in form and substance satisfactory to us, that registration is not required). Accordingly, an investor must be willing to bear the economic risk of investment in the common shares until we are liquidated. No sale, transfer, assignment, pledge or other disposition, whether voluntary or involuntary, of the common shares may be made except by registration of the transfer on our books. Each transferee will be required to execute an instrument agreeing to be bound by these restrictions and the other restrictions imposed on the common shares and to execute such other instruments or certifications as are reasonably required by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Item 4. Security Ownership of Certain Beneficial Owners and Management</w:t>
      </w:r>
      <w:r>
        <w:rPr>
          <w:rFonts w:ascii="Arial" w:cs="Arial" w:eastAsia="Arial" w:hAnsi="Arial"/>
          <w:sz w:val="18"/>
          <w:szCs w:val="18"/>
          <w:color w:val="auto"/>
        </w:rPr>
        <w:t>” for disclosure regarding the holders of the Company’s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Portfolio Securities</w:t>
      </w:r>
    </w:p>
    <w:p>
      <w:pPr>
        <w:spacing w:after="0" w:line="121" w:lineRule="exact"/>
        <w:rPr>
          <w:sz w:val="20"/>
          <w:szCs w:val="20"/>
          <w:color w:val="auto"/>
        </w:rPr>
      </w:pPr>
    </w:p>
    <w:p>
      <w:pPr>
        <w:jc w:val="both"/>
        <w:ind w:right="60" w:firstLine="222"/>
        <w:spacing w:after="0" w:line="264" w:lineRule="auto"/>
        <w:rPr>
          <w:sz w:val="20"/>
          <w:szCs w:val="20"/>
          <w:color w:val="auto"/>
        </w:rPr>
      </w:pPr>
      <w:r>
        <w:rPr>
          <w:rFonts w:ascii="Arial" w:cs="Arial" w:eastAsia="Arial" w:hAnsi="Arial"/>
          <w:sz w:val="18"/>
          <w:szCs w:val="18"/>
          <w:color w:val="auto"/>
        </w:rPr>
        <w:t>We will determine the net asset value per share of our common stock quarterly. The net asset value per share is equal to the value of our total assets minus liabilities and any preferred stock outstanding divided by the total number of shares of common stock outstanding. At present, we do not have any preferred stock outstanding.</w:t>
      </w:r>
    </w:p>
    <w:p>
      <w:pPr>
        <w:spacing w:after="0" w:line="73" w:lineRule="exact"/>
        <w:rPr>
          <w:sz w:val="20"/>
          <w:szCs w:val="20"/>
          <w:color w:val="auto"/>
        </w:rPr>
      </w:pPr>
    </w:p>
    <w:p>
      <w:pPr>
        <w:ind w:right="40" w:firstLine="225"/>
        <w:spacing w:after="0" w:line="254" w:lineRule="auto"/>
        <w:rPr>
          <w:sz w:val="20"/>
          <w:szCs w:val="20"/>
          <w:color w:val="auto"/>
        </w:rPr>
      </w:pPr>
      <w:r>
        <w:rPr>
          <w:rFonts w:ascii="Arial" w:cs="Arial" w:eastAsia="Arial" w:hAnsi="Arial"/>
          <w:sz w:val="18"/>
          <w:szCs w:val="18"/>
          <w:color w:val="auto"/>
        </w:rPr>
        <w:t>Investments are valued at the end of each fiscal quarter. Substantially all of our investments are expected to be in loans that do not have readily ascertainable market prices. Assets that are not publicly traded or whose market prices are not readily available are valued at fair value as determined in good faith by the valuation committee of our Adviser and reviewed by the audit committee of our Board. Pursuant to a letter agreement, the Board has retained Duff &amp; Phelps, a global independent provider of financial advisory and investment banking services, to assist the Board by performing certain limited third-party valuation services. In connection with that determination, investment professionals from the Adviser will prepare portfolio company valuations using sources and/or proprietary models depending on the availability of information on our assets and the type of asset being valued, all in accordance with our valuation policy. The participation of the Adviser in our valuation process could result in a conflict of interest, since the Management Fee is based in part on our gross assets.</w:t>
      </w:r>
    </w:p>
    <w:p>
      <w:pPr>
        <w:spacing w:after="0" w:line="84" w:lineRule="exact"/>
        <w:rPr>
          <w:sz w:val="20"/>
          <w:szCs w:val="20"/>
          <w:color w:val="auto"/>
        </w:rPr>
      </w:pPr>
    </w:p>
    <w:p>
      <w:pPr>
        <w:ind w:right="20" w:firstLine="225"/>
        <w:spacing w:after="0" w:line="276" w:lineRule="auto"/>
        <w:rPr>
          <w:sz w:val="20"/>
          <w:szCs w:val="20"/>
          <w:color w:val="auto"/>
        </w:rPr>
      </w:pPr>
      <w:r>
        <w:rPr>
          <w:rFonts w:ascii="Arial" w:cs="Arial" w:eastAsia="Arial" w:hAnsi="Arial"/>
          <w:sz w:val="17"/>
          <w:szCs w:val="17"/>
          <w:color w:val="auto"/>
        </w:rPr>
        <w:t>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shares. In addition, the valuation of these types of securities may result in substantial write-downs and earnings volatility.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660" w:firstLine="222"/>
        <w:spacing w:after="0" w:line="277" w:lineRule="auto"/>
        <w:rPr>
          <w:sz w:val="20"/>
          <w:szCs w:val="20"/>
          <w:color w:val="auto"/>
        </w:rPr>
      </w:pPr>
      <w:r>
        <w:rPr>
          <w:rFonts w:ascii="Arial" w:cs="Arial" w:eastAsia="Arial" w:hAnsi="Arial"/>
          <w:sz w:val="18"/>
          <w:szCs w:val="18"/>
          <w:color w:val="auto"/>
        </w:rPr>
        <w:t>We generally intend to distribute, out of assets legally available for distribution, substantially all of our available earnings, on a quarterly basis, as determined by our board of directors in its discretion.</w:t>
      </w:r>
    </w:p>
    <w:p>
      <w:pPr>
        <w:spacing w:after="0" w:line="62" w:lineRule="exact"/>
        <w:rPr>
          <w:sz w:val="20"/>
          <w:szCs w:val="20"/>
          <w:color w:val="auto"/>
        </w:rPr>
      </w:pPr>
    </w:p>
    <w:p>
      <w:pPr>
        <w:ind w:right="480" w:firstLine="222"/>
        <w:spacing w:after="0" w:line="308" w:lineRule="auto"/>
        <w:rPr>
          <w:sz w:val="20"/>
          <w:szCs w:val="20"/>
          <w:color w:val="auto"/>
        </w:rPr>
      </w:pPr>
      <w:r>
        <w:rPr>
          <w:rFonts w:ascii="Arial" w:cs="Arial" w:eastAsia="Arial" w:hAnsi="Arial"/>
          <w:sz w:val="17"/>
          <w:szCs w:val="17"/>
          <w:color w:val="auto"/>
        </w:rPr>
        <w:t>We will reinvest dividends on behalf of those investors that do not elect to receive their dividends in cash. An investor may elect to receive its entire dividend in cash by notifying the Adviser in writing no later than 10 days prior to the record date for dividends to investors.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Reports to Stockholders</w:t>
      </w:r>
    </w:p>
    <w:p>
      <w:pPr>
        <w:spacing w:after="0" w:line="121" w:lineRule="exact"/>
        <w:rPr>
          <w:sz w:val="20"/>
          <w:szCs w:val="20"/>
          <w:color w:val="auto"/>
        </w:rPr>
      </w:pPr>
    </w:p>
    <w:p>
      <w:pPr>
        <w:ind w:right="540" w:firstLine="222"/>
        <w:spacing w:after="0" w:line="342" w:lineRule="auto"/>
        <w:rPr>
          <w:sz w:val="20"/>
          <w:szCs w:val="20"/>
          <w:color w:val="auto"/>
        </w:rPr>
      </w:pPr>
      <w:r>
        <w:rPr>
          <w:rFonts w:ascii="Arial" w:cs="Arial" w:eastAsia="Arial" w:hAnsi="Arial"/>
          <w:sz w:val="16"/>
          <w:szCs w:val="16"/>
          <w:color w:val="auto"/>
        </w:rPr>
        <w:t>We plan to furnish our stockholders with an annual report for each fiscal year ending December 31 containing financial statements audited by our independent registered public accounting firm. Additionally, we intend to continue to comply with the periodic reporting requirements of the 1934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Recent Sales of Unregistered Securities</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December 21, 2010, we issued and sold 1,000 shares of common stock at an aggregate purchase price of $1,000 to Tarrant Advisors, Inc., an affiliate of TPG. These shares were issued and sold in reliance upon the available exemptions from registration requirements of Section 4(2) of the Securities Act. The Company intends to redeem these shares at cost immediately prior to the initial capital drawdown date and the issuance of shares of our common stock pursuant to the Private Offering.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Description of Registrant’s Securities to be Registered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our Shares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117"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Under the terms of our certificate of incorporation that was in effect from our formation until March 8, 2011, our authorized capital stock consisted solely of 10,000 shares of common stock, par value $0.01 per share, of which 1,000 shares were outstanding as of January 14, 2011, and 100,000,000 shares of preferred stock, par value $0.01 per share, of which no shares were outstanding as of January 14, 2011.</w:t>
      </w:r>
    </w:p>
    <w:p>
      <w:pPr>
        <w:spacing w:after="0" w:line="73"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Under the terms of our Amended and Restated Certificate of Incorporation, which was adopted on March 8, 2011, our authorized capital stock now consists solely of 100,000,000 shares of common stock, par value $0.01 per share, of which 1,000 shares remain outstanding as of the date of this Registration Statement, and 100,000,000 shares of preferred stock, par value $0.01 per share, of which no shares are outstanding as of the date of this Registration Statement. The Company intends to redeem the shares currently outstanding at cost immediately prior to the initial capital drawdown date and expects to sell a number of its shares pursuant to the Private Offering. There is currently no market for our common stock, and we can offer no assurance that a market for our shares will develop in the future.</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Common Stock</w:t>
      </w:r>
      <w:r>
        <w:rPr>
          <w:rFonts w:ascii="Arial" w:cs="Arial" w:eastAsia="Arial" w:hAnsi="Arial"/>
          <w:sz w:val="18"/>
          <w:szCs w:val="18"/>
          <w:color w:val="auto"/>
        </w:rPr>
        <w:t>.</w:t>
      </w:r>
    </w:p>
    <w:p>
      <w:pPr>
        <w:spacing w:after="0" w:line="117" w:lineRule="exact"/>
        <w:rPr>
          <w:sz w:val="20"/>
          <w:szCs w:val="20"/>
          <w:color w:val="auto"/>
        </w:rPr>
      </w:pPr>
    </w:p>
    <w:p>
      <w:pPr>
        <w:ind w:right="140" w:firstLine="225"/>
        <w:spacing w:after="0" w:line="269" w:lineRule="auto"/>
        <w:rPr>
          <w:sz w:val="20"/>
          <w:szCs w:val="20"/>
          <w:color w:val="auto"/>
        </w:rPr>
      </w:pPr>
      <w:r>
        <w:rPr>
          <w:rFonts w:ascii="Arial" w:cs="Arial" w:eastAsia="Arial" w:hAnsi="Arial"/>
          <w:sz w:val="17"/>
          <w:szCs w:val="17"/>
          <w:color w:val="auto"/>
        </w:rPr>
        <w:t>Under the terms of our Amended and Restated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Each share of common stock entitles the holder to a preemptive right, for a period of thirty days, to subscribe for any shares of preferred stock (including rights to purchase shares of preferred stock or securities convertible into, or exchangeable for, shares of preferred stock) that the Company proposes to issue.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w:t>
      </w:r>
    </w:p>
    <w:p>
      <w:pPr>
        <w:spacing w:after="0" w:line="7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Under the terms of our Amended and Restated Certificate of Incorporation, our Board is authorized to issue shares of preferred stock in one or more series without stockholder approval. The Board has discretion to establish the number of shares to be included in each such series and to fix the voting powers (if any), designations, powers, preferences, and relative, participating, optional or other rights, if any, of the shares of each such series, and any qualifications, limitations, or restrictions thereof. The 1940 Act limits our flexibility as to certain rights and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preferences of the preferred stock that our Amended and Restated Certificate of Incorporation may provide and requires, among other things: (i) immediately after issuance and before any distribution is made with respect to common stock, we must meet a coverage ratio of total assets to total senior securities, which include all of our borrowings and our preferred stock, of at least 200%; and (ii) the holders of shares of preferred stock, if any are issued, must be entitled as a class to elect two directors at all times and to elect a majority of the directors if and for so long as dividends on the preferred stock are unpaid in an amount equal to two full years of dividends on the preferred stock. The features of the preferred stock are further limited by the requirements applicable to RICs under the Code. 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Transferability of Shares</w:t>
      </w:r>
    </w:p>
    <w:p>
      <w:pPr>
        <w:spacing w:after="0" w:line="121" w:lineRule="exact"/>
        <w:rPr>
          <w:sz w:val="20"/>
          <w:szCs w:val="20"/>
          <w:color w:val="auto"/>
        </w:rPr>
      </w:pPr>
    </w:p>
    <w:p>
      <w:pPr>
        <w:ind w:right="340" w:firstLine="225"/>
        <w:spacing w:after="0" w:line="277" w:lineRule="auto"/>
        <w:rPr>
          <w:sz w:val="20"/>
          <w:szCs w:val="20"/>
          <w:color w:val="auto"/>
        </w:rPr>
      </w:pPr>
      <w:r>
        <w:rPr>
          <w:rFonts w:ascii="Arial" w:cs="Arial" w:eastAsia="Arial" w:hAnsi="Arial"/>
          <w:sz w:val="18"/>
          <w:szCs w:val="18"/>
          <w:color w:val="auto"/>
        </w:rPr>
        <w:t>Unless and until an IPO, our common shares will not be registered under the 1933 Act. The common shares are exempt from registration requirements pursuant to Section 4(2) of and Regulation D under the 1933 Act.</w:t>
      </w:r>
    </w:p>
    <w:p>
      <w:pPr>
        <w:spacing w:after="0" w:line="62" w:lineRule="exact"/>
        <w:rPr>
          <w:sz w:val="20"/>
          <w:szCs w:val="20"/>
          <w:color w:val="auto"/>
        </w:rPr>
      </w:pPr>
    </w:p>
    <w:p>
      <w:pPr>
        <w:ind w:right="40" w:firstLine="225"/>
        <w:spacing w:after="0" w:line="271" w:lineRule="auto"/>
        <w:rPr>
          <w:sz w:val="20"/>
          <w:szCs w:val="20"/>
          <w:color w:val="auto"/>
        </w:rPr>
      </w:pPr>
      <w:r>
        <w:rPr>
          <w:rFonts w:ascii="Arial" w:cs="Arial" w:eastAsia="Arial" w:hAnsi="Arial"/>
          <w:sz w:val="17"/>
          <w:szCs w:val="17"/>
          <w:color w:val="auto"/>
        </w:rPr>
        <w:t>Because our common shares will be acquired by investors in one or more transactions “not involving a public offering,” they will be “restricted securities” and may be required to be held indefinitely. Our common shares may not be sold, transferred, assigned, pledged or otherwise disposed of unless (i) our consent is granted, and (ii) the common shares are registered under applicable securities laws or specifically exempted from registration (in which case the stockholder may, at our option, be required to provide us with a legal opinion, in form and substance satisfactory to us, that registration is not required). Accordingly, an investor must be willing to bear the economic risk of investment in the common shares until we are liquidated. No sale, transfer, assignment, pledge or other disposition, whether voluntary or involuntary, of the common shares may be made except by registration of the transfer on our books. Each transferee will be required to execute an instrument agreeing to be bound by these restrictions and the other restrictions imposed on the common shares and to execute such other instruments or certifications as are reasonably required by us.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Dissolution of the Company</w:t>
      </w:r>
    </w:p>
    <w:p>
      <w:pPr>
        <w:spacing w:after="0" w:line="121"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color w:val="auto"/>
        </w:rPr>
        <w:t>Prior to an IPO of our common stock that may occur, if our Board determines that there has been a significant adverse change in our regulatory or tax treatment or that of our stockholders that, in our Board’s judgment makes it inadvisable for the Company to continue in its present form, then our Board will endeavor to restructure or change the form of the Company to preserve (insofar as possible) the overall benefits previously enjoyed by stockholders as a whole or, if our Board determines it appropriate (and subject to necessary stockholder approvals under our Amended and Restated Certificate of Incorporation and the 1940 Act, and any other applicable requirements of the 1940 Act), (i) cause the Company to change its form and/or jurisdiction of organization or (ii) wind down and/or liquidate and dissolve the Company.</w:t>
      </w:r>
    </w:p>
    <w:p>
      <w:pPr>
        <w:spacing w:after="0" w:line="85" w:lineRule="exact"/>
        <w:rPr>
          <w:sz w:val="20"/>
          <w:szCs w:val="20"/>
          <w:color w:val="auto"/>
        </w:rPr>
      </w:pPr>
    </w:p>
    <w:p>
      <w:pPr>
        <w:ind w:right="280" w:firstLine="225"/>
        <w:spacing w:after="0" w:line="342" w:lineRule="auto"/>
        <w:rPr>
          <w:sz w:val="20"/>
          <w:szCs w:val="20"/>
          <w:color w:val="auto"/>
        </w:rPr>
      </w:pPr>
      <w:r>
        <w:rPr>
          <w:rFonts w:ascii="Arial" w:cs="Arial" w:eastAsia="Arial" w:hAnsi="Arial"/>
          <w:sz w:val="16"/>
          <w:szCs w:val="16"/>
          <w:color w:val="auto"/>
        </w:rPr>
        <w:t>If we have not consummated an IPO of our common stock within six years following the Closing, then our Board (subject to any necessary stockholder approvals and applicable requirements of the 1940 Act) will use its best efforts to wind down and/or liquidate and dissolve the Company.</w:t>
      </w:r>
    </w:p>
    <w:p>
      <w:pPr>
        <w:spacing w:after="0" w:line="16"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In the event of and upon any liquidation, dissolution or winding up of our affairs, whether voluntary or involuntary, after payment or provision for payment of our debts and other liabilities and subject to the prior rights of any outstanding preferred shares, our remaining net assets will be distributed among holders of our common shares equally on a per share basis. For the purposes of this paragraph, a merger or consolidation of the Company with or into any other corporation or other entity, or a sale or conveyance of all or any part of our property or assets will not be deemed to be a dissolution, liquidation or winding up, voluntary or involuntary.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Law and Certain Charter and Bylaw Provisions; Anti-Takeover Measures</w:t>
      </w:r>
    </w:p>
    <w:p>
      <w:pPr>
        <w:spacing w:after="0" w:line="121" w:lineRule="exact"/>
        <w:rPr>
          <w:sz w:val="20"/>
          <w:szCs w:val="20"/>
          <w:color w:val="auto"/>
        </w:rPr>
      </w:pPr>
    </w:p>
    <w:p>
      <w:pPr>
        <w:ind w:right="340" w:firstLine="222"/>
        <w:spacing w:after="0" w:line="277" w:lineRule="auto"/>
        <w:rPr>
          <w:sz w:val="20"/>
          <w:szCs w:val="20"/>
          <w:color w:val="auto"/>
        </w:rPr>
      </w:pPr>
      <w:r>
        <w:rPr>
          <w:rFonts w:ascii="Arial" w:cs="Arial" w:eastAsia="Arial" w:hAnsi="Arial"/>
          <w:sz w:val="18"/>
          <w:szCs w:val="18"/>
          <w:color w:val="auto"/>
        </w:rPr>
        <w:t>We are subject to the provisions of Section 203 of the General Corporation Law of Delaware. In general, the statute prohibits a publicly held Delaware corporation from engaging in a “business combination” with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is a person who, together with his affiliates and associates, owns, or within three years did own, 15% or more of the corporation’s voting stock. Our Amended and Restated Certificate of Incorporation and Bylaws provide that:</w:t>
      </w:r>
    </w:p>
    <w:p>
      <w:pPr>
        <w:spacing w:after="0" w:line="80" w:lineRule="exact"/>
        <w:rPr>
          <w:sz w:val="20"/>
          <w:szCs w:val="20"/>
          <w:color w:val="auto"/>
        </w:rPr>
      </w:pPr>
    </w:p>
    <w:p>
      <w:pPr>
        <w:ind w:left="660" w:hanging="314"/>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the Board be divided into three classes, as nearly equal in size as possible, with staggered three-year terms;</w:t>
      </w:r>
    </w:p>
    <w:p>
      <w:pPr>
        <w:spacing w:after="0" w:line="130" w:lineRule="exact"/>
        <w:rPr>
          <w:rFonts w:ascii="Arial" w:cs="Arial" w:eastAsia="Arial" w:hAnsi="Arial"/>
          <w:sz w:val="18"/>
          <w:szCs w:val="18"/>
          <w:b w:val="1"/>
          <w:bCs w:val="1"/>
          <w:color w:val="auto"/>
        </w:rPr>
      </w:pPr>
    </w:p>
    <w:p>
      <w:pPr>
        <w:ind w:left="660" w:right="200" w:hanging="314"/>
        <w:spacing w:after="0" w:line="277"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directors may be removed only for cause by the affirmative vote of 75% of the holders of our capital stock then outstanding and entitled to vote in the election of directors, voting together as a single class; and</w:t>
      </w:r>
    </w:p>
    <w:p>
      <w:pPr>
        <w:spacing w:after="0" w:line="75" w:lineRule="exact"/>
        <w:rPr>
          <w:rFonts w:ascii="Arial" w:cs="Arial" w:eastAsia="Arial" w:hAnsi="Arial"/>
          <w:sz w:val="18"/>
          <w:szCs w:val="18"/>
          <w:b w:val="1"/>
          <w:bCs w:val="1"/>
          <w:color w:val="auto"/>
        </w:rPr>
      </w:pPr>
    </w:p>
    <w:p>
      <w:pPr>
        <w:ind w:left="660" w:right="580" w:hanging="314"/>
        <w:spacing w:after="0" w:line="277" w:lineRule="auto"/>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subject to the rights of any holders of preferred stock, any vacancy on the Board, however the vacancy occurs, including a vacancy due to an enlargement of the Board, may only be filled by vote a majority of the directors then in office.</w:t>
      </w:r>
    </w:p>
    <w:p>
      <w:pPr>
        <w:spacing w:after="0" w:line="62"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classification of our Board and the limitations on removal of directors and filling of vacancies could have the effect of making it more difficult for a third party to acquire us, or of discouraging a third party from acquiring us.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Our Bylaws also provide that:</w:t>
      </w:r>
    </w:p>
    <w:p>
      <w:pPr>
        <w:spacing w:after="0" w:line="117" w:lineRule="exact"/>
        <w:rPr>
          <w:sz w:val="20"/>
          <w:szCs w:val="20"/>
          <w:color w:val="auto"/>
        </w:rPr>
      </w:pPr>
    </w:p>
    <w:p>
      <w:pPr>
        <w:ind w:left="660" w:right="220" w:hanging="314"/>
        <w:spacing w:after="0" w:line="277" w:lineRule="auto"/>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any action required or permitted to be taken by the stockholders at an annual meeting or special meeting of stockholders may only be taken if it is properly brought before such meeting; and</w:t>
      </w:r>
    </w:p>
    <w:p>
      <w:pPr>
        <w:spacing w:after="0" w:line="75" w:lineRule="exact"/>
        <w:rPr>
          <w:rFonts w:ascii="Arial" w:cs="Arial" w:eastAsia="Arial" w:hAnsi="Arial"/>
          <w:sz w:val="18"/>
          <w:szCs w:val="18"/>
          <w:b w:val="1"/>
          <w:bCs w:val="1"/>
          <w:color w:val="auto"/>
        </w:rPr>
      </w:pPr>
    </w:p>
    <w:p>
      <w:pPr>
        <w:ind w:left="660" w:hanging="314"/>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may only be called by our Board of Directors, Chairman, or Chief Executive Officer.</w:t>
      </w:r>
    </w:p>
    <w:p>
      <w:pPr>
        <w:spacing w:after="0" w:line="117"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color w:val="auto"/>
        </w:rPr>
        <w:t>Our Bylaws provide that, in order for any matter to be considered “properly brought” before a meeting, a stockholder must comply with requirements regarding advance notice to us. These provisions could delay until the next stockholders’ meeting stockholder actions which are favored by the holders of a majority of our outstanding voting securities.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w:t>
      </w:r>
    </w:p>
    <w:p>
      <w:pPr>
        <w:spacing w:after="0" w:line="64"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Delaware’s corporation law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w:t>
      </w:r>
    </w:p>
    <w:p>
      <w:pPr>
        <w:spacing w:after="0" w:line="80"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Our Amended and Restated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following summary outlines all material provisions of our Amended and Restated Certificate of Incorporation regarding anti-takeover provisions. Our Amended and Restated Certificate of Incorporation will include provisions that could have the effect of limiting the ability of other entities or persons to acquire control of us or to change the composition of our Board. This could have the effect of depriving stockholders of an opportunity to sell their shares at a premium over</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prevailing market prices by discouraging a third party from seeking to obtain control over us. Such attempts could have the effect of increasing our expenses and disrupting our normal operation. One of these provisions is that our Board will be divided into three classes, with the term of one class expiring at each annual meeting of stockholders. At each annual meeting, one class of directors is elected to a three-year term. This provision could delay for up to two years the replacement of a majority of the Board. A director may be removed from office, but only for cause and at a meeting called for that purpose, by the affirmative vote of 75% of the holders of our capital stock then outstanding and entitled to vote in the election of directors, voting together as a single class.</w:t>
      </w:r>
    </w:p>
    <w:p>
      <w:pPr>
        <w:spacing w:after="0" w:line="50" w:lineRule="exact"/>
        <w:rPr>
          <w:sz w:val="20"/>
          <w:szCs w:val="20"/>
          <w:color w:val="auto"/>
        </w:rPr>
      </w:pPr>
    </w:p>
    <w:p>
      <w:pPr>
        <w:ind w:right="20" w:firstLine="225"/>
        <w:spacing w:after="0" w:line="293" w:lineRule="auto"/>
        <w:rPr>
          <w:sz w:val="20"/>
          <w:szCs w:val="20"/>
          <w:color w:val="auto"/>
        </w:rPr>
      </w:pPr>
      <w:r>
        <w:rPr>
          <w:rFonts w:ascii="Arial" w:cs="Arial" w:eastAsia="Arial" w:hAnsi="Arial"/>
          <w:sz w:val="16"/>
          <w:szCs w:val="16"/>
          <w:color w:val="auto"/>
        </w:rPr>
        <w:t>In addition, following an IPO our Amended and Restated Certificate of Incorporation will require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w:t>
      </w:r>
    </w:p>
    <w:p>
      <w:pPr>
        <w:spacing w:after="0" w:line="57"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The 10% holder transactions subject to these special approval requirements are: the merger or consolidation of us or any subsidiary of ours with or into any principal stockholder; the issuance of any of our securities to any principal stockholder for cash, except pursuant to any automatic dividend reinvestment plan or the exercise of any preemptive rights granted in our Amended and Restated Certificate of Incorporation or pursuant to any subscription agreement by and among the Company, the Adviser and such principal stockholder; the sale, lease or exchange of all or any substantial part of our assets to any principal stockholder, except assets having an aggregate fair market value of less than 5% of our total assets, aggregating for the purpose of such computation all assets sold, leased or exchanged in any series of similar transactions within a twelve-month period; or the sale, lease or exchange to us or any subsidiary of ours, in exchange for our securities, of any assets of any principal stockholder, except assets having an aggregate fair market value of less than 5% of our total assets, aggregating for purposes of such computation all assets sold, leased or exchanged in any series of similar transactions within a twelve-month period.</w:t>
      </w:r>
    </w:p>
    <w:p>
      <w:pPr>
        <w:spacing w:after="0" w:line="58" w:lineRule="exact"/>
        <w:rPr>
          <w:sz w:val="20"/>
          <w:szCs w:val="20"/>
          <w:color w:val="auto"/>
        </w:rPr>
      </w:pPr>
    </w:p>
    <w:p>
      <w:pPr>
        <w:ind w:right="60" w:firstLine="225"/>
        <w:spacing w:after="0" w:line="287" w:lineRule="auto"/>
        <w:rPr>
          <w:sz w:val="20"/>
          <w:szCs w:val="20"/>
          <w:color w:val="auto"/>
        </w:rPr>
      </w:pPr>
      <w:r>
        <w:rPr>
          <w:rFonts w:ascii="Arial" w:cs="Arial" w:eastAsia="Arial" w:hAnsi="Arial"/>
          <w:sz w:val="16"/>
          <w:szCs w:val="16"/>
          <w:color w:val="auto"/>
        </w:rPr>
        <w:t>Following an IPO, to convert us to an open-end investment company, to merge or consolidate us with any entity in a transaction as a result of which the governing documents of the surviving entity do not contain substantially the same anti-takeover provisions as are provided in our Amended and Restated Certificate of Incorporation, to liquidate and dissolve us or to amend any of the provisions discussed herein, our Amended and Restated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such conversion was approved and would also require at least 30 days prior notice to all stockholders. As part of any such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w:t>
      </w:r>
    </w:p>
    <w:p>
      <w:pPr>
        <w:spacing w:after="0" w:line="61" w:lineRule="exact"/>
        <w:rPr>
          <w:sz w:val="20"/>
          <w:szCs w:val="20"/>
          <w:color w:val="auto"/>
        </w:rPr>
      </w:pPr>
    </w:p>
    <w:p>
      <w:pPr>
        <w:ind w:right="160" w:firstLine="222"/>
        <w:spacing w:after="0" w:line="257" w:lineRule="auto"/>
        <w:rPr>
          <w:sz w:val="20"/>
          <w:szCs w:val="20"/>
          <w:color w:val="auto"/>
        </w:rPr>
      </w:pPr>
      <w:r>
        <w:rPr>
          <w:rFonts w:ascii="Arial" w:cs="Arial" w:eastAsia="Arial" w:hAnsi="Arial"/>
          <w:sz w:val="18"/>
          <w:szCs w:val="18"/>
          <w:color w:val="auto"/>
        </w:rPr>
        <w:t>The 1940 Act defines “a majority of the outstanding voting securities” as the lesser of a majority of the outstanding shares and 67% of a quorum of a majority of the outstanding shares. 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w:t>
      </w:r>
    </w:p>
    <w:p>
      <w:pPr>
        <w:spacing w:after="0" w:line="80"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Our Board has determined that provisions with respect to the Board and the stockholder voting requirements described above, which voting requirements are greater than the minimum requirements under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Delaware law or the 1940 Act, are in the best interest of stockholders generally.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Indemnification of Directors and Officers</w:t>
      </w:r>
    </w:p>
    <w:p>
      <w:pPr>
        <w:spacing w:after="0" w:line="121" w:lineRule="exact"/>
        <w:rPr>
          <w:sz w:val="20"/>
          <w:szCs w:val="20"/>
          <w:color w:val="auto"/>
        </w:rPr>
      </w:pPr>
    </w:p>
    <w:p>
      <w:pPr>
        <w:ind w:right="40" w:firstLine="225"/>
        <w:spacing w:after="0" w:line="270" w:lineRule="auto"/>
        <w:rPr>
          <w:sz w:val="20"/>
          <w:szCs w:val="20"/>
          <w:color w:val="auto"/>
        </w:rPr>
      </w:pPr>
      <w:r>
        <w:rPr>
          <w:rFonts w:ascii="Arial" w:cs="Arial" w:eastAsia="Arial" w:hAnsi="Arial"/>
          <w:sz w:val="17"/>
          <w:szCs w:val="17"/>
          <w:color w:val="auto"/>
        </w:rPr>
        <w:t>Section 145 of the Delaware General Corporation Law allows for the indemnification of officers, directors, and any corporate agents in terms sufficiently broad to indemnify such person under certain circumstances for liabilities, including reimbursement for expenses, incurred arising under the Securities Act. Our Amended and Restated Certificate of Incorporation and Bylaws provide that the Company shall indemnify its directors and officers to the fullest extent authorized or permitted by law and such right to indemnification shall continue as to a person who has ceased to be a director or officer of the Company and shall inure to the benefit of his or her heirs, executors and personal and legal representatives; provided, however, that, except for proceedings to enforce rights to indemnification, the Company is not obligated to indemnify any director or officer (or his or her heirs, executors or personal or legal representatives) in connection with a proceeding (or part thereof) initiated by such person unless such proceeding (or part thereof) was authorized or consented to by the Board. The right to indemnification conferred includes the right to be paid by the Company the expenses incurred in defending or otherwise participating in any proceeding in advance of its final disposition.</w:t>
      </w:r>
    </w:p>
    <w:p>
      <w:pPr>
        <w:spacing w:after="0" w:line="74" w:lineRule="exact"/>
        <w:rPr>
          <w:sz w:val="20"/>
          <w:szCs w:val="20"/>
          <w:color w:val="auto"/>
        </w:rPr>
      </w:pPr>
    </w:p>
    <w:p>
      <w:pPr>
        <w:ind w:right="80" w:firstLine="225"/>
        <w:spacing w:after="0" w:line="255"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85" w:lineRule="exact"/>
        <w:rPr>
          <w:sz w:val="20"/>
          <w:szCs w:val="20"/>
          <w:color w:val="auto"/>
        </w:rPr>
      </w:pPr>
    </w:p>
    <w:p>
      <w:pPr>
        <w:ind w:right="500" w:firstLine="225"/>
        <w:spacing w:after="0" w:line="264" w:lineRule="auto"/>
        <w:rPr>
          <w:sz w:val="20"/>
          <w:szCs w:val="20"/>
          <w:color w:val="auto"/>
        </w:rPr>
      </w:pPr>
      <w:r>
        <w:rPr>
          <w:rFonts w:ascii="Arial" w:cs="Arial" w:eastAsia="Arial" w:hAnsi="Arial"/>
          <w:sz w:val="18"/>
          <w:szCs w:val="18"/>
          <w:color w:val="auto"/>
        </w:rPr>
        <w:t>In addition, the Company intends to enter into indemnification agreements with its directors and officers that will provide for a contractual right to indemnification to the fullest extent permitted by the Delaware General Corporation Law. A form of the indemnification agreement has been filed as an Exhibit to this Registration Statement.</w:t>
      </w:r>
    </w:p>
    <w:p>
      <w:pPr>
        <w:spacing w:after="0" w:line="73"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Company may, to the extent authorized from time to time by the Board, provide rights to indemnification and to the advancement of expenses to employees and agents of the Company similar to those conferred to directors and officers of the Company. The rights to indemnification and to the advance of expenses are subject to the requirements of the 1940 Act to the extent applicable. Any repeal or modification of our Amended and Restated Certificate of Incorporation by the stockholders of the Company will not adversely affect any rights to indemnification and to the advancement of expenses of a director or officer of the Company existing at the time of such repeal or modification with respect to any acts or omissions occurring prior to such repeal or modification.</w:t>
      </w:r>
    </w:p>
    <w:p>
      <w:pPr>
        <w:spacing w:after="0" w:line="50" w:lineRule="exact"/>
        <w:rPr>
          <w:sz w:val="20"/>
          <w:szCs w:val="20"/>
          <w:color w:val="auto"/>
        </w:rPr>
      </w:pPr>
    </w:p>
    <w:p>
      <w:pPr>
        <w:ind w:right="280" w:firstLine="225"/>
        <w:spacing w:after="0" w:line="264" w:lineRule="auto"/>
        <w:rPr>
          <w:sz w:val="20"/>
          <w:szCs w:val="20"/>
          <w:color w:val="auto"/>
        </w:rPr>
      </w:pPr>
      <w:r>
        <w:rPr>
          <w:rFonts w:ascii="Arial" w:cs="Arial" w:eastAsia="Arial" w:hAnsi="Arial"/>
          <w:sz w:val="18"/>
          <w:szCs w:val="18"/>
          <w:color w:val="auto"/>
        </w:rPr>
        <w:t>Under the Advisory Agreement, the Company may, to the extent permitted by applicable law, in the discretion of the Board, indemnify the Adviser and certain of its affiliates, as described under “</w:t>
      </w:r>
      <w:r>
        <w:rPr>
          <w:rFonts w:ascii="Arial" w:cs="Arial" w:eastAsia="Arial" w:hAnsi="Arial"/>
          <w:sz w:val="18"/>
          <w:szCs w:val="18"/>
          <w:i w:val="1"/>
          <w:iCs w:val="1"/>
          <w:color w:val="auto"/>
        </w:rPr>
        <w:t>Item 1(c). Description of Business—General—Advisory Agreement; Administration Agreement; License</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Financial Statements and Supplementary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set forth below a list of our audited financial statements included in this Registration Statement.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Statement</w:t>
            </w:r>
          </w:p>
        </w:tc>
        <w:tc>
          <w:tcPr>
            <w:tcW w:w="5880" w:type="dxa"/>
            <w:vAlign w:val="bottom"/>
            <w:tcBorders>
              <w:bottom w:val="single" w:sz="8" w:color="auto"/>
            </w:tcBorders>
          </w:tcPr>
          <w:p>
            <w:pPr>
              <w:jc w:val="center"/>
              <w:ind w:left="4773"/>
              <w:spacing w:after="0"/>
              <w:rPr>
                <w:sz w:val="20"/>
                <w:szCs w:val="20"/>
                <w:color w:val="auto"/>
              </w:rPr>
            </w:pPr>
            <w:r>
              <w:rPr>
                <w:rFonts w:ascii="Arial" w:cs="Arial" w:eastAsia="Arial" w:hAnsi="Arial"/>
                <w:sz w:val="14"/>
                <w:szCs w:val="14"/>
                <w:b w:val="1"/>
                <w:bCs w:val="1"/>
                <w:color w:val="auto"/>
                <w:w w:val="89"/>
              </w:rPr>
              <w:t>Page</w:t>
            </w:r>
          </w:p>
        </w:tc>
      </w:tr>
      <w:tr>
        <w:trPr>
          <w:trHeight w:val="183"/>
        </w:trPr>
        <w:tc>
          <w:tcPr>
            <w:tcW w:w="20" w:type="dxa"/>
            <w:vAlign w:val="bottom"/>
            <w:tcBorders>
              <w:bottom w:val="single" w:sz="8" w:color="0000EE"/>
            </w:tcBorders>
          </w:tcPr>
          <w:p>
            <w:pPr>
              <w:spacing w:after="0"/>
              <w:rPr>
                <w:sz w:val="15"/>
                <w:szCs w:val="15"/>
                <w:color w:val="auto"/>
              </w:rPr>
            </w:pPr>
          </w:p>
        </w:tc>
        <w:tc>
          <w:tcPr>
            <w:tcW w:w="2140" w:type="dxa"/>
            <w:vAlign w:val="bottom"/>
            <w:tcBorders>
              <w:bottom w:val="single" w:sz="8" w:color="0000EE"/>
            </w:tcBorders>
            <w:gridSpan w:val="2"/>
          </w:tcPr>
          <w:p>
            <w:pPr>
              <w:spacing w:after="0" w:line="182" w:lineRule="exact"/>
              <w:rPr>
                <w:rFonts w:ascii="Arial" w:cs="Arial" w:eastAsia="Arial" w:hAnsi="Arial"/>
                <w:sz w:val="18"/>
                <w:szCs w:val="18"/>
                <w:color w:val="0000EE"/>
                <w:w w:val="89"/>
              </w:rPr>
            </w:pPr>
            <w:hyperlink w:anchor="page52">
              <w:r>
                <w:rPr>
                  <w:rFonts w:ascii="Arial" w:cs="Arial" w:eastAsia="Arial" w:hAnsi="Arial"/>
                  <w:sz w:val="18"/>
                  <w:szCs w:val="18"/>
                  <w:color w:val="0000EE"/>
                  <w:w w:val="89"/>
                </w:rPr>
                <w:t>Index to Financial Statements</w:t>
              </w:r>
            </w:hyperlink>
          </w:p>
        </w:tc>
        <w:tc>
          <w:tcPr>
            <w:tcW w:w="3380" w:type="dxa"/>
            <w:vAlign w:val="bottom"/>
            <w:gridSpan w:val="3"/>
          </w:tcPr>
          <w:p>
            <w:pPr>
              <w:spacing w:after="0"/>
              <w:rPr>
                <w:sz w:val="15"/>
                <w:szCs w:val="15"/>
                <w:color w:val="auto"/>
              </w:rPr>
            </w:pPr>
          </w:p>
        </w:tc>
        <w:tc>
          <w:tcPr>
            <w:tcW w:w="5880" w:type="dxa"/>
            <w:vAlign w:val="bottom"/>
          </w:tcPr>
          <w:p>
            <w:pPr>
              <w:jc w:val="center"/>
              <w:ind w:left="4773"/>
              <w:spacing w:after="0" w:line="182" w:lineRule="exact"/>
              <w:rPr>
                <w:sz w:val="20"/>
                <w:szCs w:val="20"/>
                <w:color w:val="auto"/>
              </w:rPr>
            </w:pPr>
            <w:r>
              <w:rPr>
                <w:rFonts w:ascii="Arial" w:cs="Arial" w:eastAsia="Arial" w:hAnsi="Arial"/>
                <w:sz w:val="18"/>
                <w:szCs w:val="18"/>
                <w:color w:val="auto"/>
                <w:w w:val="96"/>
              </w:rPr>
              <w:t>F-1</w:t>
            </w:r>
          </w:p>
        </w:tc>
      </w:tr>
      <w:tr>
        <w:trPr>
          <w:trHeight w:val="196"/>
        </w:trPr>
        <w:tc>
          <w:tcPr>
            <w:tcW w:w="5540" w:type="dxa"/>
            <w:vAlign w:val="bottom"/>
            <w:gridSpan w:val="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Report of Independent Registered Public Accounting Firm</w:t>
              </w:r>
            </w:hyperlink>
          </w:p>
        </w:tc>
        <w:tc>
          <w:tcPr>
            <w:tcW w:w="5880" w:type="dxa"/>
            <w:vAlign w:val="bottom"/>
          </w:tcPr>
          <w:p>
            <w:pPr>
              <w:jc w:val="center"/>
              <w:ind w:left="4773"/>
              <w:spacing w:after="0" w:line="196" w:lineRule="exact"/>
              <w:rPr>
                <w:sz w:val="20"/>
                <w:szCs w:val="20"/>
                <w:color w:val="auto"/>
              </w:rPr>
            </w:pPr>
            <w:r>
              <w:rPr>
                <w:rFonts w:ascii="Arial" w:cs="Arial" w:eastAsia="Arial" w:hAnsi="Arial"/>
                <w:sz w:val="18"/>
                <w:szCs w:val="18"/>
                <w:color w:val="auto"/>
                <w:w w:val="96"/>
              </w:rPr>
              <w:t>F-2</w:t>
            </w:r>
          </w:p>
        </w:tc>
      </w:tr>
      <w:tr>
        <w:trPr>
          <w:trHeight w:val="196"/>
        </w:trPr>
        <w:tc>
          <w:tcPr>
            <w:tcW w:w="42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Balance Sheet as of December 31, 2010</w:t>
              </w:r>
            </w:hyperlink>
          </w:p>
        </w:tc>
        <w:tc>
          <w:tcPr>
            <w:tcW w:w="1320" w:type="dxa"/>
            <w:vAlign w:val="bottom"/>
          </w:tcPr>
          <w:p>
            <w:pPr>
              <w:spacing w:after="0"/>
              <w:rPr>
                <w:sz w:val="17"/>
                <w:szCs w:val="17"/>
                <w:color w:val="auto"/>
              </w:rPr>
            </w:pPr>
          </w:p>
        </w:tc>
        <w:tc>
          <w:tcPr>
            <w:tcW w:w="5880" w:type="dxa"/>
            <w:vAlign w:val="bottom"/>
          </w:tcPr>
          <w:p>
            <w:pPr>
              <w:jc w:val="center"/>
              <w:ind w:left="4773"/>
              <w:spacing w:after="0" w:line="196" w:lineRule="exact"/>
              <w:rPr>
                <w:sz w:val="20"/>
                <w:szCs w:val="20"/>
                <w:color w:val="auto"/>
              </w:rPr>
            </w:pPr>
            <w:r>
              <w:rPr>
                <w:rFonts w:ascii="Arial" w:cs="Arial" w:eastAsia="Arial" w:hAnsi="Arial"/>
                <w:sz w:val="18"/>
                <w:szCs w:val="18"/>
                <w:color w:val="auto"/>
                <w:w w:val="96"/>
              </w:rPr>
              <w:t>F-3</w:t>
            </w:r>
          </w:p>
        </w:tc>
      </w:tr>
      <w:tr>
        <w:trPr>
          <w:trHeight w:val="196"/>
        </w:trPr>
        <w:tc>
          <w:tcPr>
            <w:tcW w:w="28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Notes to Balance Sheet</w:t>
              </w:r>
            </w:hyperlink>
          </w:p>
        </w:tc>
        <w:tc>
          <w:tcPr>
            <w:tcW w:w="2660" w:type="dxa"/>
            <w:vAlign w:val="bottom"/>
            <w:gridSpan w:val="2"/>
          </w:tcPr>
          <w:p>
            <w:pPr>
              <w:spacing w:after="0"/>
              <w:rPr>
                <w:sz w:val="17"/>
                <w:szCs w:val="17"/>
                <w:color w:val="auto"/>
              </w:rPr>
            </w:pPr>
          </w:p>
        </w:tc>
        <w:tc>
          <w:tcPr>
            <w:tcW w:w="5880" w:type="dxa"/>
            <w:vAlign w:val="bottom"/>
          </w:tcPr>
          <w:p>
            <w:pPr>
              <w:jc w:val="center"/>
              <w:ind w:left="4773"/>
              <w:spacing w:after="0" w:line="196" w:lineRule="exact"/>
              <w:rPr>
                <w:sz w:val="20"/>
                <w:szCs w:val="20"/>
                <w:color w:val="auto"/>
              </w:rPr>
            </w:pPr>
            <w:r>
              <w:rPr>
                <w:rFonts w:ascii="Arial" w:cs="Arial" w:eastAsia="Arial" w:hAnsi="Arial"/>
                <w:sz w:val="18"/>
                <w:szCs w:val="18"/>
                <w:color w:val="auto"/>
                <w:w w:val="96"/>
              </w:rPr>
              <w:t>F-4</w:t>
            </w:r>
          </w:p>
        </w:tc>
      </w:tr>
      <w:tr>
        <w:trPr>
          <w:trHeight w:val="426"/>
        </w:trPr>
        <w:tc>
          <w:tcPr>
            <w:tcW w:w="20" w:type="dxa"/>
            <w:vAlign w:val="bottom"/>
          </w:tcPr>
          <w:p>
            <w:pPr>
              <w:spacing w:after="0"/>
              <w:rPr>
                <w:sz w:val="24"/>
                <w:szCs w:val="24"/>
                <w:color w:val="auto"/>
              </w:rPr>
            </w:pPr>
          </w:p>
        </w:tc>
        <w:tc>
          <w:tcPr>
            <w:tcW w:w="16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80" w:type="dxa"/>
            <w:vAlign w:val="bottom"/>
          </w:tcPr>
          <w:p>
            <w:pPr>
              <w:jc w:val="right"/>
              <w:ind w:right="5533"/>
              <w:spacing w:after="0"/>
              <w:rPr>
                <w:sz w:val="20"/>
                <w:szCs w:val="20"/>
                <w:color w:val="auto"/>
              </w:rPr>
            </w:pPr>
            <w:r>
              <w:rPr>
                <w:rFonts w:ascii="Arial" w:cs="Arial" w:eastAsia="Arial" w:hAnsi="Arial"/>
                <w:sz w:val="18"/>
                <w:szCs w:val="18"/>
                <w:color w:val="auto"/>
              </w:rPr>
              <w:t>45</w:t>
            </w:r>
          </w:p>
        </w:tc>
      </w:tr>
      <w:tr>
        <w:trPr>
          <w:trHeight w:val="226"/>
        </w:trPr>
        <w:tc>
          <w:tcPr>
            <w:tcW w:w="20" w:type="dxa"/>
            <w:vAlign w:val="bottom"/>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58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Changes in and Disagreements with Accountants on Accounting and Financial Disclosure</w:t>
      </w:r>
    </w:p>
    <w:p>
      <w:pPr>
        <w:spacing w:after="0" w:line="121" w:lineRule="exact"/>
        <w:rPr>
          <w:sz w:val="20"/>
          <w:szCs w:val="20"/>
          <w:color w:val="auto"/>
        </w:rPr>
      </w:pPr>
    </w:p>
    <w:p>
      <w:pPr>
        <w:ind w:firstLine="222"/>
        <w:spacing w:after="0" w:line="277" w:lineRule="auto"/>
        <w:rPr>
          <w:sz w:val="20"/>
          <w:szCs w:val="20"/>
          <w:color w:val="auto"/>
        </w:rPr>
      </w:pPr>
      <w:r>
        <w:rPr>
          <w:rFonts w:ascii="Arial" w:cs="Arial" w:eastAsia="Arial" w:hAnsi="Arial"/>
          <w:sz w:val="18"/>
          <w:szCs w:val="18"/>
          <w:color w:val="auto"/>
        </w:rPr>
        <w:t>There are not and have not been any disagreements between the Company and its accountant on any matter of accounting principles, practices, or financial statement disclosure.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Financial Statements and Exhibits.</w:t>
      </w:r>
    </w:p>
    <w:p>
      <w:pPr>
        <w:spacing w:after="0" w:line="121"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List separately all financial statements filed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financial statements included in this Registration Statement are listed in Item 13 and commence on page F-3.</w:t>
      </w:r>
    </w:p>
    <w:p>
      <w:pPr>
        <w:spacing w:after="0" w:line="117"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Bylaws</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Subscription Agreement</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Advisory Agreement</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Form of Administration Agreement</w:t>
      </w:r>
    </w:p>
    <w:p>
      <w:pPr>
        <w:spacing w:after="0" w:line="225"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Form of Indemnification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38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TPG Specialty Lending, Inc.</w:t>
      </w:r>
    </w:p>
    <w:p>
      <w:pPr>
        <w:spacing w:after="0" w:line="22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Ronald Cami</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Name: Ronald Cami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-130810</wp:posOffset>
            </wp:positionV>
            <wp:extent cx="27616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3" w:lineRule="exact"/>
        <w:rPr>
          <w:sz w:val="20"/>
          <w:szCs w:val="20"/>
          <w:color w:val="auto"/>
        </w:rPr>
      </w:pPr>
    </w:p>
    <w:p>
      <w:pPr>
        <w:ind w:left="5460"/>
        <w:spacing w:after="0"/>
        <w:tabs>
          <w:tab w:leader="none" w:pos="6020" w:val="left"/>
        </w:tabs>
        <w:rPr>
          <w:sz w:val="20"/>
          <w:szCs w:val="20"/>
          <w:color w:val="auto"/>
        </w:rPr>
      </w:pPr>
      <w:r>
        <w:rPr>
          <w:rFonts w:ascii="Arial" w:cs="Arial" w:eastAsia="Arial" w:hAnsi="Arial"/>
          <w:sz w:val="18"/>
          <w:szCs w:val="18"/>
          <w:color w:val="auto"/>
        </w:rPr>
        <w:t>Title:</w:t>
        <w:tab/>
        <w:t>Vice President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97"/>
              </w:rPr>
              <w:t>Statement</w:t>
            </w:r>
          </w:p>
        </w:tc>
        <w:tc>
          <w:tcPr>
            <w:tcW w:w="5900" w:type="dxa"/>
            <w:vAlign w:val="bottom"/>
            <w:tcBorders>
              <w:bottom w:val="single" w:sz="8" w:color="auto"/>
            </w:tcBorders>
          </w:tcPr>
          <w:p>
            <w:pPr>
              <w:jc w:val="center"/>
              <w:ind w:left="4794"/>
              <w:spacing w:after="0"/>
              <w:rPr>
                <w:sz w:val="20"/>
                <w:szCs w:val="20"/>
                <w:color w:val="auto"/>
              </w:rPr>
            </w:pPr>
            <w:r>
              <w:rPr>
                <w:rFonts w:ascii="Arial" w:cs="Arial" w:eastAsia="Arial" w:hAnsi="Arial"/>
                <w:sz w:val="14"/>
                <w:szCs w:val="14"/>
                <w:b w:val="1"/>
                <w:bCs w:val="1"/>
                <w:color w:val="auto"/>
                <w:w w:val="89"/>
              </w:rPr>
              <w:t>Page</w:t>
            </w:r>
          </w:p>
        </w:tc>
      </w:tr>
      <w:tr>
        <w:trPr>
          <w:trHeight w:val="183"/>
        </w:trPr>
        <w:tc>
          <w:tcPr>
            <w:tcW w:w="20" w:type="dxa"/>
            <w:vAlign w:val="bottom"/>
          </w:tcPr>
          <w:p>
            <w:pPr>
              <w:spacing w:after="0"/>
              <w:rPr>
                <w:sz w:val="15"/>
                <w:szCs w:val="15"/>
                <w:color w:val="auto"/>
              </w:rPr>
            </w:pPr>
          </w:p>
        </w:tc>
        <w:tc>
          <w:tcPr>
            <w:tcW w:w="5500" w:type="dxa"/>
            <w:vAlign w:val="bottom"/>
            <w:gridSpan w:val="4"/>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Report of Independent Registered Public Accounting Firm</w:t>
              </w:r>
            </w:hyperlink>
          </w:p>
        </w:tc>
        <w:tc>
          <w:tcPr>
            <w:tcW w:w="5900" w:type="dxa"/>
            <w:vAlign w:val="bottom"/>
          </w:tcPr>
          <w:p>
            <w:pPr>
              <w:jc w:val="center"/>
              <w:ind w:left="4794"/>
              <w:spacing w:after="0" w:line="182" w:lineRule="exact"/>
              <w:rPr>
                <w:sz w:val="20"/>
                <w:szCs w:val="20"/>
                <w:color w:val="auto"/>
              </w:rPr>
            </w:pPr>
            <w:r>
              <w:rPr>
                <w:rFonts w:ascii="Arial" w:cs="Arial" w:eastAsia="Arial" w:hAnsi="Arial"/>
                <w:sz w:val="18"/>
                <w:szCs w:val="18"/>
                <w:color w:val="auto"/>
                <w:w w:val="96"/>
              </w:rPr>
              <w:t>F-2</w:t>
            </w:r>
          </w:p>
        </w:tc>
      </w:tr>
      <w:tr>
        <w:trPr>
          <w:trHeight w:val="196"/>
        </w:trPr>
        <w:tc>
          <w:tcPr>
            <w:tcW w:w="422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Balance Sheet as of December 31, 2010</w:t>
              </w:r>
            </w:hyperlink>
          </w:p>
        </w:tc>
        <w:tc>
          <w:tcPr>
            <w:tcW w:w="1300" w:type="dxa"/>
            <w:vAlign w:val="bottom"/>
          </w:tcPr>
          <w:p>
            <w:pPr>
              <w:spacing w:after="0"/>
              <w:rPr>
                <w:sz w:val="17"/>
                <w:szCs w:val="17"/>
                <w:color w:val="auto"/>
              </w:rPr>
            </w:pPr>
          </w:p>
        </w:tc>
        <w:tc>
          <w:tcPr>
            <w:tcW w:w="5900" w:type="dxa"/>
            <w:vAlign w:val="bottom"/>
          </w:tcPr>
          <w:p>
            <w:pPr>
              <w:jc w:val="center"/>
              <w:ind w:left="4794"/>
              <w:spacing w:after="0" w:line="196" w:lineRule="exact"/>
              <w:rPr>
                <w:sz w:val="20"/>
                <w:szCs w:val="20"/>
                <w:color w:val="auto"/>
              </w:rPr>
            </w:pPr>
            <w:r>
              <w:rPr>
                <w:rFonts w:ascii="Arial" w:cs="Arial" w:eastAsia="Arial" w:hAnsi="Arial"/>
                <w:sz w:val="18"/>
                <w:szCs w:val="18"/>
                <w:color w:val="auto"/>
                <w:w w:val="96"/>
              </w:rPr>
              <w:t>F-3</w:t>
            </w:r>
          </w:p>
        </w:tc>
      </w:tr>
      <w:tr>
        <w:trPr>
          <w:trHeight w:val="196"/>
        </w:trPr>
        <w:tc>
          <w:tcPr>
            <w:tcW w:w="28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Notes to Balance Sheet</w:t>
              </w:r>
            </w:hyperlink>
          </w:p>
        </w:tc>
        <w:tc>
          <w:tcPr>
            <w:tcW w:w="2640" w:type="dxa"/>
            <w:vAlign w:val="bottom"/>
            <w:gridSpan w:val="2"/>
          </w:tcPr>
          <w:p>
            <w:pPr>
              <w:spacing w:after="0"/>
              <w:rPr>
                <w:sz w:val="17"/>
                <w:szCs w:val="17"/>
                <w:color w:val="auto"/>
              </w:rPr>
            </w:pPr>
          </w:p>
        </w:tc>
        <w:tc>
          <w:tcPr>
            <w:tcW w:w="5900" w:type="dxa"/>
            <w:vAlign w:val="bottom"/>
          </w:tcPr>
          <w:p>
            <w:pPr>
              <w:jc w:val="center"/>
              <w:ind w:left="4794"/>
              <w:spacing w:after="0" w:line="196" w:lineRule="exact"/>
              <w:rPr>
                <w:sz w:val="20"/>
                <w:szCs w:val="20"/>
                <w:color w:val="auto"/>
              </w:rPr>
            </w:pPr>
            <w:r>
              <w:rPr>
                <w:rFonts w:ascii="Arial" w:cs="Arial" w:eastAsia="Arial" w:hAnsi="Arial"/>
                <w:sz w:val="18"/>
                <w:szCs w:val="18"/>
                <w:color w:val="auto"/>
                <w:w w:val="96"/>
              </w:rPr>
              <w:t>F-4</w:t>
            </w:r>
          </w:p>
        </w:tc>
      </w:tr>
      <w:tr>
        <w:trPr>
          <w:trHeight w:val="426"/>
        </w:trPr>
        <w:tc>
          <w:tcPr>
            <w:tcW w:w="20" w:type="dxa"/>
            <w:vAlign w:val="bottom"/>
          </w:tcPr>
          <w:p>
            <w:pPr>
              <w:spacing w:after="0"/>
              <w:rPr>
                <w:sz w:val="24"/>
                <w:szCs w:val="24"/>
                <w:color w:val="auto"/>
              </w:rPr>
            </w:pPr>
          </w:p>
        </w:tc>
        <w:tc>
          <w:tcPr>
            <w:tcW w:w="166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900" w:type="dxa"/>
            <w:vAlign w:val="bottom"/>
          </w:tcPr>
          <w:p>
            <w:pPr>
              <w:ind w:left="60"/>
              <w:spacing w:after="0"/>
              <w:rPr>
                <w:sz w:val="20"/>
                <w:szCs w:val="20"/>
                <w:color w:val="auto"/>
              </w:rPr>
            </w:pPr>
            <w:r>
              <w:rPr>
                <w:rFonts w:ascii="Arial" w:cs="Arial" w:eastAsia="Arial" w:hAnsi="Arial"/>
                <w:sz w:val="18"/>
                <w:szCs w:val="18"/>
                <w:color w:val="auto"/>
              </w:rPr>
              <w:t>F-1</w:t>
            </w:r>
          </w:p>
        </w:tc>
      </w:tr>
      <w:tr>
        <w:trPr>
          <w:trHeight w:val="226"/>
        </w:trPr>
        <w:tc>
          <w:tcPr>
            <w:tcW w:w="20" w:type="dxa"/>
            <w:vAlign w:val="bottom"/>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5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Stockholder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103"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have audited the accompanying balance sheet of TPG Specialty Lending, Inc. (a development stage company) as of December 31, 2010. This financial statement is the responsibility of the Company’s management. Our responsibility is to express an opinion on this financial statement based on our audit.</w:t>
      </w:r>
    </w:p>
    <w:p>
      <w:pPr>
        <w:spacing w:after="0" w:line="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balance sheet presentation. We believe that our audit of the balance sheet provides a reasonable basis for our opinion.</w:t>
      </w:r>
    </w:p>
    <w:p>
      <w:pPr>
        <w:spacing w:after="0" w:line="80"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In our opinion, the balance sheet referred to above presents fairly, in all material respects, the financial position of TPG Specialty Lending, Inc. (a development stage company) as of December 31, 2010, in conformity with U.S. generally accepted accounting principles.</w:t>
      </w:r>
    </w:p>
    <w:p>
      <w:pPr>
        <w:spacing w:after="0" w:line="2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14, 2011</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19" w:right="3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780" w:type="dxa"/>
            <w:vAlign w:val="bottom"/>
          </w:tcPr>
          <w:p>
            <w:pPr>
              <w:jc w:val="center"/>
              <w:ind w:left="1510"/>
              <w:spacing w:after="0"/>
              <w:rPr>
                <w:sz w:val="20"/>
                <w:szCs w:val="20"/>
                <w:color w:val="auto"/>
              </w:rPr>
            </w:pPr>
            <w:r>
              <w:rPr>
                <w:rFonts w:ascii="Arial" w:cs="Arial" w:eastAsia="Arial" w:hAnsi="Arial"/>
                <w:sz w:val="18"/>
                <w:szCs w:val="18"/>
                <w:b w:val="1"/>
                <w:bCs w:val="1"/>
                <w:color w:val="auto"/>
                <w:w w:val="91"/>
              </w:rPr>
              <w:t>TPG Specialty Lending, Inc.</w:t>
            </w: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780" w:type="dxa"/>
            <w:vAlign w:val="bottom"/>
          </w:tcPr>
          <w:p>
            <w:pPr>
              <w:jc w:val="center"/>
              <w:ind w:left="1530"/>
              <w:spacing w:after="0"/>
              <w:rPr>
                <w:sz w:val="20"/>
                <w:szCs w:val="20"/>
                <w:color w:val="auto"/>
              </w:rPr>
            </w:pPr>
            <w:r>
              <w:rPr>
                <w:rFonts w:ascii="Arial" w:cs="Arial" w:eastAsia="Arial" w:hAnsi="Arial"/>
                <w:sz w:val="18"/>
                <w:szCs w:val="18"/>
                <w:b w:val="1"/>
                <w:bCs w:val="1"/>
                <w:color w:val="auto"/>
                <w:w w:val="90"/>
              </w:rPr>
              <w:t>(A Development Stage Company)</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780" w:type="dxa"/>
            <w:vAlign w:val="bottom"/>
          </w:tcPr>
          <w:p>
            <w:pPr>
              <w:jc w:val="center"/>
              <w:ind w:left="1530"/>
              <w:spacing w:after="0"/>
              <w:rPr>
                <w:sz w:val="20"/>
                <w:szCs w:val="20"/>
                <w:color w:val="auto"/>
              </w:rPr>
            </w:pPr>
            <w:r>
              <w:rPr>
                <w:rFonts w:ascii="Arial" w:cs="Arial" w:eastAsia="Arial" w:hAnsi="Arial"/>
                <w:sz w:val="18"/>
                <w:szCs w:val="18"/>
                <w:b w:val="1"/>
                <w:bCs w:val="1"/>
                <w:color w:val="auto"/>
                <w:w w:val="87"/>
              </w:rPr>
              <w:t>Balance Sheet</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80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As of December 31, 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400"/>
              <w:spacing w:after="0"/>
              <w:rPr>
                <w:sz w:val="20"/>
                <w:szCs w:val="20"/>
                <w:color w:val="auto"/>
              </w:rPr>
            </w:pPr>
            <w:r>
              <w:rPr>
                <w:rFonts w:ascii="Arial" w:cs="Arial" w:eastAsia="Arial" w:hAnsi="Arial"/>
                <w:sz w:val="18"/>
                <w:szCs w:val="18"/>
                <w:color w:val="auto"/>
              </w:rPr>
              <w:t>Total Assets</w:t>
            </w:r>
          </w:p>
        </w:tc>
        <w:tc>
          <w:tcPr>
            <w:tcW w:w="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800" w:type="dxa"/>
            <w:vAlign w:val="bottom"/>
            <w:gridSpan w:val="2"/>
          </w:tcPr>
          <w:p>
            <w:pPr>
              <w:spacing w:after="0"/>
              <w:rPr>
                <w:sz w:val="20"/>
                <w:szCs w:val="20"/>
                <w:color w:val="auto"/>
              </w:rPr>
            </w:pPr>
            <w:r>
              <w:rPr>
                <w:rFonts w:ascii="Arial" w:cs="Arial" w:eastAsia="Arial" w:hAnsi="Arial"/>
                <w:sz w:val="18"/>
                <w:szCs w:val="18"/>
                <w:color w:val="auto"/>
              </w:rPr>
              <w:t>Commitments and Contingencies (Note 3)</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Preferred shares, $0.01 par value; 100,000,000 shares authorized; no shares issued and outstanding</w:t>
            </w: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shares, $0.01 par value; 10,000 shares authorized; 1,000 shares issued and outstanding</w:t>
            </w:r>
          </w:p>
        </w:tc>
        <w:tc>
          <w:tcPr>
            <w:tcW w:w="6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78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Net Assets</w:t>
            </w:r>
          </w:p>
        </w:tc>
        <w:tc>
          <w:tcPr>
            <w:tcW w:w="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0" w:type="dxa"/>
            <w:vAlign w:val="bottom"/>
            <w:gridSpan w:val="2"/>
            <w:vMerge w:val="restart"/>
          </w:tcPr>
          <w:p>
            <w:pPr>
              <w:spacing w:after="0"/>
              <w:rPr>
                <w:sz w:val="20"/>
                <w:szCs w:val="20"/>
                <w:color w:val="auto"/>
              </w:rPr>
            </w:pPr>
            <w:r>
              <w:rPr>
                <w:rFonts w:ascii="Arial" w:cs="Arial" w:eastAsia="Arial" w:hAnsi="Arial"/>
                <w:sz w:val="18"/>
                <w:szCs w:val="18"/>
                <w:color w:val="auto"/>
              </w:rPr>
              <w:t>Net Asset Value Per Share</w:t>
            </w: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00" w:type="dxa"/>
            <w:vAlign w:val="bottom"/>
            <w:gridSpan w:val="2"/>
            <w:vMerge w:val="continue"/>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this Balance Sheet.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Balance Sheet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TPG Specialty Lending, Inc. (“TSL” or the “Company”) is a Delaware corporation formed on July 21, 2010. The Company was formed primarily to lend to, and selectively invest in, middle-market companies in the United States. As of December 31, 2010, no operations other than the sale and issuance of 1,000 shares of common stock at an aggregate purchase price of $1,000 to Tarrant Advisors, Inc., an affiliate of TPG, have occurred. TSL intends to be managed by TSL Advisers, LLC (the “Adviser”). No management fees will be paid to the Adviser until commencement of commercial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Stage Company</w:t>
      </w:r>
    </w:p>
    <w:p>
      <w:pPr>
        <w:spacing w:after="0" w:line="117" w:lineRule="exact"/>
        <w:rPr>
          <w:sz w:val="20"/>
          <w:szCs w:val="20"/>
          <w:color w:val="auto"/>
        </w:rPr>
      </w:pPr>
    </w:p>
    <w:p>
      <w:pPr>
        <w:ind w:right="180" w:firstLine="222"/>
        <w:spacing w:after="0" w:line="277" w:lineRule="auto"/>
        <w:rPr>
          <w:sz w:val="20"/>
          <w:szCs w:val="20"/>
          <w:color w:val="auto"/>
        </w:rPr>
      </w:pPr>
      <w:r>
        <w:rPr>
          <w:rFonts w:ascii="Arial" w:cs="Arial" w:eastAsia="Arial" w:hAnsi="Arial"/>
          <w:sz w:val="18"/>
          <w:szCs w:val="18"/>
          <w:color w:val="auto"/>
        </w:rPr>
        <w:t>The Company is a development stage company as defined by ASC 915-10-05, “Development Stage Entity”. The Company is still devoting substantially all of its efforts to establishing the business and its planned principal operations have not commenced.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balance sheet has been prepared in accordance with accounting principles generally accepted in the United States of America.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Fiscal Year End</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Company’s fiscal year ends on December 31.</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Such estimates could differ from those estimates and such differences could be material.</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580" w:firstLine="225"/>
        <w:spacing w:after="0" w:line="264" w:lineRule="auto"/>
        <w:rPr>
          <w:sz w:val="20"/>
          <w:szCs w:val="20"/>
          <w:color w:val="auto"/>
        </w:rPr>
      </w:pPr>
      <w:r>
        <w:rPr>
          <w:rFonts w:ascii="Arial" w:cs="Arial" w:eastAsia="Arial" w:hAnsi="Arial"/>
          <w:sz w:val="18"/>
          <w:szCs w:val="18"/>
          <w:color w:val="auto"/>
        </w:rPr>
        <w:t>Cash and cash equivalents consist of demand deposits and highly liquid investments (e.g. money market funds, U.S. treasury notes) with original maturities of three months or less. Cash and cash equivalents are carried at cost which approximates fair value. The Company places its cash and cash equivalents with financial institutions.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20" w:firstLine="222"/>
        <w:spacing w:after="0" w:line="297" w:lineRule="auto"/>
        <w:rPr>
          <w:sz w:val="20"/>
          <w:szCs w:val="20"/>
          <w:color w:val="auto"/>
        </w:rPr>
      </w:pPr>
      <w:r>
        <w:rPr>
          <w:rFonts w:ascii="Arial" w:cs="Arial" w:eastAsia="Arial" w:hAnsi="Arial"/>
          <w:sz w:val="16"/>
          <w:szCs w:val="16"/>
          <w:color w:val="auto"/>
        </w:rPr>
        <w:t>The Company intends to file an election to be treated as a Business Development Company under the Investment Company Act of 1940, as amended. The Company also intends to elect to be treated as a Registered Investment Company (RIC) under Subchapter M of the Internal Revenue Code of 1986, as amended, for the taxable year ending December 31, 2011. So long as the Company maintains its status as a RIC, it generally will not pay corporate-level U.S. federal income taxes on any ordinary income or capital gains that it distributes at least annually to its stockholders as dividends. Rather, any tax liability related to income earned by TSL represents obligations of the Company’s investors and will not be reflected in the financial statements of the Company.</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Accounting Standards</w:t>
      </w:r>
    </w:p>
    <w:p>
      <w:pPr>
        <w:spacing w:after="0" w:line="117"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Management does not believe any recently issued, but not yet effective, accounting standards, if currently adopted, would have a material effect on the accompanying financial statement.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Commitments and Contingencies</w:t>
      </w:r>
    </w:p>
    <w:p>
      <w:pPr>
        <w:spacing w:after="0" w:line="121" w:lineRule="exact"/>
        <w:rPr>
          <w:sz w:val="20"/>
          <w:szCs w:val="20"/>
          <w:color w:val="auto"/>
        </w:rPr>
      </w:pPr>
    </w:p>
    <w:p>
      <w:pPr>
        <w:ind w:right="180" w:firstLine="225"/>
        <w:spacing w:after="0" w:line="302" w:lineRule="auto"/>
        <w:rPr>
          <w:sz w:val="20"/>
          <w:szCs w:val="20"/>
          <w:color w:val="auto"/>
        </w:rPr>
      </w:pPr>
      <w:r>
        <w:rPr>
          <w:rFonts w:ascii="Arial" w:cs="Arial" w:eastAsia="Arial" w:hAnsi="Arial"/>
          <w:sz w:val="16"/>
          <w:szCs w:val="16"/>
          <w:color w:val="auto"/>
        </w:rPr>
        <w:t>Initial organization and operating costs will be borne by the Company up to a maximum amount of $1.5 million upon receipt of a formal commitment of external capital. Any initial organization and operating costs in excess of $1.5 million will be borne by the Adviser. In the event receipt of a formal commitment of external capital does not occur, initial organization and operating costs incurred will be borne by the Adviser. As there has been no formal commitment of external capital as of the date of issuance of this statement of financial condition, no such costs have been recorded by the Company.</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Assets</w:t>
      </w:r>
    </w:p>
    <w:p>
      <w:pPr>
        <w:spacing w:after="0" w:line="121" w:lineRule="exact"/>
        <w:rPr>
          <w:sz w:val="20"/>
          <w:szCs w:val="20"/>
          <w:color w:val="auto"/>
        </w:rPr>
      </w:pPr>
    </w:p>
    <w:p>
      <w:pPr>
        <w:ind w:right="540" w:firstLine="225"/>
        <w:spacing w:after="0" w:line="308" w:lineRule="auto"/>
        <w:rPr>
          <w:sz w:val="20"/>
          <w:szCs w:val="20"/>
          <w:color w:val="auto"/>
        </w:rPr>
      </w:pPr>
      <w:r>
        <w:rPr>
          <w:rFonts w:ascii="Arial" w:cs="Arial" w:eastAsia="Arial" w:hAnsi="Arial"/>
          <w:sz w:val="17"/>
          <w:szCs w:val="17"/>
          <w:color w:val="auto"/>
        </w:rPr>
        <w:t>In connection with its formation, the Company has the authority to issue 10,000 common shares at $0.01 per share par value. The Company has the authority to issue 100,000,000 preferred shares at $0.01 per share par value. The Company’s preferred shares are non-convertible.</w:t>
      </w:r>
    </w:p>
    <w:p>
      <w:pPr>
        <w:spacing w:after="0" w:line="3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On December 21, 2010, the Company issued 1,000 common shares for $1,000 to Tarrant Advisors, Inc., an affiliate of TPG. The Company has not had any other equity transactions.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Subsequent Events</w:t>
      </w:r>
    </w:p>
    <w:p>
      <w:pPr>
        <w:spacing w:after="0" w:line="121" w:lineRule="exact"/>
        <w:rPr>
          <w:sz w:val="20"/>
          <w:szCs w:val="20"/>
          <w:color w:val="auto"/>
        </w:rPr>
      </w:pPr>
    </w:p>
    <w:p>
      <w:pPr>
        <w:ind w:right="160" w:firstLine="222"/>
        <w:spacing w:after="0" w:line="277" w:lineRule="auto"/>
        <w:rPr>
          <w:sz w:val="20"/>
          <w:szCs w:val="20"/>
          <w:color w:val="auto"/>
        </w:rPr>
      </w:pPr>
      <w:r>
        <w:rPr>
          <w:rFonts w:ascii="Arial" w:cs="Arial" w:eastAsia="Arial" w:hAnsi="Arial"/>
          <w:sz w:val="18"/>
          <w:szCs w:val="18"/>
          <w:color w:val="auto"/>
        </w:rPr>
        <w:t>There have been no subsequent events that require recognition or disclosure through January 14, 2011, the date that the financial statement was available to be issued.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sectPr>
      <w:pgSz w:w="11900" w:h="16838" w:orient="portrait"/>
      <w:cols w:equalWidth="0" w:num="1">
        <w:col w:w="11400"/>
      </w:cols>
      <w:pgMar w:left="240" w:top="41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lowerLetter"/>
      <w:start w:val="1"/>
    </w:lvl>
  </w:abstractNum>
  <w:abstractNum w:abstractNumId="2">
    <w:nsid w:val="436C6125"/>
    <w:multiLevelType w:val="hybridMultilevel"/>
    <w:lvl w:ilvl="0">
      <w:lvlJc w:val="left"/>
      <w:lvlText w:val="(%1)"/>
      <w:numFmt w:val="lowerLetter"/>
      <w:start w:val="2"/>
    </w:lvl>
  </w:abstractNum>
  <w:abstractNum w:abstractNumId="3">
    <w:nsid w:val="628C895D"/>
    <w:multiLevelType w:val="hybridMultilevel"/>
    <w:lvl w:ilvl="0">
      <w:lvlJc w:val="left"/>
      <w:lvlText w:val="(%1)"/>
      <w:numFmt w:val="lowerLetter"/>
      <w:start w:val="3"/>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lowerRoman"/>
      <w:start w:val="1"/>
    </w:lvl>
  </w:abstractNum>
  <w:abstractNum w:abstractNumId="7">
    <w:nsid w:val="2D1D5AE9"/>
    <w:multiLevelType w:val="hybridMultilevel"/>
    <w:lvl w:ilvl="0">
      <w:lvlJc w:val="left"/>
      <w:lvlText w:val="(%1)"/>
      <w:numFmt w:val="lowerRoman"/>
      <w:start w:val="2"/>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lvl w:ilvl="1">
      <w:lvlJc w:val="left"/>
      <w:lvlText w:val="•"/>
      <w:numFmt w:val="bullet"/>
      <w:start w:val="1"/>
    </w:lvl>
  </w:abstractNum>
  <w:abstractNum w:abstractNumId="11">
    <w:nsid w:val="79838CB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1)"/>
      <w:numFmt w:val="lowerRoman"/>
      <w:start w:val="2"/>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lowerRoman"/>
      <w:start w:val="2"/>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lowerLetter"/>
      <w:start w:val="2"/>
    </w:lvl>
  </w:abstractNum>
  <w:abstractNum w:abstractNumId="26">
    <w:nsid w:val="22221A70"/>
    <w:multiLevelType w:val="hybridMultilevel"/>
    <w:lvl w:ilvl="0">
      <w:lvlJc w:val="left"/>
      <w:lvlText w:val="(%1)"/>
      <w:numFmt w:val="lowerRoman"/>
      <w:start w:val="2"/>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Letter"/>
      <w:start w:val="2"/>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1)"/>
      <w:numFmt w:val="lowerRoman"/>
      <w:start w:val="1"/>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lowerLetter"/>
      <w:start w:val="2"/>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2019-12-11T09:05:05Z</dcterms:created>
  <dcterms:modified xsi:type="dcterms:W3CDTF">2019-12-11T09:05:05Z</dcterms:modified>
</cp:coreProperties>
</file>