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June 15, 2015</w:t>
      </w:r>
    </w:p>
    <w:p>
      <w:pPr>
        <w:spacing w:after="0" w:line="26"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Securities Act File No. 333-203450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120650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N-2</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tbl>
      <w:tblPr>
        <w:tblLayout w:type="fixed"/>
        <w:tblInd w:w="4200" w:type="dxa"/>
        <w:tblCellMar>
          <w:top w:w="0" w:type="dxa"/>
          <w:left w:w="0" w:type="dxa"/>
          <w:bottom w:w="0" w:type="dxa"/>
          <w:right w:w="0" w:type="dxa"/>
        </w:tblCellMar>
      </w:tblPr>
      <w:tr>
        <w:trPr>
          <w:trHeight w:val="210"/>
        </w:trPr>
        <w:tc>
          <w:tcPr>
            <w:tcW w:w="4920" w:type="dxa"/>
            <w:vAlign w:val="bottom"/>
          </w:tcPr>
          <w:p>
            <w:pPr>
              <w:jc w:val="center"/>
              <w:ind w:right="1981"/>
              <w:spacing w:after="0" w:line="210" w:lineRule="exact"/>
              <w:rPr>
                <w:sz w:val="20"/>
                <w:szCs w:val="20"/>
                <w:color w:val="auto"/>
              </w:rPr>
            </w:pPr>
            <w:r>
              <w:rPr>
                <w:rFonts w:ascii="Arial" w:cs="Arial" w:eastAsia="Arial" w:hAnsi="Arial"/>
                <w:sz w:val="20"/>
                <w:szCs w:val="20"/>
                <w:b w:val="1"/>
                <w:bCs w:val="1"/>
                <w:i w:val="1"/>
                <w:iCs w:val="1"/>
                <w:color w:val="auto"/>
                <w:w w:val="96"/>
              </w:rPr>
              <w:t>THE SECURITIES ACT OF 1933</w:t>
            </w:r>
          </w:p>
        </w:tc>
        <w:tc>
          <w:tcPr>
            <w:tcW w:w="2260" w:type="dxa"/>
            <w:vAlign w:val="bottom"/>
          </w:tcPr>
          <w:p>
            <w:pPr>
              <w:ind w:left="208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243"/>
        </w:trPr>
        <w:tc>
          <w:tcPr>
            <w:tcW w:w="4920" w:type="dxa"/>
            <w:vAlign w:val="bottom"/>
          </w:tcPr>
          <w:p>
            <w:pPr>
              <w:jc w:val="center"/>
              <w:ind w:right="1981"/>
              <w:spacing w:after="0"/>
              <w:rPr>
                <w:sz w:val="20"/>
                <w:szCs w:val="20"/>
                <w:color w:val="auto"/>
              </w:rPr>
            </w:pPr>
            <w:r>
              <w:rPr>
                <w:rFonts w:ascii="Arial" w:cs="Arial" w:eastAsia="Arial" w:hAnsi="Arial"/>
                <w:sz w:val="20"/>
                <w:szCs w:val="20"/>
                <w:b w:val="1"/>
                <w:bCs w:val="1"/>
                <w:color w:val="auto"/>
                <w:w w:val="89"/>
              </w:rPr>
              <w:t>Pre-Effective Amendment No. 2</w:t>
            </w:r>
          </w:p>
        </w:tc>
        <w:tc>
          <w:tcPr>
            <w:tcW w:w="2260" w:type="dxa"/>
            <w:vAlign w:val="bottom"/>
          </w:tcPr>
          <w:p>
            <w:pPr>
              <w:ind w:left="208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310"/>
        </w:trPr>
        <w:tc>
          <w:tcPr>
            <w:tcW w:w="4920" w:type="dxa"/>
            <w:vAlign w:val="bottom"/>
          </w:tcPr>
          <w:p>
            <w:pPr>
              <w:jc w:val="center"/>
              <w:ind w:right="1981"/>
              <w:spacing w:after="0"/>
              <w:rPr>
                <w:sz w:val="20"/>
                <w:szCs w:val="20"/>
                <w:color w:val="auto"/>
              </w:rPr>
            </w:pPr>
            <w:r>
              <w:rPr>
                <w:rFonts w:ascii="Arial" w:cs="Arial" w:eastAsia="Arial" w:hAnsi="Arial"/>
                <w:sz w:val="20"/>
                <w:szCs w:val="20"/>
                <w:b w:val="1"/>
                <w:bCs w:val="1"/>
                <w:color w:val="auto"/>
                <w:w w:val="88"/>
              </w:rPr>
              <w:t>Post-Effective Amendment No.</w:t>
            </w:r>
          </w:p>
        </w:tc>
        <w:tc>
          <w:tcPr>
            <w:tcW w:w="2260" w:type="dxa"/>
            <w:vAlign w:val="bottom"/>
          </w:tcPr>
          <w:p>
            <w:pPr>
              <w:ind w:left="2080"/>
              <w:spacing w:after="0" w:line="201" w:lineRule="exact"/>
              <w:rPr>
                <w:sz w:val="20"/>
                <w:szCs w:val="20"/>
                <w:color w:val="auto"/>
              </w:rPr>
            </w:pPr>
            <w:r>
              <w:rPr>
                <w:rFonts w:ascii="MS PGothic" w:cs="MS PGothic" w:eastAsia="MS PGothic" w:hAnsi="MS PGothic"/>
                <w:sz w:val="20"/>
                <w:szCs w:val="20"/>
                <w:color w:val="auto"/>
                <w:w w:val="79"/>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TPG Specialty Lending, Inc.</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301 Commerce Street, Suite 3300</w:t>
      </w:r>
    </w:p>
    <w:p>
      <w:pPr>
        <w:jc w:val="center"/>
        <w:spacing w:after="0" w:line="216" w:lineRule="auto"/>
        <w:rPr>
          <w:sz w:val="20"/>
          <w:szCs w:val="20"/>
          <w:color w:val="auto"/>
        </w:rPr>
      </w:pPr>
      <w:r>
        <w:rPr>
          <w:rFonts w:ascii="Arial" w:cs="Arial" w:eastAsia="Arial" w:hAnsi="Arial"/>
          <w:sz w:val="13"/>
          <w:szCs w:val="13"/>
          <w:b w:val="1"/>
          <w:bCs w:val="1"/>
          <w:color w:val="auto"/>
        </w:rPr>
        <w:t>Fort Worth, TX 76102</w:t>
      </w:r>
    </w:p>
    <w:p>
      <w:pPr>
        <w:jc w:val="center"/>
        <w:spacing w:after="0" w:line="217" w:lineRule="auto"/>
        <w:rPr>
          <w:sz w:val="20"/>
          <w:szCs w:val="20"/>
          <w:color w:val="auto"/>
        </w:rPr>
      </w:pPr>
      <w:r>
        <w:rPr>
          <w:rFonts w:ascii="Arial" w:cs="Arial" w:eastAsia="Arial" w:hAnsi="Arial"/>
          <w:sz w:val="13"/>
          <w:szCs w:val="13"/>
          <w:b w:val="1"/>
          <w:bCs w:val="1"/>
          <w:color w:val="auto"/>
        </w:rPr>
        <w:t>(Address of Principal Executive Offices)</w:t>
      </w:r>
    </w:p>
    <w:p>
      <w:pPr>
        <w:jc w:val="center"/>
        <w:spacing w:after="0" w:line="217" w:lineRule="auto"/>
        <w:rPr>
          <w:sz w:val="20"/>
          <w:szCs w:val="20"/>
          <w:color w:val="auto"/>
        </w:rPr>
      </w:pPr>
      <w:r>
        <w:rPr>
          <w:rFonts w:ascii="Arial" w:cs="Arial" w:eastAsia="Arial" w:hAnsi="Arial"/>
          <w:sz w:val="13"/>
          <w:szCs w:val="13"/>
          <w:b w:val="1"/>
          <w:bCs w:val="1"/>
          <w:color w:val="auto"/>
        </w:rPr>
        <w:t>(817) 871-4000</w:t>
      </w:r>
    </w:p>
    <w:p>
      <w:pPr>
        <w:jc w:val="center"/>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David Stiepleman</w:t>
      </w:r>
    </w:p>
    <w:p>
      <w:pPr>
        <w:jc w:val="center"/>
        <w:spacing w:after="0" w:line="216" w:lineRule="auto"/>
        <w:rPr>
          <w:sz w:val="20"/>
          <w:szCs w:val="20"/>
          <w:color w:val="auto"/>
        </w:rPr>
      </w:pPr>
      <w:r>
        <w:rPr>
          <w:rFonts w:ascii="Arial" w:cs="Arial" w:eastAsia="Arial" w:hAnsi="Arial"/>
          <w:sz w:val="13"/>
          <w:szCs w:val="13"/>
          <w:b w:val="1"/>
          <w:bCs w:val="1"/>
          <w:color w:val="auto"/>
        </w:rPr>
        <w:t>c/o TPG Specialty Lending, Inc.</w:t>
      </w:r>
    </w:p>
    <w:p>
      <w:pPr>
        <w:jc w:val="center"/>
        <w:spacing w:after="0" w:line="217" w:lineRule="auto"/>
        <w:rPr>
          <w:sz w:val="20"/>
          <w:szCs w:val="20"/>
          <w:color w:val="auto"/>
        </w:rPr>
      </w:pPr>
      <w:r>
        <w:rPr>
          <w:rFonts w:ascii="Arial" w:cs="Arial" w:eastAsia="Arial" w:hAnsi="Arial"/>
          <w:sz w:val="13"/>
          <w:szCs w:val="13"/>
          <w:b w:val="1"/>
          <w:bCs w:val="1"/>
          <w:color w:val="auto"/>
        </w:rPr>
        <w:t>345 California Street, Suite 3300</w:t>
      </w:r>
    </w:p>
    <w:p>
      <w:pPr>
        <w:jc w:val="center"/>
        <w:spacing w:after="0" w:line="217" w:lineRule="auto"/>
        <w:rPr>
          <w:sz w:val="20"/>
          <w:szCs w:val="20"/>
          <w:color w:val="auto"/>
        </w:rPr>
      </w:pPr>
      <w:r>
        <w:rPr>
          <w:rFonts w:ascii="Arial" w:cs="Arial" w:eastAsia="Arial" w:hAnsi="Arial"/>
          <w:sz w:val="13"/>
          <w:szCs w:val="13"/>
          <w:b w:val="1"/>
          <w:bCs w:val="1"/>
          <w:color w:val="auto"/>
        </w:rPr>
        <w:t>San Francisco, CA 94104</w:t>
      </w:r>
    </w:p>
    <w:p>
      <w:pPr>
        <w:jc w:val="center"/>
        <w:spacing w:after="0"/>
        <w:rPr>
          <w:sz w:val="20"/>
          <w:szCs w:val="20"/>
          <w:color w:val="auto"/>
        </w:rPr>
      </w:pPr>
      <w:r>
        <w:rPr>
          <w:rFonts w:ascii="Arial" w:cs="Arial" w:eastAsia="Arial" w:hAnsi="Arial"/>
          <w:sz w:val="13"/>
          <w:szCs w:val="13"/>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87630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3"/>
          <w:szCs w:val="13"/>
          <w:b w:val="1"/>
          <w:bCs w:val="1"/>
          <w:i w:val="1"/>
          <w:iCs w:val="1"/>
          <w:color w:val="auto"/>
        </w:rPr>
        <w:t>WITH COPIES TO:</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Michael A. Gerstenzang, Esq.</w:t>
      </w:r>
    </w:p>
    <w:p>
      <w:pPr>
        <w:jc w:val="center"/>
        <w:spacing w:after="0" w:line="216" w:lineRule="auto"/>
        <w:rPr>
          <w:sz w:val="20"/>
          <w:szCs w:val="20"/>
          <w:color w:val="auto"/>
        </w:rPr>
      </w:pPr>
      <w:r>
        <w:rPr>
          <w:rFonts w:ascii="Arial" w:cs="Arial" w:eastAsia="Arial" w:hAnsi="Arial"/>
          <w:sz w:val="13"/>
          <w:szCs w:val="13"/>
          <w:b w:val="1"/>
          <w:bCs w:val="1"/>
          <w:color w:val="auto"/>
        </w:rPr>
        <w:t>Adam E. Fleisher, Esq.</w:t>
      </w:r>
    </w:p>
    <w:p>
      <w:pPr>
        <w:jc w:val="center"/>
        <w:spacing w:after="0" w:line="217" w:lineRule="auto"/>
        <w:rPr>
          <w:sz w:val="20"/>
          <w:szCs w:val="20"/>
          <w:color w:val="auto"/>
        </w:rPr>
      </w:pPr>
      <w:r>
        <w:rPr>
          <w:rFonts w:ascii="Arial" w:cs="Arial" w:eastAsia="Arial" w:hAnsi="Arial"/>
          <w:sz w:val="13"/>
          <w:szCs w:val="13"/>
          <w:b w:val="1"/>
          <w:bCs w:val="1"/>
          <w:color w:val="auto"/>
        </w:rPr>
        <w:t>Helena K. Grannis, Esq.</w:t>
      </w:r>
    </w:p>
    <w:p>
      <w:pPr>
        <w:jc w:val="center"/>
        <w:spacing w:after="0" w:line="217" w:lineRule="auto"/>
        <w:rPr>
          <w:sz w:val="20"/>
          <w:szCs w:val="20"/>
          <w:color w:val="auto"/>
        </w:rPr>
      </w:pPr>
      <w:r>
        <w:rPr>
          <w:rFonts w:ascii="Arial" w:cs="Arial" w:eastAsia="Arial" w:hAnsi="Arial"/>
          <w:sz w:val="13"/>
          <w:szCs w:val="13"/>
          <w:b w:val="1"/>
          <w:bCs w:val="1"/>
          <w:color w:val="auto"/>
        </w:rPr>
        <w:t>Cleary Gottlieb Steen &amp; Hamilton LLP</w:t>
      </w:r>
    </w:p>
    <w:p>
      <w:pPr>
        <w:jc w:val="center"/>
        <w:spacing w:after="0" w:line="217" w:lineRule="auto"/>
        <w:rPr>
          <w:sz w:val="20"/>
          <w:szCs w:val="20"/>
          <w:color w:val="auto"/>
        </w:rPr>
      </w:pPr>
      <w:r>
        <w:rPr>
          <w:rFonts w:ascii="Arial" w:cs="Arial" w:eastAsia="Arial" w:hAnsi="Arial"/>
          <w:sz w:val="13"/>
          <w:szCs w:val="13"/>
          <w:b w:val="1"/>
          <w:bCs w:val="1"/>
          <w:color w:val="auto"/>
        </w:rPr>
        <w:t>One Liberty Plaza</w:t>
      </w:r>
    </w:p>
    <w:p>
      <w:pPr>
        <w:jc w:val="center"/>
        <w:spacing w:after="0" w:line="217" w:lineRule="auto"/>
        <w:rPr>
          <w:sz w:val="20"/>
          <w:szCs w:val="20"/>
          <w:color w:val="auto"/>
        </w:rPr>
      </w:pPr>
      <w:r>
        <w:rPr>
          <w:rFonts w:ascii="Arial" w:cs="Arial" w:eastAsia="Arial" w:hAnsi="Arial"/>
          <w:sz w:val="13"/>
          <w:szCs w:val="13"/>
          <w:b w:val="1"/>
          <w:bCs w:val="1"/>
          <w:color w:val="auto"/>
        </w:rPr>
        <w:t>New York, NY 10006</w:t>
      </w:r>
    </w:p>
    <w:p>
      <w:pPr>
        <w:jc w:val="center"/>
        <w:spacing w:after="0" w:line="216" w:lineRule="auto"/>
        <w:rPr>
          <w:sz w:val="20"/>
          <w:szCs w:val="20"/>
          <w:color w:val="auto"/>
        </w:rPr>
      </w:pPr>
      <w:r>
        <w:rPr>
          <w:rFonts w:ascii="Arial" w:cs="Arial" w:eastAsia="Arial" w:hAnsi="Arial"/>
          <w:sz w:val="13"/>
          <w:szCs w:val="13"/>
          <w:b w:val="1"/>
          <w:bCs w:val="1"/>
          <w:color w:val="auto"/>
        </w:rPr>
        <w:t>Telephone: (212) 225-2000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Facsimile: (212) 225-3999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87630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 xml:space="preserve">Approximate Date of Proposed Public Offering: </w:t>
      </w:r>
      <w:r>
        <w:rPr>
          <w:rFonts w:ascii="Arial" w:cs="Arial" w:eastAsia="Arial" w:hAnsi="Arial"/>
          <w:sz w:val="13"/>
          <w:szCs w:val="13"/>
          <w:color w:val="auto"/>
        </w:rPr>
        <w:t>From time to time after the effective date of this Registration Statement.</w:t>
      </w:r>
    </w:p>
    <w:p>
      <w:pPr>
        <w:spacing w:after="0" w:line="17" w:lineRule="exact"/>
        <w:rPr>
          <w:sz w:val="24"/>
          <w:szCs w:val="24"/>
          <w:color w:val="auto"/>
        </w:rPr>
      </w:pPr>
    </w:p>
    <w:p>
      <w:pPr>
        <w:ind w:right="120"/>
        <w:spacing w:after="0" w:line="162" w:lineRule="exact"/>
        <w:rPr>
          <w:sz w:val="20"/>
          <w:szCs w:val="20"/>
          <w:color w:val="auto"/>
        </w:rPr>
      </w:pPr>
      <w:r>
        <w:rPr>
          <w:rFonts w:ascii="Arial" w:cs="Arial" w:eastAsia="Arial" w:hAnsi="Arial"/>
          <w:sz w:val="13"/>
          <w:szCs w:val="13"/>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3"/>
          <w:szCs w:val="13"/>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It is proposed that this filing will become effective (check appropriate box):</w:t>
      </w:r>
    </w:p>
    <w:p>
      <w:pPr>
        <w:spacing w:after="0" w:line="26"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when declared effective pursuant to section 8(c)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CALCULATION OF REGISTRATION FEE UNDER THE SECURITIES ACT OF 1933</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960" w:type="dxa"/>
            <w:vAlign w:val="bottom"/>
            <w:tcBorders>
              <w:top w:val="single" w:sz="8" w:color="auto"/>
              <w:bottom w:val="single" w:sz="8" w:color="auto"/>
            </w:tcBorders>
          </w:tcPr>
          <w:p>
            <w:pPr>
              <w:spacing w:after="0"/>
              <w:rPr>
                <w:sz w:val="3"/>
                <w:szCs w:val="3"/>
                <w:color w:val="auto"/>
              </w:rPr>
            </w:pPr>
          </w:p>
        </w:tc>
        <w:tc>
          <w:tcPr>
            <w:tcW w:w="182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96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86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1"/>
                <w:szCs w:val="11"/>
                <w:b w:val="1"/>
                <w:bCs w:val="1"/>
                <w:color w:val="auto"/>
              </w:rPr>
              <w:t>Proposed</w:t>
            </w: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tcBorders>
              <w:right w:val="single" w:sz="8" w:color="auto"/>
            </w:tcBorders>
          </w:tcPr>
          <w:p>
            <w:pPr>
              <w:spacing w:after="0"/>
              <w:rPr>
                <w:sz w:val="11"/>
                <w:szCs w:val="11"/>
                <w:color w:val="auto"/>
              </w:rPr>
            </w:pPr>
          </w:p>
        </w:tc>
        <w:tc>
          <w:tcPr>
            <w:tcW w:w="1820" w:type="dxa"/>
            <w:vAlign w:val="bottom"/>
            <w:tcBorders>
              <w:right w:val="single" w:sz="8" w:color="auto"/>
            </w:tcBorders>
          </w:tcPr>
          <w:p>
            <w:pPr>
              <w:jc w:val="center"/>
              <w:ind w:left="17"/>
              <w:spacing w:after="0" w:line="135" w:lineRule="exact"/>
              <w:rPr>
                <w:sz w:val="20"/>
                <w:szCs w:val="20"/>
                <w:color w:val="auto"/>
              </w:rPr>
            </w:pPr>
            <w:r>
              <w:rPr>
                <w:rFonts w:ascii="Arial" w:cs="Arial" w:eastAsia="Arial" w:hAnsi="Arial"/>
                <w:sz w:val="13"/>
                <w:szCs w:val="13"/>
                <w:b w:val="1"/>
                <w:bCs w:val="1"/>
                <w:color w:val="auto"/>
                <w:w w:val="93"/>
              </w:rPr>
              <w:t>Amount</w:t>
            </w:r>
          </w:p>
        </w:tc>
        <w:tc>
          <w:tcPr>
            <w:tcW w:w="1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Title of Securities</w:t>
            </w:r>
          </w:p>
        </w:tc>
        <w:tc>
          <w:tcPr>
            <w:tcW w:w="1820" w:type="dxa"/>
            <w:vAlign w:val="bottom"/>
            <w:tcBorders>
              <w:right w:val="single" w:sz="8" w:color="auto"/>
            </w:tcBorders>
          </w:tcPr>
          <w:p>
            <w:pPr>
              <w:jc w:val="center"/>
              <w:ind w:left="17"/>
              <w:spacing w:after="0" w:line="135" w:lineRule="exact"/>
              <w:rPr>
                <w:sz w:val="20"/>
                <w:szCs w:val="20"/>
                <w:color w:val="auto"/>
              </w:rPr>
            </w:pPr>
            <w:r>
              <w:rPr>
                <w:rFonts w:ascii="Arial" w:cs="Arial" w:eastAsia="Arial" w:hAnsi="Arial"/>
                <w:sz w:val="13"/>
                <w:szCs w:val="13"/>
                <w:b w:val="1"/>
                <w:bCs w:val="1"/>
                <w:color w:val="auto"/>
                <w:w w:val="82"/>
              </w:rPr>
              <w:t>Being</w:t>
            </w:r>
          </w:p>
        </w:tc>
        <w:tc>
          <w:tcPr>
            <w:tcW w:w="1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7"/>
              </w:rPr>
              <w:t>Aggregate</w:t>
            </w:r>
          </w:p>
        </w:tc>
        <w:tc>
          <w:tcPr>
            <w:tcW w:w="1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Amount of</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Being Registered</w:t>
            </w:r>
          </w:p>
        </w:tc>
        <w:tc>
          <w:tcPr>
            <w:tcW w:w="1820" w:type="dxa"/>
            <w:vAlign w:val="bottom"/>
            <w:tcBorders>
              <w:bottom w:val="single" w:sz="8" w:color="auto"/>
              <w:right w:val="single" w:sz="8" w:color="auto"/>
            </w:tcBorders>
          </w:tcPr>
          <w:p>
            <w:pPr>
              <w:jc w:val="center"/>
              <w:ind w:left="17"/>
              <w:spacing w:after="0"/>
              <w:rPr>
                <w:sz w:val="20"/>
                <w:szCs w:val="20"/>
                <w:color w:val="auto"/>
              </w:rPr>
            </w:pPr>
            <w:r>
              <w:rPr>
                <w:rFonts w:ascii="Arial" w:cs="Arial" w:eastAsia="Arial" w:hAnsi="Arial"/>
                <w:sz w:val="13"/>
                <w:szCs w:val="13"/>
                <w:b w:val="1"/>
                <w:bCs w:val="1"/>
                <w:color w:val="auto"/>
                <w:w w:val="86"/>
              </w:rPr>
              <w:t>Registered</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Offering Price</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Registration Fee</w:t>
            </w:r>
          </w:p>
        </w:tc>
        <w:tc>
          <w:tcPr>
            <w:tcW w:w="0" w:type="dxa"/>
            <w:vAlign w:val="bottom"/>
          </w:tcPr>
          <w:p>
            <w:pPr>
              <w:spacing w:after="0"/>
              <w:rPr>
                <w:sz w:val="1"/>
                <w:szCs w:val="1"/>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5960" w:type="dxa"/>
            <w:vAlign w:val="bottom"/>
            <w:tcBorders>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color w:val="auto"/>
              </w:rPr>
              <w:t>Common Stock, $0.01 par value per share (1)(2)</w:t>
            </w:r>
          </w:p>
        </w:tc>
        <w:tc>
          <w:tcPr>
            <w:tcW w:w="1820" w:type="dxa"/>
            <w:vAlign w:val="bottom"/>
            <w:tcBorders>
              <w:bottom w:val="single" w:sz="8" w:color="auto"/>
              <w:right w:val="single" w:sz="8" w:color="auto"/>
            </w:tcBorders>
          </w:tcPr>
          <w:p>
            <w:pPr>
              <w:spacing w:after="0"/>
              <w:rPr>
                <w:sz w:val="11"/>
                <w:szCs w:val="11"/>
                <w:color w:val="auto"/>
              </w:rPr>
            </w:pPr>
          </w:p>
        </w:tc>
        <w:tc>
          <w:tcPr>
            <w:tcW w:w="1860" w:type="dxa"/>
            <w:vAlign w:val="bottom"/>
            <w:tcBorders>
              <w:bottom w:val="single" w:sz="8" w:color="auto"/>
              <w:right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980" w:type="dxa"/>
            <w:vAlign w:val="bottom"/>
            <w:tcBorders>
              <w:bottom w:val="single" w:sz="8" w:color="auto"/>
              <w:right w:val="single" w:sz="8" w:color="auto"/>
            </w:tcBorders>
            <w:gridSpan w:val="2"/>
          </w:tcPr>
          <w:p>
            <w:pPr>
              <w:spacing w:after="0" w:line="129" w:lineRule="exact"/>
              <w:rPr>
                <w:sz w:val="20"/>
                <w:szCs w:val="20"/>
                <w:color w:val="auto"/>
              </w:rPr>
            </w:pPr>
            <w:r>
              <w:rPr>
                <w:rFonts w:ascii="Arial" w:cs="Arial" w:eastAsia="Arial" w:hAnsi="Arial"/>
                <w:sz w:val="13"/>
                <w:szCs w:val="13"/>
                <w:color w:val="auto"/>
              </w:rPr>
              <w:t>Preferred Stock, $0.01 par value per share (1)(2)</w:t>
            </w:r>
          </w:p>
        </w:tc>
        <w:tc>
          <w:tcPr>
            <w:tcW w:w="1820" w:type="dxa"/>
            <w:vAlign w:val="bottom"/>
            <w:tcBorders>
              <w:bottom w:val="single" w:sz="8" w:color="auto"/>
              <w:right w:val="single" w:sz="8" w:color="auto"/>
            </w:tcBorders>
          </w:tcPr>
          <w:p>
            <w:pPr>
              <w:spacing w:after="0"/>
              <w:rPr>
                <w:sz w:val="11"/>
                <w:szCs w:val="11"/>
                <w:color w:val="auto"/>
              </w:rPr>
            </w:pPr>
          </w:p>
        </w:tc>
        <w:tc>
          <w:tcPr>
            <w:tcW w:w="1860" w:type="dxa"/>
            <w:vAlign w:val="bottom"/>
            <w:tcBorders>
              <w:bottom w:val="single" w:sz="8" w:color="auto"/>
              <w:right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980" w:type="dxa"/>
            <w:vAlign w:val="bottom"/>
            <w:tcBorders>
              <w:bottom w:val="single" w:sz="8" w:color="auto"/>
              <w:right w:val="single" w:sz="8" w:color="auto"/>
            </w:tcBorders>
            <w:gridSpan w:val="2"/>
          </w:tcPr>
          <w:p>
            <w:pPr>
              <w:spacing w:after="0" w:line="129" w:lineRule="exact"/>
              <w:rPr>
                <w:sz w:val="20"/>
                <w:szCs w:val="20"/>
                <w:color w:val="auto"/>
              </w:rPr>
            </w:pPr>
            <w:r>
              <w:rPr>
                <w:rFonts w:ascii="Arial" w:cs="Arial" w:eastAsia="Arial" w:hAnsi="Arial"/>
                <w:sz w:val="13"/>
                <w:szCs w:val="13"/>
                <w:color w:val="auto"/>
              </w:rPr>
              <w:t>Subscription Rights (1)</w:t>
            </w:r>
          </w:p>
        </w:tc>
        <w:tc>
          <w:tcPr>
            <w:tcW w:w="1820" w:type="dxa"/>
            <w:vAlign w:val="bottom"/>
            <w:tcBorders>
              <w:bottom w:val="single" w:sz="8" w:color="auto"/>
              <w:right w:val="single" w:sz="8" w:color="auto"/>
            </w:tcBorders>
          </w:tcPr>
          <w:p>
            <w:pPr>
              <w:spacing w:after="0"/>
              <w:rPr>
                <w:sz w:val="11"/>
                <w:szCs w:val="11"/>
                <w:color w:val="auto"/>
              </w:rPr>
            </w:pPr>
          </w:p>
        </w:tc>
        <w:tc>
          <w:tcPr>
            <w:tcW w:w="1860" w:type="dxa"/>
            <w:vAlign w:val="bottom"/>
            <w:tcBorders>
              <w:bottom w:val="single" w:sz="8" w:color="auto"/>
              <w:right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980" w:type="dxa"/>
            <w:vAlign w:val="bottom"/>
            <w:tcBorders>
              <w:bottom w:val="single" w:sz="8" w:color="auto"/>
              <w:right w:val="single" w:sz="8" w:color="auto"/>
            </w:tcBorders>
            <w:gridSpan w:val="2"/>
          </w:tcPr>
          <w:p>
            <w:pPr>
              <w:spacing w:after="0" w:line="129" w:lineRule="exact"/>
              <w:rPr>
                <w:sz w:val="20"/>
                <w:szCs w:val="20"/>
                <w:color w:val="auto"/>
              </w:rPr>
            </w:pPr>
            <w:r>
              <w:rPr>
                <w:rFonts w:ascii="Arial" w:cs="Arial" w:eastAsia="Arial" w:hAnsi="Arial"/>
                <w:sz w:val="13"/>
                <w:szCs w:val="13"/>
                <w:color w:val="auto"/>
              </w:rPr>
              <w:t>Warrants (3)</w:t>
            </w:r>
          </w:p>
        </w:tc>
        <w:tc>
          <w:tcPr>
            <w:tcW w:w="1820" w:type="dxa"/>
            <w:vAlign w:val="bottom"/>
            <w:tcBorders>
              <w:bottom w:val="single" w:sz="8" w:color="auto"/>
              <w:right w:val="single" w:sz="8" w:color="auto"/>
            </w:tcBorders>
          </w:tcPr>
          <w:p>
            <w:pPr>
              <w:spacing w:after="0"/>
              <w:rPr>
                <w:sz w:val="11"/>
                <w:szCs w:val="11"/>
                <w:color w:val="auto"/>
              </w:rPr>
            </w:pPr>
          </w:p>
        </w:tc>
        <w:tc>
          <w:tcPr>
            <w:tcW w:w="1860" w:type="dxa"/>
            <w:vAlign w:val="bottom"/>
            <w:tcBorders>
              <w:bottom w:val="single" w:sz="8" w:color="auto"/>
              <w:right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980" w:type="dxa"/>
            <w:vAlign w:val="bottom"/>
            <w:tcBorders>
              <w:bottom w:val="single" w:sz="8" w:color="auto"/>
              <w:right w:val="single" w:sz="8" w:color="auto"/>
            </w:tcBorders>
            <w:gridSpan w:val="2"/>
          </w:tcPr>
          <w:p>
            <w:pPr>
              <w:spacing w:after="0" w:line="129" w:lineRule="exact"/>
              <w:rPr>
                <w:sz w:val="20"/>
                <w:szCs w:val="20"/>
                <w:color w:val="auto"/>
              </w:rPr>
            </w:pPr>
            <w:r>
              <w:rPr>
                <w:rFonts w:ascii="Arial" w:cs="Arial" w:eastAsia="Arial" w:hAnsi="Arial"/>
                <w:sz w:val="13"/>
                <w:szCs w:val="13"/>
                <w:color w:val="auto"/>
              </w:rPr>
              <w:t>Debt Securities (2)(4)</w:t>
            </w:r>
          </w:p>
        </w:tc>
        <w:tc>
          <w:tcPr>
            <w:tcW w:w="1820" w:type="dxa"/>
            <w:vAlign w:val="bottom"/>
            <w:tcBorders>
              <w:bottom w:val="single" w:sz="8" w:color="auto"/>
              <w:right w:val="single" w:sz="8" w:color="auto"/>
            </w:tcBorders>
          </w:tcPr>
          <w:p>
            <w:pPr>
              <w:spacing w:after="0"/>
              <w:rPr>
                <w:sz w:val="11"/>
                <w:szCs w:val="11"/>
                <w:color w:val="auto"/>
              </w:rPr>
            </w:pPr>
          </w:p>
        </w:tc>
        <w:tc>
          <w:tcPr>
            <w:tcW w:w="1860" w:type="dxa"/>
            <w:vAlign w:val="bottom"/>
            <w:tcBorders>
              <w:bottom w:val="single" w:sz="8" w:color="auto"/>
              <w:right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continue"/>
          </w:tcPr>
          <w:p>
            <w:pPr>
              <w:spacing w:after="0"/>
              <w:rPr>
                <w:sz w:val="10"/>
                <w:szCs w:val="10"/>
                <w:color w:val="auto"/>
              </w:rPr>
            </w:pPr>
          </w:p>
        </w:tc>
        <w:tc>
          <w:tcPr>
            <w:tcW w:w="5960" w:type="dxa"/>
            <w:vAlign w:val="bottom"/>
            <w:tcBorders>
              <w:bottom w:val="single" w:sz="8" w:color="auto"/>
              <w:right w:val="single" w:sz="8" w:color="auto"/>
            </w:tcBorders>
          </w:tcPr>
          <w:p>
            <w:pPr>
              <w:spacing w:after="0" w:line="116" w:lineRule="exact"/>
              <w:rPr>
                <w:sz w:val="20"/>
                <w:szCs w:val="20"/>
                <w:color w:val="auto"/>
              </w:rPr>
            </w:pPr>
            <w:r>
              <w:rPr>
                <w:rFonts w:ascii="Arial" w:cs="Arial" w:eastAsia="Arial" w:hAnsi="Arial"/>
                <w:sz w:val="13"/>
                <w:szCs w:val="13"/>
                <w:color w:val="auto"/>
              </w:rPr>
              <w:t>Total (5)</w:t>
            </w:r>
          </w:p>
        </w:tc>
        <w:tc>
          <w:tcPr>
            <w:tcW w:w="1820" w:type="dxa"/>
            <w:vAlign w:val="bottom"/>
            <w:tcBorders>
              <w:bottom w:val="single" w:sz="8" w:color="auto"/>
              <w:right w:val="single" w:sz="8" w:color="auto"/>
            </w:tcBorders>
          </w:tcPr>
          <w:p>
            <w:pPr>
              <w:spacing w:after="0"/>
              <w:rPr>
                <w:sz w:val="10"/>
                <w:szCs w:val="10"/>
                <w:color w:val="auto"/>
              </w:rPr>
            </w:pPr>
          </w:p>
        </w:tc>
        <w:tc>
          <w:tcPr>
            <w:tcW w:w="1860" w:type="dxa"/>
            <w:vAlign w:val="bottom"/>
            <w:tcBorders>
              <w:bottom w:val="single" w:sz="8" w:color="auto"/>
              <w:right w:val="single" w:sz="8" w:color="auto"/>
            </w:tcBorders>
          </w:tcPr>
          <w:p>
            <w:pPr>
              <w:jc w:val="center"/>
              <w:spacing w:after="0" w:line="116" w:lineRule="exact"/>
              <w:rPr>
                <w:sz w:val="20"/>
                <w:szCs w:val="20"/>
                <w:color w:val="auto"/>
              </w:rPr>
            </w:pPr>
            <w:r>
              <w:rPr>
                <w:rFonts w:ascii="Arial" w:cs="Arial" w:eastAsia="Arial" w:hAnsi="Arial"/>
                <w:sz w:val="13"/>
                <w:szCs w:val="13"/>
                <w:color w:val="auto"/>
                <w:w w:val="88"/>
              </w:rPr>
              <w:t>$750,000,000 (6)</w:t>
            </w:r>
          </w:p>
        </w:tc>
        <w:tc>
          <w:tcPr>
            <w:tcW w:w="1760" w:type="dxa"/>
            <w:vAlign w:val="bottom"/>
            <w:tcBorders>
              <w:bottom w:val="single" w:sz="8" w:color="auto"/>
            </w:tcBorders>
          </w:tcPr>
          <w:p>
            <w:pPr>
              <w:jc w:val="center"/>
              <w:spacing w:after="0" w:line="116" w:lineRule="exact"/>
              <w:rPr>
                <w:sz w:val="20"/>
                <w:szCs w:val="20"/>
                <w:color w:val="auto"/>
              </w:rPr>
            </w:pPr>
            <w:r>
              <w:rPr>
                <w:rFonts w:ascii="Arial" w:cs="Arial" w:eastAsia="Arial" w:hAnsi="Arial"/>
                <w:sz w:val="13"/>
                <w:szCs w:val="13"/>
                <w:color w:val="auto"/>
                <w:w w:val="87"/>
              </w:rPr>
              <w:t>$87,150.00 (7)</w:t>
            </w:r>
          </w:p>
        </w:tc>
        <w:tc>
          <w:tcPr>
            <w:tcW w:w="0" w:type="dxa"/>
            <w:vAlign w:val="bottom"/>
          </w:tcPr>
          <w:p>
            <w:pPr>
              <w:spacing w:after="0"/>
              <w:rPr>
                <w:sz w:val="1"/>
                <w:szCs w:val="1"/>
                <w:color w:val="auto"/>
              </w:rPr>
            </w:pPr>
          </w:p>
        </w:tc>
      </w:tr>
    </w:tbl>
    <w:p>
      <w:pPr>
        <w:ind w:left="340" w:right="120" w:hanging="332"/>
        <w:spacing w:after="0" w:line="224"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Subject to Note 5 below, there is being registered hereunder an indeterminate number of shares of common stock or preferred stock, or subscription rights to purchase shares of common stock as may be sold, from time to time.</w:t>
      </w:r>
    </w:p>
    <w:p>
      <w:pPr>
        <w:ind w:left="340" w:right="100" w:hanging="332"/>
        <w:spacing w:after="0" w:line="216"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Includes such indeterminate number of shares of common stock, preferred stock or debt securities as may, from time to time, be issued upon conversion or exchange of other securities registered hereunder, to the extent any such securities are, by their terms, convertible or exchangeable for common stock, preferred stock or debt securities.</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2"/>
        </w:numPr>
        <w:rPr>
          <w:rFonts w:ascii="Arial" w:cs="Arial" w:eastAsia="Arial" w:hAnsi="Arial"/>
          <w:sz w:val="11"/>
          <w:szCs w:val="11"/>
          <w:color w:val="auto"/>
        </w:rPr>
      </w:pPr>
      <w:r>
        <w:rPr>
          <w:rFonts w:ascii="Arial" w:cs="Arial" w:eastAsia="Arial" w:hAnsi="Arial"/>
          <w:sz w:val="11"/>
          <w:szCs w:val="11"/>
          <w:color w:val="auto"/>
        </w:rPr>
        <w:t>Subject to Note 6 below, there is being registered hereunder an indeterminate number of warrants as may be sold, from time to time, representing rights to purchase common stock, preferred stock or debt securities.</w:t>
      </w:r>
    </w:p>
    <w:p>
      <w:pPr>
        <w:spacing w:after="0" w:line="8" w:lineRule="exact"/>
        <w:rPr>
          <w:rFonts w:ascii="Arial" w:cs="Arial" w:eastAsia="Arial" w:hAnsi="Arial"/>
          <w:sz w:val="11"/>
          <w:szCs w:val="11"/>
          <w:color w:val="auto"/>
        </w:rPr>
      </w:pPr>
    </w:p>
    <w:p>
      <w:pPr>
        <w:ind w:left="340" w:right="120" w:hanging="332"/>
        <w:spacing w:after="0" w:line="216"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Subject to Note 6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$750,000,000.</w:t>
      </w:r>
    </w:p>
    <w:p>
      <w:pPr>
        <w:spacing w:after="0" w:line="1" w:lineRule="exact"/>
        <w:rPr>
          <w:rFonts w:ascii="Arial" w:cs="Arial" w:eastAsia="Arial" w:hAnsi="Arial"/>
          <w:sz w:val="13"/>
          <w:szCs w:val="13"/>
          <w:color w:val="auto"/>
        </w:rPr>
      </w:pPr>
    </w:p>
    <w:p>
      <w:pPr>
        <w:ind w:left="340" w:hanging="332"/>
        <w:spacing w:after="0" w:line="216"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In no event will the aggregate offering price of all securities issued from time to time pursuant to this registration statement by the Registrant exceed $750,000,000.</w:t>
      </w:r>
    </w:p>
    <w:p>
      <w:pPr>
        <w:ind w:left="340" w:right="40" w:hanging="332"/>
        <w:spacing w:after="0" w:line="216"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Estimated pursuant to Rule 457(o) solely for the purpose of determining the registration fee. The proposed maximum offering price per security will be determined from time to time, by the Registrant in connection with the sale by the Registrant of the securities registered under this registration statement.</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87630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4" w:lineRule="exact"/>
        <w:rPr>
          <w:sz w:val="24"/>
          <w:szCs w:val="24"/>
          <w:color w:val="auto"/>
        </w:rPr>
      </w:pPr>
    </w:p>
    <w:p>
      <w:pPr>
        <w:ind w:right="220" w:firstLine="342"/>
        <w:spacing w:after="0" w:line="232"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June 15,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175260</wp:posOffset>
            </wp:positionV>
            <wp:extent cx="1346200" cy="660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TPG Specialty Lending, Inc.</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Subscription Rights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loans and investments in corporate bonds and equity securities.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March 31, 2015, our investment portfolio consisted of investments in 35 portfolio companies with an aggregate fair value of $1,331.0 million. We intend to continue to pursue an investment strategy focused on direct origination of loans to middle-market companies principally domiciled in the United States.</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an externally managed, closed-end, non-diversified management investment company. TSL Advisers, LLC, or the Adviser, acts as our investment adviser and administrator. We and the Adviser are part of the TPG Special Situations Partners platform, which had over $11 billion of assets under management as of March 31, 2015. TPG Special Situations Partners is the special situations and credit platform of TPG, a leading global private investment firm founded in 1992 with $67 billion of assets under management as of March 31, 2015.</w:t>
      </w:r>
    </w:p>
    <w:p>
      <w:pPr>
        <w:spacing w:after="0" w:line="187"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158"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Substantially all of our debt investments have variable interest rates that reset periodically based on interest rate benchmarks such as the London Interbank Offered Rate, the Federal Funds Effective Rate or the Prime Rate. As a result, significant increases in such interest rate benchmarks in the future would make it more difficult for these borrowers to service their obligations under the debt investments that we hold.</w:t>
      </w:r>
    </w:p>
    <w:p>
      <w:pPr>
        <w:spacing w:after="0" w:line="166"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which we refer to, collectively, as the “securities.” The preferred stock, debt securities, subscription rights and warrants offered hereby may be convertible or exchangeable into shares of our common stock. The securities may be offered at prices and on terms to be described in one or more supplements to this prospectus.</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 price per share that is less than our net asset value per share (i) in connection with a rights offering to our existing stockholders, (ii) with the prior approval of the majority of our outstanding voting securities or (iii) under such other circumstances as the Securities and Exchange Commission may permit.</w:t>
      </w:r>
    </w:p>
    <w:p>
      <w:pPr>
        <w:spacing w:after="0" w:line="188"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securities may be offered directly to one or more purchasers,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“Plan of Distribution.” We may not sell any of the securities pursuant to this registration statement through agents, underwriters or dealers without delivery of this prospectus and a prospectus supplement describing the method and terms of the offering of such securities.</w:t>
      </w:r>
    </w:p>
    <w:p>
      <w:pPr>
        <w:spacing w:after="0" w:line="158"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Our common stock is traded on the New York Stock Exchange, or NYSE, under the symbol “TSLX.” On June 12, 2015, the last reported sales price of our common stock on the NYSE was $18.08 per share. The net asset value per share of our common stock at March 31, 2015 (the last date prior to the date of this prospectus on which we determined net asset value) was $15.60.</w:t>
      </w:r>
    </w:p>
    <w:p>
      <w:pPr>
        <w:spacing w:after="0" w:line="177" w:lineRule="exact"/>
        <w:rPr>
          <w:sz w:val="20"/>
          <w:szCs w:val="20"/>
          <w:color w:val="auto"/>
        </w:rPr>
      </w:pPr>
    </w:p>
    <w:p>
      <w:pPr>
        <w:ind w:right="80" w:firstLine="456"/>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a high degree of risk. Shares of closed-end investment companies, including business development companies, frequently trade at a discount to their net asset values. If our shares trade at a discount to our net asset value, purchasers in any offering will face increased risk of loss. In addition, the companies in which we invest are subject to special risks. Before buying any securities, you should read the discussion of the material risks of investing in our securities, including the risk of leverage, in “</w:t>
      </w:r>
      <w:hyperlink w:anchor="page27">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21 of this prospectus.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This prospectus may not be used to consummate sales of our securities unless accompanied by a prospectus supplement.</w:t>
      </w:r>
    </w:p>
    <w:p>
      <w:pPr>
        <w:spacing w:after="0" w:line="2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Please read this prospectus and any accompanying prospectus supplements before investing and keep each for future reference. This prospectus and any accompanying prospectus supplements contain important information about us that a prospective investor ought to know before investing in our securities. Information required to be included in a Statement of Additional Information may be found in this prospectus and an accompanying prospectus supplement, as applicable. We also file periodic and current reports, proxy statements and other information about us with the Securities and Exchange Commission. This information is available free of charge by contacting us at 345 California Street, Suite 3300, San Francisco, CA 94104, calling us at (817) 871-4000 or visiting our website at http://www.tpgspecialtylending.com. Information on our website is not incorporated into or a part of this prospectus or any prospectus supplement. The Securities and Exchange Commission also maintains a website at http://www.sec.gov that contains this information.</w:t>
      </w:r>
    </w:p>
    <w:p>
      <w:pPr>
        <w:spacing w:after="0" w:line="163"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b w:val="1"/>
          <w:bCs w:val="1"/>
          <w:color w:val="auto"/>
        </w:rPr>
        <w:t>The Securities and Exchange Commission has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208915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408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r>
              <w:rPr>
                <w:rFonts w:ascii="Arial" w:cs="Arial" w:eastAsia="Arial" w:hAnsi="Arial"/>
                <w:sz w:val="18"/>
                <w:szCs w:val="18"/>
                <w:b w:val="1"/>
                <w:bCs w:val="1"/>
                <w:color w:val="auto"/>
                <w:w w:val="97"/>
              </w:rPr>
              <w:t>The date of this prospectus is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 2015</w:t>
            </w: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CROSS-REFERENCE SHEET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ITEM</w:t>
            </w:r>
          </w:p>
        </w:tc>
        <w:tc>
          <w:tcPr>
            <w:tcW w:w="2880" w:type="dxa"/>
            <w:vAlign w:val="bottom"/>
          </w:tcPr>
          <w:p>
            <w:pPr>
              <w:spacing w:after="0"/>
              <w:rPr>
                <w:sz w:val="14"/>
                <w:szCs w:val="14"/>
                <w:color w:val="auto"/>
              </w:rPr>
            </w:pPr>
          </w:p>
        </w:tc>
        <w:tc>
          <w:tcPr>
            <w:tcW w:w="3240" w:type="dxa"/>
            <w:vAlign w:val="bottom"/>
            <w:gridSpan w:val="2"/>
            <w:vMerge w:val="restart"/>
          </w:tcPr>
          <w:p>
            <w:pPr>
              <w:jc w:val="center"/>
              <w:ind w:right="2490"/>
              <w:spacing w:after="0"/>
              <w:rPr>
                <w:sz w:val="20"/>
                <w:szCs w:val="20"/>
                <w:color w:val="auto"/>
              </w:rPr>
            </w:pPr>
            <w:r>
              <w:rPr>
                <w:rFonts w:ascii="Arial" w:cs="Arial" w:eastAsia="Arial" w:hAnsi="Arial"/>
                <w:sz w:val="14"/>
                <w:szCs w:val="14"/>
                <w:b w:val="1"/>
                <w:bCs w:val="1"/>
                <w:color w:val="auto"/>
              </w:rPr>
              <w:t>CAPTION</w:t>
            </w:r>
          </w:p>
        </w:tc>
        <w:tc>
          <w:tcPr>
            <w:tcW w:w="1500" w:type="dxa"/>
            <w:vAlign w:val="bottom"/>
          </w:tcPr>
          <w:p>
            <w:pPr>
              <w:spacing w:after="0"/>
              <w:rPr>
                <w:sz w:val="14"/>
                <w:szCs w:val="14"/>
                <w:color w:val="auto"/>
              </w:rPr>
            </w:pPr>
          </w:p>
        </w:tc>
        <w:tc>
          <w:tcPr>
            <w:tcW w:w="3020" w:type="dxa"/>
            <w:vAlign w:val="bottom"/>
            <w:gridSpan w:val="2"/>
            <w:vMerge w:val="restart"/>
          </w:tcPr>
          <w:p>
            <w:pPr>
              <w:jc w:val="center"/>
              <w:ind w:right="1060"/>
              <w:spacing w:after="0"/>
              <w:rPr>
                <w:sz w:val="20"/>
                <w:szCs w:val="20"/>
                <w:color w:val="auto"/>
              </w:rPr>
            </w:pPr>
            <w:r>
              <w:rPr>
                <w:rFonts w:ascii="Arial" w:cs="Arial" w:eastAsia="Arial" w:hAnsi="Arial"/>
                <w:sz w:val="14"/>
                <w:szCs w:val="14"/>
                <w:b w:val="1"/>
                <w:bCs w:val="1"/>
                <w:color w:val="auto"/>
              </w:rPr>
              <w:t>LOCATION IN PROSPECTUS</w:t>
            </w:r>
          </w:p>
        </w:tc>
        <w:tc>
          <w:tcPr>
            <w:tcW w:w="0" w:type="dxa"/>
            <w:vAlign w:val="bottom"/>
          </w:tcPr>
          <w:p>
            <w:pPr>
              <w:spacing w:after="0"/>
              <w:rPr>
                <w:sz w:val="1"/>
                <w:szCs w:val="1"/>
                <w:color w:val="auto"/>
              </w:rPr>
            </w:pPr>
          </w:p>
        </w:tc>
      </w:tr>
      <w:tr>
        <w:trPr>
          <w:trHeight w:val="185"/>
        </w:trPr>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880" w:type="dxa"/>
            <w:vAlign w:val="bottom"/>
          </w:tcPr>
          <w:p>
            <w:pPr>
              <w:spacing w:after="0"/>
              <w:rPr>
                <w:sz w:val="16"/>
                <w:szCs w:val="16"/>
                <w:color w:val="auto"/>
              </w:rPr>
            </w:pPr>
          </w:p>
        </w:tc>
        <w:tc>
          <w:tcPr>
            <w:tcW w:w="3240" w:type="dxa"/>
            <w:vAlign w:val="bottom"/>
            <w:gridSpan w:val="2"/>
            <w:vMerge w:val="continue"/>
          </w:tcPr>
          <w:p>
            <w:pPr>
              <w:spacing w:after="0"/>
              <w:rPr>
                <w:sz w:val="16"/>
                <w:szCs w:val="16"/>
                <w:color w:val="auto"/>
              </w:rPr>
            </w:pPr>
          </w:p>
        </w:tc>
        <w:tc>
          <w:tcPr>
            <w:tcW w:w="1500" w:type="dxa"/>
            <w:vAlign w:val="bottom"/>
          </w:tcPr>
          <w:p>
            <w:pPr>
              <w:spacing w:after="0"/>
              <w:rPr>
                <w:sz w:val="16"/>
                <w:szCs w:val="16"/>
                <w:color w:val="auto"/>
              </w:rPr>
            </w:pPr>
          </w:p>
        </w:tc>
        <w:tc>
          <w:tcPr>
            <w:tcW w:w="3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580" w:type="dxa"/>
            <w:vAlign w:val="bottom"/>
            <w:vMerge w:val="restart"/>
          </w:tcPr>
          <w:p>
            <w:pPr>
              <w:spacing w:after="0" w:line="198" w:lineRule="exact"/>
              <w:rPr>
                <w:sz w:val="20"/>
                <w:szCs w:val="20"/>
                <w:color w:val="auto"/>
              </w:rPr>
            </w:pPr>
            <w:r>
              <w:rPr>
                <w:rFonts w:ascii="Arial" w:cs="Arial" w:eastAsia="Arial" w:hAnsi="Arial"/>
                <w:sz w:val="18"/>
                <w:szCs w:val="18"/>
                <w:color w:val="auto"/>
              </w:rPr>
              <w:t>Cover</w:t>
            </w:r>
          </w:p>
        </w:tc>
        <w:tc>
          <w:tcPr>
            <w:tcW w:w="150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6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w w:val="99"/>
              </w:rPr>
              <w:t>1</w:t>
            </w:r>
          </w:p>
        </w:tc>
        <w:tc>
          <w:tcPr>
            <w:tcW w:w="3540" w:type="dxa"/>
            <w:vAlign w:val="bottom"/>
            <w:gridSpan w:val="2"/>
          </w:tcPr>
          <w:p>
            <w:pPr>
              <w:ind w:left="2480"/>
              <w:spacing w:after="0" w:line="178" w:lineRule="exact"/>
              <w:rPr>
                <w:sz w:val="20"/>
                <w:szCs w:val="20"/>
                <w:color w:val="auto"/>
              </w:rPr>
            </w:pPr>
            <w:r>
              <w:rPr>
                <w:rFonts w:ascii="Arial" w:cs="Arial" w:eastAsia="Arial" w:hAnsi="Arial"/>
                <w:sz w:val="18"/>
                <w:szCs w:val="18"/>
                <w:color w:val="auto"/>
                <w:w w:val="95"/>
              </w:rPr>
              <w:t>Outside Front</w:t>
            </w:r>
          </w:p>
        </w:tc>
        <w:tc>
          <w:tcPr>
            <w:tcW w:w="2580" w:type="dxa"/>
            <w:vAlign w:val="bottom"/>
            <w:vMerge w:val="continue"/>
          </w:tcPr>
          <w:p>
            <w:pPr>
              <w:spacing w:after="0"/>
              <w:rPr>
                <w:sz w:val="15"/>
                <w:szCs w:val="15"/>
                <w:color w:val="auto"/>
              </w:rPr>
            </w:pPr>
          </w:p>
        </w:tc>
        <w:tc>
          <w:tcPr>
            <w:tcW w:w="1500" w:type="dxa"/>
            <w:vAlign w:val="bottom"/>
          </w:tcPr>
          <w:p>
            <w:pPr>
              <w:spacing w:after="0"/>
              <w:rPr>
                <w:sz w:val="15"/>
                <w:szCs w:val="15"/>
                <w:color w:val="auto"/>
              </w:rPr>
            </w:pPr>
          </w:p>
        </w:tc>
        <w:tc>
          <w:tcPr>
            <w:tcW w:w="3020" w:type="dxa"/>
            <w:vAlign w:val="bottom"/>
            <w:gridSpan w:val="2"/>
          </w:tcPr>
          <w:p>
            <w:pPr>
              <w:jc w:val="center"/>
              <w:ind w:right="1060"/>
              <w:spacing w:after="0" w:line="178" w:lineRule="exact"/>
              <w:rPr>
                <w:sz w:val="20"/>
                <w:szCs w:val="20"/>
                <w:color w:val="auto"/>
              </w:rPr>
            </w:pPr>
            <w:r>
              <w:rPr>
                <w:rFonts w:ascii="Arial" w:cs="Arial" w:eastAsia="Arial" w:hAnsi="Arial"/>
                <w:sz w:val="18"/>
                <w:szCs w:val="18"/>
                <w:color w:val="auto"/>
                <w:w w:val="89"/>
              </w:rPr>
              <w:t>Outside Front Cover Page</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9"/>
              </w:rPr>
              <w:t>2</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2"/>
              </w:rPr>
              <w:t>Cover Pages; Other Offering Information</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Inside Front and Outside Back Cover Pages</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9"/>
              </w:rPr>
              <w:t>3</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7"/>
              </w:rPr>
              <w:t>Fee Table and Synopsis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85"/>
              </w:rPr>
              <w:t>Fees and Expenses</w:t>
            </w:r>
          </w:p>
        </w:tc>
        <w:tc>
          <w:tcPr>
            <w:tcW w:w="0" w:type="dxa"/>
            <w:vAlign w:val="bottom"/>
          </w:tcPr>
          <w:p>
            <w:pPr>
              <w:spacing w:after="0"/>
              <w:rPr>
                <w:sz w:val="1"/>
                <w:szCs w:val="1"/>
                <w:color w:val="auto"/>
              </w:rPr>
            </w:pPr>
          </w:p>
        </w:tc>
      </w:tr>
      <w:tr>
        <w:trPr>
          <w:trHeight w:val="220"/>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9"/>
              </w:rPr>
              <w:t>4</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3"/>
              </w:rPr>
              <w:t>Financial Highlights</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Selected Financial Data and Other Information; Selected</w:t>
            </w:r>
          </w:p>
        </w:tc>
        <w:tc>
          <w:tcPr>
            <w:tcW w:w="0" w:type="dxa"/>
            <w:vAlign w:val="bottom"/>
          </w:tcPr>
          <w:p>
            <w:pPr>
              <w:spacing w:after="0"/>
              <w:rPr>
                <w:sz w:val="1"/>
                <w:szCs w:val="1"/>
                <w:color w:val="auto"/>
              </w:rPr>
            </w:pPr>
          </w:p>
        </w:tc>
      </w:tr>
      <w:tr>
        <w:trPr>
          <w:trHeight w:val="216"/>
        </w:trPr>
        <w:tc>
          <w:tcPr>
            <w:tcW w:w="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5</w:t>
            </w: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Quarterly Financial Data; Senior Securities</w:t>
            </w:r>
          </w:p>
        </w:tc>
        <w:tc>
          <w:tcPr>
            <w:tcW w:w="0" w:type="dxa"/>
            <w:vAlign w:val="bottom"/>
          </w:tcPr>
          <w:p>
            <w:pPr>
              <w:spacing w:after="0"/>
              <w:rPr>
                <w:sz w:val="1"/>
                <w:szCs w:val="1"/>
                <w:color w:val="auto"/>
              </w:rPr>
            </w:pPr>
          </w:p>
        </w:tc>
      </w:tr>
      <w:tr>
        <w:trPr>
          <w:trHeight w:val="212"/>
        </w:trPr>
        <w:tc>
          <w:tcPr>
            <w:tcW w:w="660" w:type="dxa"/>
            <w:vAlign w:val="bottom"/>
            <w:vMerge w:val="continue"/>
          </w:tcPr>
          <w:p>
            <w:pPr>
              <w:spacing w:after="0"/>
              <w:rPr>
                <w:sz w:val="18"/>
                <w:szCs w:val="18"/>
                <w:color w:val="auto"/>
              </w:rPr>
            </w:pP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3"/>
              </w:rPr>
              <w:t>Plan of Distribution</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5"/>
              </w:rPr>
              <w:t>Plan of Distribution</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9"/>
              </w:rPr>
              <w:t>6</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0"/>
              </w:rPr>
              <w:t>Selling Shareholders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9"/>
              </w:rPr>
              <w:t>7</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8"/>
              </w:rPr>
              <w:t>Use of Proceeds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87"/>
              </w:rPr>
              <w:t>Use of Proceeds</w:t>
            </w:r>
          </w:p>
        </w:tc>
        <w:tc>
          <w:tcPr>
            <w:tcW w:w="0" w:type="dxa"/>
            <w:vAlign w:val="bottom"/>
          </w:tcPr>
          <w:p>
            <w:pPr>
              <w:spacing w:after="0"/>
              <w:rPr>
                <w:sz w:val="1"/>
                <w:szCs w:val="1"/>
                <w:color w:val="auto"/>
              </w:rPr>
            </w:pPr>
          </w:p>
        </w:tc>
      </w:tr>
      <w:tr>
        <w:trPr>
          <w:trHeight w:val="220"/>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9"/>
              </w:rPr>
              <w:t>8</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1"/>
              </w:rPr>
              <w:t>General Description of the Registrant</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Outside Front Cover Page; Prospectus Summary; Risk</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Factors; Management’s Discussion and Analysis of</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Financial Condition and Results of Operations; The</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Company; Portfolio Companies; Regulation; Shares</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Eligible for Future Sale; Price Range of Common Stock</w:t>
            </w:r>
          </w:p>
        </w:tc>
        <w:tc>
          <w:tcPr>
            <w:tcW w:w="0" w:type="dxa"/>
            <w:vAlign w:val="bottom"/>
          </w:tcPr>
          <w:p>
            <w:pPr>
              <w:spacing w:after="0"/>
              <w:rPr>
                <w:sz w:val="1"/>
                <w:szCs w:val="1"/>
                <w:color w:val="auto"/>
              </w:rPr>
            </w:pPr>
          </w:p>
        </w:tc>
      </w:tr>
      <w:tr>
        <w:trPr>
          <w:trHeight w:val="216"/>
        </w:trPr>
        <w:tc>
          <w:tcPr>
            <w:tcW w:w="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9</w:t>
            </w: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2"/>
              </w:rPr>
              <w:t>and Distributions</w:t>
            </w: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Management</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Management; Custodian, Transfer and Dividend Paying</w:t>
            </w:r>
          </w:p>
        </w:tc>
        <w:tc>
          <w:tcPr>
            <w:tcW w:w="0" w:type="dxa"/>
            <w:vAlign w:val="bottom"/>
          </w:tcPr>
          <w:p>
            <w:pPr>
              <w:spacing w:after="0"/>
              <w:rPr>
                <w:sz w:val="1"/>
                <w:szCs w:val="1"/>
                <w:color w:val="auto"/>
              </w:rPr>
            </w:pPr>
          </w:p>
        </w:tc>
      </w:tr>
      <w:tr>
        <w:trPr>
          <w:trHeight w:val="216"/>
        </w:trPr>
        <w:tc>
          <w:tcPr>
            <w:tcW w:w="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10</w:t>
            </w: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89"/>
              </w:rPr>
              <w:t>Agent and Registrar</w:t>
            </w: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0"/>
              </w:rPr>
              <w:t>Capital Stock, Long-Term Debt, and Other Securities</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3"/>
              </w:rPr>
              <w:t>Description of Our Capital Stock; Description of Our</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30"/>
              <w:spacing w:after="0"/>
              <w:rPr>
                <w:sz w:val="20"/>
                <w:szCs w:val="20"/>
                <w:color w:val="auto"/>
              </w:rPr>
            </w:pPr>
            <w:r>
              <w:rPr>
                <w:rFonts w:ascii="Arial" w:cs="Arial" w:eastAsia="Arial" w:hAnsi="Arial"/>
                <w:sz w:val="18"/>
                <w:szCs w:val="18"/>
                <w:color w:val="auto"/>
                <w:w w:val="92"/>
              </w:rPr>
              <w:t>Preferred Stock; Description of Our Subscription Rights;</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30"/>
              <w:spacing w:after="0"/>
              <w:rPr>
                <w:sz w:val="20"/>
                <w:szCs w:val="20"/>
                <w:color w:val="auto"/>
              </w:rPr>
            </w:pPr>
            <w:r>
              <w:rPr>
                <w:rFonts w:ascii="Arial" w:cs="Arial" w:eastAsia="Arial" w:hAnsi="Arial"/>
                <w:sz w:val="18"/>
                <w:szCs w:val="18"/>
                <w:color w:val="auto"/>
                <w:w w:val="92"/>
              </w:rPr>
              <w:t>Description of Our Warrants; Description of Our Debt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Securities; Dividend Reinvestment Plan; Management’s</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2"/>
              </w:rPr>
              <w:t>Discussion and Analysis of Financial Condition and</w:t>
            </w:r>
          </w:p>
        </w:tc>
        <w:tc>
          <w:tcPr>
            <w:tcW w:w="0" w:type="dxa"/>
            <w:vAlign w:val="bottom"/>
          </w:tcPr>
          <w:p>
            <w:pPr>
              <w:spacing w:after="0"/>
              <w:rPr>
                <w:sz w:val="1"/>
                <w:szCs w:val="1"/>
                <w:color w:val="auto"/>
              </w:rPr>
            </w:pPr>
          </w:p>
        </w:tc>
      </w:tr>
      <w:tr>
        <w:trPr>
          <w:trHeight w:val="216"/>
        </w:trPr>
        <w:tc>
          <w:tcPr>
            <w:tcW w:w="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11</w:t>
            </w: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0"/>
              </w:rPr>
              <w:t>Results of Operations</w:t>
            </w:r>
          </w:p>
        </w:tc>
        <w:tc>
          <w:tcPr>
            <w:tcW w:w="0" w:type="dxa"/>
            <w:vAlign w:val="bottom"/>
          </w:tcPr>
          <w:p>
            <w:pPr>
              <w:spacing w:after="0"/>
              <w:rPr>
                <w:sz w:val="1"/>
                <w:szCs w:val="1"/>
                <w:color w:val="auto"/>
              </w:rPr>
            </w:pPr>
          </w:p>
        </w:tc>
      </w:tr>
      <w:tr>
        <w:trPr>
          <w:trHeight w:val="212"/>
        </w:trPr>
        <w:tc>
          <w:tcPr>
            <w:tcW w:w="660" w:type="dxa"/>
            <w:vAlign w:val="bottom"/>
            <w:vMerge w:val="continue"/>
          </w:tcPr>
          <w:p>
            <w:pPr>
              <w:spacing w:after="0"/>
              <w:rPr>
                <w:sz w:val="18"/>
                <w:szCs w:val="18"/>
                <w:color w:val="auto"/>
              </w:rPr>
            </w:pP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Defaults and Arrears on Senior Securities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9"/>
              </w:rPr>
              <w:t>12</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Legal Proceedings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1"/>
              </w:rPr>
              <w:t>Legal Matters</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9"/>
              </w:rPr>
              <w:t>13</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2"/>
              </w:rPr>
              <w:t>Table of Contents of the Statement of Additional Information, or SAI</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9"/>
              </w:rPr>
              <w:t>14</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2"/>
              </w:rPr>
              <w:t>Cover Page of SAI</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9"/>
              </w:rPr>
              <w:t>15</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8"/>
              </w:rPr>
              <w:t>Table of Contents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0"/>
              </w:rPr>
              <w:t>Table of Contents</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9"/>
              </w:rPr>
              <w:t>16</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3"/>
              </w:rPr>
              <w:t>General Information and History</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20"/>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9"/>
              </w:rPr>
              <w:t>17</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1"/>
              </w:rPr>
              <w:t>Investment Objective and Policies</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Management’s Discussion and Analysis of Financial</w:t>
            </w:r>
          </w:p>
        </w:tc>
        <w:tc>
          <w:tcPr>
            <w:tcW w:w="0" w:type="dxa"/>
            <w:vAlign w:val="bottom"/>
          </w:tcPr>
          <w:p>
            <w:pPr>
              <w:spacing w:after="0"/>
              <w:rPr>
                <w:sz w:val="1"/>
                <w:szCs w:val="1"/>
                <w:color w:val="auto"/>
              </w:rPr>
            </w:pPr>
          </w:p>
        </w:tc>
      </w:tr>
      <w:tr>
        <w:trPr>
          <w:trHeight w:val="216"/>
        </w:trPr>
        <w:tc>
          <w:tcPr>
            <w:tcW w:w="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18</w:t>
            </w: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Condition and Results of Operations; Senior Securities</w:t>
            </w:r>
          </w:p>
        </w:tc>
        <w:tc>
          <w:tcPr>
            <w:tcW w:w="0" w:type="dxa"/>
            <w:vAlign w:val="bottom"/>
          </w:tcPr>
          <w:p>
            <w:pPr>
              <w:spacing w:after="0"/>
              <w:rPr>
                <w:sz w:val="1"/>
                <w:szCs w:val="1"/>
                <w:color w:val="auto"/>
              </w:rPr>
            </w:pPr>
          </w:p>
        </w:tc>
      </w:tr>
      <w:tr>
        <w:trPr>
          <w:trHeight w:val="212"/>
        </w:trPr>
        <w:tc>
          <w:tcPr>
            <w:tcW w:w="660" w:type="dxa"/>
            <w:vAlign w:val="bottom"/>
            <w:vMerge w:val="continue"/>
          </w:tcPr>
          <w:p>
            <w:pPr>
              <w:spacing w:after="0"/>
              <w:rPr>
                <w:sz w:val="18"/>
                <w:szCs w:val="18"/>
                <w:color w:val="auto"/>
              </w:rPr>
            </w:pP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Management</w:t>
            </w:r>
          </w:p>
        </w:tc>
        <w:tc>
          <w:tcPr>
            <w:tcW w:w="1500" w:type="dxa"/>
            <w:vAlign w:val="bottom"/>
          </w:tcPr>
          <w:p>
            <w:pPr>
              <w:spacing w:after="0"/>
              <w:rPr>
                <w:sz w:val="18"/>
                <w:szCs w:val="18"/>
                <w:color w:val="auto"/>
              </w:rPr>
            </w:pPr>
          </w:p>
        </w:tc>
        <w:tc>
          <w:tcPr>
            <w:tcW w:w="3020" w:type="dxa"/>
            <w:vAlign w:val="bottom"/>
            <w:gridSpan w:val="2"/>
          </w:tcPr>
          <w:p>
            <w:pPr>
              <w:jc w:val="center"/>
              <w:ind w:right="1080"/>
              <w:spacing w:after="0"/>
              <w:rPr>
                <w:sz w:val="20"/>
                <w:szCs w:val="20"/>
                <w:color w:val="auto"/>
              </w:rPr>
            </w:pPr>
            <w:r>
              <w:rPr>
                <w:rFonts w:ascii="Arial" w:cs="Arial" w:eastAsia="Arial" w:hAnsi="Arial"/>
                <w:sz w:val="18"/>
                <w:szCs w:val="18"/>
                <w:color w:val="auto"/>
                <w:w w:val="89"/>
              </w:rPr>
              <w:t>Management</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9"/>
              </w:rPr>
              <w:t>19</w:t>
            </w:r>
          </w:p>
        </w:tc>
        <w:tc>
          <w:tcPr>
            <w:tcW w:w="6120" w:type="dxa"/>
            <w:vAlign w:val="bottom"/>
            <w:gridSpan w:val="3"/>
          </w:tcPr>
          <w:p>
            <w:pPr>
              <w:jc w:val="center"/>
              <w:ind w:left="230"/>
              <w:spacing w:after="0"/>
              <w:rPr>
                <w:sz w:val="20"/>
                <w:szCs w:val="20"/>
                <w:color w:val="auto"/>
              </w:rPr>
            </w:pPr>
            <w:r>
              <w:rPr>
                <w:rFonts w:ascii="Arial" w:cs="Arial" w:eastAsia="Arial" w:hAnsi="Arial"/>
                <w:sz w:val="18"/>
                <w:szCs w:val="18"/>
                <w:color w:val="auto"/>
                <w:w w:val="90"/>
              </w:rPr>
              <w:t>Control Persons and Principal Holders of Securities</w:t>
            </w:r>
          </w:p>
        </w:tc>
        <w:tc>
          <w:tcPr>
            <w:tcW w:w="4520" w:type="dxa"/>
            <w:vAlign w:val="bottom"/>
            <w:gridSpan w:val="3"/>
          </w:tcPr>
          <w:p>
            <w:pPr>
              <w:jc w:val="center"/>
              <w:ind w:left="330"/>
              <w:spacing w:after="0"/>
              <w:rPr>
                <w:sz w:val="20"/>
                <w:szCs w:val="20"/>
                <w:color w:val="auto"/>
              </w:rPr>
            </w:pPr>
            <w:r>
              <w:rPr>
                <w:rFonts w:ascii="Arial" w:cs="Arial" w:eastAsia="Arial" w:hAnsi="Arial"/>
                <w:sz w:val="18"/>
                <w:szCs w:val="18"/>
                <w:color w:val="auto"/>
                <w:w w:val="90"/>
              </w:rPr>
              <w:t>Control Persons and Principal Stockholders</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9"/>
              </w:rPr>
              <w:t>20</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1"/>
              </w:rPr>
              <w:t>Investment Advisory and Other Services</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88"/>
              </w:rPr>
              <w:t>Management and Other Agreements</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9"/>
              </w:rPr>
              <w:t>21</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1"/>
              </w:rPr>
              <w:t>Portfolio Managers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9"/>
              </w:rPr>
              <w:t>22</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1"/>
              </w:rPr>
              <w:t>Brokerage Allocation and Other Practices</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Brokerage Allocation and Other Practices</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9"/>
              </w:rPr>
              <w:t>23</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5"/>
              </w:rPr>
              <w:t>Tax Status</w:t>
            </w:r>
          </w:p>
        </w:tc>
        <w:tc>
          <w:tcPr>
            <w:tcW w:w="4520" w:type="dxa"/>
            <w:vAlign w:val="bottom"/>
            <w:gridSpan w:val="3"/>
          </w:tcPr>
          <w:p>
            <w:pPr>
              <w:jc w:val="center"/>
              <w:ind w:left="330"/>
              <w:spacing w:after="0"/>
              <w:rPr>
                <w:sz w:val="20"/>
                <w:szCs w:val="20"/>
                <w:color w:val="auto"/>
              </w:rPr>
            </w:pPr>
            <w:r>
              <w:rPr>
                <w:rFonts w:ascii="Arial" w:cs="Arial" w:eastAsia="Arial" w:hAnsi="Arial"/>
                <w:sz w:val="18"/>
                <w:szCs w:val="18"/>
                <w:color w:val="auto"/>
                <w:w w:val="90"/>
              </w:rPr>
              <w:t>Material U.S. Federal Income Tax Considerations</w:t>
            </w:r>
          </w:p>
        </w:tc>
        <w:tc>
          <w:tcPr>
            <w:tcW w:w="0" w:type="dxa"/>
            <w:vAlign w:val="bottom"/>
          </w:tcPr>
          <w:p>
            <w:pPr>
              <w:spacing w:after="0"/>
              <w:rPr>
                <w:sz w:val="1"/>
                <w:szCs w:val="1"/>
                <w:color w:val="auto"/>
              </w:rPr>
            </w:pPr>
          </w:p>
        </w:tc>
      </w:tr>
      <w:tr>
        <w:trPr>
          <w:trHeight w:val="234"/>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9"/>
              </w:rPr>
              <w:t>24</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Financial Statements</w:t>
            </w:r>
          </w:p>
        </w:tc>
        <w:tc>
          <w:tcPr>
            <w:tcW w:w="1500" w:type="dxa"/>
            <w:vAlign w:val="bottom"/>
          </w:tcPr>
          <w:p>
            <w:pPr>
              <w:spacing w:after="0"/>
              <w:rPr>
                <w:sz w:val="20"/>
                <w:szCs w:val="20"/>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0"/>
              </w:rPr>
              <w:t>Financial Statements</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00"/>
          </w:cols>
          <w:pgMar w:left="240" w:top="459"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have not authorized any dealer, salesman or other person to give any information or to make any representation other than those contained in this prospectus or any prospectus supplement to this prospectus. This prospectus and any such supplements do not constitute an offer to sell or a solicitation of any offer to buy any security other than the registered securities to which they relate, nor do they constitute an offer to sell or a solicitation of an offer to buy any securities in any jurisdiction to any person to whom it is unlawful to make such an offer or solicitation in such jurisdiction. The information contained in this prospectus and any such supplements is accurate as of the dates on their covers. Our business, financial condition, results of operations and prospects may have changed since then. We will update these documents to reflect material changes only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216535</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80" w:type="dxa"/>
            <w:vAlign w:val="bottom"/>
            <w:gridSpan w:val="6"/>
          </w:tcPr>
          <w:p>
            <w:pPr>
              <w:ind w:left="22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20"/>
                <w:szCs w:val="20"/>
                <w:color w:val="auto"/>
              </w:rPr>
            </w:pPr>
          </w:p>
        </w:tc>
      </w:tr>
      <w:tr>
        <w:trPr>
          <w:trHeight w:val="419"/>
        </w:trPr>
        <w:tc>
          <w:tcPr>
            <w:tcW w:w="224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ABOUT THIS PROSPECTUS</w:t>
              </w:r>
            </w:hyperlink>
          </w:p>
        </w:tc>
        <w:tc>
          <w:tcPr>
            <w:tcW w:w="6680" w:type="dxa"/>
            <w:vAlign w:val="bottom"/>
            <w:gridSpan w:val="19"/>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SUMMARY</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THE OFFERING</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80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21">
              <w:r>
                <w:rPr>
                  <w:rFonts w:ascii="Arial" w:cs="Arial" w:eastAsia="Arial" w:hAnsi="Arial"/>
                  <w:sz w:val="18"/>
                  <w:szCs w:val="18"/>
                  <w:color w:val="0000EE"/>
                  <w:w w:val="92"/>
                </w:rPr>
                <w:t>FEES AND EXPENSES</w:t>
              </w:r>
            </w:hyperlink>
          </w:p>
        </w:tc>
        <w:tc>
          <w:tcPr>
            <w:tcW w:w="7120" w:type="dxa"/>
            <w:vAlign w:val="bottom"/>
            <w:gridSpan w:val="21"/>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4800" w:type="dxa"/>
            <w:vAlign w:val="bottom"/>
            <w:tcBorders>
              <w:bottom w:val="single" w:sz="8" w:color="0000EE"/>
            </w:tcBorders>
            <w:gridSpan w:val="25"/>
          </w:tcPr>
          <w:p>
            <w:pPr>
              <w:spacing w:after="0" w:line="196" w:lineRule="exact"/>
              <w:rPr>
                <w:rFonts w:ascii="Arial" w:cs="Arial" w:eastAsia="Arial" w:hAnsi="Arial"/>
                <w:sz w:val="18"/>
                <w:szCs w:val="18"/>
                <w:color w:val="0000EE"/>
                <w:w w:val="97"/>
              </w:rPr>
            </w:pPr>
            <w:hyperlink w:anchor="page24">
              <w:r>
                <w:rPr>
                  <w:rFonts w:ascii="Arial" w:cs="Arial" w:eastAsia="Arial" w:hAnsi="Arial"/>
                  <w:sz w:val="18"/>
                  <w:szCs w:val="18"/>
                  <w:color w:val="0000EE"/>
                  <w:w w:val="97"/>
                </w:rPr>
                <w:t>SELECTED FINANCIAL DATA AND OTHER INFORMATION</w:t>
              </w:r>
            </w:hyperlink>
          </w:p>
        </w:tc>
        <w:tc>
          <w:tcPr>
            <w:tcW w:w="4120" w:type="dxa"/>
            <w:vAlign w:val="bottom"/>
            <w:gridSpan w:val="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3540" w:type="dxa"/>
            <w:vAlign w:val="bottom"/>
            <w:tcBorders>
              <w:bottom w:val="single" w:sz="8" w:color="0000EE"/>
            </w:tcBorders>
            <w:gridSpan w:val="19"/>
          </w:tcPr>
          <w:p>
            <w:pPr>
              <w:spacing w:after="0" w:line="196" w:lineRule="exact"/>
              <w:rPr>
                <w:rFonts w:ascii="Arial" w:cs="Arial" w:eastAsia="Arial" w:hAnsi="Arial"/>
                <w:sz w:val="18"/>
                <w:szCs w:val="18"/>
                <w:color w:val="0000EE"/>
                <w:w w:val="97"/>
              </w:rPr>
            </w:pPr>
            <w:hyperlink w:anchor="page26">
              <w:r>
                <w:rPr>
                  <w:rFonts w:ascii="Arial" w:cs="Arial" w:eastAsia="Arial" w:hAnsi="Arial"/>
                  <w:sz w:val="18"/>
                  <w:szCs w:val="18"/>
                  <w:color w:val="0000EE"/>
                  <w:w w:val="97"/>
                </w:rPr>
                <w:t>SELECTED QUARTERLY FINANCIAL DATA</w:t>
              </w:r>
            </w:hyperlink>
          </w:p>
        </w:tc>
        <w:tc>
          <w:tcPr>
            <w:tcW w:w="5380" w:type="dxa"/>
            <w:vAlign w:val="bottom"/>
            <w:gridSpan w:val="11"/>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28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27">
              <w:r>
                <w:rPr>
                  <w:rFonts w:ascii="Arial" w:cs="Arial" w:eastAsia="Arial" w:hAnsi="Arial"/>
                  <w:sz w:val="18"/>
                  <w:szCs w:val="18"/>
                  <w:color w:val="0000EE"/>
                  <w:w w:val="93"/>
                </w:rPr>
                <w:t>RISK FACTORS</w:t>
              </w:r>
            </w:hyperlink>
          </w:p>
        </w:tc>
        <w:tc>
          <w:tcPr>
            <w:tcW w:w="7640" w:type="dxa"/>
            <w:vAlign w:val="bottom"/>
            <w:gridSpan w:val="2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SPECIAL NOTE REGARDING FORWARD-LOOKING STATEMENTS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534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USE OF PROCEEDS</w:t>
              </w:r>
            </w:hyperlink>
          </w:p>
        </w:tc>
        <w:tc>
          <w:tcPr>
            <w:tcW w:w="3580" w:type="dxa"/>
            <w:vAlign w:val="bottom"/>
            <w:gridSpan w:val="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PRICE RANGE OF COMMON STOCK AND DISTRIBUTIONS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tcBorders>
              <w:bottom w:val="single" w:sz="8" w:color="0000EE"/>
            </w:tcBorders>
            <w:gridSpan w:val="30"/>
          </w:tcPr>
          <w:p>
            <w:pPr>
              <w:spacing w:after="0" w:line="196" w:lineRule="exact"/>
              <w:rPr>
                <w:rFonts w:ascii="Arial" w:cs="Arial" w:eastAsia="Arial" w:hAnsi="Arial"/>
                <w:sz w:val="18"/>
                <w:szCs w:val="18"/>
                <w:color w:val="0000EE"/>
                <w:w w:val="97"/>
              </w:rPr>
            </w:pPr>
            <w:hyperlink w:anchor="page60">
              <w:r>
                <w:rPr>
                  <w:rFonts w:ascii="Arial" w:cs="Arial" w:eastAsia="Arial" w:hAnsi="Arial"/>
                  <w:sz w:val="18"/>
                  <w:szCs w:val="18"/>
                  <w:color w:val="0000EE"/>
                  <w:w w:val="97"/>
                </w:rPr>
                <w:t>MANAGEMENT’S DISCUSSION AND ANALYSIS OF FINANCIAL CONDITION AND RESULTS OF OPERATIONS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SENIOR SECURITIES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17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THE COMPANY</w:t>
              </w:r>
            </w:hyperlink>
          </w:p>
        </w:tc>
        <w:tc>
          <w:tcPr>
            <w:tcW w:w="7200" w:type="dxa"/>
            <w:vAlign w:val="bottom"/>
            <w:gridSpan w:val="2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110">
              <w:r>
                <w:rPr>
                  <w:rFonts w:ascii="Arial" w:cs="Arial" w:eastAsia="Arial" w:hAnsi="Arial"/>
                  <w:sz w:val="18"/>
                  <w:szCs w:val="18"/>
                  <w:color w:val="0000EE"/>
                  <w:w w:val="93"/>
                </w:rPr>
                <w:t>PORTFOLIO COMPANIES</w:t>
              </w:r>
            </w:hyperlink>
          </w:p>
        </w:tc>
        <w:tc>
          <w:tcPr>
            <w:tcW w:w="6860" w:type="dxa"/>
            <w:vAlign w:val="bottom"/>
            <w:gridSpan w:val="20"/>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MANAGEMENT</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MANAGEMENT AND OTHER AGREEMENTS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5500" w:type="dxa"/>
            <w:vAlign w:val="bottom"/>
            <w:tcBorders>
              <w:bottom w:val="single" w:sz="8" w:color="0000EE"/>
            </w:tcBorders>
            <w:gridSpan w:val="28"/>
          </w:tcPr>
          <w:p>
            <w:pPr>
              <w:spacing w:after="0" w:line="196" w:lineRule="exact"/>
              <w:rPr>
                <w:rFonts w:ascii="Arial" w:cs="Arial" w:eastAsia="Arial" w:hAnsi="Arial"/>
                <w:sz w:val="18"/>
                <w:szCs w:val="18"/>
                <w:color w:val="0000EE"/>
                <w:w w:val="95"/>
              </w:rPr>
            </w:pPr>
            <w:hyperlink w:anchor="page136">
              <w:r>
                <w:rPr>
                  <w:rFonts w:ascii="Arial" w:cs="Arial" w:eastAsia="Arial" w:hAnsi="Arial"/>
                  <w:sz w:val="18"/>
                  <w:szCs w:val="18"/>
                  <w:color w:val="0000EE"/>
                  <w:w w:val="95"/>
                </w:rPr>
                <w:t>RELATED-PARTY TRANSACTIONS AND CERTAIN RELATIONSHIPS</w:t>
              </w:r>
            </w:hyperlink>
          </w:p>
        </w:tc>
        <w:tc>
          <w:tcPr>
            <w:tcW w:w="3420" w:type="dxa"/>
            <w:vAlign w:val="bottom"/>
            <w:gridSpan w:val="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CONTROL PERSONS AND PRINCIPAL STOCKHOLDERS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r>
      <w:tr>
        <w:trPr>
          <w:trHeight w:val="196"/>
        </w:trPr>
        <w:tc>
          <w:tcPr>
            <w:tcW w:w="338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6"/>
              </w:rPr>
            </w:pPr>
            <w:hyperlink w:anchor="page144">
              <w:r>
                <w:rPr>
                  <w:rFonts w:ascii="Arial" w:cs="Arial" w:eastAsia="Arial" w:hAnsi="Arial"/>
                  <w:sz w:val="18"/>
                  <w:szCs w:val="18"/>
                  <w:color w:val="0000EE"/>
                  <w:w w:val="96"/>
                </w:rPr>
                <w:t>DETERMINATION OF NET ASSET VALUE</w:t>
              </w:r>
            </w:hyperlink>
          </w:p>
        </w:tc>
        <w:tc>
          <w:tcPr>
            <w:tcW w:w="1160" w:type="dxa"/>
            <w:vAlign w:val="bottom"/>
            <w:tcBorders>
              <w:top w:val="single" w:sz="8" w:color="0000EE"/>
            </w:tcBorders>
            <w:gridSpan w:val="7"/>
          </w:tcPr>
          <w:p>
            <w:pPr>
              <w:spacing w:after="0"/>
              <w:rPr>
                <w:sz w:val="17"/>
                <w:szCs w:val="17"/>
                <w:color w:val="auto"/>
              </w:rPr>
            </w:pPr>
          </w:p>
        </w:tc>
        <w:tc>
          <w:tcPr>
            <w:tcW w:w="4380" w:type="dxa"/>
            <w:vAlign w:val="bottom"/>
            <w:gridSpan w:val="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138</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DIVIDEND REINVESTMENT PLAN</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139</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26"/>
          </w:tcPr>
          <w:p>
            <w:pPr>
              <w:spacing w:after="0" w:line="196" w:lineRule="exact"/>
              <w:rPr>
                <w:rFonts w:ascii="Arial" w:cs="Arial" w:eastAsia="Arial" w:hAnsi="Arial"/>
                <w:sz w:val="18"/>
                <w:szCs w:val="18"/>
                <w:color w:val="0000EE"/>
                <w:w w:val="96"/>
              </w:rPr>
            </w:pPr>
            <w:hyperlink w:anchor="page147">
              <w:r>
                <w:rPr>
                  <w:rFonts w:ascii="Arial" w:cs="Arial" w:eastAsia="Arial" w:hAnsi="Arial"/>
                  <w:sz w:val="18"/>
                  <w:szCs w:val="18"/>
                  <w:color w:val="0000EE"/>
                  <w:w w:val="96"/>
                </w:rPr>
                <w:t>MATERIAL U.S. FEDERAL INCOME TAX CONSIDERATIONS</w:t>
              </w:r>
            </w:hyperlink>
          </w:p>
        </w:tc>
        <w:tc>
          <w:tcPr>
            <w:tcW w:w="4040" w:type="dxa"/>
            <w:vAlign w:val="bottom"/>
            <w:gridSpan w:val="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141</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DESCRIPTION OF OUR SECURITIES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DESCRIPTION OF OUR CAPITAL STOCK</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64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w:anchor="page160">
              <w:r>
                <w:rPr>
                  <w:rFonts w:ascii="Arial" w:cs="Arial" w:eastAsia="Arial" w:hAnsi="Arial"/>
                  <w:sz w:val="18"/>
                  <w:szCs w:val="18"/>
                  <w:color w:val="0000EE"/>
                  <w:w w:val="94"/>
                </w:rPr>
                <w:t>DESCRIPTION OF OUR PREFERRED STOCK</w:t>
              </w:r>
            </w:hyperlink>
          </w:p>
        </w:tc>
        <w:tc>
          <w:tcPr>
            <w:tcW w:w="5280" w:type="dxa"/>
            <w:vAlign w:val="bottom"/>
            <w:gridSpan w:val="10"/>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154</w:t>
            </w:r>
          </w:p>
        </w:tc>
      </w:tr>
      <w:tr>
        <w:trPr>
          <w:trHeight w:val="196"/>
        </w:trPr>
        <w:tc>
          <w:tcPr>
            <w:tcW w:w="390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w:anchor="page161">
              <w:r>
                <w:rPr>
                  <w:rFonts w:ascii="Arial" w:cs="Arial" w:eastAsia="Arial" w:hAnsi="Arial"/>
                  <w:sz w:val="18"/>
                  <w:szCs w:val="18"/>
                  <w:color w:val="0000EE"/>
                  <w:w w:val="94"/>
                </w:rPr>
                <w:t>DESCRIPTION OF OUR SUBSCRIPTION RIGHTS</w:t>
              </w:r>
            </w:hyperlink>
          </w:p>
        </w:tc>
        <w:tc>
          <w:tcPr>
            <w:tcW w:w="5020" w:type="dxa"/>
            <w:vAlign w:val="bottom"/>
            <w:gridSpan w:val="9"/>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155</w:t>
            </w:r>
          </w:p>
        </w:tc>
      </w:tr>
      <w:tr>
        <w:trPr>
          <w:trHeight w:val="196"/>
        </w:trPr>
        <w:tc>
          <w:tcPr>
            <w:tcW w:w="294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w:anchor="page163">
              <w:r>
                <w:rPr>
                  <w:rFonts w:ascii="Arial" w:cs="Arial" w:eastAsia="Arial" w:hAnsi="Arial"/>
                  <w:sz w:val="18"/>
                  <w:szCs w:val="18"/>
                  <w:color w:val="0000EE"/>
                  <w:w w:val="94"/>
                </w:rPr>
                <w:t>DESCRIPTION OF OUR WARRANTS</w:t>
              </w:r>
            </w:hyperlink>
          </w:p>
        </w:tc>
        <w:tc>
          <w:tcPr>
            <w:tcW w:w="5980" w:type="dxa"/>
            <w:vAlign w:val="bottom"/>
            <w:gridSpan w:val="1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157</w:t>
            </w:r>
          </w:p>
        </w:tc>
      </w:tr>
      <w:tr>
        <w:trPr>
          <w:trHeight w:val="196"/>
        </w:trPr>
        <w:tc>
          <w:tcPr>
            <w:tcW w:w="346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w:anchor="page165">
              <w:r>
                <w:rPr>
                  <w:rFonts w:ascii="Arial" w:cs="Arial" w:eastAsia="Arial" w:hAnsi="Arial"/>
                  <w:sz w:val="18"/>
                  <w:szCs w:val="18"/>
                  <w:color w:val="0000EE"/>
                  <w:w w:val="94"/>
                </w:rPr>
                <w:t>DESCRIPTION OF OUR DEBT SECURITIES</w:t>
              </w:r>
            </w:hyperlink>
          </w:p>
        </w:tc>
        <w:tc>
          <w:tcPr>
            <w:tcW w:w="5460" w:type="dxa"/>
            <w:vAlign w:val="bottom"/>
            <w:gridSpan w:val="1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159</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SHARES ELIGIBLE FOR FUTURE SALE</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171</w:t>
            </w:r>
          </w:p>
        </w:tc>
      </w:tr>
      <w:tr>
        <w:trPr>
          <w:trHeight w:val="196"/>
        </w:trPr>
        <w:tc>
          <w:tcPr>
            <w:tcW w:w="31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REGULATION</w:t>
              </w:r>
            </w:hyperlink>
          </w:p>
        </w:tc>
        <w:tc>
          <w:tcPr>
            <w:tcW w:w="5740" w:type="dxa"/>
            <w:vAlign w:val="bottom"/>
            <w:gridSpan w:val="1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172</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10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84">
              <w:r>
                <w:rPr>
                  <w:rFonts w:ascii="Arial" w:cs="Arial" w:eastAsia="Arial" w:hAnsi="Arial"/>
                  <w:sz w:val="18"/>
                  <w:szCs w:val="18"/>
                  <w:color w:val="0000EE"/>
                </w:rPr>
                <w:t>CUSTODIAN, TRANSFER AND DIVIDEND PAYING AGENT AND REGISTRAR</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178</w:t>
            </w:r>
          </w:p>
        </w:tc>
      </w:tr>
      <w:tr>
        <w:trPr>
          <w:trHeight w:val="196"/>
        </w:trPr>
        <w:tc>
          <w:tcPr>
            <w:tcW w:w="624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184">
              <w:r>
                <w:rPr>
                  <w:rFonts w:ascii="Arial" w:cs="Arial" w:eastAsia="Arial" w:hAnsi="Arial"/>
                  <w:sz w:val="18"/>
                  <w:szCs w:val="18"/>
                  <w:color w:val="0000EE"/>
                </w:rPr>
                <w:t>BROKERAGE ALLOCATION AND OTHER PRACTICES</w:t>
              </w:r>
            </w:hyperlink>
          </w:p>
        </w:tc>
        <w:tc>
          <w:tcPr>
            <w:tcW w:w="2680" w:type="dxa"/>
            <w:vAlign w:val="bottom"/>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178</w:t>
            </w:r>
          </w:p>
        </w:tc>
      </w:tr>
      <w:tr>
        <w:trPr>
          <w:trHeight w:val="196"/>
        </w:trPr>
        <w:tc>
          <w:tcPr>
            <w:tcW w:w="20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7"/>
              </w:rPr>
            </w:pPr>
            <w:hyperlink w:anchor="page185">
              <w:r>
                <w:rPr>
                  <w:rFonts w:ascii="Arial" w:cs="Arial" w:eastAsia="Arial" w:hAnsi="Arial"/>
                  <w:sz w:val="18"/>
                  <w:szCs w:val="18"/>
                  <w:color w:val="0000EE"/>
                  <w:w w:val="97"/>
                </w:rPr>
                <w:t>PLAN OF DISTRIBUTION</w:t>
              </w:r>
            </w:hyperlink>
          </w:p>
        </w:tc>
        <w:tc>
          <w:tcPr>
            <w:tcW w:w="2320" w:type="dxa"/>
            <w:vAlign w:val="bottom"/>
            <w:tcBorders>
              <w:top w:val="single" w:sz="8" w:color="0000EE"/>
            </w:tcBorders>
            <w:gridSpan w:val="12"/>
          </w:tcPr>
          <w:p>
            <w:pPr>
              <w:spacing w:after="0"/>
              <w:rPr>
                <w:sz w:val="17"/>
                <w:szCs w:val="17"/>
                <w:color w:val="auto"/>
              </w:rPr>
            </w:pPr>
          </w:p>
        </w:tc>
        <w:tc>
          <w:tcPr>
            <w:tcW w:w="4540" w:type="dxa"/>
            <w:vAlign w:val="bottom"/>
            <w:gridSpan w:val="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179</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87">
              <w:r>
                <w:rPr>
                  <w:rFonts w:ascii="Arial" w:cs="Arial" w:eastAsia="Arial" w:hAnsi="Arial"/>
                  <w:sz w:val="18"/>
                  <w:szCs w:val="18"/>
                  <w:color w:val="0000EE"/>
                </w:rPr>
                <w:t>LEGAL MATTERS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181</w:t>
            </w: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187">
              <w:r>
                <w:rPr>
                  <w:rFonts w:ascii="Arial" w:cs="Arial" w:eastAsia="Arial" w:hAnsi="Arial"/>
                  <w:sz w:val="18"/>
                  <w:szCs w:val="18"/>
                  <w:color w:val="0000EE"/>
                  <w:w w:val="90"/>
                </w:rPr>
                <w:t>EXPERTS</w:t>
              </w:r>
            </w:hyperlink>
          </w:p>
        </w:tc>
        <w:tc>
          <w:tcPr>
            <w:tcW w:w="680" w:type="dxa"/>
            <w:vAlign w:val="bottom"/>
            <w:tcBorders>
              <w:top w:val="single" w:sz="8" w:color="0000EE"/>
            </w:tcBorders>
            <w:gridSpan w:val="5"/>
          </w:tcPr>
          <w:p>
            <w:pPr>
              <w:spacing w:after="0"/>
              <w:rPr>
                <w:sz w:val="17"/>
                <w:szCs w:val="17"/>
                <w:color w:val="auto"/>
              </w:rPr>
            </w:pPr>
          </w:p>
        </w:tc>
        <w:tc>
          <w:tcPr>
            <w:tcW w:w="7460" w:type="dxa"/>
            <w:vAlign w:val="bottom"/>
            <w:gridSpan w:val="2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181</w:t>
            </w:r>
          </w:p>
        </w:tc>
      </w:tr>
      <w:tr>
        <w:trPr>
          <w:trHeight w:val="196"/>
        </w:trPr>
        <w:tc>
          <w:tcPr>
            <w:tcW w:w="2280" w:type="dxa"/>
            <w:vAlign w:val="bottom"/>
            <w:tcBorders>
              <w:bottom w:val="single" w:sz="8" w:color="0000EE"/>
            </w:tcBorders>
            <w:gridSpan w:val="12"/>
          </w:tcPr>
          <w:p>
            <w:pPr>
              <w:spacing w:after="0" w:line="196" w:lineRule="exact"/>
              <w:rPr>
                <w:rFonts w:ascii="Arial" w:cs="Arial" w:eastAsia="Arial" w:hAnsi="Arial"/>
                <w:sz w:val="18"/>
                <w:szCs w:val="18"/>
                <w:color w:val="0000EE"/>
                <w:w w:val="99"/>
              </w:rPr>
            </w:pPr>
            <w:hyperlink w:anchor="page187">
              <w:r>
                <w:rPr>
                  <w:rFonts w:ascii="Arial" w:cs="Arial" w:eastAsia="Arial" w:hAnsi="Arial"/>
                  <w:sz w:val="18"/>
                  <w:szCs w:val="18"/>
                  <w:color w:val="0000EE"/>
                  <w:w w:val="99"/>
                </w:rPr>
                <w:t>AVAILABLE INFORMATION</w:t>
              </w:r>
            </w:hyperlink>
          </w:p>
        </w:tc>
        <w:tc>
          <w:tcPr>
            <w:tcW w:w="6640" w:type="dxa"/>
            <w:vAlign w:val="bottom"/>
            <w:gridSpan w:val="1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181</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INDEX TO CONSOLIDATED FINANCIAL STATEMENTS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This prospectus is part of a registration statement that we have filed with the Securities and Exchange Commission, or SEC, using the “shelf” registration process. Under the shelf registration process, which constitutes a delayed offering in reliance on Rule 415 under the Securities Act of 1933, as amended, or the Securities Act, we may offer, from time to time, in one or more offerings, up to $750 million of our common stock, preferred stock, debt securities, subscription rights to purchase shares of our common stock; or warrants representing rights to purchase shares of our common stock, preferred stock or debt securities on terms to be determined at the time of the offering.</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securities may be offered at prices and on terms described in one or more supplements to this prospectus. This prospectus provides you with a general description of the offerings of securities that we may conduct pursuant to this prospectus. Each time we use this prospectus to sell securities, we will provide a prospectus supplement that will contain specific information about the terms of that offering. A prospectus supplement may also add, update or change information contained in this prospectus.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read this prospectus and any such supplements before you make an investment decision.</w:t>
      </w:r>
    </w:p>
    <w:p>
      <w:pPr>
        <w:spacing w:after="0" w:line="15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728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59728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ind w:left="200" w:right="340" w:firstLine="443"/>
        <w:spacing w:after="0" w:line="286" w:lineRule="auto"/>
        <w:rPr>
          <w:sz w:val="20"/>
          <w:szCs w:val="20"/>
          <w:color w:val="auto"/>
        </w:rPr>
      </w:pPr>
      <w:r>
        <w:rPr>
          <w:rFonts w:ascii="Arial" w:cs="Arial" w:eastAsia="Arial" w:hAnsi="Arial"/>
          <w:sz w:val="17"/>
          <w:szCs w:val="17"/>
          <w:i w:val="1"/>
          <w:iCs w:val="1"/>
          <w:color w:val="auto"/>
        </w:rPr>
        <w:t>This summary highlights some of the information in this prospectus. It is not complete and may not contain all of the information that you may want to consider. You should read this entire prospectus carefully. In particular, you should read the more detailed information set forth under “Risk Factors” and the consolidated financial statements and the related notes included elsewhere in this prospectus.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As used in the prospectus, except where the context suggests otherwise, references to:</w:t>
      </w:r>
    </w:p>
    <w:p>
      <w:pPr>
        <w:spacing w:after="0" w:line="131" w:lineRule="exact"/>
        <w:rPr>
          <w:sz w:val="20"/>
          <w:szCs w:val="20"/>
          <w:color w:val="auto"/>
        </w:rPr>
      </w:pPr>
    </w:p>
    <w:p>
      <w:pPr>
        <w:ind w:left="1060" w:hanging="323"/>
        <w:spacing w:after="0" w:line="277" w:lineRule="auto"/>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“TSL,” “TSLX,” “TPG Specialty Lending,” “we,” “us,” “our,” the “Company,” and the “Registrant” refer to TPG Specialty Lending, Inc., a Delaware corporation, and its consolidated subsidiaries;</w:t>
      </w:r>
    </w:p>
    <w:p>
      <w:pPr>
        <w:spacing w:after="0" w:line="75" w:lineRule="exact"/>
        <w:rPr>
          <w:rFonts w:ascii="Arial" w:cs="Arial" w:eastAsia="Arial" w:hAnsi="Arial"/>
          <w:sz w:val="18"/>
          <w:szCs w:val="18"/>
          <w:i w:val="1"/>
          <w:iCs w:val="1"/>
          <w:color w:val="auto"/>
        </w:rPr>
      </w:pPr>
    </w:p>
    <w:p>
      <w:pPr>
        <w:ind w:left="1060" w:right="520" w:hanging="323"/>
        <w:spacing w:after="0" w:line="277" w:lineRule="auto"/>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consolidated subsidiaries of TPG Specialty Lending, Inc. refers to TC Lending, LLC, TPG SL SPV, LLC and TSL MR, LLC, each a Delaware limited liability company;</w:t>
      </w:r>
    </w:p>
    <w:p>
      <w:pPr>
        <w:spacing w:after="0" w:line="75"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“Adviser” refers to TSL Advisers, LLC, a Delaware limited liability company;</w:t>
      </w:r>
    </w:p>
    <w:p>
      <w:pPr>
        <w:spacing w:after="0" w:line="130"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“TSSP” refers to TPG Special Situations Partners, LLC; and</w:t>
      </w:r>
    </w:p>
    <w:p>
      <w:pPr>
        <w:spacing w:after="0" w:line="130"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“TPG” refers to TPG Global, LLC and its affiliates.</w:t>
      </w:r>
    </w:p>
    <w:p>
      <w:pPr>
        <w:spacing w:after="0" w:line="225" w:lineRule="exact"/>
        <w:rPr>
          <w:sz w:val="20"/>
          <w:szCs w:val="20"/>
          <w:color w:val="auto"/>
        </w:rPr>
      </w:pPr>
    </w:p>
    <w:p>
      <w:pPr>
        <w:ind w:left="200" w:right="100" w:firstLine="443"/>
        <w:spacing w:after="0" w:line="264" w:lineRule="auto"/>
        <w:rPr>
          <w:sz w:val="20"/>
          <w:szCs w:val="20"/>
          <w:color w:val="auto"/>
        </w:rPr>
      </w:pPr>
      <w:r>
        <w:rPr>
          <w:rFonts w:ascii="Arial" w:cs="Arial" w:eastAsia="Arial" w:hAnsi="Arial"/>
          <w:sz w:val="18"/>
          <w:szCs w:val="18"/>
          <w:i w:val="1"/>
          <w:iCs w:val="1"/>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181" w:lineRule="exact"/>
        <w:rPr>
          <w:sz w:val="20"/>
          <w:szCs w:val="20"/>
          <w:color w:val="auto"/>
        </w:rPr>
      </w:pPr>
    </w:p>
    <w:p>
      <w:pPr>
        <w:ind w:left="200" w:right="60" w:firstLine="443"/>
        <w:spacing w:after="0" w:line="277" w:lineRule="auto"/>
        <w:rPr>
          <w:sz w:val="20"/>
          <w:szCs w:val="20"/>
          <w:color w:val="auto"/>
        </w:rPr>
      </w:pPr>
      <w:r>
        <w:rPr>
          <w:rFonts w:ascii="Arial" w:cs="Arial" w:eastAsia="Arial" w:hAnsi="Arial"/>
          <w:sz w:val="18"/>
          <w:szCs w:val="18"/>
          <w:i w:val="1"/>
          <w:iCs w:val="1"/>
          <w:color w:val="auto"/>
        </w:rPr>
        <w:t>Unless indicated otherwise or the context suggests otherwise, all information in this prospectus gives effect to our stock split in the form of a stock dividend on December 5, 2013.</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TPG Specialty Lending</w:t>
      </w:r>
    </w:p>
    <w:p>
      <w:pPr>
        <w:spacing w:after="0" w:line="121" w:lineRule="exact"/>
        <w:rPr>
          <w:sz w:val="20"/>
          <w:szCs w:val="20"/>
          <w:color w:val="auto"/>
        </w:rPr>
      </w:pPr>
    </w:p>
    <w:p>
      <w:pPr>
        <w:ind w:left="200" w:right="80" w:firstLine="443"/>
        <w:spacing w:after="0" w:line="270" w:lineRule="auto"/>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 through March 31, 2015, we have originated more than $3.6 billion aggregate principal amount of investments and retained approximately $2.5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March 31, 2015, our core portfolio companies, which exclude certain investments that fall outside of our typical borrower profile, had weighted average annual revenue of $126 million and weighted average annual EBITDA of $32 million.</w:t>
      </w:r>
    </w:p>
    <w:p>
      <w:pPr>
        <w:spacing w:after="0" w:line="182" w:lineRule="exact"/>
        <w:rPr>
          <w:sz w:val="20"/>
          <w:szCs w:val="20"/>
          <w:color w:val="auto"/>
        </w:rPr>
      </w:pPr>
    </w:p>
    <w:p>
      <w:pPr>
        <w:ind w:left="200" w:right="160" w:firstLine="443"/>
        <w:spacing w:after="0" w:line="342" w:lineRule="auto"/>
        <w:rPr>
          <w:sz w:val="20"/>
          <w:szCs w:val="20"/>
          <w:color w:val="auto"/>
        </w:rPr>
      </w:pPr>
      <w:r>
        <w:rPr>
          <w:rFonts w:ascii="Arial" w:cs="Arial" w:eastAsia="Arial" w:hAnsi="Arial"/>
          <w:sz w:val="16"/>
          <w:szCs w:val="16"/>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124" w:lineRule="exact"/>
        <w:rPr>
          <w:sz w:val="20"/>
          <w:szCs w:val="20"/>
          <w:color w:val="auto"/>
        </w:rPr>
      </w:pPr>
    </w:p>
    <w:p>
      <w:pPr>
        <w:ind w:left="200" w:right="40" w:firstLine="443"/>
        <w:spacing w:after="0" w:line="342" w:lineRule="auto"/>
        <w:rPr>
          <w:sz w:val="20"/>
          <w:szCs w:val="20"/>
          <w:color w:val="auto"/>
        </w:rPr>
      </w:pPr>
      <w:r>
        <w:rPr>
          <w:rFonts w:ascii="Arial" w:cs="Arial" w:eastAsia="Arial" w:hAnsi="Arial"/>
          <w:sz w:val="16"/>
          <w:szCs w:val="16"/>
          <w:color w:val="auto"/>
        </w:rPr>
        <w:t>In conducting our investment activities, we believe that we benefit from the significant scale and resources of our Adviser and its affiliates. We have operated our business as a BDC since we began our investment activities in July 2011, and we are currently one of the largest BDCs by total assets.</w:t>
      </w:r>
    </w:p>
    <w:p>
      <w:pPr>
        <w:spacing w:after="0" w:line="2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553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56553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 Portfolio</w:t>
      </w:r>
    </w:p>
    <w:p>
      <w:pPr>
        <w:spacing w:after="0" w:line="121" w:lineRule="exact"/>
        <w:rPr>
          <w:sz w:val="20"/>
          <w:szCs w:val="20"/>
          <w:color w:val="auto"/>
        </w:rPr>
      </w:pPr>
    </w:p>
    <w:p>
      <w:pPr>
        <w:ind w:left="200" w:right="100" w:firstLine="443"/>
        <w:spacing w:after="0" w:line="290"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We invest in first-lien debt, second-lien debt, mezzanine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As of March 31, 2015, based on fair value, our portfolio consisted of 90.1% first-lien debt investments, 7.8% second-lien debt investments, 1.0% mezzanine debt investments and 1.1% equity and other investments. Approximately 96.5% of our debt investments as of March 31, 2015 are floating rate in nature, subject to interest rate floors, which we believe helps act as a portfolio-wide hedge against inflation.</w:t>
      </w:r>
    </w:p>
    <w:p>
      <w:pPr>
        <w:spacing w:after="0" w:line="166" w:lineRule="exact"/>
        <w:rPr>
          <w:sz w:val="20"/>
          <w:szCs w:val="20"/>
          <w:color w:val="auto"/>
        </w:rPr>
      </w:pPr>
    </w:p>
    <w:p>
      <w:pPr>
        <w:ind w:left="200" w:right="20" w:firstLine="443"/>
        <w:spacing w:after="0" w:line="259" w:lineRule="auto"/>
        <w:rPr>
          <w:sz w:val="20"/>
          <w:szCs w:val="20"/>
          <w:color w:val="auto"/>
        </w:rPr>
      </w:pPr>
      <w:r>
        <w:rPr>
          <w:rFonts w:ascii="Arial" w:cs="Arial" w:eastAsia="Arial" w:hAnsi="Arial"/>
          <w:sz w:val="18"/>
          <w:szCs w:val="18"/>
          <w:color w:val="auto"/>
        </w:rPr>
        <w:t>As of March 31, 2015, we had investments in 35 portfolio companies with an aggregate fair value of $1,331.0 million. For the three months ended March 31, 2015, we made new investment commitments of $137.8 million, $101.0 million in three new portfolio companies and $36.8 million in three existing portfolio companies. For this period, we had $60.8 million aggregate principal amount in exits and repayments, resulting in a net portfolio increase of $71.0 million aggregate principal amount.</w:t>
      </w:r>
    </w:p>
    <w:p>
      <w:pPr>
        <w:spacing w:after="0" w:line="187"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As of December 31, 2014, we had investments in 34 portfolio companies with an aggregate fair value of $1,263.5 million. For the year ended December 31, 2014, we made new investment commitments of $884.4 million, $805.7 million in 20 new portfolio companies and $78.7 million in seven existing portfolio companies. For this period, we had $518.4 million aggregate principal amount in exits and repayments, resulting in a net portfolio increase of $295.5 million aggregate principal amount.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expect that no single investment will represent more than 15% of our total investment portfolio, based on fair value.</w:t>
      </w:r>
    </w:p>
    <w:p>
      <w:pPr>
        <w:spacing w:after="0" w:line="225" w:lineRule="exact"/>
        <w:rPr>
          <w:sz w:val="20"/>
          <w:szCs w:val="20"/>
          <w:color w:val="auto"/>
        </w:rPr>
      </w:pPr>
    </w:p>
    <w:p>
      <w:pPr>
        <w:jc w:val="both"/>
        <w:ind w:left="200" w:firstLine="443"/>
        <w:spacing w:after="0" w:line="264" w:lineRule="auto"/>
        <w:rPr>
          <w:sz w:val="20"/>
          <w:szCs w:val="20"/>
          <w:color w:val="auto"/>
        </w:rPr>
      </w:pPr>
      <w:r>
        <w:rPr>
          <w:rFonts w:ascii="Arial" w:cs="Arial" w:eastAsia="Arial" w:hAnsi="Arial"/>
          <w:sz w:val="18"/>
          <w:szCs w:val="18"/>
          <w:color w:val="auto"/>
        </w:rPr>
        <w:t>As of March 31, 2015, our portfolio was invested across 18 different industries. The largest industries in our portfolio, as of March 31, 2015, were healthcare and pharmaceuticals, business services, and financial services, which represented, as a percentage of our portfolio, 16.2%, 10.5%, and 10.3%, respectively.</w:t>
      </w:r>
    </w:p>
    <w:p>
      <w:pPr>
        <w:spacing w:after="0" w:line="181" w:lineRule="exact"/>
        <w:rPr>
          <w:sz w:val="20"/>
          <w:szCs w:val="20"/>
          <w:color w:val="auto"/>
        </w:rPr>
      </w:pPr>
    </w:p>
    <w:p>
      <w:pPr>
        <w:ind w:left="200" w:firstLine="443"/>
        <w:spacing w:after="0" w:line="276" w:lineRule="auto"/>
        <w:rPr>
          <w:sz w:val="20"/>
          <w:szCs w:val="20"/>
          <w:color w:val="auto"/>
        </w:rPr>
      </w:pPr>
      <w:r>
        <w:rPr>
          <w:rFonts w:ascii="Arial" w:cs="Arial" w:eastAsia="Arial" w:hAnsi="Arial"/>
          <w:sz w:val="17"/>
          <w:szCs w:val="17"/>
          <w:color w:val="auto"/>
        </w:rPr>
        <w:t>Since we began investing in 2011, through March 31, 2015, our exited investments have resulted in an aggregate cash flow realized gross internal rate of return to us of approximately 16.3% (based on cash invested of $904.0 million and total proceeds from these exited investments of approximately $1,073.4 million). Eighty seven percent of these exited investments resulted in an aggregate cash flow realized gross internal rate of return to us of 10% or greater. For a description of how we calculate gross internal rates of return, see “Management’s Discussion and Analysis of Financial Condition and Results of Operations—Results of Operations—Aggregate Cash Flow Realized Gross Internal Rate of Return.”</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Structure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TPG Specialty Lending, Inc. is a Delaware corporation formed on July 21, 2010. TSL Advisers, LLC is our external manager.</w:t>
      </w:r>
    </w:p>
    <w:p>
      <w:pPr>
        <w:spacing w:after="0" w:line="225" w:lineRule="exact"/>
        <w:rPr>
          <w:sz w:val="20"/>
          <w:szCs w:val="20"/>
          <w:color w:val="auto"/>
        </w:rPr>
      </w:pPr>
    </w:p>
    <w:p>
      <w:pPr>
        <w:ind w:left="200" w:right="40" w:firstLine="443"/>
        <w:spacing w:after="0" w:line="264"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for more information on these requirements.</w:t>
      </w: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302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59302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Our Adviser</w:t>
      </w:r>
    </w:p>
    <w:p>
      <w:pPr>
        <w:spacing w:after="0" w:line="121" w:lineRule="exact"/>
        <w:rPr>
          <w:sz w:val="20"/>
          <w:szCs w:val="20"/>
          <w:color w:val="auto"/>
        </w:rPr>
      </w:pPr>
    </w:p>
    <w:p>
      <w:pPr>
        <w:ind w:left="200" w:right="140" w:firstLine="443"/>
        <w:spacing w:after="0" w:line="277"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70" w:lineRule="exact"/>
        <w:rPr>
          <w:sz w:val="20"/>
          <w:szCs w:val="20"/>
          <w:color w:val="auto"/>
        </w:rPr>
      </w:pPr>
    </w:p>
    <w:p>
      <w:pPr>
        <w:jc w:val="both"/>
        <w:ind w:left="200" w:firstLine="443"/>
        <w:spacing w:after="0" w:line="255" w:lineRule="auto"/>
        <w:rPr>
          <w:sz w:val="20"/>
          <w:szCs w:val="20"/>
          <w:color w:val="auto"/>
        </w:rPr>
      </w:pPr>
      <w:r>
        <w:rPr>
          <w:rFonts w:ascii="Arial" w:cs="Arial" w:eastAsia="Arial" w:hAnsi="Arial"/>
          <w:sz w:val="18"/>
          <w:szCs w:val="18"/>
          <w:color w:val="auto"/>
        </w:rPr>
        <w:t>Our Adviser sources and manages our portfolio through our Investment Team, a dedicated team of investment professionals predominately focused on us. Our Investment Team is led by our Chairman and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our Adviser and TSSP. The members of our Investment Review Committee are Joshua Easterly, Michael Fishman, Alan Waxman and David Stiepleman.</w:t>
      </w:r>
    </w:p>
    <w:p>
      <w:pPr>
        <w:spacing w:after="0" w:line="193" w:lineRule="exact"/>
        <w:rPr>
          <w:sz w:val="20"/>
          <w:szCs w:val="20"/>
          <w:color w:val="auto"/>
        </w:rPr>
      </w:pPr>
    </w:p>
    <w:p>
      <w:pPr>
        <w:ind w:left="200" w:right="20" w:firstLine="443"/>
        <w:spacing w:after="0" w:line="291" w:lineRule="auto"/>
        <w:rPr>
          <w:sz w:val="20"/>
          <w:szCs w:val="20"/>
          <w:color w:val="auto"/>
        </w:rPr>
      </w:pPr>
      <w:r>
        <w:rPr>
          <w:rFonts w:ascii="Arial" w:cs="Arial" w:eastAsia="Arial" w:hAnsi="Arial"/>
          <w:sz w:val="16"/>
          <w:szCs w:val="16"/>
          <w:color w:val="auto"/>
        </w:rPr>
        <w:t>TSSP is the special situations and credit platform of TPG and encompasses TPG Specialty Lending, Inc., TPG Opportunities Partners and TSSP Adjacent Opportunities Partners, which invest in special situations and distressed investments across the credit cycle, Austin Credit Macro, which is focused on macro credit opportunities, TSL Europe, which is aimed at European middle-market loan originations, and TPG Institutional Credit Partners, which is a “public-side” credit investment platform focused on investment opportunities in the broadly syndicated leveraged loan markets. TSSP had over $11 billion of assets under management as of March 31, 2015. TSSP has extensive experience with highly complex, global public and private investments executed through primary originations, secondary market purchases and restructurings, and has a team of over 100 investment and operating professionals as of March 31, 2015. Twenty six of these personnel are dedicated to our business, including 19 investment professionals.</w:t>
      </w:r>
    </w:p>
    <w:p>
      <w:pPr>
        <w:spacing w:after="0" w:line="167" w:lineRule="exact"/>
        <w:rPr>
          <w:sz w:val="20"/>
          <w:szCs w:val="20"/>
          <w:color w:val="auto"/>
        </w:rPr>
      </w:pPr>
    </w:p>
    <w:p>
      <w:pPr>
        <w:ind w:left="200" w:right="20" w:firstLine="443"/>
        <w:spacing w:after="0" w:line="290" w:lineRule="auto"/>
        <w:rPr>
          <w:sz w:val="20"/>
          <w:szCs w:val="20"/>
          <w:color w:val="auto"/>
        </w:rPr>
      </w:pPr>
      <w:r>
        <w:rPr>
          <w:rFonts w:ascii="Arial" w:cs="Arial" w:eastAsia="Arial" w:hAnsi="Arial"/>
          <w:sz w:val="16"/>
          <w:szCs w:val="16"/>
          <w:color w:val="auto"/>
        </w:rPr>
        <w:t>TPG is a leading global private investment firm founded in 1992 with $67 billion of assets under management as of March 31, 2015, and offices in San Francisco, Fort Worth,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400 professionals.</w:t>
      </w:r>
    </w:p>
    <w:p>
      <w:pPr>
        <w:spacing w:after="0" w:line="166" w:lineRule="exact"/>
        <w:rPr>
          <w:sz w:val="20"/>
          <w:szCs w:val="20"/>
          <w:color w:val="auto"/>
        </w:rPr>
      </w:pPr>
    </w:p>
    <w:p>
      <w:pPr>
        <w:jc w:val="both"/>
        <w:ind w:left="200" w:right="180" w:firstLine="443"/>
        <w:spacing w:after="0" w:line="259"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200" w:right="460" w:firstLine="443"/>
        <w:spacing w:after="0" w:line="308" w:lineRule="auto"/>
        <w:rPr>
          <w:sz w:val="20"/>
          <w:szCs w:val="20"/>
          <w:color w:val="auto"/>
        </w:rPr>
      </w:pPr>
      <w:r>
        <w:rPr>
          <w:rFonts w:ascii="Arial" w:cs="Arial" w:eastAsia="Arial" w:hAnsi="Arial"/>
          <w:sz w:val="17"/>
          <w:szCs w:val="17"/>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147" w:lineRule="exact"/>
        <w:rPr>
          <w:sz w:val="20"/>
          <w:szCs w:val="20"/>
          <w:color w:val="auto"/>
        </w:rPr>
      </w:pPr>
    </w:p>
    <w:p>
      <w:pPr>
        <w:ind w:left="200" w:right="160" w:firstLine="443"/>
        <w:spacing w:after="0" w:line="264" w:lineRule="auto"/>
        <w:rPr>
          <w:sz w:val="20"/>
          <w:szCs w:val="20"/>
          <w:color w:val="auto"/>
        </w:rPr>
      </w:pPr>
      <w:r>
        <w:rPr>
          <w:rFonts w:ascii="Arial" w:cs="Arial" w:eastAsia="Arial" w:hAnsi="Arial"/>
          <w:sz w:val="18"/>
          <w:szCs w:val="18"/>
          <w:i w:val="1"/>
          <w:iCs w:val="1"/>
          <w:color w:val="auto"/>
        </w:rPr>
        <w:t>Limited availability of capital for middle-market companies</w:t>
      </w:r>
      <w:r>
        <w:rPr>
          <w:rFonts w:ascii="Arial" w:cs="Arial" w:eastAsia="Arial" w:hAnsi="Arial"/>
          <w:sz w:val="18"/>
          <w:szCs w:val="18"/>
          <w:color w:val="auto"/>
        </w:rPr>
        <w:t>. We believe that certain structural changes in the market have reduced the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available to middle-market companies. In particular, we believe there are currently fewer providers of capital to middle-market companies. Traditional middle-market lenders,</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98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5998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implementing regulations by the Federal Reserve, the Office of the Comptroller of the Currency and the Federal Deposit Insurance Corporation, or FDIC, will significantly increase capital and liquidity requirements for banks, decreasing their capacity to hold noninvestment grade leveraged loans on their balance sheets. Coupled with new risk retention requirements for collateralized loan vehicles, we believe these developments reduce the capacity of traditional lenders to serve this market segment and, as a result, increase the cost of borrowing for middle-market companies. Further, GE Capital, the largest non-bank lender in the U.S. middle market, recently announced its intention to sell nearly all of its assets. We believe that the exit of the largest middle market non-bank lender will likely create opportunities for the remaining non-bank lenders, including BDCs.</w:t>
      </w:r>
    </w:p>
    <w:p>
      <w:pPr>
        <w:spacing w:after="0" w:line="182" w:lineRule="exact"/>
        <w:rPr>
          <w:sz w:val="20"/>
          <w:szCs w:val="20"/>
          <w:color w:val="auto"/>
        </w:rPr>
      </w:pPr>
    </w:p>
    <w:p>
      <w:pPr>
        <w:ind w:left="200" w:right="180" w:firstLine="443"/>
        <w:spacing w:after="0" w:line="257" w:lineRule="auto"/>
        <w:rPr>
          <w:sz w:val="20"/>
          <w:szCs w:val="20"/>
          <w:color w:val="auto"/>
        </w:rPr>
      </w:pPr>
      <w:r>
        <w:rPr>
          <w:rFonts w:ascii="Arial" w:cs="Arial" w:eastAsia="Arial" w:hAnsi="Arial"/>
          <w:sz w:val="18"/>
          <w:szCs w:val="18"/>
          <w:i w:val="1"/>
          <w:iCs w:val="1"/>
          <w:color w:val="auto"/>
        </w:rPr>
        <w:t>Strong demand for debt capital</w:t>
      </w:r>
      <w:r>
        <w:rPr>
          <w:rFonts w:ascii="Arial" w:cs="Arial" w:eastAsia="Arial" w:hAnsi="Arial"/>
          <w:sz w:val="18"/>
          <w:szCs w:val="18"/>
          <w:color w:val="auto"/>
        </w:rPr>
        <w:t>. We believe middle-market companies will continue to require access to debt capital to refinance existing debt,</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growth and finance acquisitions. In addition, we believe the large amount of uninvested capital held by funds of private equity firms, estimated by Preqin Ltd., an alternative assets industry data and research company, at $1.24 trillion as of March 2015, will continue to drive deal activity. We expect that private equity firms will continue to pursue acquisitions and to seek to leverage their equity investments with secured loans provided by companies such as ours.</w:t>
      </w:r>
    </w:p>
    <w:p>
      <w:pPr>
        <w:spacing w:after="0" w:line="188" w:lineRule="exact"/>
        <w:rPr>
          <w:sz w:val="20"/>
          <w:szCs w:val="20"/>
          <w:color w:val="auto"/>
        </w:rPr>
      </w:pPr>
    </w:p>
    <w:p>
      <w:pPr>
        <w:ind w:left="200" w:right="260" w:firstLine="443"/>
        <w:spacing w:after="0" w:line="293" w:lineRule="auto"/>
        <w:rPr>
          <w:sz w:val="20"/>
          <w:szCs w:val="20"/>
          <w:color w:val="auto"/>
        </w:rPr>
      </w:pPr>
      <w:r>
        <w:rPr>
          <w:rFonts w:ascii="Arial" w:cs="Arial" w:eastAsia="Arial" w:hAnsi="Arial"/>
          <w:sz w:val="16"/>
          <w:szCs w:val="16"/>
          <w:i w:val="1"/>
          <w:iCs w:val="1"/>
          <w:color w:val="auto"/>
        </w:rPr>
        <w:t>Attractive investment dynamics</w:t>
      </w:r>
      <w:r>
        <w:rPr>
          <w:rFonts w:ascii="Arial" w:cs="Arial" w:eastAsia="Arial" w:hAnsi="Arial"/>
          <w:sz w:val="16"/>
          <w:szCs w:val="16"/>
          <w:color w:val="auto"/>
        </w:rPr>
        <w:t>. An imbalance between the supply of, and demand for, middle-market debt capital creates attractive pricing</w:t>
      </w:r>
      <w:r>
        <w:rPr>
          <w:rFonts w:ascii="Arial" w:cs="Arial" w:eastAsia="Arial" w:hAnsi="Arial"/>
          <w:sz w:val="16"/>
          <w:szCs w:val="16"/>
          <w:i w:val="1"/>
          <w:iCs w:val="1"/>
          <w:color w:val="auto"/>
        </w:rPr>
        <w:t xml:space="preserve"> </w:t>
      </w:r>
      <w:r>
        <w:rPr>
          <w:rFonts w:ascii="Arial" w:cs="Arial" w:eastAsia="Arial" w:hAnsi="Arial"/>
          <w:sz w:val="16"/>
          <w:szCs w:val="16"/>
          <w:color w:val="auto"/>
        </w:rPr>
        <w:t>dynamics. 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65"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i w:val="1"/>
          <w:iCs w:val="1"/>
          <w:color w:val="auto"/>
        </w:rPr>
        <w:t>Conservative capital structures</w:t>
      </w:r>
      <w:r>
        <w:rPr>
          <w:rFonts w:ascii="Arial" w:cs="Arial" w:eastAsia="Arial" w:hAnsi="Arial"/>
          <w:sz w:val="18"/>
          <w:szCs w:val="18"/>
          <w:color w:val="auto"/>
        </w:rPr>
        <w:t>. Following the credit crisis, which we define broadly as occurring between mid-2007 and mid-2009, borrowers</w:t>
      </w:r>
      <w:r>
        <w:rPr>
          <w:rFonts w:ascii="Arial" w:cs="Arial" w:eastAsia="Arial" w:hAnsi="Arial"/>
          <w:sz w:val="18"/>
          <w:szCs w:val="18"/>
          <w:i w:val="1"/>
          <w:iCs w:val="1"/>
          <w:color w:val="auto"/>
        </w:rPr>
        <w:t xml:space="preserve"> </w:t>
      </w:r>
      <w:r>
        <w:rPr>
          <w:rFonts w:ascii="Arial" w:cs="Arial" w:eastAsia="Arial" w:hAnsi="Arial"/>
          <w:sz w:val="18"/>
          <w:szCs w:val="18"/>
          <w:color w:val="auto"/>
        </w:rPr>
        <w:t>have 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88" w:lineRule="exact"/>
        <w:rPr>
          <w:sz w:val="20"/>
          <w:szCs w:val="20"/>
          <w:color w:val="auto"/>
        </w:rPr>
      </w:pPr>
    </w:p>
    <w:p>
      <w:pPr>
        <w:jc w:val="both"/>
        <w:ind w:left="200" w:right="20" w:firstLine="443"/>
        <w:spacing w:after="0" w:line="259" w:lineRule="auto"/>
        <w:rPr>
          <w:sz w:val="20"/>
          <w:szCs w:val="20"/>
          <w:color w:val="auto"/>
        </w:rPr>
      </w:pPr>
      <w:r>
        <w:rPr>
          <w:rFonts w:ascii="Arial" w:cs="Arial" w:eastAsia="Arial" w:hAnsi="Arial"/>
          <w:sz w:val="18"/>
          <w:szCs w:val="18"/>
          <w:i w:val="1"/>
          <w:iCs w:val="1"/>
          <w:color w:val="auto"/>
        </w:rPr>
        <w:t>Specialized lending requirements</w:t>
      </w:r>
      <w:r>
        <w:rPr>
          <w:rFonts w:ascii="Arial" w:cs="Arial" w:eastAsia="Arial" w:hAnsi="Arial"/>
          <w:sz w:val="18"/>
          <w:szCs w:val="18"/>
          <w:color w:val="auto"/>
        </w:rPr>
        <w:t>. Lending to middle-market companies requires specialized due diligence and underwriting capabilities,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ongoing monitoring. Middle-market lending also is generally more labor-intensive than lending to larger companies due to smaller investment sizes and the lack of publicly available information on these companies. We believe the experience and resources of our Adviser, TSSP and TPG position us more strongly than many capital providers to lend to middle-market companies.</w:t>
      </w:r>
    </w:p>
    <w:p>
      <w:pPr>
        <w:spacing w:after="0" w:line="187" w:lineRule="exact"/>
        <w:rPr>
          <w:sz w:val="20"/>
          <w:szCs w:val="20"/>
          <w:color w:val="auto"/>
        </w:rPr>
      </w:pPr>
    </w:p>
    <w:p>
      <w:pPr>
        <w:ind w:left="200" w:firstLine="443"/>
        <w:spacing w:after="0" w:line="312" w:lineRule="auto"/>
        <w:rPr>
          <w:sz w:val="20"/>
          <w:szCs w:val="20"/>
          <w:color w:val="auto"/>
        </w:rPr>
      </w:pPr>
      <w:r>
        <w:rPr>
          <w:rFonts w:ascii="Arial" w:cs="Arial" w:eastAsia="Arial" w:hAnsi="Arial"/>
          <w:sz w:val="16"/>
          <w:szCs w:val="16"/>
          <w:i w:val="1"/>
          <w:iCs w:val="1"/>
          <w:color w:val="auto"/>
        </w:rPr>
        <w:t>Desirability of partnering with BDCs</w:t>
      </w:r>
      <w:r>
        <w:rPr>
          <w:rFonts w:ascii="Arial" w:cs="Arial" w:eastAsia="Arial" w:hAnsi="Arial"/>
          <w:sz w:val="16"/>
          <w:szCs w:val="16"/>
          <w:color w:val="auto"/>
        </w:rPr>
        <w:t>. We believe middle-market companies see advantages in raising capital from BDCs. BDCs have the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offer attractive financing structures, including unitranche loans and “one-stop” financings and can provide a valuable combination of flexibility to develop loans that reflect each borrower’s distinct situation, long-term relationship focus and reliability as a potential source of future capital.</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Strengths and Core Competencies</w:t>
      </w:r>
    </w:p>
    <w:p>
      <w:pPr>
        <w:spacing w:after="0" w:line="121"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i w:val="1"/>
          <w:iCs w:val="1"/>
          <w:color w:val="auto"/>
        </w:rPr>
        <w:t>Leading platform and access to proprietary deal flow</w:t>
      </w:r>
      <w:r>
        <w:rPr>
          <w:rFonts w:ascii="Arial" w:cs="Arial" w:eastAsia="Arial" w:hAnsi="Arial"/>
          <w:sz w:val="18"/>
          <w:szCs w:val="18"/>
          <w:color w:val="auto"/>
        </w:rPr>
        <w:t>. The substantial majority of our investments are not intermediated and are originated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the assistance of investment banks or other traditional Wall Street</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553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56553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200"/>
        <w:spacing w:after="0" w:line="286" w:lineRule="auto"/>
        <w:rPr>
          <w:sz w:val="20"/>
          <w:szCs w:val="20"/>
          <w:color w:val="auto"/>
        </w:rPr>
      </w:pPr>
      <w:r>
        <w:rPr>
          <w:rFonts w:ascii="Arial" w:cs="Arial" w:eastAsia="Arial" w:hAnsi="Arial"/>
          <w:sz w:val="17"/>
          <w:szCs w:val="17"/>
          <w:color w:val="auto"/>
        </w:rPr>
        <w:t>sources. Our Adviser has a dedicated team of 19 investment professionals responsible for originating, underwriting, executing and managing the assets of our direct lending transactions. This team is responsible for sourcing and executing opportunities directly, while leveraging the resources and expertise of the TSSP and TPG platforms. Our Investment Team has over 160 years of collective experience as commercial dealmakers.</w:t>
      </w:r>
    </w:p>
    <w:p>
      <w:pPr>
        <w:spacing w:after="0" w:line="166" w:lineRule="exact"/>
        <w:rPr>
          <w:sz w:val="20"/>
          <w:szCs w:val="20"/>
          <w:color w:val="auto"/>
        </w:rPr>
      </w:pPr>
    </w:p>
    <w:p>
      <w:pPr>
        <w:ind w:left="200" w:right="40" w:firstLine="443"/>
        <w:spacing w:after="0" w:line="302" w:lineRule="auto"/>
        <w:rPr>
          <w:sz w:val="20"/>
          <w:szCs w:val="20"/>
          <w:color w:val="auto"/>
        </w:rPr>
      </w:pPr>
      <w:r>
        <w:rPr>
          <w:rFonts w:ascii="Arial" w:cs="Arial" w:eastAsia="Arial" w:hAnsi="Arial"/>
          <w:sz w:val="16"/>
          <w:szCs w:val="16"/>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54" w:lineRule="exact"/>
        <w:rPr>
          <w:sz w:val="20"/>
          <w:szCs w:val="20"/>
          <w:color w:val="auto"/>
        </w:rPr>
      </w:pPr>
    </w:p>
    <w:p>
      <w:pPr>
        <w:ind w:left="200" w:right="140" w:firstLine="443"/>
        <w:spacing w:after="0" w:line="264" w:lineRule="auto"/>
        <w:rPr>
          <w:sz w:val="20"/>
          <w:szCs w:val="20"/>
          <w:color w:val="auto"/>
        </w:rPr>
      </w:pPr>
      <w:r>
        <w:rPr>
          <w:rFonts w:ascii="Arial" w:cs="Arial" w:eastAsia="Arial" w:hAnsi="Arial"/>
          <w:sz w:val="18"/>
          <w:szCs w:val="18"/>
          <w:color w:val="auto"/>
        </w:rPr>
        <w:t>In addition, our Adviser draws upon the resources of TSSP and TPG in underwriting transactions, performing due diligence, managing assets and optimizing our operations as a public company. Access to TSSP and TPG resources complements our Adviser’s view of markets and provides insight into important cyclical patterns.</w:t>
      </w:r>
    </w:p>
    <w:p>
      <w:pPr>
        <w:spacing w:after="0" w:line="181" w:lineRule="exact"/>
        <w:rPr>
          <w:sz w:val="20"/>
          <w:szCs w:val="20"/>
          <w:color w:val="auto"/>
        </w:rPr>
      </w:pPr>
    </w:p>
    <w:p>
      <w:pPr>
        <w:ind w:left="200" w:right="40" w:firstLine="443"/>
        <w:spacing w:after="0" w:line="312" w:lineRule="auto"/>
        <w:rPr>
          <w:sz w:val="20"/>
          <w:szCs w:val="20"/>
          <w:color w:val="auto"/>
        </w:rPr>
      </w:pPr>
      <w:r>
        <w:rPr>
          <w:rFonts w:ascii="Arial" w:cs="Arial" w:eastAsia="Arial" w:hAnsi="Arial"/>
          <w:sz w:val="16"/>
          <w:szCs w:val="16"/>
          <w:i w:val="1"/>
          <w:iCs w:val="1"/>
          <w:color w:val="auto"/>
        </w:rPr>
        <w:t>Disciplined investment and underwriting process</w:t>
      </w:r>
      <w:r>
        <w:rPr>
          <w:rFonts w:ascii="Arial" w:cs="Arial" w:eastAsia="Arial" w:hAnsi="Arial"/>
          <w:sz w:val="16"/>
          <w:szCs w:val="16"/>
          <w:color w:val="auto"/>
        </w:rPr>
        <w:t>. Through our Adviser, we seek to achieve the highest risk-adjusted returns available as opposed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52" w:lineRule="exact"/>
        <w:rPr>
          <w:sz w:val="20"/>
          <w:szCs w:val="20"/>
          <w:color w:val="auto"/>
        </w:rPr>
      </w:pPr>
    </w:p>
    <w:p>
      <w:pPr>
        <w:ind w:left="1060" w:right="20" w:hanging="323"/>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Flexibility</w:t>
      </w:r>
      <w:r>
        <w:rPr>
          <w:rFonts w:ascii="Arial" w:cs="Arial" w:eastAsia="Arial" w:hAnsi="Arial"/>
          <w:sz w:val="18"/>
          <w:szCs w:val="18"/>
          <w:color w:val="auto"/>
        </w:rPr>
        <w:t>. Our broad middle-market focus and our Adviser’s integrated position within TSSP and TPG allow us to determine current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and identify relative value.</w:t>
      </w:r>
    </w:p>
    <w:p>
      <w:pPr>
        <w:spacing w:after="0" w:line="75" w:lineRule="exact"/>
        <w:rPr>
          <w:rFonts w:ascii="Arial" w:cs="Arial" w:eastAsia="Arial" w:hAnsi="Arial"/>
          <w:sz w:val="18"/>
          <w:szCs w:val="18"/>
          <w:color w:val="auto"/>
        </w:rPr>
      </w:pPr>
    </w:p>
    <w:p>
      <w:pPr>
        <w:ind w:left="1060" w:right="80" w:hanging="323"/>
        <w:spacing w:after="0" w:line="25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 pricing</w:t>
      </w:r>
      <w:r>
        <w:rPr>
          <w:rFonts w:ascii="Arial" w:cs="Arial" w:eastAsia="Arial" w:hAnsi="Arial"/>
          <w:sz w:val="18"/>
          <w:szCs w:val="18"/>
          <w:color w:val="auto"/>
        </w:rPr>
        <w:t>. The risk profile of our portfolio evolves across credit cycles as credit tightens and loosens. During periods when risk premiums</w:t>
      </w:r>
      <w:r>
        <w:rPr>
          <w:rFonts w:ascii="Arial" w:cs="Arial" w:eastAsia="Arial" w:hAnsi="Arial"/>
          <w:sz w:val="18"/>
          <w:szCs w:val="18"/>
          <w:i w:val="1"/>
          <w:iCs w:val="1"/>
          <w:color w:val="auto"/>
        </w:rPr>
        <w:t xml:space="preserve"> </w:t>
      </w:r>
      <w:r>
        <w:rPr>
          <w:rFonts w:ascii="Arial" w:cs="Arial" w:eastAsia="Arial" w:hAnsi="Arial"/>
          <w:sz w:val="18"/>
          <w:szCs w:val="18"/>
          <w:color w:val="auto"/>
        </w:rPr>
        <w:t>are 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93" w:lineRule="exact"/>
        <w:rPr>
          <w:rFonts w:ascii="Arial" w:cs="Arial" w:eastAsia="Arial" w:hAnsi="Arial"/>
          <w:sz w:val="18"/>
          <w:szCs w:val="18"/>
          <w:color w:val="auto"/>
        </w:rPr>
      </w:pPr>
    </w:p>
    <w:p>
      <w:pPr>
        <w:ind w:left="1060" w:right="400" w:hanging="323"/>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Disciplined four-tiered investment framework</w:t>
      </w:r>
      <w:r>
        <w:rPr>
          <w:rFonts w:ascii="Arial" w:cs="Arial" w:eastAsia="Arial" w:hAnsi="Arial"/>
          <w:sz w:val="18"/>
          <w:szCs w:val="18"/>
          <w:color w:val="auto"/>
        </w:rPr>
        <w:t>. Through our Adviser, we perform detailed company-specific analysis focusing on a four-tiered investment framework:</w:t>
      </w:r>
    </w:p>
    <w:p>
      <w:pPr>
        <w:spacing w:after="0" w:line="75" w:lineRule="exact"/>
        <w:rPr>
          <w:rFonts w:ascii="Arial" w:cs="Arial" w:eastAsia="Arial" w:hAnsi="Arial"/>
          <w:sz w:val="18"/>
          <w:szCs w:val="18"/>
          <w:color w:val="auto"/>
        </w:rPr>
      </w:pPr>
    </w:p>
    <w:p>
      <w:pPr>
        <w:ind w:left="1620" w:hanging="437"/>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business and sector selection;</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investment structuring;</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deal dynamics; and</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risk mitigation.</w:t>
      </w:r>
    </w:p>
    <w:p>
      <w:pPr>
        <w:spacing w:after="0" w:line="130" w:lineRule="exact"/>
        <w:rPr>
          <w:rFonts w:ascii="Arial" w:cs="Arial" w:eastAsia="Arial" w:hAnsi="Arial"/>
          <w:sz w:val="18"/>
          <w:szCs w:val="18"/>
          <w:color w:val="auto"/>
        </w:rPr>
      </w:pPr>
    </w:p>
    <w:p>
      <w:pPr>
        <w:ind w:left="1060" w:right="220" w:hanging="323"/>
        <w:spacing w:after="0" w:line="264"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Robust and active investment management</w:t>
      </w:r>
      <w:r>
        <w:rPr>
          <w:rFonts w:ascii="Arial" w:cs="Arial" w:eastAsia="Arial" w:hAnsi="Arial"/>
          <w:sz w:val="18"/>
          <w:szCs w:val="18"/>
          <w:color w:val="auto"/>
        </w:rPr>
        <w:t>. Our Adviser rigorously monitors the credit profile of portfolio investments, with the aim of</w:t>
      </w:r>
      <w:r>
        <w:rPr>
          <w:rFonts w:ascii="Arial" w:cs="Arial" w:eastAsia="Arial" w:hAnsi="Arial"/>
          <w:sz w:val="18"/>
          <w:szCs w:val="18"/>
          <w:i w:val="1"/>
          <w:iCs w:val="1"/>
          <w:color w:val="auto"/>
        </w:rPr>
        <w:t xml:space="preserve"> </w:t>
      </w:r>
      <w:r>
        <w:rPr>
          <w:rFonts w:ascii="Arial" w:cs="Arial" w:eastAsia="Arial" w:hAnsi="Arial"/>
          <w:sz w:val="18"/>
          <w:szCs w:val="18"/>
          <w:color w:val="auto"/>
        </w:rPr>
        <w:t>proactively identifying sector and operational issues and carefully managing risks. The information gathered on market trends through this process also informs our underwriting for new loans.</w:t>
      </w:r>
    </w:p>
    <w:p>
      <w:pPr>
        <w:spacing w:after="0" w:line="181" w:lineRule="exact"/>
        <w:rPr>
          <w:sz w:val="20"/>
          <w:szCs w:val="20"/>
          <w:color w:val="auto"/>
        </w:rPr>
      </w:pPr>
    </w:p>
    <w:p>
      <w:pPr>
        <w:ind w:left="200" w:right="640" w:firstLine="443"/>
        <w:spacing w:after="0" w:line="277" w:lineRule="auto"/>
        <w:rPr>
          <w:sz w:val="20"/>
          <w:szCs w:val="20"/>
          <w:color w:val="auto"/>
        </w:rPr>
      </w:pPr>
      <w:r>
        <w:rPr>
          <w:rFonts w:ascii="Arial" w:cs="Arial" w:eastAsia="Arial" w:hAnsi="Arial"/>
          <w:sz w:val="18"/>
          <w:szCs w:val="18"/>
          <w:color w:val="auto"/>
        </w:rPr>
        <w:t>We tailor investments rather than focusing only on driving investment volume. We closed less than 2% of approximately 3,900 investment opportunities our Investment Team reviewed since our inception through March 31, 2015.</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331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60331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i w:val="1"/>
          <w:iCs w:val="1"/>
          <w:color w:val="auto"/>
        </w:rPr>
        <w:t>Carefully constructed, existing portfolio consisting of predominantly senior, floating rate loans across a broad range of industries and borrowers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Since we began investing in 2011, we have invested approximately $2.5 billion. As of March 31, 2015, we had a portfolio of investments in 35 portfolio companies totaling $1,331.0 million that we believe exhibits strong credit quality and broad industry composition. As of March 31, 2015, approximately 96.5% of our debt investments bore interest at floating rates, subject to interest rate floors, and 90.1% of the fair value of our portfolio was invested in first-lien debt investments. We believe this portfolio will allow us to generate meaningful investment income, and consequently dividend income, for our stockholders.</w:t>
      </w:r>
    </w:p>
    <w:p>
      <w:pPr>
        <w:spacing w:after="0" w:line="193" w:lineRule="exact"/>
        <w:rPr>
          <w:sz w:val="20"/>
          <w:szCs w:val="20"/>
          <w:color w:val="auto"/>
        </w:rPr>
      </w:pPr>
    </w:p>
    <w:p>
      <w:pPr>
        <w:ind w:left="200" w:firstLine="443"/>
        <w:spacing w:after="0" w:line="253" w:lineRule="auto"/>
        <w:rPr>
          <w:sz w:val="20"/>
          <w:szCs w:val="20"/>
          <w:color w:val="auto"/>
        </w:rPr>
      </w:pPr>
      <w:r>
        <w:rPr>
          <w:rFonts w:ascii="Arial" w:cs="Arial" w:eastAsia="Arial" w:hAnsi="Arial"/>
          <w:sz w:val="18"/>
          <w:szCs w:val="18"/>
          <w:i w:val="1"/>
          <w:iCs w:val="1"/>
          <w:color w:val="auto"/>
        </w:rPr>
        <w:t>Experienced management team</w:t>
      </w:r>
      <w:r>
        <w:rPr>
          <w:rFonts w:ascii="Arial" w:cs="Arial" w:eastAsia="Arial" w:hAnsi="Arial"/>
          <w:sz w:val="18"/>
          <w:szCs w:val="18"/>
          <w:color w:val="auto"/>
        </w:rPr>
        <w:t>. The eight managing directors of TSSP on the Adviser’s team have deep experience identifying and executing</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97" w:lineRule="exact"/>
        <w:rPr>
          <w:sz w:val="20"/>
          <w:szCs w:val="20"/>
          <w:color w:val="auto"/>
        </w:rPr>
      </w:pPr>
    </w:p>
    <w:p>
      <w:pPr>
        <w:ind w:left="200" w:right="100" w:firstLine="443"/>
        <w:spacing w:after="0" w:line="264" w:lineRule="auto"/>
        <w:rPr>
          <w:sz w:val="20"/>
          <w:szCs w:val="20"/>
          <w:color w:val="auto"/>
        </w:rPr>
      </w:pPr>
      <w:r>
        <w:rPr>
          <w:rFonts w:ascii="Arial" w:cs="Arial" w:eastAsia="Arial" w:hAnsi="Arial"/>
          <w:sz w:val="18"/>
          <w:szCs w:val="18"/>
          <w:i w:val="1"/>
          <w:iCs w:val="1"/>
          <w:color w:val="auto"/>
        </w:rPr>
        <w:t>Aligned investment professionals</w:t>
      </w:r>
      <w:r>
        <w:rPr>
          <w:rFonts w:ascii="Arial" w:cs="Arial" w:eastAsia="Arial" w:hAnsi="Arial"/>
          <w:sz w:val="18"/>
          <w:szCs w:val="18"/>
          <w:color w:val="auto"/>
        </w:rPr>
        <w:t>. We believe our investment professionals are aligned with our investment objective. The compensation 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for our investment professionals is based on our returns, as opposed to transaction volume, which we believe fosters a focus on credit quality when originating investments.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121" w:lineRule="exact"/>
        <w:rPr>
          <w:sz w:val="20"/>
          <w:szCs w:val="20"/>
          <w:color w:val="auto"/>
        </w:rPr>
      </w:pPr>
    </w:p>
    <w:p>
      <w:pPr>
        <w:ind w:left="200" w:right="200" w:firstLine="443"/>
        <w:spacing w:after="0" w:line="342" w:lineRule="auto"/>
        <w:rPr>
          <w:sz w:val="20"/>
          <w:szCs w:val="20"/>
          <w:color w:val="auto"/>
        </w:rPr>
      </w:pPr>
      <w:r>
        <w:rPr>
          <w:rFonts w:ascii="Arial" w:cs="Arial" w:eastAsia="Arial" w:hAnsi="Arial"/>
          <w:sz w:val="16"/>
          <w:szCs w:val="16"/>
          <w:color w:val="auto"/>
        </w:rPr>
        <w:t>The Adviser manages our investment activities under the direction of our board of directors, or the Board. A majority of our Board members are not “interested persons” of us, the Adviser and our respective affiliates, as such term is defined under Section 2(a)(19) of the 1940 Act.</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a BDC, we are required to comply with numerous regulatory requirements:</w:t>
      </w:r>
    </w:p>
    <w:p>
      <w:pPr>
        <w:spacing w:after="0" w:line="131" w:lineRule="exact"/>
        <w:rPr>
          <w:sz w:val="20"/>
          <w:szCs w:val="20"/>
          <w:color w:val="auto"/>
        </w:rPr>
      </w:pPr>
    </w:p>
    <w:p>
      <w:pPr>
        <w:ind w:left="1060" w:right="40" w:hanging="323"/>
        <w:spacing w:after="0" w:line="25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Leverage</w:t>
      </w:r>
      <w:r>
        <w:rPr>
          <w:rFonts w:ascii="Arial" w:cs="Arial" w:eastAsia="Arial" w:hAnsi="Arial"/>
          <w:sz w:val="18"/>
          <w:szCs w:val="18"/>
          <w:color w:val="auto"/>
        </w:rPr>
        <w:t>. Regulations under the 1940 Act limit our ability to use borrowing, also known as leverage, in significant respects. With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exceptions, we are currently only allowed to borrow amounts, including by issuing debt securities or preferred stock, where our asset coverage, as defined in the 1940 Act, equals at least 200% after the borrowing. See “Regulation.” The asset coverage rule may change over time. For example, legislation introduced in the U.S. House of Representatives, if passed, would modify this section of the 1940 Act and increase the amount of debt that BDCs may incur.</w:t>
      </w:r>
    </w:p>
    <w:p>
      <w:pPr>
        <w:spacing w:after="0" w:line="93" w:lineRule="exact"/>
        <w:rPr>
          <w:rFonts w:ascii="Arial" w:cs="Arial" w:eastAsia="Arial" w:hAnsi="Arial"/>
          <w:sz w:val="18"/>
          <w:szCs w:val="18"/>
          <w:color w:val="auto"/>
        </w:rPr>
      </w:pPr>
    </w:p>
    <w:p>
      <w:pPr>
        <w:ind w:left="1060" w:right="100" w:hanging="323"/>
        <w:spacing w:after="0" w:line="25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Investment Allocation</w:t>
      </w:r>
      <w:r>
        <w:rPr>
          <w:rFonts w:ascii="Arial" w:cs="Arial" w:eastAsia="Arial" w:hAnsi="Arial"/>
          <w:sz w:val="18"/>
          <w:szCs w:val="18"/>
          <w:color w:val="auto"/>
        </w:rPr>
        <w:t>. Our business strategy focuses on investments that are deemed “qualifying assets.” As a BDC, we are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prohibited from investing in assets other than qualifying assets unless, at the time of the investment and after giving effect to it, at least 70% of our total assets are qualifying assets. Qualifying assets generally include securities of “eligible portfolio companies,” cash, cash equivalents, U.S. government securities and high-quality debt instruments maturing in one year or less from the time of investment. Under the rules of the 1940 Act, “eligible portfolio companies” include:</w:t>
      </w:r>
    </w:p>
    <w:p>
      <w:pPr>
        <w:spacing w:after="0" w:line="93" w:lineRule="exact"/>
        <w:rPr>
          <w:rFonts w:ascii="Arial" w:cs="Arial" w:eastAsia="Arial" w:hAnsi="Arial"/>
          <w:sz w:val="18"/>
          <w:szCs w:val="18"/>
          <w:color w:val="auto"/>
        </w:rPr>
      </w:pPr>
    </w:p>
    <w:p>
      <w:pPr>
        <w:ind w:left="1620" w:hanging="545"/>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private domestic operating companies;</w:t>
      </w:r>
    </w:p>
    <w:p>
      <w:pPr>
        <w:spacing w:after="0" w:line="130" w:lineRule="exact"/>
        <w:rPr>
          <w:rFonts w:ascii="Arial" w:cs="Arial" w:eastAsia="Arial" w:hAnsi="Arial"/>
          <w:sz w:val="18"/>
          <w:szCs w:val="18"/>
          <w:color w:val="auto"/>
        </w:rPr>
      </w:pPr>
    </w:p>
    <w:p>
      <w:pPr>
        <w:ind w:left="1620" w:hanging="545"/>
        <w:spacing w:after="0" w:line="342" w:lineRule="auto"/>
        <w:tabs>
          <w:tab w:leader="none" w:pos="16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public domestic operating companies whose securities are not listed on a national securities exchange (e.g., the NYSE Amex Equities and The NASDAQ Global Market) or registered under the Securities Exchange Act of 1934, as amended, or the Exchange Act; and</w:t>
      </w:r>
    </w:p>
    <w:p>
      <w:pPr>
        <w:spacing w:after="0" w:line="2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013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58013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620" w:hanging="545"/>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public domestic operating companies having a market capitalization of less than $250 million.</w:t>
      </w:r>
    </w:p>
    <w:p>
      <w:pPr>
        <w:spacing w:after="0" w:line="225"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color w:val="auto"/>
        </w:rPr>
        <w:t>Public domestic operating companies whose securities are quoted on the over-the-counter bulletin board and through OTC Markets Group, Inc. are not listed on a national securities exchange and, as a result, are eligible portfolio companies.</w:t>
      </w:r>
    </w:p>
    <w:p>
      <w:pPr>
        <w:spacing w:after="0" w:line="76" w:lineRule="exact"/>
        <w:rPr>
          <w:sz w:val="20"/>
          <w:szCs w:val="20"/>
          <w:color w:val="auto"/>
        </w:rPr>
      </w:pPr>
    </w:p>
    <w:p>
      <w:pPr>
        <w:ind w:left="1060" w:right="40" w:hanging="323"/>
        <w:spacing w:after="0" w:line="264"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RIC Status</w:t>
      </w:r>
      <w:r>
        <w:rPr>
          <w:rFonts w:ascii="Arial" w:cs="Arial" w:eastAsia="Arial" w:hAnsi="Arial"/>
          <w:sz w:val="18"/>
          <w:szCs w:val="18"/>
          <w:color w:val="auto"/>
        </w:rPr>
        <w:t>. We have elected to be treated as a RIC for U.S. federal income tax purposes. To maintain our status as a RIC and to avoid having</w:t>
      </w:r>
      <w:r>
        <w:rPr>
          <w:rFonts w:ascii="Arial" w:cs="Arial" w:eastAsia="Arial" w:hAnsi="Arial"/>
          <w:sz w:val="18"/>
          <w:szCs w:val="18"/>
          <w:i w:val="1"/>
          <w:iCs w:val="1"/>
          <w:color w:val="auto"/>
        </w:rPr>
        <w:t xml:space="preserve"> </w:t>
      </w:r>
      <w:r>
        <w:rPr>
          <w:rFonts w:ascii="Arial" w:cs="Arial" w:eastAsia="Arial" w:hAnsi="Arial"/>
          <w:sz w:val="18"/>
          <w:szCs w:val="18"/>
          <w:color w:val="auto"/>
        </w:rPr>
        <w:t>our earnings subject to corporate-level U.S. federal income taxation, we must satisfy certain source of income, asset diversification and distribution requirements.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“Material U.S. Federal Income Tax Considerations.”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Leverage</w:t>
      </w:r>
    </w:p>
    <w:p>
      <w:pPr>
        <w:spacing w:after="0" w:line="121" w:lineRule="exact"/>
        <w:rPr>
          <w:sz w:val="20"/>
          <w:szCs w:val="20"/>
          <w:color w:val="auto"/>
        </w:rPr>
      </w:pPr>
    </w:p>
    <w:p>
      <w:pPr>
        <w:ind w:left="200" w:right="60" w:firstLine="443"/>
        <w:spacing w:after="0" w:line="293" w:lineRule="auto"/>
        <w:rPr>
          <w:sz w:val="20"/>
          <w:szCs w:val="20"/>
          <w:color w:val="auto"/>
        </w:rPr>
      </w:pPr>
      <w:r>
        <w:rPr>
          <w:rFonts w:ascii="Arial" w:cs="Arial" w:eastAsia="Arial" w:hAnsi="Arial"/>
          <w:sz w:val="16"/>
          <w:szCs w:val="16"/>
          <w:color w:val="auto"/>
        </w:rPr>
        <w:t>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 See “Risk Factors—Risks Related to Our Business and Structure—We borrow money, which magnifies the potential for gain or loss and increases the risk of investing in us”; “Risk Factors—Risks Related to Our Business and Structure—Regulations governing our operation as a BDC affect our ability to, and the way in which we, raise additional capital”; “The Company—General”; and “Regulation.”</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Conflicts of Interests</w:t>
      </w:r>
    </w:p>
    <w:p>
      <w:pPr>
        <w:spacing w:after="0" w:line="121"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color w:val="auto"/>
        </w:rPr>
        <w:t>Members of the Adviser’s senior management and Investment Review Committee are and will continue to be active in other investment funds affiliated with TSSP and TPG that pursue investment opportunities that could overlap with those pursued by us. However,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then determine an appropriate size for our investment.</w:t>
      </w:r>
    </w:p>
    <w:p>
      <w:pPr>
        <w:spacing w:after="0" w:line="178" w:lineRule="exact"/>
        <w:rPr>
          <w:sz w:val="20"/>
          <w:szCs w:val="20"/>
          <w:color w:val="auto"/>
        </w:rPr>
      </w:pPr>
    </w:p>
    <w:p>
      <w:pPr>
        <w:ind w:left="200" w:right="40" w:firstLine="443"/>
        <w:spacing w:after="0" w:line="290" w:lineRule="auto"/>
        <w:rPr>
          <w:sz w:val="20"/>
          <w:szCs w:val="20"/>
          <w:color w:val="auto"/>
        </w:rPr>
      </w:pPr>
      <w:r>
        <w:rPr>
          <w:rFonts w:ascii="Arial" w:cs="Arial" w:eastAsia="Arial" w:hAnsi="Arial"/>
          <w:sz w:val="16"/>
          <w:szCs w:val="16"/>
          <w:color w:val="auto"/>
        </w:rPr>
        <w:t>We may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TPG funds or investment vehicles, including TSSP funds and investment vehicles, in which case the scope of opportunities otherwise available to us may be adversely affected or reduced.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867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55867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20" w:firstLine="443"/>
        <w:spacing w:after="0" w:line="279" w:lineRule="auto"/>
        <w:rPr>
          <w:sz w:val="20"/>
          <w:szCs w:val="20"/>
          <w:color w:val="auto"/>
        </w:rPr>
      </w:pPr>
      <w:r>
        <w:rPr>
          <w:rFonts w:ascii="Arial" w:cs="Arial" w:eastAsia="Arial" w:hAnsi="Arial"/>
          <w:sz w:val="17"/>
          <w:szCs w:val="17"/>
          <w:color w:val="auto"/>
        </w:rPr>
        <w:t>Our Adviser and its affiliates may face conflicts in allocating investment opportunities between us and other TSSP and TPG entities. It is possible that we may not be given the opportunity to participate in certain investments made by TSSP or TPG vehicles that would otherwise be suitable for us. For example, TSSP has organized a separate investment vehicle, TSL Europe, aimed specifically at European middle-market loan originations and may in the future organize vehicles aimed at other loan origination opportunities outside our primary focus.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“Related-Party Transactions and Certain Relationships.”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Exemptive Relief</w:t>
      </w:r>
    </w:p>
    <w:p>
      <w:pPr>
        <w:spacing w:after="0" w:line="121" w:lineRule="exact"/>
        <w:rPr>
          <w:sz w:val="20"/>
          <w:szCs w:val="20"/>
          <w:color w:val="auto"/>
        </w:rPr>
      </w:pPr>
    </w:p>
    <w:p>
      <w:pPr>
        <w:ind w:left="200" w:right="40" w:firstLine="443"/>
        <w:spacing w:after="0" w:line="270" w:lineRule="auto"/>
        <w:rPr>
          <w:sz w:val="20"/>
          <w:szCs w:val="20"/>
          <w:color w:val="auto"/>
        </w:rPr>
      </w:pPr>
      <w:r>
        <w:rPr>
          <w:rFonts w:ascii="Arial" w:cs="Arial" w:eastAsia="Arial" w:hAnsi="Arial"/>
          <w:sz w:val="17"/>
          <w:szCs w:val="17"/>
          <w:color w:val="auto"/>
        </w:rPr>
        <w:t>On December 16, 2014, we were granted an exemptive relief order from the SEC that, if certain conditions are met, allows us to co-invest with affiliates of TSSP and TPG in middle-market loan origination activities for companies domiciled in the United States and certain “follow-on” investments in companies in which we have already co-invested pursuant to the order and remain invested. Pursuant to the exemptive relief order, to the extent the size of an investment opportunity exceeds the amount our Adviser has independently determined is appropriate for us to invest, our affiliates may be able to co-invest with us, subject to the approval of a majority of our Independent Directors. We believe our ability to co-invest with TSSP and TPG affiliates will be particularly useful where we identify larger capital commitments than otherwise would be appropriate for us. We expect that with the ability to co-invest with TSSP and TPG affiliates we will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“Related-Party Transactions and Certain Relationships—Exemptive Relief.”</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Repurchase Plan</w:t>
      </w:r>
    </w:p>
    <w:p>
      <w:pPr>
        <w:spacing w:after="0" w:line="121"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color w:val="auto"/>
        </w:rPr>
        <w:t>On November 3, 2014, our Board of Directors approved a stock repurchase plan, which we refer to as the Company 10b5-1 Plan, to acquire up to $50 million in the aggregate of our common stock at prices below our net asset value per share, in accordance with the guidelines specified in Rule 10b-18 and Rule 10b5-1 of the Exchange Act. We put the Company 10b5-1 Plan in place because we believe that, in the current market conditions, if our common stock is trading below our then-current net asset value, it is in the best interest of our stockholders for us to reinvest in our portfolio and increase our leverage ratio through share repurchases.</w:t>
      </w:r>
    </w:p>
    <w:p>
      <w:pPr>
        <w:spacing w:after="0" w:line="188" w:lineRule="exact"/>
        <w:rPr>
          <w:sz w:val="20"/>
          <w:szCs w:val="20"/>
          <w:color w:val="auto"/>
        </w:rPr>
      </w:pPr>
    </w:p>
    <w:p>
      <w:pPr>
        <w:ind w:left="200" w:right="20" w:firstLine="443"/>
        <w:spacing w:after="0" w:line="272" w:lineRule="auto"/>
        <w:rPr>
          <w:sz w:val="20"/>
          <w:szCs w:val="20"/>
          <w:color w:val="auto"/>
        </w:rPr>
      </w:pPr>
      <w:r>
        <w:rPr>
          <w:rFonts w:ascii="Arial" w:cs="Arial" w:eastAsia="Arial" w:hAnsi="Arial"/>
          <w:sz w:val="17"/>
          <w:szCs w:val="17"/>
          <w:color w:val="auto"/>
        </w:rPr>
        <w:t>The Company 10b5-1 Plan is designed to allow us to repurchase our common stock at times when we otherwise might be prevented from doing so under insider trading laws. The Company 10b5-1 Plan requires Goldman, Sachs &amp; Co.,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depend on the terms and conditions of the Company 10b5-1 Plan, the market price of the common stock and trading volumes, and no assurance can be given that any particular amount of common stock will be repurchased.</w:t>
      </w:r>
    </w:p>
    <w:p>
      <w:pPr>
        <w:spacing w:after="0" w:line="178" w:lineRule="exact"/>
        <w:rPr>
          <w:sz w:val="20"/>
          <w:szCs w:val="20"/>
          <w:color w:val="auto"/>
        </w:rPr>
      </w:pPr>
    </w:p>
    <w:p>
      <w:pPr>
        <w:ind w:left="200" w:right="440" w:firstLine="443"/>
        <w:spacing w:after="0" w:line="342" w:lineRule="auto"/>
        <w:rPr>
          <w:sz w:val="20"/>
          <w:szCs w:val="20"/>
          <w:color w:val="auto"/>
        </w:rPr>
      </w:pPr>
      <w:r>
        <w:rPr>
          <w:rFonts w:ascii="Arial" w:cs="Arial" w:eastAsia="Arial" w:hAnsi="Arial"/>
          <w:sz w:val="16"/>
          <w:szCs w:val="16"/>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2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61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58616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200" w:right="200" w:firstLine="443"/>
        <w:spacing w:after="0" w:line="264" w:lineRule="auto"/>
        <w:rPr>
          <w:sz w:val="20"/>
          <w:szCs w:val="20"/>
          <w:color w:val="auto"/>
        </w:rPr>
      </w:pPr>
      <w:r>
        <w:rPr>
          <w:rFonts w:ascii="Arial" w:cs="Arial" w:eastAsia="Arial" w:hAnsi="Arial"/>
          <w:sz w:val="18"/>
          <w:szCs w:val="18"/>
          <w:color w:val="auto"/>
        </w:rPr>
        <w:t>Unless extended or terminated by the Board, the Company 10b5-1 Plan will be in effect through the earlier of June 30, 2015 or such time as the approved $50 million repurchase amount has been fully utilized, subject to certain conditions. As of March 31, 2015, no shares had been repurchased under the Company 10b5-1 Plan.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left="200" w:firstLine="443"/>
        <w:spacing w:after="0" w:line="312" w:lineRule="auto"/>
        <w:rPr>
          <w:sz w:val="20"/>
          <w:szCs w:val="20"/>
          <w:color w:val="auto"/>
        </w:rPr>
      </w:pPr>
      <w:r>
        <w:rPr>
          <w:rFonts w:ascii="Arial" w:cs="Arial" w:eastAsia="Arial" w:hAnsi="Arial"/>
          <w:sz w:val="16"/>
          <w:szCs w:val="16"/>
          <w:color w:val="auto"/>
        </w:rPr>
        <w:t>Potential investors should be aware that an investment in our securities involves risk. We cannot assure you that our objectives will be achieved or guarantee a return on invested capital. In addition, there will be occasions when the Adviser and its affiliates may encounter potential conflicts of interest. See “Risk Factors” for a description of these and other risks relating to our business and investments in our securities, including that:</w:t>
      </w:r>
    </w:p>
    <w:p>
      <w:pPr>
        <w:spacing w:after="0" w:line="52" w:lineRule="exact"/>
        <w:rPr>
          <w:sz w:val="20"/>
          <w:szCs w:val="20"/>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dependent upon management personnel of the Adviser, TSSP, TPG and their affiliates for our future success;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regulations governing our operation as a BDC affect our ability to, and the way in which we, raise additional capital;</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borrow money, which magnifies the potential for gain or loss and increases the risk of investing in us;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indebtedness could adversely affect our business, financial conditions or results of operations;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pending legislation may allow us to incur additional leverage;</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operate in a highly competitive market for investment opportunities;</w:t>
      </w:r>
    </w:p>
    <w:p>
      <w:pPr>
        <w:spacing w:after="0" w:line="130" w:lineRule="exact"/>
        <w:rPr>
          <w:rFonts w:ascii="Arial" w:cs="Arial" w:eastAsia="Arial" w:hAnsi="Arial"/>
          <w:sz w:val="18"/>
          <w:szCs w:val="18"/>
          <w:color w:val="auto"/>
        </w:rPr>
      </w:pPr>
    </w:p>
    <w:p>
      <w:pPr>
        <w:ind w:left="1060" w:right="16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source investments, access financing or manage future growth effectively, we may be unable to achieve our investment objective;</w:t>
      </w:r>
    </w:p>
    <w:p>
      <w:pPr>
        <w:spacing w:after="0" w:line="75" w:lineRule="exact"/>
        <w:rPr>
          <w:rFonts w:ascii="Arial" w:cs="Arial" w:eastAsia="Arial" w:hAnsi="Arial"/>
          <w:sz w:val="18"/>
          <w:szCs w:val="18"/>
          <w:color w:val="auto"/>
        </w:rPr>
      </w:pPr>
    </w:p>
    <w:p>
      <w:pPr>
        <w:ind w:left="1060" w:right="24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even in the event the value of your investment declines, the Management Fee and, in certain circumstances, the Incentive Fee will still be payable to the Adviser;</w:t>
      </w:r>
    </w:p>
    <w:p>
      <w:pPr>
        <w:spacing w:after="0" w:line="75" w:lineRule="exact"/>
        <w:rPr>
          <w:rFonts w:ascii="Arial" w:cs="Arial" w:eastAsia="Arial" w:hAnsi="Arial"/>
          <w:sz w:val="18"/>
          <w:szCs w:val="18"/>
          <w:color w:val="auto"/>
        </w:rPr>
      </w:pPr>
    </w:p>
    <w:p>
      <w:pPr>
        <w:ind w:left="1060" w:right="60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the extent that we do not realize income or choose not to retain after-tax realized net capital gains, we will have a greater need for additional capital to fund our investments and operating expenses;</w:t>
      </w:r>
    </w:p>
    <w:p>
      <w:pPr>
        <w:spacing w:after="0" w:line="75" w:lineRule="exact"/>
        <w:rPr>
          <w:rFonts w:ascii="Arial" w:cs="Arial" w:eastAsia="Arial" w:hAnsi="Arial"/>
          <w:sz w:val="18"/>
          <w:szCs w:val="18"/>
          <w:color w:val="auto"/>
        </w:rPr>
      </w:pPr>
    </w:p>
    <w:p>
      <w:pPr>
        <w:ind w:left="1060" w:right="8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Adviser and its affiliates, officers and employees may face certain conflicts of interest;</w:t>
      </w:r>
    </w:p>
    <w:p>
      <w:pPr>
        <w:spacing w:after="0" w:line="130" w:lineRule="exact"/>
        <w:rPr>
          <w:rFonts w:ascii="Arial" w:cs="Arial" w:eastAsia="Arial" w:hAnsi="Arial"/>
          <w:sz w:val="18"/>
          <w:szCs w:val="18"/>
          <w:color w:val="auto"/>
        </w:rPr>
      </w:pPr>
    </w:p>
    <w:p>
      <w:pPr>
        <w:ind w:left="1060" w:right="2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Adviser can resign on 60 days’ notice and we may not be able to find a suitable replacement within that time, resulting in a disruption in our operations and a loss of the benefits from our relationship with TSSP and TPG;</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prior to our incorporation, the Adviser and its management had no prior experience managing a BDC or a RIC;</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failure to maintain our status as a BDC would reduce our operating flexibility;</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incur significant costs as a result of being a publicly traded company;</w:t>
      </w:r>
    </w:p>
    <w:p>
      <w:pPr>
        <w:spacing w:after="0" w:line="130" w:lineRule="exact"/>
        <w:rPr>
          <w:rFonts w:ascii="Arial" w:cs="Arial" w:eastAsia="Arial" w:hAnsi="Arial"/>
          <w:sz w:val="18"/>
          <w:szCs w:val="18"/>
          <w:color w:val="auto"/>
        </w:rPr>
      </w:pPr>
    </w:p>
    <w:p>
      <w:pPr>
        <w:ind w:left="1060" w:right="180" w:hanging="323"/>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cybersecurity risks and cyber incidents may adversely affect our business by causing a disruption to our operations, a compromise or corruption of our confidential information and/or damage to our business relationships, all of which could negatively impact our business, results of operations or financial condition;</w:t>
      </w:r>
    </w:p>
    <w:p>
      <w:pPr>
        <w:spacing w:after="0" w:line="28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24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842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57842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2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highly dependent on information systems and systems failures could significantly disrupt our business, which may, in turn, negatively affect the market price of our common stock and our ability to pay dividends;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Board may change our investment objective, operating policies and strategies without prior notice or stockholder approval;</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laws or regulations governing our operations may adversely affect our business;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investments are very risky and highly speculative;</w:t>
      </w:r>
    </w:p>
    <w:p>
      <w:pPr>
        <w:spacing w:after="0" w:line="130" w:lineRule="exact"/>
        <w:rPr>
          <w:rFonts w:ascii="Arial" w:cs="Arial" w:eastAsia="Arial" w:hAnsi="Arial"/>
          <w:sz w:val="18"/>
          <w:szCs w:val="18"/>
          <w:color w:val="auto"/>
        </w:rPr>
      </w:pPr>
    </w:p>
    <w:p>
      <w:pPr>
        <w:ind w:left="1060" w:right="80" w:hanging="323"/>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lack of liquidity in our investments may adversely affect our business;</w:t>
      </w:r>
    </w:p>
    <w:p>
      <w:pPr>
        <w:spacing w:after="0" w:line="130" w:lineRule="exact"/>
        <w:rPr>
          <w:rFonts w:ascii="Arial" w:cs="Arial" w:eastAsia="Arial" w:hAnsi="Arial"/>
          <w:sz w:val="18"/>
          <w:szCs w:val="18"/>
          <w:color w:val="auto"/>
        </w:rPr>
      </w:pPr>
    </w:p>
    <w:p>
      <w:pPr>
        <w:ind w:left="1060" w:right="100" w:hanging="323"/>
        <w:spacing w:after="0" w:line="342" w:lineRule="auto"/>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29" w:lineRule="exact"/>
        <w:rPr>
          <w:rFonts w:ascii="Arial" w:cs="Arial" w:eastAsia="Arial" w:hAnsi="Arial"/>
          <w:sz w:val="16"/>
          <w:szCs w:val="16"/>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exposed to risks associated with changes in interest rates;</w:t>
      </w:r>
    </w:p>
    <w:p>
      <w:pPr>
        <w:spacing w:after="0" w:line="130" w:lineRule="exact"/>
        <w:rPr>
          <w:rFonts w:ascii="Arial" w:cs="Arial" w:eastAsia="Arial" w:hAnsi="Arial"/>
          <w:sz w:val="18"/>
          <w:szCs w:val="18"/>
          <w:color w:val="auto"/>
        </w:rPr>
      </w:pPr>
    </w:p>
    <w:p>
      <w:pPr>
        <w:ind w:left="106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originating loans to companies that are experiencing significant financial or business difficulties, we may be exposed to distressed lending risks;</w:t>
      </w:r>
    </w:p>
    <w:p>
      <w:pPr>
        <w:spacing w:after="0" w:line="75" w:lineRule="exact"/>
        <w:rPr>
          <w:rFonts w:ascii="Arial" w:cs="Arial" w:eastAsia="Arial" w:hAnsi="Arial"/>
          <w:sz w:val="18"/>
          <w:szCs w:val="18"/>
          <w:color w:val="auto"/>
        </w:rPr>
      </w:pPr>
    </w:p>
    <w:p>
      <w:pPr>
        <w:ind w:left="1060" w:right="10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portfolio companies in some cases may incur debt or issue equity securities that rank equally with, or senior to, our investments in those companies;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enter into transactions with our affiliates is restricted;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investments in foreign companies may involve significant risks in addition to the risks inherent in U.S. investments;</w:t>
      </w:r>
    </w:p>
    <w:p>
      <w:pPr>
        <w:spacing w:after="0" w:line="130" w:lineRule="exact"/>
        <w:rPr>
          <w:rFonts w:ascii="Arial" w:cs="Arial" w:eastAsia="Arial" w:hAnsi="Arial"/>
          <w:sz w:val="18"/>
          <w:szCs w:val="18"/>
          <w:color w:val="auto"/>
        </w:rPr>
      </w:pPr>
    </w:p>
    <w:p>
      <w:pPr>
        <w:ind w:left="1060" w:right="84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unless Congress renews certain exemptions that expired for taxable years commencing after December 31, 2014, certain dividend distributions we make to certain non-U.S. stockholders will be subject to U.S. withholding tax;</w:t>
      </w:r>
    </w:p>
    <w:p>
      <w:pPr>
        <w:spacing w:after="0" w:line="75" w:lineRule="exact"/>
        <w:rPr>
          <w:rFonts w:ascii="Arial" w:cs="Arial" w:eastAsia="Arial" w:hAnsi="Arial"/>
          <w:sz w:val="18"/>
          <w:szCs w:val="18"/>
          <w:color w:val="auto"/>
        </w:rPr>
      </w:pPr>
    </w:p>
    <w:p>
      <w:pPr>
        <w:ind w:left="1060" w:right="340" w:hanging="323"/>
        <w:spacing w:after="0" w:line="259"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92"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is a risk that investors in our common stock may not receive dividends or that our dividends may not grow over time;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market price of our common stock may fluctuate significantly.</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principal executive offices are located at 301 Commerce Street, Suite 3300, Fort Worth, TX 76102 and our telephone number is (817) 871-</w:t>
      </w:r>
    </w:p>
    <w:p>
      <w:pPr>
        <w:spacing w:after="0" w:line="46" w:lineRule="exact"/>
        <w:rPr>
          <w:sz w:val="20"/>
          <w:szCs w:val="20"/>
          <w:color w:val="auto"/>
        </w:rPr>
      </w:pPr>
    </w:p>
    <w:p>
      <w:pPr>
        <w:ind w:left="200" w:right="500"/>
        <w:spacing w:after="0" w:line="261" w:lineRule="auto"/>
        <w:rPr>
          <w:sz w:val="20"/>
          <w:szCs w:val="20"/>
          <w:color w:val="auto"/>
        </w:rPr>
      </w:pPr>
      <w:r>
        <w:rPr>
          <w:rFonts w:ascii="Arial" w:cs="Arial" w:eastAsia="Arial" w:hAnsi="Arial"/>
          <w:sz w:val="18"/>
          <w:szCs w:val="18"/>
          <w:color w:val="auto"/>
        </w:rPr>
        <w:t>4000. Our corporate website is located at http://www.tpgspecialtylending.com. Information on our website is not incorporated into or a part of this prospectus.</w:t>
      </w:r>
    </w:p>
    <w:p>
      <w:pPr>
        <w:spacing w:after="0" w:line="29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813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56813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200" w:right="260" w:firstLine="443"/>
        <w:spacing w:after="0" w:line="284" w:lineRule="auto"/>
        <w:rPr>
          <w:sz w:val="20"/>
          <w:szCs w:val="20"/>
          <w:color w:val="auto"/>
        </w:rPr>
      </w:pPr>
      <w:r>
        <w:rPr>
          <w:rFonts w:ascii="Arial" w:cs="Arial" w:eastAsia="Arial" w:hAnsi="Arial"/>
          <w:sz w:val="16"/>
          <w:szCs w:val="16"/>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on terms to be determined at the time of the offering. We will offer our securities at prices and on terms to be set forth in one or more supplements to this prospectus. The offering price per share of our common stock, less any underwriting commissions or discounts, generally will not be less than the net asset value per share of our common stock at the time of an offering. However, we may issue shares of our common stock pursuant to this prospectus at a price per share that is less than our net asset value per share (a) in connection with a rights offering to our existing stockholders,</w:t>
      </w:r>
    </w:p>
    <w:p>
      <w:pPr>
        <w:spacing w:after="0" w:line="5" w:lineRule="exact"/>
        <w:rPr>
          <w:sz w:val="20"/>
          <w:szCs w:val="20"/>
          <w:color w:val="auto"/>
        </w:rPr>
      </w:pPr>
    </w:p>
    <w:p>
      <w:pPr>
        <w:ind w:left="200" w:right="420" w:hanging="3"/>
        <w:spacing w:after="0" w:line="255" w:lineRule="auto"/>
        <w:tabs>
          <w:tab w:leader="none" w:pos="4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 the prior approval of the majority of our outstanding voting securities or (c) under such other circumstances as the SEC may permit. Any such issuance of shares of our common stock below net asset value may be dilutive to the net asset value of our common stock. See “Risk Factors—Risks Related to Offerings Pursuant to this Prospectus.”</w:t>
      </w:r>
    </w:p>
    <w:p>
      <w:pPr>
        <w:spacing w:after="0" w:line="190" w:lineRule="exact"/>
        <w:rPr>
          <w:sz w:val="20"/>
          <w:szCs w:val="20"/>
          <w:color w:val="auto"/>
        </w:rPr>
      </w:pPr>
    </w:p>
    <w:p>
      <w:pPr>
        <w:ind w:left="200" w:right="300" w:firstLine="443"/>
        <w:spacing w:after="0" w:line="273" w:lineRule="auto"/>
        <w:rPr>
          <w:sz w:val="20"/>
          <w:szCs w:val="20"/>
          <w:color w:val="auto"/>
        </w:rPr>
      </w:pPr>
      <w:r>
        <w:rPr>
          <w:rFonts w:ascii="Arial" w:cs="Arial" w:eastAsia="Arial" w:hAnsi="Arial"/>
          <w:sz w:val="17"/>
          <w:szCs w:val="17"/>
          <w:color w:val="auto"/>
        </w:rPr>
        <w:t>We may offer our securities directly to one or more purchasers, including existing stockholders in a rights offering by us, through agents that we designate from time to time or to or through underwriters or dealers. The prospectus supplement relating to each offering will identify any agents or underwriters involved in the sale of our securities, and will set forth any applicable purchase price, fee, commission or discount arrangement between us and the agents or underwriters or among the underwriters or the basis upon which such amount may be calculated. See “Plan of Distribution.” We may not sell any of the securities pursuant to this registration statement through agents, underwriters or dealers without delivery of this prospectus and a prospectus supplement describing the method and terms of the offering of our securities.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Set forth below is additional information regarding offerings of our securities: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120" w:type="dxa"/>
            <w:vAlign w:val="bottom"/>
          </w:tcPr>
          <w:p>
            <w:pPr>
              <w:ind w:left="200"/>
              <w:spacing w:after="0"/>
              <w:rPr>
                <w:sz w:val="20"/>
                <w:szCs w:val="20"/>
                <w:color w:val="auto"/>
              </w:rPr>
            </w:pPr>
            <w:r>
              <w:rPr>
                <w:rFonts w:ascii="Arial" w:cs="Arial" w:eastAsia="Arial" w:hAnsi="Arial"/>
                <w:sz w:val="18"/>
                <w:szCs w:val="18"/>
                <w:b w:val="1"/>
                <w:bCs w:val="1"/>
                <w:color w:val="auto"/>
              </w:rPr>
              <w:t>Use of Proceeds</w:t>
            </w:r>
          </w:p>
        </w:tc>
        <w:tc>
          <w:tcPr>
            <w:tcW w:w="8340" w:type="dxa"/>
            <w:vAlign w:val="bottom"/>
          </w:tcPr>
          <w:p>
            <w:pPr>
              <w:ind w:left="1280"/>
              <w:spacing w:after="0"/>
              <w:rPr>
                <w:sz w:val="20"/>
                <w:szCs w:val="20"/>
                <w:color w:val="auto"/>
              </w:rPr>
            </w:pPr>
            <w:r>
              <w:rPr>
                <w:rFonts w:ascii="Arial" w:cs="Arial" w:eastAsia="Arial" w:hAnsi="Arial"/>
                <w:sz w:val="18"/>
                <w:szCs w:val="18"/>
                <w:color w:val="auto"/>
                <w:w w:val="92"/>
              </w:rPr>
              <w:t>Unless otherwise specified in a prospectus supplement, we intend to use the net proceeds from</w:t>
            </w:r>
          </w:p>
        </w:tc>
      </w:tr>
      <w:tr>
        <w:trPr>
          <w:trHeight w:val="216"/>
        </w:trPr>
        <w:tc>
          <w:tcPr>
            <w:tcW w:w="31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w w:val="98"/>
              </w:rPr>
              <w:t>the sale of our securities for general corporate purposes, which may include, among other</w:t>
            </w:r>
          </w:p>
        </w:tc>
      </w:tr>
      <w:tr>
        <w:trPr>
          <w:trHeight w:val="216"/>
        </w:trPr>
        <w:tc>
          <w:tcPr>
            <w:tcW w:w="31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things, investing in portfolio companies in accordance with our investment objective and</w:t>
            </w:r>
          </w:p>
        </w:tc>
      </w:tr>
      <w:tr>
        <w:trPr>
          <w:trHeight w:val="230"/>
        </w:trPr>
        <w:tc>
          <w:tcPr>
            <w:tcW w:w="3120" w:type="dxa"/>
            <w:vAlign w:val="bottom"/>
          </w:tcPr>
          <w:p>
            <w:pPr>
              <w:spacing w:after="0"/>
              <w:rPr>
                <w:sz w:val="20"/>
                <w:szCs w:val="20"/>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repaying indebtedness (which will be subject to reborrowing).</w:t>
            </w:r>
          </w:p>
        </w:tc>
      </w:tr>
      <w:tr>
        <w:trPr>
          <w:trHeight w:val="445"/>
        </w:trPr>
        <w:tc>
          <w:tcPr>
            <w:tcW w:w="3120" w:type="dxa"/>
            <w:vAlign w:val="bottom"/>
          </w:tcPr>
          <w:p>
            <w:pPr>
              <w:spacing w:after="0"/>
              <w:rPr>
                <w:sz w:val="24"/>
                <w:szCs w:val="24"/>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w w:val="97"/>
              </w:rPr>
              <w:t>Each supplement to this prospectus relating to an offering will more fully identify the use of</w:t>
            </w:r>
          </w:p>
        </w:tc>
      </w:tr>
      <w:tr>
        <w:trPr>
          <w:trHeight w:val="230"/>
        </w:trPr>
        <w:tc>
          <w:tcPr>
            <w:tcW w:w="3120" w:type="dxa"/>
            <w:vAlign w:val="bottom"/>
          </w:tcPr>
          <w:p>
            <w:pPr>
              <w:spacing w:after="0"/>
              <w:rPr>
                <w:sz w:val="20"/>
                <w:szCs w:val="20"/>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the proceeds from such offering. See “Use of Proceeds.”</w:t>
            </w:r>
          </w:p>
        </w:tc>
      </w:tr>
      <w:tr>
        <w:trPr>
          <w:trHeight w:val="459"/>
        </w:trPr>
        <w:tc>
          <w:tcPr>
            <w:tcW w:w="3120" w:type="dxa"/>
            <w:vAlign w:val="bottom"/>
          </w:tcPr>
          <w:p>
            <w:pPr>
              <w:ind w:left="200"/>
              <w:spacing w:after="0"/>
              <w:rPr>
                <w:sz w:val="20"/>
                <w:szCs w:val="20"/>
                <w:color w:val="auto"/>
              </w:rPr>
            </w:pPr>
            <w:r>
              <w:rPr>
                <w:rFonts w:ascii="Arial" w:cs="Arial" w:eastAsia="Arial" w:hAnsi="Arial"/>
                <w:sz w:val="18"/>
                <w:szCs w:val="18"/>
                <w:b w:val="1"/>
                <w:bCs w:val="1"/>
                <w:color w:val="auto"/>
              </w:rPr>
              <w:t>Symbol on the NYSE</w:t>
            </w:r>
          </w:p>
        </w:tc>
        <w:tc>
          <w:tcPr>
            <w:tcW w:w="8340" w:type="dxa"/>
            <w:vAlign w:val="bottom"/>
          </w:tcPr>
          <w:p>
            <w:pPr>
              <w:ind w:left="1280"/>
              <w:spacing w:after="0"/>
              <w:rPr>
                <w:sz w:val="20"/>
                <w:szCs w:val="20"/>
                <w:color w:val="auto"/>
              </w:rPr>
            </w:pPr>
            <w:r>
              <w:rPr>
                <w:rFonts w:ascii="Arial" w:cs="Arial" w:eastAsia="Arial" w:hAnsi="Arial"/>
                <w:sz w:val="18"/>
                <w:szCs w:val="18"/>
                <w:color w:val="auto"/>
              </w:rPr>
              <w:t>“TSLX”</w:t>
            </w:r>
          </w:p>
        </w:tc>
      </w:tr>
      <w:tr>
        <w:trPr>
          <w:trHeight w:val="458"/>
        </w:trPr>
        <w:tc>
          <w:tcPr>
            <w:tcW w:w="3120" w:type="dxa"/>
            <w:vAlign w:val="bottom"/>
          </w:tcPr>
          <w:p>
            <w:pPr>
              <w:ind w:left="200"/>
              <w:spacing w:after="0"/>
              <w:rPr>
                <w:sz w:val="20"/>
                <w:szCs w:val="20"/>
                <w:color w:val="auto"/>
              </w:rPr>
            </w:pPr>
            <w:r>
              <w:rPr>
                <w:rFonts w:ascii="Arial" w:cs="Arial" w:eastAsia="Arial" w:hAnsi="Arial"/>
                <w:sz w:val="18"/>
                <w:szCs w:val="18"/>
                <w:b w:val="1"/>
                <w:bCs w:val="1"/>
                <w:color w:val="auto"/>
              </w:rPr>
              <w:t>Distributions</w:t>
            </w:r>
          </w:p>
        </w:tc>
        <w:tc>
          <w:tcPr>
            <w:tcW w:w="8340" w:type="dxa"/>
            <w:vAlign w:val="bottom"/>
          </w:tcPr>
          <w:p>
            <w:pPr>
              <w:ind w:left="1280"/>
              <w:spacing w:after="0"/>
              <w:rPr>
                <w:sz w:val="20"/>
                <w:szCs w:val="20"/>
                <w:color w:val="auto"/>
              </w:rPr>
            </w:pPr>
            <w:r>
              <w:rPr>
                <w:rFonts w:ascii="Arial" w:cs="Arial" w:eastAsia="Arial" w:hAnsi="Arial"/>
                <w:sz w:val="18"/>
                <w:szCs w:val="18"/>
                <w:color w:val="auto"/>
                <w:w w:val="97"/>
              </w:rPr>
              <w:t>To the extent we have earnings available for distribution, we expect to continue distributing</w:t>
            </w:r>
          </w:p>
        </w:tc>
      </w:tr>
      <w:tr>
        <w:trPr>
          <w:trHeight w:val="216"/>
        </w:trPr>
        <w:tc>
          <w:tcPr>
            <w:tcW w:w="31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w w:val="98"/>
              </w:rPr>
              <w:t>quarterly dividends to our stockholders. The specific tax characteristics of our distributions</w:t>
            </w:r>
          </w:p>
        </w:tc>
      </w:tr>
      <w:tr>
        <w:trPr>
          <w:trHeight w:val="216"/>
        </w:trPr>
        <w:tc>
          <w:tcPr>
            <w:tcW w:w="31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w w:val="94"/>
              </w:rPr>
              <w:t>will be reported to stockholders after the end of the calendar year. Future quarterly dividends,</w:t>
            </w:r>
          </w:p>
        </w:tc>
      </w:tr>
      <w:tr>
        <w:trPr>
          <w:trHeight w:val="216"/>
        </w:trPr>
        <w:tc>
          <w:tcPr>
            <w:tcW w:w="31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if any, will be determined by our Board. See “Price Range of Common Stock and</w:t>
            </w:r>
          </w:p>
        </w:tc>
      </w:tr>
      <w:tr>
        <w:trPr>
          <w:trHeight w:val="230"/>
        </w:trPr>
        <w:tc>
          <w:tcPr>
            <w:tcW w:w="3120" w:type="dxa"/>
            <w:vAlign w:val="bottom"/>
          </w:tcPr>
          <w:p>
            <w:pPr>
              <w:spacing w:after="0"/>
              <w:rPr>
                <w:sz w:val="20"/>
                <w:szCs w:val="20"/>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Distributions.”</w:t>
            </w:r>
          </w:p>
        </w:tc>
      </w:tr>
      <w:tr>
        <w:trPr>
          <w:trHeight w:val="445"/>
        </w:trPr>
        <w:tc>
          <w:tcPr>
            <w:tcW w:w="3120" w:type="dxa"/>
            <w:vAlign w:val="bottom"/>
          </w:tcPr>
          <w:p>
            <w:pPr>
              <w:spacing w:after="0"/>
              <w:rPr>
                <w:sz w:val="24"/>
                <w:szCs w:val="24"/>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w w:val="93"/>
              </w:rPr>
              <w:t>To maintain our tax treatment as a RIC, we must make certain distributions. See “Material U.S.</w:t>
            </w:r>
          </w:p>
        </w:tc>
      </w:tr>
      <w:tr>
        <w:trPr>
          <w:trHeight w:val="230"/>
        </w:trPr>
        <w:tc>
          <w:tcPr>
            <w:tcW w:w="3120" w:type="dxa"/>
            <w:vAlign w:val="bottom"/>
          </w:tcPr>
          <w:p>
            <w:pPr>
              <w:spacing w:after="0"/>
              <w:rPr>
                <w:sz w:val="20"/>
                <w:szCs w:val="20"/>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Federal Income Tax Considerations—Regulated Investment Company Classification.”</w:t>
            </w:r>
          </w:p>
        </w:tc>
      </w:tr>
      <w:tr>
        <w:trPr>
          <w:trHeight w:val="159"/>
        </w:trPr>
        <w:tc>
          <w:tcPr>
            <w:tcW w:w="3120" w:type="dxa"/>
            <w:vAlign w:val="bottom"/>
            <w:tcBorders>
              <w:bottom w:val="single" w:sz="8" w:color="auto"/>
            </w:tcBorders>
          </w:tcPr>
          <w:p>
            <w:pPr>
              <w:spacing w:after="0"/>
              <w:rPr>
                <w:sz w:val="13"/>
                <w:szCs w:val="13"/>
                <w:color w:val="auto"/>
              </w:rPr>
            </w:pPr>
          </w:p>
        </w:tc>
        <w:tc>
          <w:tcPr>
            <w:tcW w:w="8340" w:type="dxa"/>
            <w:vAlign w:val="bottom"/>
            <w:tcBorders>
              <w:bottom w:val="single" w:sz="8" w:color="auto"/>
            </w:tcBorders>
          </w:tcPr>
          <w:p>
            <w:pPr>
              <w:spacing w:after="0"/>
              <w:rPr>
                <w:sz w:val="13"/>
                <w:szCs w:val="13"/>
                <w:color w:val="auto"/>
              </w:rPr>
            </w:pPr>
          </w:p>
        </w:tc>
      </w:tr>
      <w:tr>
        <w:trPr>
          <w:trHeight w:val="361"/>
        </w:trPr>
        <w:tc>
          <w:tcPr>
            <w:tcW w:w="3120" w:type="dxa"/>
            <w:vAlign w:val="bottom"/>
          </w:tcPr>
          <w:p>
            <w:pPr>
              <w:spacing w:after="0"/>
              <w:rPr>
                <w:sz w:val="24"/>
                <w:szCs w:val="24"/>
                <w:color w:val="auto"/>
              </w:rPr>
            </w:pPr>
          </w:p>
        </w:tc>
        <w:tc>
          <w:tcPr>
            <w:tcW w:w="8340" w:type="dxa"/>
            <w:vAlign w:val="bottom"/>
          </w:tcPr>
          <w:p>
            <w:pPr>
              <w:ind w:left="2500"/>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460"/>
          </w:cols>
          <w:pgMar w:left="240" w:top="459" w:right="1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4"/>
        </w:trPr>
        <w:tc>
          <w:tcPr>
            <w:tcW w:w="328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b w:val="1"/>
                <w:bCs w:val="1"/>
                <w:color w:val="auto"/>
              </w:rPr>
              <w:t>Anti-Takeover Provisions</w:t>
            </w:r>
          </w:p>
        </w:tc>
        <w:tc>
          <w:tcPr>
            <w:tcW w:w="8180" w:type="dxa"/>
            <w:vAlign w:val="bottom"/>
            <w:tcBorders>
              <w:top w:val="single" w:sz="8" w:color="auto"/>
              <w:right w:val="single" w:sz="8" w:color="auto"/>
            </w:tcBorders>
          </w:tcPr>
          <w:p>
            <w:pPr>
              <w:ind w:left="1120"/>
              <w:spacing w:after="0"/>
              <w:rPr>
                <w:sz w:val="20"/>
                <w:szCs w:val="20"/>
                <w:color w:val="auto"/>
              </w:rPr>
            </w:pPr>
            <w:r>
              <w:rPr>
                <w:rFonts w:ascii="Arial" w:cs="Arial" w:eastAsia="Arial" w:hAnsi="Arial"/>
                <w:sz w:val="18"/>
                <w:szCs w:val="18"/>
                <w:color w:val="auto"/>
                <w:w w:val="95"/>
              </w:rPr>
              <w:t>Our Board is divided into three classes of directors serving staggered three-year terms. This</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structure is intended to provide us with a greater likelihood of continuity of management,</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4"/>
              </w:rPr>
              <w:t>which may be necessary for us to realize the full value of our investments. A staggered board</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5"/>
              </w:rPr>
              <w:t>of directors also may serve to deter hostile takeovers or proxy contests, as may certain other</w:t>
            </w:r>
          </w:p>
        </w:tc>
      </w:tr>
      <w:tr>
        <w:trPr>
          <w:trHeight w:val="230"/>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5"/>
              </w:rPr>
              <w:t>measures adopted by us. See “Description of Our Capital Stock—Anti-Takeover Provisions.”</w:t>
            </w:r>
          </w:p>
        </w:tc>
      </w:tr>
      <w:tr>
        <w:trPr>
          <w:trHeight w:val="445"/>
        </w:trPr>
        <w:tc>
          <w:tcPr>
            <w:tcW w:w="328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Taxation</w:t>
            </w: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4"/>
              </w:rPr>
              <w:t>We have elected to be treated as a RIC for U.S. federal income tax purposes. Our status as a</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8"/>
              </w:rPr>
              <w:t>RIC will enable us to deduct qualifying distributions to our stockholders, so that we will be</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8"/>
              </w:rPr>
              <w:t>subject to corporate-level U.S. federal income taxation only in respect of earnings that we</w:t>
            </w:r>
          </w:p>
        </w:tc>
      </w:tr>
      <w:tr>
        <w:trPr>
          <w:trHeight w:val="230"/>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retain and do not distribute.</w:t>
            </w:r>
          </w:p>
        </w:tc>
      </w:tr>
      <w:tr>
        <w:trPr>
          <w:trHeight w:val="445"/>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8"/>
              </w:rPr>
              <w:t>To maintain our status as a RIC and to avoid being subject to corporate-level U.S. federal</w:t>
            </w:r>
          </w:p>
        </w:tc>
      </w:tr>
      <w:tr>
        <w:trPr>
          <w:trHeight w:val="230"/>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income taxation on our earnings, we must, among other things:</w:t>
            </w:r>
          </w:p>
        </w:tc>
      </w:tr>
      <w:tr>
        <w:trPr>
          <w:trHeight w:val="338"/>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rPr>
              <w:t>• maintain our election under the 1940 Act to be treated as a BDC;</w:t>
            </w:r>
          </w:p>
        </w:tc>
      </w:tr>
      <w:tr>
        <w:trPr>
          <w:trHeight w:val="323"/>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w w:val="98"/>
              </w:rPr>
              <w:t>• derive in each taxable year at least 90% of our gross income from dividends, interest,</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gains from the sale or other disposition of stock or securities and other specified</w:t>
            </w:r>
          </w:p>
        </w:tc>
      </w:tr>
      <w:tr>
        <w:trPr>
          <w:trHeight w:val="230"/>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categories of investment income; and</w:t>
            </w:r>
          </w:p>
        </w:tc>
      </w:tr>
      <w:tr>
        <w:trPr>
          <w:trHeight w:val="338"/>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rPr>
              <w:t>• maintain diversified holdings.</w:t>
            </w:r>
          </w:p>
        </w:tc>
      </w:tr>
      <w:tr>
        <w:trPr>
          <w:trHeight w:val="445"/>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4"/>
              </w:rPr>
              <w:t>In addition, we must distribute (or be treated as distributing) in each taxable year dividends for</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7"/>
              </w:rPr>
              <w:t>tax purposes equal to at least 90% of our investment company taxable income and net tax-</w:t>
            </w:r>
          </w:p>
        </w:tc>
      </w:tr>
      <w:tr>
        <w:trPr>
          <w:trHeight w:val="230"/>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exempt income for that taxable year.</w:t>
            </w:r>
          </w:p>
        </w:tc>
      </w:tr>
      <w:tr>
        <w:trPr>
          <w:trHeight w:val="445"/>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7"/>
              </w:rPr>
              <w:t>As a RIC, we generally will not be subject to corporate-level U.S. federal income tax on our</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3"/>
              </w:rPr>
              <w:t>investment company taxable income and net capital gains that we distribute to stockholders. If</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6"/>
              </w:rPr>
              <w:t>we fail to distribute our investment company taxable income or net capital gains on a timely</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3"/>
              </w:rPr>
              <w:t>basis, we will be subject to a nondeductible 4% U.S. federal excise tax. We can be expected to</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5"/>
              </w:rPr>
              <w:t>carry forward investment company taxable income in excess of current year distributions into</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6"/>
              </w:rPr>
              <w:t>the next tax year and pay a 4% excise tax on such income. We elected to retain a portion of</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5"/>
              </w:rPr>
              <w:t>income and capital gains for the three months ended March 31, 2015 and the calendar years</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ended December 31, 2014 and 2013 and we recorded a net expense of $0.3 million,</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$1.1 million and $0.2 million, respectively, for U.S. federal excise tax as a result. Any</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4"/>
              </w:rPr>
              <w:t>carryover of investment company taxable income or net capital gains must be timely declared</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and distributed as a dividend in the taxable year following the taxable year in which the</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8"/>
              </w:rPr>
              <w:t>income or gains were earned. See “Price Range of Common Stock and Distributions” and</w:t>
            </w:r>
          </w:p>
        </w:tc>
      </w:tr>
      <w:tr>
        <w:trPr>
          <w:trHeight w:val="230"/>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“Material U.S. Federal Income Tax Considerations.”</w:t>
            </w:r>
          </w:p>
        </w:tc>
      </w:tr>
      <w:tr>
        <w:trPr>
          <w:trHeight w:val="159"/>
        </w:trPr>
        <w:tc>
          <w:tcPr>
            <w:tcW w:w="3280" w:type="dxa"/>
            <w:vAlign w:val="bottom"/>
            <w:tcBorders>
              <w:left w:val="single" w:sz="8" w:color="auto"/>
              <w:bottom w:val="single" w:sz="8" w:color="auto"/>
            </w:tcBorders>
          </w:tcPr>
          <w:p>
            <w:pPr>
              <w:spacing w:after="0"/>
              <w:rPr>
                <w:sz w:val="13"/>
                <w:szCs w:val="13"/>
                <w:color w:val="auto"/>
              </w:rPr>
            </w:pPr>
          </w:p>
        </w:tc>
        <w:tc>
          <w:tcPr>
            <w:tcW w:w="8180" w:type="dxa"/>
            <w:vAlign w:val="bottom"/>
            <w:tcBorders>
              <w:bottom w:val="single" w:sz="8" w:color="auto"/>
              <w:right w:val="single" w:sz="8" w:color="auto"/>
            </w:tcBorders>
          </w:tcPr>
          <w:p>
            <w:pPr>
              <w:spacing w:after="0"/>
              <w:rPr>
                <w:sz w:val="13"/>
                <w:szCs w:val="13"/>
                <w:color w:val="auto"/>
              </w:rPr>
            </w:pPr>
          </w:p>
        </w:tc>
      </w:tr>
      <w:tr>
        <w:trPr>
          <w:trHeight w:val="361"/>
        </w:trPr>
        <w:tc>
          <w:tcPr>
            <w:tcW w:w="3280" w:type="dxa"/>
            <w:vAlign w:val="bottom"/>
          </w:tcPr>
          <w:p>
            <w:pPr>
              <w:spacing w:after="0"/>
              <w:rPr>
                <w:sz w:val="24"/>
                <w:szCs w:val="24"/>
                <w:color w:val="auto"/>
              </w:rPr>
            </w:pPr>
          </w:p>
        </w:tc>
        <w:tc>
          <w:tcPr>
            <w:tcW w:w="8180" w:type="dxa"/>
            <w:vAlign w:val="bottom"/>
          </w:tcPr>
          <w:p>
            <w:pPr>
              <w:ind w:left="234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60"/>
          </w:cols>
          <w:pgMar w:left="240" w:top="459" w:right="1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4"/>
        </w:trPr>
        <w:tc>
          <w:tcPr>
            <w:tcW w:w="340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b w:val="1"/>
                <w:bCs w:val="1"/>
                <w:color w:val="auto"/>
              </w:rPr>
              <w:t>Leverage</w:t>
            </w:r>
          </w:p>
        </w:tc>
        <w:tc>
          <w:tcPr>
            <w:tcW w:w="8060" w:type="dxa"/>
            <w:vAlign w:val="bottom"/>
            <w:tcBorders>
              <w:top w:val="single" w:sz="8" w:color="auto"/>
              <w:right w:val="single" w:sz="8" w:color="auto"/>
            </w:tcBorders>
          </w:tcPr>
          <w:p>
            <w:pPr>
              <w:ind w:left="1000"/>
              <w:spacing w:after="0"/>
              <w:rPr>
                <w:sz w:val="20"/>
                <w:szCs w:val="20"/>
                <w:color w:val="auto"/>
              </w:rPr>
            </w:pPr>
            <w:r>
              <w:rPr>
                <w:rFonts w:ascii="Arial" w:cs="Arial" w:eastAsia="Arial" w:hAnsi="Arial"/>
                <w:sz w:val="18"/>
                <w:szCs w:val="18"/>
                <w:color w:val="auto"/>
                <w:w w:val="95"/>
              </w:rPr>
              <w:t>As a BDC, we are permitted under the 1940 Act to borrow funds or issue senior securities to</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9"/>
              </w:rPr>
              <w:t>finance a portion of our investments. As a result, we are exposed to the risks of leverage,</w:t>
            </w:r>
          </w:p>
        </w:tc>
      </w:tr>
      <w:tr>
        <w:trPr>
          <w:trHeight w:val="230"/>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which may be considered a speculative investment technique.</w:t>
            </w:r>
          </w:p>
        </w:tc>
      </w:tr>
      <w:tr>
        <w:trPr>
          <w:trHeight w:val="445"/>
        </w:trPr>
        <w:tc>
          <w:tcPr>
            <w:tcW w:w="3400" w:type="dxa"/>
            <w:vAlign w:val="bottom"/>
            <w:tcBorders>
              <w:left w:val="single" w:sz="8" w:color="auto"/>
            </w:tcBorders>
          </w:tcPr>
          <w:p>
            <w:pPr>
              <w:spacing w:after="0"/>
              <w:rPr>
                <w:sz w:val="24"/>
                <w:szCs w:val="24"/>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Leverage increases the potential for gain and loss on amounts invested and, as a result,</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4"/>
              </w:rPr>
              <w:t>increases the risks associated with investing in our securities. With certain limited exceptions,</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we currently are only allowed to borrow amounts, including by issuing debt securities or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5"/>
              </w:rPr>
              <w:t>preferred stock, where our asset coverage, as defined in the 1940 Act, equals at least 200%</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6"/>
              </w:rPr>
              <w:t>after the borrowing. The costs associated with our borrowings, including any increase in the</w:t>
            </w:r>
          </w:p>
        </w:tc>
      </w:tr>
      <w:tr>
        <w:trPr>
          <w:trHeight w:val="230"/>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fees payable to the Adviser, are borne by our stockholders. See “Regulation.”</w:t>
            </w:r>
          </w:p>
        </w:tc>
      </w:tr>
      <w:tr>
        <w:trPr>
          <w:trHeight w:val="445"/>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Dividend Reinvestment Plan</w:t>
            </w: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8"/>
              </w:rPr>
              <w:t>We have adopted a dividend reinvestment plan for our stockholders, which is an “opt out”</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dividend reinvestment plan. Under this plan, if we declare a cash dividend or other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6"/>
              </w:rPr>
              <w:t>distribution, our stockholders who have not elected to “opt out” of our dividend reinvestment</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plan will have their cash distribution automatically reinvested in additional shares of our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5"/>
              </w:rPr>
              <w:t>common stock, rather than receiving the cash distribution. If a stockholder elects to “opt out,”</w:t>
            </w:r>
          </w:p>
        </w:tc>
      </w:tr>
      <w:tr>
        <w:trPr>
          <w:trHeight w:val="230"/>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that stockholder will receive cash dividends or other distributions.</w:t>
            </w:r>
          </w:p>
        </w:tc>
      </w:tr>
      <w:tr>
        <w:trPr>
          <w:trHeight w:val="445"/>
        </w:trPr>
        <w:tc>
          <w:tcPr>
            <w:tcW w:w="3400" w:type="dxa"/>
            <w:vAlign w:val="bottom"/>
            <w:tcBorders>
              <w:left w:val="single" w:sz="8" w:color="auto"/>
            </w:tcBorders>
          </w:tcPr>
          <w:p>
            <w:pPr>
              <w:spacing w:after="0"/>
              <w:rPr>
                <w:sz w:val="24"/>
                <w:szCs w:val="24"/>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5"/>
              </w:rPr>
              <w:t>Stockholders who receive dividends and other distributions in the form of shares of common</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6"/>
              </w:rPr>
              <w:t>stock generally are subject to the same U.S. federal tax consequences as stockholders who</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elect to receive their distributions in cash; however, since their cash dividends will be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4"/>
              </w:rPr>
              <w:t>reinvested, those stockholders will not receive cash with which to pay any applicable taxes on</w:t>
            </w:r>
          </w:p>
        </w:tc>
      </w:tr>
      <w:tr>
        <w:trPr>
          <w:trHeight w:val="230"/>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reinvested dividends. See “Dividend Reinvestment Plan.”</w:t>
            </w:r>
          </w:p>
        </w:tc>
      </w:tr>
      <w:tr>
        <w:trPr>
          <w:trHeight w:val="445"/>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Management Arrangements</w:t>
            </w: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5"/>
              </w:rPr>
              <w:t>Our Adviser serves as our investment adviser and our administrator. For a description of our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4"/>
              </w:rPr>
              <w:t>Adviser and TPG and our contractual arrangements with these companies, see “Management</w:t>
            </w:r>
          </w:p>
        </w:tc>
      </w:tr>
      <w:tr>
        <w:trPr>
          <w:trHeight w:val="230"/>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and Other Agreements.”</w:t>
            </w:r>
          </w:p>
        </w:tc>
      </w:tr>
      <w:tr>
        <w:trPr>
          <w:trHeight w:val="445"/>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Trading at a Discount</w:t>
            </w: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3"/>
              </w:rPr>
              <w:t>Shares of closed-end investment companies, including BDCs, frequently trade at a discount to</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4"/>
              </w:rPr>
              <w:t>their net asset value. We are not generally able to issue and sell our common stock at a price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below our net asset value per share except (a) in connection with a rights offering to our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existing stockholders, (b) with the prior approval of the majority of our outstanding voting</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8"/>
              </w:rPr>
              <w:t>securities or (c) under such other circumstances as the SEC may permit. The risk that our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3"/>
              </w:rPr>
              <w:t>shares may trade at a discount to our net asset value is separate and distinct from the risk that</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6"/>
              </w:rPr>
              <w:t>our net asset value per share may decline. We cannot predict whether our shares will trade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3"/>
              </w:rPr>
              <w:t>above, at or below net asset value. See “Risk Factors—Risks Related to Offerings Pursuant to</w:t>
            </w:r>
          </w:p>
        </w:tc>
      </w:tr>
      <w:tr>
        <w:trPr>
          <w:trHeight w:val="230"/>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This Prospectus.”</w:t>
            </w:r>
          </w:p>
        </w:tc>
      </w:tr>
      <w:tr>
        <w:trPr>
          <w:trHeight w:val="159"/>
        </w:trPr>
        <w:tc>
          <w:tcPr>
            <w:tcW w:w="3400" w:type="dxa"/>
            <w:vAlign w:val="bottom"/>
            <w:tcBorders>
              <w:left w:val="single" w:sz="8" w:color="auto"/>
              <w:bottom w:val="single" w:sz="8" w:color="auto"/>
            </w:tcBorders>
          </w:tcPr>
          <w:p>
            <w:pPr>
              <w:spacing w:after="0"/>
              <w:rPr>
                <w:sz w:val="13"/>
                <w:szCs w:val="13"/>
                <w:color w:val="auto"/>
              </w:rPr>
            </w:pPr>
          </w:p>
        </w:tc>
        <w:tc>
          <w:tcPr>
            <w:tcW w:w="8060" w:type="dxa"/>
            <w:vAlign w:val="bottom"/>
            <w:tcBorders>
              <w:bottom w:val="single" w:sz="8" w:color="auto"/>
              <w:right w:val="single" w:sz="8" w:color="auto"/>
            </w:tcBorders>
          </w:tcPr>
          <w:p>
            <w:pPr>
              <w:spacing w:after="0"/>
              <w:rPr>
                <w:sz w:val="13"/>
                <w:szCs w:val="13"/>
                <w:color w:val="auto"/>
              </w:rPr>
            </w:pPr>
          </w:p>
        </w:tc>
      </w:tr>
      <w:tr>
        <w:trPr>
          <w:trHeight w:val="361"/>
        </w:trPr>
        <w:tc>
          <w:tcPr>
            <w:tcW w:w="3400" w:type="dxa"/>
            <w:vAlign w:val="bottom"/>
          </w:tcPr>
          <w:p>
            <w:pPr>
              <w:spacing w:after="0"/>
              <w:rPr>
                <w:sz w:val="24"/>
                <w:szCs w:val="24"/>
                <w:color w:val="auto"/>
              </w:rPr>
            </w:pPr>
          </w:p>
        </w:tc>
        <w:tc>
          <w:tcPr>
            <w:tcW w:w="8060" w:type="dxa"/>
            <w:vAlign w:val="bottom"/>
          </w:tcPr>
          <w:p>
            <w:pPr>
              <w:ind w:left="222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60"/>
          </w:cols>
          <w:pgMar w:left="240" w:top="459" w:right="1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4"/>
        </w:trPr>
        <w:tc>
          <w:tcPr>
            <w:tcW w:w="314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b w:val="1"/>
                <w:bCs w:val="1"/>
                <w:color w:val="auto"/>
              </w:rPr>
              <w:t>Available Information</w:t>
            </w:r>
          </w:p>
        </w:tc>
        <w:tc>
          <w:tcPr>
            <w:tcW w:w="8320" w:type="dxa"/>
            <w:vAlign w:val="bottom"/>
            <w:tcBorders>
              <w:top w:val="single" w:sz="8" w:color="auto"/>
              <w:right w:val="single" w:sz="8" w:color="auto"/>
            </w:tcBorders>
          </w:tcPr>
          <w:p>
            <w:pPr>
              <w:ind w:left="1260"/>
              <w:spacing w:after="0"/>
              <w:rPr>
                <w:sz w:val="20"/>
                <w:szCs w:val="20"/>
                <w:color w:val="auto"/>
              </w:rPr>
            </w:pPr>
            <w:r>
              <w:rPr>
                <w:rFonts w:ascii="Arial" w:cs="Arial" w:eastAsia="Arial" w:hAnsi="Arial"/>
                <w:sz w:val="18"/>
                <w:szCs w:val="18"/>
                <w:color w:val="auto"/>
                <w:w w:val="93"/>
              </w:rPr>
              <w:t>We have filed with the SEC a registration statement on Form N-2, of which this prospectus is a</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9"/>
              </w:rPr>
              <w:t>part, under the Securities Act. This registration statement contains additional information</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rPr>
              <w:t>about us and the securities being offered by this prospectus. We are also required to file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6"/>
              </w:rPr>
              <w:t>periodic reports, current reports, proxy statements and other information with the SEC. This</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4"/>
              </w:rPr>
              <w:t>information is available at the SEC’s public reference room at 100 F Street, N.E., Washington,</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5"/>
              </w:rPr>
              <w:t>D.C. 20549 and on the SEC’s website at http://www.sec.gov</w:t>
            </w:r>
            <w:r>
              <w:rPr>
                <w:rFonts w:ascii="Arial" w:cs="Arial" w:eastAsia="Arial" w:hAnsi="Arial"/>
                <w:sz w:val="18"/>
                <w:szCs w:val="18"/>
                <w:i w:val="1"/>
                <w:iCs w:val="1"/>
                <w:color w:val="auto"/>
                <w:w w:val="95"/>
              </w:rPr>
              <w:t>.</w:t>
            </w:r>
            <w:r>
              <w:rPr>
                <w:rFonts w:ascii="Arial" w:cs="Arial" w:eastAsia="Arial" w:hAnsi="Arial"/>
                <w:sz w:val="18"/>
                <w:szCs w:val="18"/>
                <w:color w:val="auto"/>
                <w:w w:val="95"/>
              </w:rPr>
              <w:t xml:space="preserve"> Information on the operation of</w:t>
            </w:r>
          </w:p>
        </w:tc>
      </w:tr>
      <w:tr>
        <w:trPr>
          <w:trHeight w:val="230"/>
        </w:trPr>
        <w:tc>
          <w:tcPr>
            <w:tcW w:w="3140" w:type="dxa"/>
            <w:vAlign w:val="bottom"/>
            <w:tcBorders>
              <w:left w:val="single" w:sz="8" w:color="auto"/>
            </w:tcBorders>
          </w:tcPr>
          <w:p>
            <w:pPr>
              <w:spacing w:after="0"/>
              <w:rPr>
                <w:sz w:val="20"/>
                <w:szCs w:val="20"/>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6"/>
              </w:rPr>
              <w:t>the SEC’s public reference room may be obtained by calling the SEC at 1 (800) SEC-0330.</w:t>
            </w:r>
          </w:p>
        </w:tc>
      </w:tr>
      <w:tr>
        <w:trPr>
          <w:trHeight w:val="445"/>
        </w:trPr>
        <w:tc>
          <w:tcPr>
            <w:tcW w:w="3140" w:type="dxa"/>
            <w:vAlign w:val="bottom"/>
            <w:tcBorders>
              <w:left w:val="single" w:sz="8" w:color="auto"/>
            </w:tcBorders>
          </w:tcPr>
          <w:p>
            <w:pPr>
              <w:spacing w:after="0"/>
              <w:rPr>
                <w:sz w:val="24"/>
                <w:szCs w:val="24"/>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3"/>
              </w:rPr>
              <w:t>We maintain a website at http://www.tpgspecialtylending.com and make all of our periodic and</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3"/>
              </w:rPr>
              <w:t>current reports, proxy statements and other information available, free of charge, on or through</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4"/>
              </w:rPr>
              <w:t>our website. Information on our website is not incorporated into or part of this prospectus. You</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6"/>
              </w:rPr>
              <w:t>may also obtain such information free of charge by contacting us in writing at 345 California</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rPr>
              <w:t>Street, Suite 3300, San Francisco, CA 94104, Attention: TSLX Investor Relations, or by</w:t>
            </w:r>
          </w:p>
        </w:tc>
      </w:tr>
      <w:tr>
        <w:trPr>
          <w:trHeight w:val="230"/>
        </w:trPr>
        <w:tc>
          <w:tcPr>
            <w:tcW w:w="3140" w:type="dxa"/>
            <w:vAlign w:val="bottom"/>
            <w:tcBorders>
              <w:left w:val="single" w:sz="8" w:color="auto"/>
            </w:tcBorders>
          </w:tcPr>
          <w:p>
            <w:pPr>
              <w:spacing w:after="0"/>
              <w:rPr>
                <w:sz w:val="20"/>
                <w:szCs w:val="20"/>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rPr>
              <w:t>emailing us at IRTSL@tpg.com.</w:t>
            </w:r>
          </w:p>
        </w:tc>
      </w:tr>
      <w:tr>
        <w:trPr>
          <w:trHeight w:val="159"/>
        </w:trPr>
        <w:tc>
          <w:tcPr>
            <w:tcW w:w="3140" w:type="dxa"/>
            <w:vAlign w:val="bottom"/>
            <w:tcBorders>
              <w:left w:val="single" w:sz="8" w:color="auto"/>
              <w:bottom w:val="single" w:sz="8" w:color="auto"/>
            </w:tcBorders>
          </w:tcPr>
          <w:p>
            <w:pPr>
              <w:spacing w:after="0"/>
              <w:rPr>
                <w:sz w:val="13"/>
                <w:szCs w:val="13"/>
                <w:color w:val="auto"/>
              </w:rPr>
            </w:pPr>
          </w:p>
        </w:tc>
        <w:tc>
          <w:tcPr>
            <w:tcW w:w="8320" w:type="dxa"/>
            <w:vAlign w:val="bottom"/>
            <w:tcBorders>
              <w:bottom w:val="single" w:sz="8" w:color="auto"/>
              <w:right w:val="single" w:sz="8" w:color="auto"/>
            </w:tcBorders>
          </w:tcPr>
          <w:p>
            <w:pPr>
              <w:spacing w:after="0"/>
              <w:rPr>
                <w:sz w:val="13"/>
                <w:szCs w:val="13"/>
                <w:color w:val="auto"/>
              </w:rPr>
            </w:pPr>
          </w:p>
        </w:tc>
      </w:tr>
      <w:tr>
        <w:trPr>
          <w:trHeight w:val="361"/>
        </w:trPr>
        <w:tc>
          <w:tcPr>
            <w:tcW w:w="3140" w:type="dxa"/>
            <w:vAlign w:val="bottom"/>
          </w:tcPr>
          <w:p>
            <w:pPr>
              <w:spacing w:after="0"/>
              <w:rPr>
                <w:sz w:val="24"/>
                <w:szCs w:val="24"/>
                <w:color w:val="auto"/>
              </w:rPr>
            </w:pPr>
          </w:p>
        </w:tc>
        <w:tc>
          <w:tcPr>
            <w:tcW w:w="8320" w:type="dxa"/>
            <w:vAlign w:val="bottom"/>
          </w:tcPr>
          <w:p>
            <w:pPr>
              <w:ind w:left="248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460"/>
          </w:cols>
          <w:pgMar w:left="240" w:top="459" w:right="1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213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6465" cy="53213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left="200" w:firstLine="443"/>
        <w:spacing w:after="0" w:line="271" w:lineRule="auto"/>
        <w:rPr>
          <w:sz w:val="20"/>
          <w:szCs w:val="20"/>
          <w:color w:val="auto"/>
        </w:rPr>
      </w:pPr>
      <w:r>
        <w:rPr>
          <w:rFonts w:ascii="Arial" w:cs="Arial" w:eastAsia="Arial" w:hAnsi="Arial"/>
          <w:sz w:val="17"/>
          <w:szCs w:val="17"/>
          <w:color w:val="auto"/>
        </w:rPr>
        <w:t>The following table is intended to assist you in understanding the costs and expenses that an investor in our common stock will bear directly or indirectly in the twelve months after the date of this prospectus, based on the assumptions set forth below. We caution you that some of the percentages indicated in the table below are estimates and may vary. The following table should not be considered a representation of our future expenses, which may be greater or less than shown. Future expenses will depend on many factors, including our use of leverage, which may vary periodically depending on market conditions, our portfolio composition and our Adviser’s assessment of risks and returns. However, our total borrowings are limited so that our asset coverage ratio cannot fall below 200%, as defined in the 1940 Act. Except where the context suggests otherwise, whenever this prospectus contains a reference to fees or expenses paid by “us,” the “Company” or “TPG Specialty Lending” or says that “we” will pay fees or expenses, stockholders will indirectly bear these fees or expenses as investors in TPG Specialty Lending, Inc.</w:t>
      </w:r>
    </w:p>
    <w:p>
      <w:pPr>
        <w:spacing w:after="0" w:line="220"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Sales load</w:t>
            </w: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(1)</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(2)</w:t>
            </w: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Dividend reinvestment plan expenses</w:t>
            </w: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None</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net assets attributable to common stock):</w:t>
            </w:r>
            <w:r>
              <w:rPr>
                <w:rFonts w:ascii="Arial" w:cs="Arial" w:eastAsia="Arial" w:hAnsi="Arial"/>
                <w:sz w:val="15"/>
                <w:szCs w:val="15"/>
                <w:b w:val="1"/>
                <w:bCs w:val="1"/>
                <w:color w:val="auto"/>
              </w:rPr>
              <w:t>(4)</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Management Fee payable under the Investment Advisory Agreement</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2.19%</w:t>
            </w:r>
            <w:r>
              <w:rPr>
                <w:rFonts w:ascii="Arial" w:cs="Arial" w:eastAsia="Arial" w:hAnsi="Arial"/>
                <w:sz w:val="15"/>
                <w:szCs w:val="15"/>
                <w:color w:val="auto"/>
                <w:w w:val="92"/>
              </w:rPr>
              <w:t>(5)</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Incentive Fee payable under the Investment Advisory Agreement</w:t>
            </w:r>
          </w:p>
        </w:tc>
        <w:tc>
          <w:tcPr>
            <w:tcW w:w="8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2.56%</w:t>
            </w:r>
            <w:r>
              <w:rPr>
                <w:rFonts w:ascii="Arial" w:cs="Arial" w:eastAsia="Arial" w:hAnsi="Arial"/>
                <w:sz w:val="15"/>
                <w:szCs w:val="15"/>
                <w:color w:val="auto"/>
                <w:w w:val="92"/>
              </w:rPr>
              <w:t>(6)</w:t>
            </w: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1.19%</w:t>
            </w:r>
            <w:r>
              <w:rPr>
                <w:rFonts w:ascii="Arial" w:cs="Arial" w:eastAsia="Arial" w:hAnsi="Arial"/>
                <w:sz w:val="15"/>
                <w:szCs w:val="15"/>
                <w:color w:val="auto"/>
                <w:w w:val="92"/>
              </w:rPr>
              <w:t>(7)</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8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1.21%</w:t>
            </w:r>
            <w:r>
              <w:rPr>
                <w:rFonts w:ascii="Arial" w:cs="Arial" w:eastAsia="Arial" w:hAnsi="Arial"/>
                <w:sz w:val="15"/>
                <w:szCs w:val="15"/>
                <w:color w:val="auto"/>
                <w:w w:val="92"/>
              </w:rPr>
              <w:t>(8)</w:t>
            </w:r>
          </w:p>
        </w:tc>
        <w:tc>
          <w:tcPr>
            <w:tcW w:w="0" w:type="dxa"/>
            <w:vAlign w:val="bottom"/>
          </w:tcPr>
          <w:p>
            <w:pPr>
              <w:spacing w:after="0"/>
              <w:rPr>
                <w:sz w:val="1"/>
                <w:szCs w:val="1"/>
                <w:color w:val="auto"/>
              </w:rPr>
            </w:pPr>
          </w:p>
        </w:tc>
      </w:tr>
      <w:tr>
        <w:trPr>
          <w:trHeight w:val="20"/>
        </w:trPr>
        <w:tc>
          <w:tcPr>
            <w:tcW w:w="9360" w:type="dxa"/>
            <w:vAlign w:val="bottom"/>
            <w:vMerge w:val="restart"/>
          </w:tcPr>
          <w:p>
            <w:pPr>
              <w:spacing w:after="0"/>
              <w:rPr>
                <w:sz w:val="20"/>
                <w:szCs w:val="20"/>
                <w:color w:val="auto"/>
              </w:rPr>
            </w:pPr>
            <w:r>
              <w:rPr>
                <w:rFonts w:ascii="Arial" w:cs="Arial" w:eastAsia="Arial" w:hAnsi="Arial"/>
                <w:sz w:val="18"/>
                <w:szCs w:val="18"/>
                <w:color w:val="auto"/>
              </w:rPr>
              <w:t>Total annual expenses</w:t>
            </w: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360" w:type="dxa"/>
            <w:vAlign w:val="bottom"/>
            <w:vMerge w:val="continue"/>
          </w:tcPr>
          <w:p>
            <w:pPr>
              <w:spacing w:after="0"/>
              <w:rPr>
                <w:sz w:val="19"/>
                <w:szCs w:val="19"/>
                <w:color w:val="auto"/>
              </w:rPr>
            </w:pP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7.15%</w:t>
            </w:r>
            <w:r>
              <w:rPr>
                <w:rFonts w:ascii="Arial" w:cs="Arial" w:eastAsia="Arial" w:hAnsi="Arial"/>
                <w:sz w:val="15"/>
                <w:szCs w:val="15"/>
                <w:color w:val="auto"/>
                <w:w w:val="92"/>
              </w:rPr>
              <w:t>(9)</w:t>
            </w: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20" w:right="360" w:hanging="423"/>
        <w:spacing w:after="0" w:line="258"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a corresponding prospectus supplement will disclose the applicable sales load (underwriting discount or commission).</w:t>
      </w:r>
    </w:p>
    <w:p>
      <w:pPr>
        <w:spacing w:after="0" w:line="1" w:lineRule="exact"/>
        <w:rPr>
          <w:rFonts w:ascii="Arial" w:cs="Arial" w:eastAsia="Arial" w:hAnsi="Arial"/>
          <w:sz w:val="18"/>
          <w:szCs w:val="18"/>
          <w:color w:val="auto"/>
        </w:rPr>
      </w:pPr>
    </w:p>
    <w:p>
      <w:pPr>
        <w:ind w:left="620" w:right="180" w:hanging="423"/>
        <w:spacing w:after="0" w:line="250"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620" w:right="340" w:hanging="423"/>
        <w:spacing w:after="0" w:line="250"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expenses of the dividend reinvestment plan are included in “Other expenses” in the table above. For additional information, see “Dividend Reinvestment Plan.”</w:t>
      </w:r>
    </w:p>
    <w:p>
      <w:pPr>
        <w:ind w:left="620" w:right="980" w:hanging="423"/>
        <w:spacing w:after="0" w:line="250"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net assets attributable to common stock used to calculate the percentages in this table reflect our net assets of $835.4 million as of December 31, 2014.</w:t>
      </w:r>
    </w:p>
    <w:p>
      <w:pPr>
        <w:ind w:left="620" w:right="20" w:hanging="423"/>
        <w:spacing w:after="0" w:line="265" w:lineRule="auto"/>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Management Fee is 1.5% of the average value of our gross assets (including cash and cash equivalents and assets purchased with borrowed amounts) using the values at the end of the two most recently completed calendar quarters, adjusted for any share issuances or repurchases during the period. We may from time to time decide it is appropriate to change the terms of our Investment Advisory Agreement. Under the 1940 Act, any material change to our Investment Advisory Agreement must be submitted to stockholders for approval. See “Management and Other Agreements —Investment Advisory Agreement; Administration Agreement; License Agreement.”</w:t>
      </w:r>
    </w:p>
    <w:p>
      <w:pPr>
        <w:spacing w:after="0" w:line="1" w:lineRule="exact"/>
        <w:rPr>
          <w:rFonts w:ascii="Arial" w:cs="Arial" w:eastAsia="Arial" w:hAnsi="Arial"/>
          <w:sz w:val="17"/>
          <w:szCs w:val="17"/>
          <w:color w:val="auto"/>
        </w:rPr>
      </w:pPr>
    </w:p>
    <w:p>
      <w:pPr>
        <w:ind w:left="620" w:right="140"/>
        <w:spacing w:after="0" w:line="261" w:lineRule="auto"/>
        <w:rPr>
          <w:rFonts w:ascii="Arial" w:cs="Arial" w:eastAsia="Arial" w:hAnsi="Arial"/>
          <w:sz w:val="17"/>
          <w:szCs w:val="17"/>
          <w:color w:val="auto"/>
        </w:rPr>
      </w:pPr>
      <w:r>
        <w:rPr>
          <w:rFonts w:ascii="Arial" w:cs="Arial" w:eastAsia="Arial" w:hAnsi="Arial"/>
          <w:sz w:val="18"/>
          <w:szCs w:val="18"/>
          <w:color w:val="auto"/>
        </w:rPr>
        <w:t>The Management Fee reflected in the table is calculated by determining the ratio that the Management Fee for the year ended December 31, 2014 bears to our net assets attributable to common stock (rather than our gross assets).</w:t>
      </w:r>
    </w:p>
    <w:p>
      <w:pPr>
        <w:spacing w:after="0" w:line="2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60"/>
          </w:cols>
          <w:pgMar w:left="240" w:top="459" w:right="3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102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6465" cy="58102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20" w:right="320" w:hanging="423"/>
        <w:spacing w:after="0" w:line="302" w:lineRule="auto"/>
        <w:tabs>
          <w:tab w:leader="none" w:pos="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may have capital gains and interest income that could result in the payment of an Incentive Fee to the Adviser in the twelve months after the date of this prospectus. The Incentive Fee payable in the example below is based upon our actual results for the year ended December 31, 2014 as if they had occurred following our initial public offering, or IPO, and assumes that the Incentive Fee is 17.5% for all relevant periods. However, the Incentive Fee payable to the Adviser is based on our performance and will not be paid unless we achieve certain goals.</w:t>
      </w:r>
    </w:p>
    <w:p>
      <w:pPr>
        <w:spacing w:after="0" w:line="59"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8"/>
          <w:szCs w:val="18"/>
          <w:color w:val="auto"/>
        </w:rPr>
        <w:t>The Incentive Fee consists of two parts:</w:t>
      </w:r>
    </w:p>
    <w:p>
      <w:pPr>
        <w:spacing w:after="0" w:line="130" w:lineRule="exact"/>
        <w:rPr>
          <w:rFonts w:ascii="Arial" w:cs="Arial" w:eastAsia="Arial" w:hAnsi="Arial"/>
          <w:sz w:val="16"/>
          <w:szCs w:val="16"/>
          <w:color w:val="auto"/>
        </w:rPr>
      </w:pPr>
    </w:p>
    <w:p>
      <w:pPr>
        <w:ind w:left="620" w:right="240"/>
        <w:spacing w:after="0" w:line="259" w:lineRule="auto"/>
        <w:rPr>
          <w:rFonts w:ascii="Arial" w:cs="Arial" w:eastAsia="Arial" w:hAnsi="Arial"/>
          <w:sz w:val="16"/>
          <w:szCs w:val="16"/>
          <w:color w:val="auto"/>
        </w:rPr>
      </w:pPr>
      <w:r>
        <w:rPr>
          <w:rFonts w:ascii="Arial" w:cs="Arial" w:eastAsia="Arial" w:hAnsi="Arial"/>
          <w:sz w:val="18"/>
          <w:szCs w:val="18"/>
          <w:color w:val="auto"/>
        </w:rPr>
        <w:t>The first component, payable at the end of each quarter in arrears, equals 100% of the pre-Incentive Fee net investment income in excess of a 1.5% quarterly “hurdle rate” until the Adviser has received 17.5% of the total pre-Incentive Fee net investment income for that quarter and, for pre-Incentive Fee net investment income in excess of 1.82% quarterly, 17.5% of all remaining pre-Incentive Fee net investment income for that quarter.</w:t>
      </w:r>
    </w:p>
    <w:p>
      <w:pPr>
        <w:spacing w:after="0" w:line="92" w:lineRule="exact"/>
        <w:rPr>
          <w:rFonts w:ascii="Arial" w:cs="Arial" w:eastAsia="Arial" w:hAnsi="Arial"/>
          <w:sz w:val="16"/>
          <w:szCs w:val="16"/>
          <w:color w:val="auto"/>
        </w:rPr>
      </w:pPr>
    </w:p>
    <w:p>
      <w:pPr>
        <w:ind w:left="620" w:right="240"/>
        <w:spacing w:after="0" w:line="297" w:lineRule="auto"/>
        <w:rPr>
          <w:rFonts w:ascii="Arial" w:cs="Arial" w:eastAsia="Arial" w:hAnsi="Arial"/>
          <w:sz w:val="16"/>
          <w:szCs w:val="16"/>
          <w:color w:val="auto"/>
        </w:rPr>
      </w:pPr>
      <w:r>
        <w:rPr>
          <w:rFonts w:ascii="Arial" w:cs="Arial" w:eastAsia="Arial" w:hAnsi="Arial"/>
          <w:sz w:val="16"/>
          <w:szCs w:val="16"/>
          <w:color w:val="auto"/>
        </w:rPr>
        <w:t>The second component, which we refer to as the Capital Gains Incentive Fee, payable at the end of each fiscal year in arrears, equaled 15% through March 31, 2014, and beginning April 1, 2014, equals a weighted percentage of cumulative realized capital gains from our inception to the end of that fiscal year, less cumulative realized capital losses and unrealized capital depreciation and net of the aggregate amount of any previously paid Capital Gains Incentive Fee for prior periods. We accrue, but do not pay, a Capital Gains Incentive Fee with respect to unrealized appreciation because a Capital Gains Incentive Fee would be owed to the Adviser if we were to sell the relevant investment and realize a capital gain.</w:t>
      </w:r>
    </w:p>
    <w:p>
      <w:pPr>
        <w:spacing w:after="0" w:line="63"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8"/>
          <w:szCs w:val="18"/>
          <w:color w:val="auto"/>
        </w:rPr>
        <w:t>See “Management and Other Agreements—Investment Advisory Agreement; Administration Agreement; License Agreement.”</w:t>
      </w:r>
    </w:p>
    <w:p>
      <w:pPr>
        <w:spacing w:after="0" w:line="130" w:lineRule="exact"/>
        <w:rPr>
          <w:rFonts w:ascii="Arial" w:cs="Arial" w:eastAsia="Arial" w:hAnsi="Arial"/>
          <w:sz w:val="16"/>
          <w:szCs w:val="16"/>
          <w:color w:val="auto"/>
        </w:rPr>
      </w:pPr>
    </w:p>
    <w:p>
      <w:pPr>
        <w:ind w:left="620" w:right="320" w:hanging="423"/>
        <w:spacing w:after="0" w:line="253"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payments on borrowed funds is based on our interest expense for the year ended December 31, 2014 under our credit facilities excluding fees (such as fees on undrawn amounts and amortization of upfront fees), and including the swap-adjusted interest expense related to our Convertible Senior Notes due 2019, or the Convertible Senior Notes.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Our stockholders indirectly bear the costs of borrowings under any debt instruments we may enter into.</w:t>
      </w:r>
    </w:p>
    <w:p>
      <w:pPr>
        <w:spacing w:after="0" w:line="1" w:lineRule="exact"/>
        <w:rPr>
          <w:rFonts w:ascii="Arial" w:cs="Arial" w:eastAsia="Arial" w:hAnsi="Arial"/>
          <w:sz w:val="18"/>
          <w:szCs w:val="18"/>
          <w:color w:val="auto"/>
        </w:rPr>
      </w:pPr>
    </w:p>
    <w:p>
      <w:pPr>
        <w:ind w:left="620" w:right="420" w:hanging="423"/>
        <w:spacing w:after="0" w:line="265" w:lineRule="auto"/>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Includes our overhead expenses, such as payments under the Administration Agreement for certain expenses incurred by the Adviser, and excise taxes. See “Management and Other Agreements—Investment Advisory Agreement; Administration Agreement; License Agreement.” The expenses in this table are based on our actual other expenses and excise taxes for the year ended December 31, 2014.</w:t>
      </w:r>
    </w:p>
    <w:p>
      <w:pPr>
        <w:ind w:left="620" w:hanging="423"/>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Estimated.</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left="200" w:right="200" w:firstLine="443"/>
        <w:spacing w:after="0" w:line="255" w:lineRule="auto"/>
        <w:rPr>
          <w:sz w:val="20"/>
          <w:szCs w:val="20"/>
          <w:color w:val="auto"/>
        </w:rPr>
      </w:pPr>
      <w:r>
        <w:rPr>
          <w:rFonts w:ascii="Arial" w:cs="Arial" w:eastAsia="Arial" w:hAnsi="Arial"/>
          <w:sz w:val="18"/>
          <w:szCs w:val="18"/>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Incentive Fee payable in the example below assumes that the Incentive Fee is 17.5% for all relevant periods. Transaction expenses are not included in the following example. In the event that shares to which this prospectus relates are sold to or through underwriters, a corresponding prospectus supplement will restate this example to reflect the applicable sales load and offering expenses.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1 year</w:t>
            </w: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3 years</w:t>
            </w: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5 years</w:t>
            </w: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10 years</w:t>
            </w:r>
          </w:p>
        </w:tc>
      </w:tr>
      <w:tr>
        <w:trPr>
          <w:trHeight w:val="182"/>
        </w:trPr>
        <w:tc>
          <w:tcPr>
            <w:tcW w:w="200" w:type="dxa"/>
            <w:vAlign w:val="bottom"/>
          </w:tcPr>
          <w:p>
            <w:pPr>
              <w:spacing w:after="0"/>
              <w:rPr>
                <w:sz w:val="15"/>
                <w:szCs w:val="15"/>
                <w:color w:val="auto"/>
              </w:rPr>
            </w:pPr>
          </w:p>
        </w:tc>
        <w:tc>
          <w:tcPr>
            <w:tcW w:w="7960" w:type="dxa"/>
            <w:vAlign w:val="bottom"/>
            <w:tcBorders>
              <w:top w:val="single" w:sz="8" w:color="CCEEFF"/>
            </w:tcBorders>
            <w:shd w:val="clear" w:color="auto" w:fill="CCEEFF"/>
          </w:tcPr>
          <w:p>
            <w:pPr>
              <w:jc w:val="right"/>
              <w:ind w:right="550"/>
              <w:spacing w:after="0" w:line="182" w:lineRule="exact"/>
              <w:rPr>
                <w:sz w:val="20"/>
                <w:szCs w:val="20"/>
                <w:color w:val="auto"/>
              </w:rPr>
            </w:pPr>
            <w:r>
              <w:rPr>
                <w:rFonts w:ascii="Arial" w:cs="Arial" w:eastAsia="Arial" w:hAnsi="Arial"/>
                <w:sz w:val="18"/>
                <w:szCs w:val="18"/>
                <w:color w:val="auto"/>
                <w:w w:val="90"/>
              </w:rPr>
              <w:t>You would pay the following expenses on a $1,000 common stock investment, assuming a 5% annual</w:t>
            </w:r>
          </w:p>
        </w:tc>
        <w:tc>
          <w:tcPr>
            <w:tcW w:w="5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0" w:type="dxa"/>
            <w:vAlign w:val="bottom"/>
          </w:tcPr>
          <w:p>
            <w:pPr>
              <w:spacing w:after="0"/>
              <w:rPr>
                <w:sz w:val="15"/>
                <w:szCs w:val="15"/>
                <w:color w:val="auto"/>
              </w:rPr>
            </w:pPr>
          </w:p>
        </w:tc>
      </w:tr>
      <w:tr>
        <w:trPr>
          <w:trHeight w:val="230"/>
        </w:trPr>
        <w:tc>
          <w:tcPr>
            <w:tcW w:w="200" w:type="dxa"/>
            <w:vAlign w:val="bottom"/>
          </w:tcPr>
          <w:p>
            <w:pPr>
              <w:spacing w:after="0"/>
              <w:rPr>
                <w:sz w:val="20"/>
                <w:szCs w:val="20"/>
                <w:color w:val="auto"/>
              </w:rPr>
            </w:pPr>
          </w:p>
        </w:tc>
        <w:tc>
          <w:tcPr>
            <w:tcW w:w="7960" w:type="dxa"/>
            <w:vAlign w:val="bottom"/>
            <w:shd w:val="clear" w:color="auto" w:fill="CCEEFF"/>
          </w:tcPr>
          <w:p>
            <w:pPr>
              <w:jc w:val="right"/>
              <w:ind w:right="5290"/>
              <w:spacing w:after="0"/>
              <w:rPr>
                <w:sz w:val="20"/>
                <w:szCs w:val="20"/>
                <w:color w:val="auto"/>
              </w:rPr>
            </w:pPr>
            <w:r>
              <w:rPr>
                <w:rFonts w:ascii="Arial" w:cs="Arial" w:eastAsia="Arial" w:hAnsi="Arial"/>
                <w:sz w:val="18"/>
                <w:szCs w:val="18"/>
                <w:color w:val="auto"/>
                <w:w w:val="98"/>
              </w:rPr>
              <w:t>return from realized capital gains</w:t>
            </w:r>
          </w:p>
        </w:tc>
        <w:tc>
          <w:tcPr>
            <w:tcW w:w="5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96"/>
              </w:rPr>
              <w:t>$ 72</w:t>
            </w: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93"/>
              </w:rPr>
              <w:t>$ 210</w:t>
            </w: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97"/>
              </w:rPr>
              <w:t>$ 343</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w w:val="93"/>
              </w:rPr>
              <w:t>$ 650</w:t>
            </w:r>
          </w:p>
        </w:tc>
        <w:tc>
          <w:tcPr>
            <w:tcW w:w="200" w:type="dxa"/>
            <w:vAlign w:val="bottom"/>
          </w:tcPr>
          <w:p>
            <w:pPr>
              <w:spacing w:after="0"/>
              <w:rPr>
                <w:sz w:val="20"/>
                <w:szCs w:val="20"/>
                <w:color w:val="auto"/>
              </w:rPr>
            </w:pPr>
          </w:p>
        </w:tc>
      </w:tr>
      <w:tr>
        <w:trPr>
          <w:trHeight w:val="159"/>
        </w:trPr>
        <w:tc>
          <w:tcPr>
            <w:tcW w:w="200" w:type="dxa"/>
            <w:vAlign w:val="bottom"/>
            <w:tcBorders>
              <w:bottom w:val="single" w:sz="8" w:color="auto"/>
            </w:tcBorders>
          </w:tcPr>
          <w:p>
            <w:pPr>
              <w:spacing w:after="0"/>
              <w:rPr>
                <w:sz w:val="13"/>
                <w:szCs w:val="13"/>
                <w:color w:val="auto"/>
              </w:rPr>
            </w:pPr>
          </w:p>
        </w:tc>
        <w:tc>
          <w:tcPr>
            <w:tcW w:w="79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r>
      <w:tr>
        <w:trPr>
          <w:trHeight w:val="361"/>
        </w:trPr>
        <w:tc>
          <w:tcPr>
            <w:tcW w:w="8160" w:type="dxa"/>
            <w:vAlign w:val="bottom"/>
            <w:gridSpan w:val="2"/>
          </w:tcPr>
          <w:p>
            <w:pPr>
              <w:jc w:val="right"/>
              <w:ind w:right="2270"/>
              <w:spacing w:after="0"/>
              <w:rPr>
                <w:sz w:val="20"/>
                <w:szCs w:val="20"/>
                <w:color w:val="auto"/>
              </w:rPr>
            </w:pPr>
            <w:r>
              <w:rPr>
                <w:rFonts w:ascii="Arial" w:cs="Arial" w:eastAsia="Arial" w:hAnsi="Arial"/>
                <w:sz w:val="18"/>
                <w:szCs w:val="18"/>
                <w:color w:val="auto"/>
              </w:rPr>
              <w:t>16</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1564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6465" cy="21564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69" w:lineRule="auto"/>
        <w:rPr>
          <w:sz w:val="20"/>
          <w:szCs w:val="20"/>
          <w:color w:val="auto"/>
        </w:rPr>
      </w:pPr>
      <w:r>
        <w:rPr>
          <w:rFonts w:ascii="Arial" w:cs="Arial" w:eastAsia="Arial" w:hAnsi="Arial"/>
          <w:sz w:val="17"/>
          <w:szCs w:val="17"/>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for additional information regarding our dividend reinvestment plan.</w:t>
      </w:r>
    </w:p>
    <w:p>
      <w:pPr>
        <w:spacing w:after="0" w:line="183" w:lineRule="exact"/>
        <w:rPr>
          <w:sz w:val="20"/>
          <w:szCs w:val="20"/>
          <w:color w:val="auto"/>
        </w:rPr>
      </w:pPr>
    </w:p>
    <w:p>
      <w:pPr>
        <w:ind w:left="200" w:right="80" w:firstLine="443"/>
        <w:spacing w:after="0" w:line="277" w:lineRule="auto"/>
        <w:rPr>
          <w:sz w:val="20"/>
          <w:szCs w:val="20"/>
          <w:color w:val="auto"/>
        </w:rPr>
      </w:pPr>
      <w:r>
        <w:rPr>
          <w:rFonts w:ascii="Arial" w:cs="Arial" w:eastAsia="Arial" w:hAnsi="Arial"/>
          <w:sz w:val="18"/>
          <w:szCs w:val="18"/>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60"/>
          </w:cols>
          <w:pgMar w:left="240" w:top="459" w:right="3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 AND OTHER INFORMATION</w:t>
      </w:r>
    </w:p>
    <w:p>
      <w:pPr>
        <w:spacing w:after="0" w:line="229"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You should read the following selected consolidated historical financial data below in conjunction with the section entitled “Management’s Discussion and Analysis of Financial Condition and Results of Operations” and our consolidated financial statements, related notes and other financial information included in this prospectus. The selected financial data in this section is not intended to replace the consolidated financial statements and is qualified in its entirety by our consolidated financial statements and related notes included in this prospectus.</w:t>
      </w:r>
    </w:p>
    <w:p>
      <w:pPr>
        <w:spacing w:after="0" w:line="17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derived the selected consolidated financial data for the years ended December 31, 2014, 2013 and 2012 from our audited consolidated financial statements and related notes, which are included elsewhere in this prospectus. We derived the selected consolidated financial data for the year ended December 31, 2011 from our audited consolidated financial statements and related notes, which are not included in this prospectus. We derived the selected consolidated financial data for the three months ended March 31, 2015 and March 31, 2014 from our unaudited interim consolidated financial statements and related notes, which are included elsewhere in this prospectus.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March 31,</w:t>
            </w:r>
          </w:p>
        </w:tc>
        <w:tc>
          <w:tcPr>
            <w:tcW w:w="3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March 31,</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Borders>
              <w:top w:val="single" w:sz="8" w:color="auto"/>
            </w:tcBorders>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240" w:type="dxa"/>
            <w:vAlign w:val="bottom"/>
            <w:tcBorders>
              <w:top w:val="single" w:sz="8" w:color="auto"/>
            </w:tcBorders>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80" w:type="dxa"/>
            <w:vAlign w:val="bottom"/>
            <w:tcBorders>
              <w:top w:val="single" w:sz="8" w:color="auto"/>
            </w:tcBorders>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80" w:type="dxa"/>
            <w:vAlign w:val="bottom"/>
            <w:gridSpan w:val="4"/>
          </w:tcPr>
          <w:p>
            <w:pPr>
              <w:spacing w:after="0"/>
              <w:rPr>
                <w:sz w:val="20"/>
                <w:szCs w:val="20"/>
                <w:color w:val="auto"/>
              </w:rPr>
            </w:pPr>
            <w:r>
              <w:rPr>
                <w:rFonts w:ascii="Arial" w:cs="Arial" w:eastAsia="Arial" w:hAnsi="Arial"/>
                <w:sz w:val="14"/>
                <w:szCs w:val="14"/>
                <w:color w:val="auto"/>
              </w:rPr>
              <w:t>($ in millions, except per share amounts)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76"/>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71"/>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center"/>
              <w:ind w:right="112"/>
              <w:spacing w:after="0"/>
              <w:rPr>
                <w:sz w:val="20"/>
                <w:szCs w:val="20"/>
                <w:color w:val="auto"/>
              </w:rPr>
            </w:pPr>
            <w:r>
              <w:rPr>
                <w:rFonts w:ascii="Arial" w:cs="Arial" w:eastAsia="Arial" w:hAnsi="Arial"/>
                <w:sz w:val="14"/>
                <w:szCs w:val="14"/>
                <w:b w:val="1"/>
                <w:bCs w:val="1"/>
                <w:color w:val="auto"/>
                <w:w w:val="89"/>
              </w:rPr>
              <w:t>2014</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center"/>
              <w:ind w:right="114"/>
              <w:spacing w:after="0"/>
              <w:rPr>
                <w:sz w:val="20"/>
                <w:szCs w:val="20"/>
                <w:color w:val="auto"/>
              </w:rPr>
            </w:pPr>
            <w:r>
              <w:rPr>
                <w:rFonts w:ascii="Arial" w:cs="Arial" w:eastAsia="Arial" w:hAnsi="Arial"/>
                <w:sz w:val="14"/>
                <w:szCs w:val="14"/>
                <w:b w:val="1"/>
                <w:bCs w:val="1"/>
                <w:color w:val="auto"/>
                <w:w w:val="96"/>
              </w:rPr>
              <w:t>2013</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center"/>
              <w:ind w:right="172"/>
              <w:spacing w:after="0"/>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center"/>
              <w:ind w:right="132"/>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6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Consolidated Statements of Operations Data:</w:t>
            </w:r>
          </w:p>
        </w:tc>
        <w:tc>
          <w:tcPr>
            <w:tcW w:w="5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Income</w:t>
            </w:r>
          </w:p>
        </w:tc>
        <w:tc>
          <w:tcPr>
            <w:tcW w:w="8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33.5</w:t>
            </w:r>
          </w:p>
        </w:tc>
        <w:tc>
          <w:tcPr>
            <w:tcW w:w="36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163.3</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92.6</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51.0</w:t>
            </w:r>
          </w:p>
        </w:tc>
        <w:tc>
          <w:tcPr>
            <w:tcW w:w="3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b w:val="1"/>
                <w:bCs w:val="1"/>
                <w:color w:val="auto"/>
              </w:rPr>
              <w:t>Expenses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Expenses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57.7</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34.9</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4280" w:type="dxa"/>
            <w:vAlign w:val="bottom"/>
            <w:gridSpan w:val="4"/>
          </w:tcPr>
          <w:p>
            <w:pPr>
              <w:spacing w:after="0"/>
              <w:rPr>
                <w:sz w:val="20"/>
                <w:szCs w:val="20"/>
                <w:color w:val="auto"/>
              </w:rPr>
            </w:pPr>
            <w:r>
              <w:rPr>
                <w:rFonts w:ascii="Arial" w:cs="Arial" w:eastAsia="Arial" w:hAnsi="Arial"/>
                <w:sz w:val="18"/>
                <w:szCs w:val="18"/>
                <w:color w:val="auto"/>
              </w:rPr>
              <w:t>Net Investment Income (Loss) Before Income Taxes</w:t>
            </w: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jc w:val="right"/>
              <w:ind w:right="49"/>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300" w:type="dxa"/>
            <w:vAlign w:val="bottom"/>
          </w:tcPr>
          <w:p>
            <w:pPr>
              <w:spacing w:after="0"/>
              <w:rPr>
                <w:sz w:val="19"/>
                <w:szCs w:val="19"/>
                <w:color w:val="auto"/>
              </w:rPr>
            </w:pPr>
          </w:p>
        </w:tc>
        <w:tc>
          <w:tcPr>
            <w:tcW w:w="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320" w:type="dxa"/>
            <w:vAlign w:val="bottom"/>
          </w:tcPr>
          <w:p>
            <w:pPr>
              <w:spacing w:after="0"/>
              <w:rPr>
                <w:sz w:val="19"/>
                <w:szCs w:val="19"/>
                <w:color w:val="auto"/>
              </w:rPr>
            </w:pPr>
          </w:p>
        </w:tc>
        <w:tc>
          <w:tcPr>
            <w:tcW w:w="260" w:type="dxa"/>
            <w:vAlign w:val="bottom"/>
            <w:tcBorders>
              <w:top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Investment Income (Loss)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104.4</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57.5</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Total Net Change in Unrealized Gain (Loss)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Net Realized Gain (Loss)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80" w:type="dxa"/>
            <w:vAlign w:val="bottom"/>
            <w:gridSpan w:val="4"/>
            <w:vMerge w:val="restart"/>
          </w:tcPr>
          <w:p>
            <w:pPr>
              <w:spacing w:after="0"/>
              <w:rPr>
                <w:sz w:val="20"/>
                <w:szCs w:val="20"/>
                <w:color w:val="auto"/>
              </w:rPr>
            </w:pPr>
            <w:r>
              <w:rPr>
                <w:rFonts w:ascii="Arial" w:cs="Arial" w:eastAsia="Arial" w:hAnsi="Arial"/>
                <w:sz w:val="18"/>
                <w:szCs w:val="18"/>
                <w:color w:val="auto"/>
              </w:rPr>
              <w:t>Increase in Net Assets Resulting from Operations</w:t>
            </w: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gridSpan w:val="4"/>
            <w:vMerge w:val="continue"/>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24.5</w:t>
            </w:r>
          </w:p>
        </w:tc>
        <w:tc>
          <w:tcPr>
            <w:tcW w:w="3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25.3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ind w:right="49"/>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85.0</w:t>
            </w:r>
          </w:p>
        </w:tc>
        <w:tc>
          <w:tcPr>
            <w:tcW w:w="3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67.0</w:t>
            </w:r>
          </w:p>
        </w:tc>
        <w:tc>
          <w:tcPr>
            <w:tcW w:w="320" w:type="dxa"/>
            <w:vAlign w:val="bottom"/>
          </w:tcPr>
          <w:p>
            <w:pPr>
              <w:spacing w:after="0"/>
              <w:rPr>
                <w:sz w:val="18"/>
                <w:szCs w:val="18"/>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ind w:right="2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Earnings per common share—basic and diluted</w:t>
            </w:r>
            <w:r>
              <w:rPr>
                <w:rFonts w:ascii="Arial" w:cs="Arial" w:eastAsia="Arial" w:hAnsi="Arial"/>
                <w:sz w:val="15"/>
                <w:szCs w:val="15"/>
                <w:color w:val="auto"/>
              </w:rPr>
              <w:t>(1)(2)</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0.61</w:t>
            </w:r>
          </w:p>
        </w:tc>
        <w:tc>
          <w:tcPr>
            <w:tcW w:w="36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1.93</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w:t>
            </w:r>
          </w:p>
        </w:tc>
        <w:tc>
          <w:tcPr>
            <w:tcW w:w="3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4"/>
          </w:tcPr>
          <w:p>
            <w:pPr>
              <w:jc w:val="center"/>
              <w:ind w:right="11"/>
              <w:spacing w:after="0" w:line="119" w:lineRule="exact"/>
              <w:rPr>
                <w:sz w:val="20"/>
                <w:szCs w:val="20"/>
                <w:color w:val="auto"/>
              </w:rPr>
            </w:pPr>
            <w:r>
              <w:rPr>
                <w:rFonts w:ascii="Arial" w:cs="Arial" w:eastAsia="Arial" w:hAnsi="Arial"/>
                <w:sz w:val="13"/>
                <w:szCs w:val="13"/>
                <w:b w:val="1"/>
                <w:bCs w:val="1"/>
                <w:color w:val="auto"/>
              </w:rPr>
              <w:t>March 31,</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Borders>
              <w:top w:val="single" w:sz="8" w:color="auto"/>
            </w:tcBorders>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240" w:type="dxa"/>
            <w:vAlign w:val="bottom"/>
            <w:tcBorders>
              <w:top w:val="single" w:sz="8" w:color="auto"/>
            </w:tcBorders>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80" w:type="dxa"/>
            <w:vAlign w:val="bottom"/>
            <w:tcBorders>
              <w:top w:val="single" w:sz="8" w:color="auto"/>
            </w:tcBorders>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80" w:type="dxa"/>
            <w:vAlign w:val="bottom"/>
            <w:gridSpan w:val="4"/>
          </w:tcPr>
          <w:p>
            <w:pPr>
              <w:spacing w:after="0"/>
              <w:rPr>
                <w:sz w:val="20"/>
                <w:szCs w:val="20"/>
                <w:color w:val="auto"/>
              </w:rPr>
            </w:pPr>
            <w:r>
              <w:rPr>
                <w:rFonts w:ascii="Arial" w:cs="Arial" w:eastAsia="Arial" w:hAnsi="Arial"/>
                <w:sz w:val="14"/>
                <w:szCs w:val="14"/>
                <w:color w:val="auto"/>
              </w:rPr>
              <w:t>($ in millions, except per share amounts)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jc w:val="center"/>
              <w:spacing w:after="0"/>
              <w:rPr>
                <w:sz w:val="20"/>
                <w:szCs w:val="20"/>
                <w:color w:val="auto"/>
              </w:rPr>
            </w:pPr>
            <w:r>
              <w:rPr>
                <w:rFonts w:ascii="Arial" w:cs="Arial" w:eastAsia="Arial" w:hAnsi="Arial"/>
                <w:sz w:val="14"/>
                <w:szCs w:val="14"/>
                <w:b w:val="1"/>
                <w:bCs w:val="1"/>
                <w:color w:val="auto"/>
                <w:w w:val="89"/>
              </w:rPr>
              <w:t>2015</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center"/>
              <w:ind w:right="112"/>
              <w:spacing w:after="0"/>
              <w:rPr>
                <w:sz w:val="20"/>
                <w:szCs w:val="20"/>
                <w:color w:val="auto"/>
              </w:rPr>
            </w:pPr>
            <w:r>
              <w:rPr>
                <w:rFonts w:ascii="Arial" w:cs="Arial" w:eastAsia="Arial" w:hAnsi="Arial"/>
                <w:sz w:val="14"/>
                <w:szCs w:val="14"/>
                <w:b w:val="1"/>
                <w:bCs w:val="1"/>
                <w:color w:val="auto"/>
                <w:w w:val="89"/>
              </w:rPr>
              <w:t>2014</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center"/>
              <w:ind w:right="114"/>
              <w:spacing w:after="0"/>
              <w:rPr>
                <w:sz w:val="20"/>
                <w:szCs w:val="20"/>
                <w:color w:val="auto"/>
              </w:rPr>
            </w:pPr>
            <w:r>
              <w:rPr>
                <w:rFonts w:ascii="Arial" w:cs="Arial" w:eastAsia="Arial" w:hAnsi="Arial"/>
                <w:sz w:val="14"/>
                <w:szCs w:val="14"/>
                <w:b w:val="1"/>
                <w:bCs w:val="1"/>
                <w:color w:val="auto"/>
                <w:w w:val="96"/>
              </w:rPr>
              <w:t>2013</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center"/>
              <w:ind w:right="172"/>
              <w:spacing w:after="0"/>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center"/>
              <w:ind w:right="132"/>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0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8"/>
              </w:rPr>
              <w:t>Consolidated Balance Sheet Data:</w:t>
            </w:r>
          </w:p>
        </w:tc>
        <w:tc>
          <w:tcPr>
            <w:tcW w:w="16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5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36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2.4</w:t>
            </w: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3.5</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161.8</w:t>
            </w:r>
          </w:p>
        </w:tc>
        <w:tc>
          <w:tcPr>
            <w:tcW w:w="160" w:type="dxa"/>
            <w:vAlign w:val="bottom"/>
          </w:tcPr>
          <w:p>
            <w:pPr>
              <w:spacing w:after="0"/>
              <w:rPr>
                <w:sz w:val="18"/>
                <w:szCs w:val="18"/>
                <w:color w:val="auto"/>
              </w:rPr>
            </w:pPr>
          </w:p>
        </w:tc>
        <w:tc>
          <w:tcPr>
            <w:tcW w:w="36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1,331.0</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1,263.5</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1,016.5</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653.9</w:t>
            </w:r>
          </w:p>
        </w:tc>
        <w:tc>
          <w:tcPr>
            <w:tcW w:w="3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4"/>
          </w:tcPr>
          <w:p>
            <w:pPr>
              <w:jc w:val="right"/>
              <w:ind w:right="160"/>
              <w:spacing w:after="0"/>
              <w:rPr>
                <w:sz w:val="20"/>
                <w:szCs w:val="20"/>
                <w:color w:val="auto"/>
              </w:rPr>
            </w:pPr>
            <w:r>
              <w:rPr>
                <w:rFonts w:ascii="Arial" w:cs="Arial" w:eastAsia="Arial" w:hAnsi="Arial"/>
                <w:sz w:val="18"/>
                <w:szCs w:val="18"/>
                <w:color w:val="auto"/>
              </w:rPr>
              <w:t>$1,373.8</w:t>
            </w:r>
          </w:p>
        </w:tc>
        <w:tc>
          <w:tcPr>
            <w:tcW w:w="36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1,303.7</w:t>
            </w: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1,039.2</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833.1</w:t>
            </w:r>
          </w:p>
        </w:tc>
        <w:tc>
          <w:tcPr>
            <w:tcW w:w="160" w:type="dxa"/>
            <w:vAlign w:val="bottom"/>
          </w:tcPr>
          <w:p>
            <w:pPr>
              <w:spacing w:after="0"/>
              <w:rPr>
                <w:sz w:val="18"/>
                <w:szCs w:val="18"/>
                <w:color w:val="auto"/>
              </w:rPr>
            </w:pPr>
          </w:p>
        </w:tc>
        <w:tc>
          <w:tcPr>
            <w:tcW w:w="36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debt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$485.2</w:t>
            </w:r>
          </w:p>
        </w:tc>
        <w:tc>
          <w:tcPr>
            <w:tcW w:w="36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395.9</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432.3</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$532.2</w:t>
            </w:r>
          </w:p>
        </w:tc>
        <w:tc>
          <w:tcPr>
            <w:tcW w:w="36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468.3</w:t>
            </w: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464.5</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353.3</w:t>
            </w:r>
          </w:p>
        </w:tc>
        <w:tc>
          <w:tcPr>
            <w:tcW w:w="160" w:type="dxa"/>
            <w:vAlign w:val="bottom"/>
          </w:tcPr>
          <w:p>
            <w:pPr>
              <w:spacing w:after="0"/>
              <w:rPr>
                <w:sz w:val="18"/>
                <w:szCs w:val="18"/>
                <w:color w:val="auto"/>
              </w:rPr>
            </w:pPr>
          </w:p>
        </w:tc>
        <w:tc>
          <w:tcPr>
            <w:tcW w:w="36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net assets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$841.5</w:t>
            </w:r>
          </w:p>
        </w:tc>
        <w:tc>
          <w:tcPr>
            <w:tcW w:w="36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835.4</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574.7</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Net asset value per share</w:t>
            </w:r>
            <w:r>
              <w:rPr>
                <w:rFonts w:ascii="Arial" w:cs="Arial" w:eastAsia="Arial" w:hAnsi="Arial"/>
                <w:sz w:val="15"/>
                <w:szCs w:val="15"/>
                <w:color w:val="auto"/>
              </w:rPr>
              <w:t>(1)</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$15.60</w:t>
            </w:r>
          </w:p>
        </w:tc>
        <w:tc>
          <w:tcPr>
            <w:tcW w:w="36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15.53</w:t>
            </w: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15.52</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15.19</w:t>
            </w:r>
          </w:p>
        </w:tc>
        <w:tc>
          <w:tcPr>
            <w:tcW w:w="160" w:type="dxa"/>
            <w:vAlign w:val="bottom"/>
          </w:tcPr>
          <w:p>
            <w:pPr>
              <w:spacing w:after="0"/>
              <w:rPr>
                <w:sz w:val="20"/>
                <w:szCs w:val="20"/>
                <w:color w:val="auto"/>
              </w:rPr>
            </w:pPr>
          </w:p>
        </w:tc>
        <w:tc>
          <w:tcPr>
            <w:tcW w:w="36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6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Year Ended</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135"/>
              <w:spacing w:after="0" w:line="119" w:lineRule="exact"/>
              <w:rPr>
                <w:sz w:val="20"/>
                <w:szCs w:val="20"/>
                <w:color w:val="auto"/>
              </w:rPr>
            </w:pPr>
            <w:r>
              <w:rPr>
                <w:rFonts w:ascii="Arial" w:cs="Arial" w:eastAsia="Arial" w:hAnsi="Arial"/>
                <w:sz w:val="13"/>
                <w:szCs w:val="13"/>
                <w:b w:val="1"/>
                <w:bCs w:val="1"/>
                <w:color w:val="auto"/>
              </w:rPr>
              <w:t>March 31,</w:t>
            </w: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7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20" w:type="dxa"/>
            <w:vAlign w:val="bottom"/>
            <w:gridSpan w:val="3"/>
          </w:tcPr>
          <w:p>
            <w:pPr>
              <w:spacing w:after="0"/>
              <w:rPr>
                <w:sz w:val="20"/>
                <w:szCs w:val="20"/>
                <w:color w:val="auto"/>
              </w:rPr>
            </w:pPr>
            <w:r>
              <w:rPr>
                <w:rFonts w:ascii="Arial" w:cs="Arial" w:eastAsia="Arial" w:hAnsi="Arial"/>
                <w:sz w:val="14"/>
                <w:szCs w:val="14"/>
                <w:color w:val="auto"/>
              </w:rPr>
              <w:t>($ in millions, except per share amounts)</w:t>
            </w:r>
          </w:p>
        </w:tc>
        <w:tc>
          <w:tcPr>
            <w:tcW w:w="220" w:type="dxa"/>
            <w:vAlign w:val="bottom"/>
          </w:tcPr>
          <w:p>
            <w:pPr>
              <w:spacing w:after="0"/>
              <w:rPr>
                <w:sz w:val="14"/>
                <w:szCs w:val="14"/>
                <w:color w:val="auto"/>
              </w:rPr>
            </w:pPr>
          </w:p>
        </w:tc>
        <w:tc>
          <w:tcPr>
            <w:tcW w:w="110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2015</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0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Other Data:</w:t>
            </w:r>
          </w:p>
        </w:tc>
        <w:tc>
          <w:tcPr>
            <w:tcW w:w="2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00" w:type="dxa"/>
            <w:vAlign w:val="bottom"/>
            <w:gridSpan w:val="2"/>
          </w:tcPr>
          <w:p>
            <w:pPr>
              <w:spacing w:after="0" w:line="201" w:lineRule="exact"/>
              <w:rPr>
                <w:sz w:val="20"/>
                <w:szCs w:val="20"/>
                <w:color w:val="auto"/>
              </w:rPr>
            </w:pPr>
            <w:r>
              <w:rPr>
                <w:rFonts w:ascii="Arial" w:cs="Arial" w:eastAsia="Arial" w:hAnsi="Arial"/>
                <w:sz w:val="18"/>
                <w:szCs w:val="18"/>
                <w:color w:val="auto"/>
              </w:rPr>
              <w:t>Number of portfolio companies at period</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gridSpan w:val="2"/>
          </w:tcPr>
          <w:p>
            <w:pPr>
              <w:ind w:left="160"/>
              <w:spacing w:after="0"/>
              <w:rPr>
                <w:sz w:val="20"/>
                <w:szCs w:val="20"/>
                <w:color w:val="auto"/>
              </w:rPr>
            </w:pPr>
            <w:r>
              <w:rPr>
                <w:rFonts w:ascii="Arial" w:cs="Arial" w:eastAsia="Arial" w:hAnsi="Arial"/>
                <w:sz w:val="18"/>
                <w:szCs w:val="18"/>
                <w:color w:val="auto"/>
              </w:rPr>
              <w:t>end</w:t>
            </w:r>
          </w:p>
        </w:tc>
        <w:tc>
          <w:tcPr>
            <w:tcW w:w="220" w:type="dxa"/>
            <w:vAlign w:val="bottom"/>
          </w:tcPr>
          <w:p>
            <w:pPr>
              <w:spacing w:after="0"/>
              <w:rPr>
                <w:sz w:val="20"/>
                <w:szCs w:val="20"/>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Dividends declared per</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w:t>
            </w:r>
            <w:r>
              <w:rPr>
                <w:rFonts w:ascii="Arial" w:cs="Arial" w:eastAsia="Arial" w:hAnsi="Arial"/>
                <w:sz w:val="15"/>
                <w:szCs w:val="15"/>
                <w:color w:val="auto"/>
              </w:rPr>
              <w:t>(1)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0.39</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1.53</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w:t>
            </w: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1.17</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Total return based on net asset value</w:t>
            </w:r>
            <w:r>
              <w:rPr>
                <w:rFonts w:ascii="Arial" w:cs="Arial" w:eastAsia="Arial" w:hAnsi="Arial"/>
                <w:sz w:val="15"/>
                <w:szCs w:val="15"/>
                <w:color w:val="auto"/>
              </w:rPr>
              <w:t>(3)</w:t>
            </w:r>
          </w:p>
        </w:tc>
        <w:tc>
          <w:tcPr>
            <w:tcW w:w="22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9.9%</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11.3%</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Weighted average yield of debt and</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income-producing securities at fair</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value</w:t>
            </w:r>
            <w:r>
              <w:rPr>
                <w:rFonts w:ascii="Arial" w:cs="Arial" w:eastAsia="Arial" w:hAnsi="Arial"/>
                <w:sz w:val="15"/>
                <w:szCs w:val="15"/>
                <w:color w:val="auto"/>
              </w:rPr>
              <w:t>(4)</w:t>
            </w:r>
          </w:p>
        </w:tc>
        <w:tc>
          <w:tcPr>
            <w:tcW w:w="2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10.3%</w:t>
            </w: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10.6%</w:t>
            </w: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gridSpan w:val="2"/>
          </w:tcPr>
          <w:p>
            <w:pPr>
              <w:spacing w:after="0" w:line="201" w:lineRule="exact"/>
              <w:rPr>
                <w:sz w:val="20"/>
                <w:szCs w:val="20"/>
                <w:color w:val="auto"/>
              </w:rPr>
            </w:pPr>
            <w:r>
              <w:rPr>
                <w:rFonts w:ascii="Arial" w:cs="Arial" w:eastAsia="Arial" w:hAnsi="Arial"/>
                <w:sz w:val="18"/>
                <w:szCs w:val="18"/>
                <w:color w:val="auto"/>
              </w:rPr>
              <w:t>Weighted average yield of debt and</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ind w:left="160"/>
              <w:spacing w:after="0"/>
              <w:rPr>
                <w:sz w:val="20"/>
                <w:szCs w:val="20"/>
                <w:color w:val="auto"/>
              </w:rPr>
            </w:pPr>
            <w:r>
              <w:rPr>
                <w:rFonts w:ascii="Arial" w:cs="Arial" w:eastAsia="Arial" w:hAnsi="Arial"/>
                <w:sz w:val="18"/>
                <w:szCs w:val="18"/>
                <w:color w:val="auto"/>
              </w:rPr>
              <w:t>income-producing securities at</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gridSpan w:val="2"/>
          </w:tcPr>
          <w:p>
            <w:pPr>
              <w:ind w:left="160"/>
              <w:spacing w:after="0"/>
              <w:rPr>
                <w:sz w:val="20"/>
                <w:szCs w:val="20"/>
                <w:color w:val="auto"/>
              </w:rPr>
            </w:pPr>
            <w:r>
              <w:rPr>
                <w:rFonts w:ascii="Arial" w:cs="Arial" w:eastAsia="Arial" w:hAnsi="Arial"/>
                <w:sz w:val="18"/>
                <w:szCs w:val="18"/>
                <w:color w:val="auto"/>
              </w:rPr>
              <w:t>amortized cost</w:t>
            </w:r>
            <w:r>
              <w:rPr>
                <w:rFonts w:ascii="Arial" w:cs="Arial" w:eastAsia="Arial" w:hAnsi="Arial"/>
                <w:sz w:val="15"/>
                <w:szCs w:val="15"/>
                <w:color w:val="auto"/>
              </w:rPr>
              <w:t>(4)</w:t>
            </w:r>
          </w:p>
        </w:tc>
        <w:tc>
          <w:tcPr>
            <w:tcW w:w="220" w:type="dxa"/>
            <w:vAlign w:val="bottom"/>
          </w:tcPr>
          <w:p>
            <w:pPr>
              <w:spacing w:after="0"/>
              <w:rPr>
                <w:sz w:val="20"/>
                <w:szCs w:val="20"/>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10.3%</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10.3%</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10.7%</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Fair value of debt investments as a</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percentage of principal</w:t>
            </w:r>
          </w:p>
        </w:tc>
        <w:tc>
          <w:tcPr>
            <w:tcW w:w="2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98.5%</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98.2%</w:t>
            </w: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99.8%</w:t>
            </w: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98.9%</w:t>
            </w: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gridSpan w:val="2"/>
          </w:tcPr>
          <w:p>
            <w:pPr>
              <w:spacing w:after="0" w:line="201" w:lineRule="exact"/>
              <w:rPr>
                <w:sz w:val="20"/>
                <w:szCs w:val="20"/>
                <w:color w:val="auto"/>
              </w:rPr>
            </w:pPr>
            <w:r>
              <w:rPr>
                <w:rFonts w:ascii="Arial" w:cs="Arial" w:eastAsia="Arial" w:hAnsi="Arial"/>
                <w:sz w:val="18"/>
                <w:szCs w:val="18"/>
                <w:color w:val="auto"/>
              </w:rPr>
              <w:t>Weighted average fair value of debt</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ind w:left="160"/>
              <w:spacing w:after="0"/>
              <w:rPr>
                <w:sz w:val="20"/>
                <w:szCs w:val="20"/>
                <w:color w:val="auto"/>
              </w:rPr>
            </w:pPr>
            <w:r>
              <w:rPr>
                <w:rFonts w:ascii="Arial" w:cs="Arial" w:eastAsia="Arial" w:hAnsi="Arial"/>
                <w:sz w:val="18"/>
                <w:szCs w:val="18"/>
                <w:color w:val="auto"/>
              </w:rPr>
              <w:t>investments as a percentage of call</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gridSpan w:val="2"/>
          </w:tcPr>
          <w:p>
            <w:pPr>
              <w:ind w:left="160"/>
              <w:spacing w:after="0"/>
              <w:rPr>
                <w:sz w:val="20"/>
                <w:szCs w:val="20"/>
                <w:color w:val="auto"/>
              </w:rPr>
            </w:pPr>
            <w:r>
              <w:rPr>
                <w:rFonts w:ascii="Arial" w:cs="Arial" w:eastAsia="Arial" w:hAnsi="Arial"/>
                <w:sz w:val="18"/>
                <w:szCs w:val="18"/>
                <w:color w:val="auto"/>
              </w:rPr>
              <w:t>price</w:t>
            </w:r>
          </w:p>
        </w:tc>
        <w:tc>
          <w:tcPr>
            <w:tcW w:w="220" w:type="dxa"/>
            <w:vAlign w:val="bottom"/>
          </w:tcPr>
          <w:p>
            <w:pPr>
              <w:spacing w:after="0"/>
              <w:rPr>
                <w:sz w:val="20"/>
                <w:szCs w:val="20"/>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95.0%</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93.4%</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94.9%</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93.9%</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240" w:hanging="452"/>
        <w:spacing w:after="0" w:line="25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indicated amounts for periods prior to December 3, 2013 have been retroactively adjusted for the stock split, which was effected in the form of a stock dividend. See Note 9 of our audited consolidated financial statements included in this prospectus.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Earnings per common share is based on weighted average shares of common stock outstanding during the period.</w:t>
      </w:r>
    </w:p>
    <w:p>
      <w:pPr>
        <w:spacing w:after="0" w:line="9" w:lineRule="exact"/>
        <w:rPr>
          <w:rFonts w:ascii="Arial" w:cs="Arial" w:eastAsia="Arial" w:hAnsi="Arial"/>
          <w:sz w:val="18"/>
          <w:szCs w:val="18"/>
          <w:color w:val="auto"/>
        </w:rPr>
      </w:pPr>
    </w:p>
    <w:p>
      <w:pPr>
        <w:ind w:left="460" w:right="80" w:hanging="452"/>
        <w:spacing w:after="0" w:line="265"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U.S. Generally Accepted Accounting Principles, or U.S. GAAP, requires that total return be calculated as the change in net asset value per share during the period plus declared dividends per share, divided by the beginning net asset value per share. For the year ended December 31, 2011, calculating total return in such a manner does not adjust for the effect of the initial seed funding as part of our formation (at $1 per share) and accordingly the information is not meaningful. Excluding the effect of the initial seed funding, total return for the period July 1, 2011 through December 31, 2011 would be (1.58%). Our total return set forth in the table above for the years ended December 31, 2014, 2013, 2012 and 2011 reflects the Adviser’s waiver of its right to receive a portion of the Management Fee prior to our IPO. Following the IPO, the Adviser does not intend to waive its right to receive the full Management Fee and accordingly, we will be required to pay the full amount of the Management Fee. The Management Fee, excluding the effects of the waiver, would have been $18.3 million, $13.4 million, $8.9 million and $1.6 million for the years ended December 31, 2014, 2013, 2012 and 2011, respectively.</w:t>
      </w:r>
    </w:p>
    <w:p>
      <w:pPr>
        <w:spacing w:after="0" w:line="2" w:lineRule="exact"/>
        <w:rPr>
          <w:rFonts w:ascii="Arial" w:cs="Arial" w:eastAsia="Arial" w:hAnsi="Arial"/>
          <w:sz w:val="17"/>
          <w:szCs w:val="17"/>
          <w:color w:val="auto"/>
        </w:rPr>
      </w:pPr>
    </w:p>
    <w:p>
      <w:pPr>
        <w:ind w:left="460" w:right="100" w:hanging="452"/>
        <w:spacing w:after="0" w:line="252"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Weighted average yield on debt and income-producing securities at fair value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income-producing securities, divided by (b) total debt and income-producing securities at fair value. Weighted average yield on debt and income-producing securities at amortized cost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income-producing securities, divided by (b) total debt and income-producing securities at amortized cost.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QUARTERLY FINANCIAL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56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Q4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Q3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50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Q1</w:t>
            </w:r>
          </w:p>
        </w:tc>
        <w:tc>
          <w:tcPr>
            <w:tcW w:w="220" w:type="dxa"/>
            <w:vAlign w:val="bottom"/>
          </w:tcPr>
          <w:p>
            <w:pPr>
              <w:spacing w:after="0"/>
              <w:rPr>
                <w:sz w:val="12"/>
                <w:szCs w:val="12"/>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37,730</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Net Expenses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16,638</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20,787</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3,681</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24,468</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15.60</w:t>
            </w:r>
          </w:p>
        </w:tc>
      </w:tr>
      <w:tr>
        <w:trPr>
          <w:trHeight w:val="350"/>
        </w:trPr>
        <w:tc>
          <w:tcPr>
            <w:tcW w:w="5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42"/>
        </w:trPr>
        <w:tc>
          <w:tcPr>
            <w:tcW w:w="56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Q4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Q3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50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Q1</w:t>
            </w:r>
          </w:p>
        </w:tc>
        <w:tc>
          <w:tcPr>
            <w:tcW w:w="220" w:type="dxa"/>
            <w:vAlign w:val="bottom"/>
          </w:tcPr>
          <w:p>
            <w:pPr>
              <w:spacing w:after="0"/>
              <w:rPr>
                <w:sz w:val="12"/>
                <w:szCs w:val="12"/>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45,778</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38,404</w:t>
            </w:r>
          </w:p>
        </w:tc>
        <w:tc>
          <w:tcPr>
            <w:tcW w:w="5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45,657</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33,481</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Net Expenses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15,094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15,288</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15,999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12,230</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30,684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23,116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29,433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21,242</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(16,879)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(4,513)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(2,139)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4,106</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13,805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18,603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27,294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25,348</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15.53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15.66</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15.70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15.51</w:t>
            </w:r>
          </w:p>
        </w:tc>
      </w:tr>
      <w:tr>
        <w:trPr>
          <w:trHeight w:val="350"/>
        </w:trPr>
        <w:tc>
          <w:tcPr>
            <w:tcW w:w="5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2013</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42"/>
        </w:trPr>
        <w:tc>
          <w:tcPr>
            <w:tcW w:w="56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Q4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Q3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50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Q1</w:t>
            </w:r>
          </w:p>
        </w:tc>
        <w:tc>
          <w:tcPr>
            <w:tcW w:w="220" w:type="dxa"/>
            <w:vAlign w:val="bottom"/>
          </w:tcPr>
          <w:p>
            <w:pPr>
              <w:spacing w:after="0"/>
              <w:rPr>
                <w:sz w:val="12"/>
                <w:szCs w:val="12"/>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27,569</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23,298</w:t>
            </w:r>
          </w:p>
        </w:tc>
        <w:tc>
          <w:tcPr>
            <w:tcW w:w="5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20,940</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20,802</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Net Expenses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10,576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8,713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8,123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7,696</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16,993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14,585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12,817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13,106</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Total Unrealized and Realized Gains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4,063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1,674</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1,391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2,355</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21,056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16,259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14,208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15,461</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15.52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15.35</w:t>
            </w:r>
            <w:r>
              <w:rPr>
                <w:rFonts w:ascii="Arial" w:cs="Arial" w:eastAsia="Arial" w:hAnsi="Arial"/>
                <w:sz w:val="15"/>
                <w:szCs w:val="15"/>
                <w:color w:val="auto"/>
              </w:rPr>
              <w:t>(1)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15.29</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15.27</w:t>
            </w:r>
            <w:r>
              <w:rPr>
                <w:rFonts w:ascii="Arial" w:cs="Arial" w:eastAsia="Arial" w:hAnsi="Arial"/>
                <w:sz w:val="15"/>
                <w:szCs w:val="15"/>
                <w:color w:val="auto"/>
              </w:rPr>
              <w:t>(1)</w:t>
            </w:r>
          </w:p>
        </w:tc>
      </w:tr>
    </w:tbl>
    <w:p>
      <w:pPr>
        <w:spacing w:after="0" w:line="214" w:lineRule="exact"/>
        <w:rPr>
          <w:sz w:val="20"/>
          <w:szCs w:val="20"/>
          <w:color w:val="auto"/>
        </w:rPr>
      </w:pPr>
    </w:p>
    <w:p>
      <w:pPr>
        <w:ind w:left="460" w:right="80" w:hanging="452"/>
        <w:spacing w:after="0" w:line="277"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further described in Note 9 to our audited financial statements, the indicated amounts for periods prior to December 3, 2013 have been retroactively adjusted for the stock split which was effected in the form of a stock dividend.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i w:val="1"/>
          <w:iCs w:val="1"/>
          <w:color w:val="auto"/>
        </w:rPr>
        <w:t>Investing in our securities involves a number of significant risks. Before you invest in our securities, you should be aware of various risks associated with the investment, including those described below. You should carefully consider these risk factors, together with all of the other information included in this prospectus and any accompanying prospectus supplement, before you decide whether to make an investment in our securities. The risks set out below are not the only risks we face. 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 our net asset value and the trading price of our securities could decline, and you may lose all or part of your investment.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management personnel of the Adviser, TSSP, TPG and their affiliates for our future success.</w:t>
      </w:r>
    </w:p>
    <w:p>
      <w:pPr>
        <w:spacing w:after="0" w:line="117"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We depend on the experience, diligence, skill and network of business contacts of senior members of our Investment Team. Our Investment Team, together with other professionals at TSSP and TPG and their affiliates, identifies, evaluates, negotiates, structures, closes, monitors and manages our investments. Our success will depend to a significant extent on the continued service and coordination of the senior members of our Investment Team. The senior members of our Investment Team are not contractually restricted from leaving the Adviser. The departure of any of these key personnel, including members of our Adviser’s Investment Review Committee, could have a material adverse effect on us.</w:t>
      </w:r>
    </w:p>
    <w:p>
      <w:pPr>
        <w:spacing w:after="0" w:line="173"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In addition, we cannot assure you that the Adviser will remain our investment adviser or that we will continue to have access to TSSP, TPG or their investment professionals. The Investment Advisory Agreement may be terminated by either party without penalty on 60 days’ written notice to the other party. The holders of a majority of our outstanding voting securities may also terminate the Investment Advisory Agreement without penalty on 60 days’ written notice.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our operation as a BDC affect our ability to, and the way in which we, raise additional capital.</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1940 Act imposes numerous constraints on the operations of BDCs. See “Regulation” for a discussion of BDC limitations.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8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200%. Consequently, if the value of our assets declines,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18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Our Board may decide to issue additional common stock to finance our operations rather than issuing debt or other senior securities. However, we generally are not able to issue and sell our common stock at a price below net asset value per share.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We may in the future seek such approval; however, there is no assurance such approval will be obtained.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This dilution would occur as a result of the sale of shares at a price below the then current net asset value per share of our common stock and would cause a proportionately greater decrease in the stockholders’ interest in our earnings and assets and their voting interest in us than the increase in our assets resulting from such issuance. As a result of any such dilution, our market price per share may decline. Because the number of shares of common stock that could be so issued and the timing of any issuance is not currently known, the actual dilutive effect cannot be predicted.</w:t>
      </w:r>
    </w:p>
    <w:p>
      <w:pPr>
        <w:spacing w:after="0" w:line="18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 See “Risks Related to Our Portfolio Company Investments—We may securitize certain of our investments, which may subject us to certain structured financing risks.”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borrow money, which magnifies the potential for gain or loss and increases the risk of investing in us.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As part of our business strategy, we borrow from and may in the future issue additional senior debt securities to banks, insurance companies and other lenders. Holders of these loans or senior securities would have fixed-dollar claims on our assets that are superior to the claims of our stockholders.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See “—Even in the event the value of your investment declines, the Management Fee and, in certain circumstances, the Incentive Fee will still be payable to the Adviser.” The amount of leverage that we employ will depend on our Adviser’s and our Board’s assessment of market and other factors at the time of any proposed borrowing. We cannot assure you that we will be able to obtain credit at all or on terms acceptable to us.</w:t>
      </w:r>
    </w:p>
    <w:p>
      <w:pPr>
        <w:spacing w:after="0" w:line="173"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Our credit facilities also impose financial and operating covenants that restrict our business activities, remedies on default and similar matters. As of March 31, 2015, we are in compliance with the covenants of our credit facilities.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7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As of March 31, 2015, we had $488.2 million of outstanding indebtedness, which had an annualized interest cost of 2.5% under the terms of our debt, excluding fees (such as fees on undrawn amounts and amortization of upfront fees) and giving effect to the swap-adjusted interest rate on our Convertible Senior Notes. As of March 31, 2015, the interest rate on our Convertible Senior Notes, as adjusted to give effect to the interest rate swap, was three-month London Interbank Offered Rate, or LIBOR, plus 286 basis points. For us to cover these annualized interest payments on indebtedness, we must achieve annual returns on our investments of at least 0.9%. Since we generally pay interest at a floating rate on our debt, an increase in interest rates will generally increase our borrowing costs. We expect that our annualized interest cost and returns required to cover interest will increase if we issue additional debt securities.</w:t>
      </w:r>
    </w:p>
    <w:p>
      <w:pPr>
        <w:spacing w:after="0" w:line="189"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30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w w:val="94"/>
              </w:rPr>
              <w:t>Assumed Return on Our Portfolio</w:t>
            </w:r>
          </w:p>
        </w:tc>
        <w:tc>
          <w:tcPr>
            <w:tcW w:w="720" w:type="dxa"/>
            <w:vAlign w:val="bottom"/>
          </w:tcPr>
          <w:p>
            <w:pPr>
              <w:spacing w:after="0"/>
              <w:rPr>
                <w:sz w:val="14"/>
                <w:szCs w:val="14"/>
                <w:color w:val="auto"/>
              </w:rPr>
            </w:pPr>
          </w:p>
        </w:tc>
      </w:tr>
      <w:tr>
        <w:trPr>
          <w:trHeight w:val="153"/>
        </w:trPr>
        <w:tc>
          <w:tcPr>
            <w:tcW w:w="6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56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88"/>
              </w:rPr>
              <w:t>(net of expenses)</w:t>
            </w: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7"/>
        </w:trPr>
        <w:tc>
          <w:tcPr>
            <w:tcW w:w="6160" w:type="dxa"/>
            <w:vAlign w:val="bottom"/>
          </w:tcPr>
          <w:p>
            <w:pPr>
              <w:spacing w:after="0"/>
              <w:rPr>
                <w:sz w:val="14"/>
                <w:szCs w:val="14"/>
                <w:color w:val="auto"/>
              </w:rPr>
            </w:pPr>
          </w:p>
        </w:tc>
        <w:tc>
          <w:tcPr>
            <w:tcW w:w="780" w:type="dxa"/>
            <w:vAlign w:val="bottom"/>
          </w:tcPr>
          <w:p>
            <w:pPr>
              <w:jc w:val="right"/>
              <w:ind w:right="159"/>
              <w:spacing w:after="0"/>
              <w:rPr>
                <w:sz w:val="20"/>
                <w:szCs w:val="20"/>
                <w:color w:val="auto"/>
              </w:rPr>
            </w:pPr>
            <w:r>
              <w:rPr>
                <w:rFonts w:ascii="Arial" w:cs="Arial" w:eastAsia="Arial" w:hAnsi="Arial"/>
                <w:sz w:val="14"/>
                <w:szCs w:val="14"/>
                <w:color w:val="auto"/>
              </w:rPr>
              <w:t>-10%</w:t>
            </w:r>
          </w:p>
        </w:tc>
        <w:tc>
          <w:tcPr>
            <w:tcW w:w="460" w:type="dxa"/>
            <w:vAlign w:val="bottom"/>
          </w:tcPr>
          <w:p>
            <w:pPr>
              <w:spacing w:after="0"/>
              <w:rPr>
                <w:sz w:val="14"/>
                <w:szCs w:val="14"/>
                <w:color w:val="auto"/>
              </w:rPr>
            </w:pPr>
          </w:p>
        </w:tc>
        <w:tc>
          <w:tcPr>
            <w:tcW w:w="680" w:type="dxa"/>
            <w:vAlign w:val="bottom"/>
          </w:tcPr>
          <w:p>
            <w:pPr>
              <w:jc w:val="right"/>
              <w:ind w:right="142"/>
              <w:spacing w:after="0"/>
              <w:rPr>
                <w:sz w:val="20"/>
                <w:szCs w:val="20"/>
                <w:color w:val="auto"/>
              </w:rPr>
            </w:pPr>
            <w:r>
              <w:rPr>
                <w:rFonts w:ascii="Arial" w:cs="Arial" w:eastAsia="Arial" w:hAnsi="Arial"/>
                <w:sz w:val="14"/>
                <w:szCs w:val="14"/>
                <w:color w:val="auto"/>
              </w:rPr>
              <w:t>-5%</w:t>
            </w:r>
          </w:p>
        </w:tc>
        <w:tc>
          <w:tcPr>
            <w:tcW w:w="1120" w:type="dxa"/>
            <w:vAlign w:val="bottom"/>
            <w:gridSpan w:val="2"/>
          </w:tcPr>
          <w:p>
            <w:pPr>
              <w:jc w:val="right"/>
              <w:ind w:right="170"/>
              <w:spacing w:after="0"/>
              <w:rPr>
                <w:sz w:val="20"/>
                <w:szCs w:val="20"/>
                <w:color w:val="auto"/>
              </w:rPr>
            </w:pPr>
            <w:r>
              <w:rPr>
                <w:rFonts w:ascii="Arial" w:cs="Arial" w:eastAsia="Arial" w:hAnsi="Arial"/>
                <w:sz w:val="14"/>
                <w:szCs w:val="14"/>
                <w:color w:val="auto"/>
              </w:rPr>
              <w:t>0%</w:t>
            </w:r>
          </w:p>
        </w:tc>
        <w:tc>
          <w:tcPr>
            <w:tcW w:w="440" w:type="dxa"/>
            <w:vAlign w:val="bottom"/>
          </w:tcPr>
          <w:p>
            <w:pPr>
              <w:spacing w:after="0"/>
              <w:rPr>
                <w:sz w:val="14"/>
                <w:szCs w:val="14"/>
                <w:color w:val="auto"/>
              </w:rPr>
            </w:pPr>
          </w:p>
        </w:tc>
        <w:tc>
          <w:tcPr>
            <w:tcW w:w="600" w:type="dxa"/>
            <w:vAlign w:val="bottom"/>
          </w:tcPr>
          <w:p>
            <w:pPr>
              <w:jc w:val="right"/>
              <w:ind w:right="119"/>
              <w:spacing w:after="0"/>
              <w:rPr>
                <w:sz w:val="20"/>
                <w:szCs w:val="20"/>
                <w:color w:val="auto"/>
              </w:rPr>
            </w:pPr>
            <w:r>
              <w:rPr>
                <w:rFonts w:ascii="Arial" w:cs="Arial" w:eastAsia="Arial" w:hAnsi="Arial"/>
                <w:sz w:val="14"/>
                <w:szCs w:val="14"/>
                <w:color w:val="auto"/>
              </w:rPr>
              <w:t>5%</w:t>
            </w:r>
          </w:p>
        </w:tc>
        <w:tc>
          <w:tcPr>
            <w:tcW w:w="460" w:type="dxa"/>
            <w:vAlign w:val="bottom"/>
          </w:tcPr>
          <w:p>
            <w:pPr>
              <w:spacing w:after="0"/>
              <w:rPr>
                <w:sz w:val="14"/>
                <w:szCs w:val="14"/>
                <w:color w:val="auto"/>
              </w:rPr>
            </w:pPr>
          </w:p>
        </w:tc>
        <w:tc>
          <w:tcPr>
            <w:tcW w:w="720" w:type="dxa"/>
            <w:vAlign w:val="bottom"/>
          </w:tcPr>
          <w:p>
            <w:pPr>
              <w:jc w:val="right"/>
              <w:ind w:right="159"/>
              <w:spacing w:after="0"/>
              <w:rPr>
                <w:sz w:val="20"/>
                <w:szCs w:val="20"/>
                <w:color w:val="auto"/>
              </w:rPr>
            </w:pPr>
            <w:r>
              <w:rPr>
                <w:rFonts w:ascii="Arial" w:cs="Arial" w:eastAsia="Arial" w:hAnsi="Arial"/>
                <w:sz w:val="14"/>
                <w:szCs w:val="14"/>
                <w:color w:val="auto"/>
              </w:rPr>
              <w:t>10%</w:t>
            </w: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Corresponding return to stockholder</w:t>
            </w:r>
            <w:r>
              <w:rPr>
                <w:rFonts w:ascii="Arial" w:cs="Arial" w:eastAsia="Arial" w:hAnsi="Arial"/>
                <w:sz w:val="15"/>
                <w:szCs w:val="15"/>
                <w:color w:val="auto"/>
              </w:rPr>
              <w:t>(1)</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-9.61%</w:t>
            </w: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4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4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r>
    </w:tbl>
    <w:p>
      <w:pPr>
        <w:spacing w:after="0" w:line="229" w:lineRule="exact"/>
        <w:rPr>
          <w:sz w:val="20"/>
          <w:szCs w:val="20"/>
          <w:color w:val="auto"/>
        </w:rPr>
      </w:pPr>
    </w:p>
    <w:p>
      <w:pPr>
        <w:ind w:left="460" w:right="40" w:hanging="452"/>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Assumes, as of March 31, 2015, (i) $1,373.8 million in total assets, (ii) $488.2 million in outstanding indebtedness, (iii) $841.5 million in net assets and (iv) annualized interest cost of 2.5%, under the terms of our debt.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business, financial conditions or results of operations.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legislation may allow us to incur additional leverage.</w:t>
      </w:r>
    </w:p>
    <w:p>
      <w:pPr>
        <w:spacing w:after="0" w:line="11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As a BDC, under the 1940 Act we generally are not permitted to incur borrowings, issue debt securities or issue preferred stock unless immediately after the borrowing or issuance the ratio of total assets (less total liabilities other than indebtedness) to total indebtedness plus preferred stock is at least 200%. Legislation introduced in the U.S. House of Representatives, if passed, would modify this section of the 1940 Act and increase the amount of debt that BDCs may incur by modifying the asset coverage percentage from 200% to 150%. As a result, we may be able to incur additional indebtedness in the future and you may face increased investment risk. In addition, since our Management Fee is calculated as a percentage of the value of our gross assets, which includes cash, cash equivalents and any borrowings for investment purposes, our Management Fee expenses will increase if we incur additional indebtedness.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Other public and private entities, including commercial banks, commercial financing companies, other BDCs and insurance companies compete with us to make the types of investments that we make in middle-market companies. Certain of these competitors may be substantially larger, have considerably greater financial, technical and marketing resources than we have and offer a wider array of financial services.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We may lose investment opportunities if we do not match our competitors’ pricing, terms and structure. If we match our competitors’ pricing, terms and structure, however, we may experience decreased net interest income and increased risk of credit loss.</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addition, many competitors are not subject to the regulatory restrictions that the 1940 Act imposes on us as a BDC or the restrictions that the Code imposes on us as a RIC. As a result, we face additional constraints on our operations, which may put us at a competitive disadvantage. As a result of this existing and potentially increasing competition, we may not be able to take advantage of attractive investment opportunities and we cannot assure you that we will be able to identify and make investments that are consistent with our investment objective. The competitive pressures we face could have a material adverse effect on our ability to achieve our investment objective.</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source investments, access financing or manage future growth effectively, we may be unable to achieve our investment objective.</w:t>
      </w:r>
    </w:p>
    <w:p>
      <w:pPr>
        <w:spacing w:after="0" w:line="14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ability to achieve our investment objective depends on our Investment Team’s ability to identify, evaluate, finance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including equity financing (since we no longer have the ability to call capital from our pre-IPO investors). Moreover, our ability to structure investments may also depend upon the participation of other prospective investors. For example, our ability to offer loans above a certain size and to structure loans in a certain way may depend on our ability to partner with other investors. As a result, we could fail to capture some investment opportunities if we cannot provide “one-stop” financing to a potential portfolio company either alone or with other investment partners.</w:t>
      </w:r>
    </w:p>
    <w:p>
      <w:pPr>
        <w:spacing w:after="0" w:line="178"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color w:val="auto"/>
        </w:rPr>
        <w:t>In addition to monitoring the performance of our existing investments, members of our Investment Team may also be called upon to provide managerial assistance to our portfolio companies. These demands on their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time may distract them or slow the rate of investment. To grow, our Adviser may need to hire, train, supervise and manage new employees. Failure to manage our future growth effectively could have a material adverse effect on our growth prospects and ability to achieve our investment objective.</w:t>
      </w:r>
    </w:p>
    <w:p>
      <w:pPr>
        <w:spacing w:after="0" w:line="25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Even in the event the value of your investment declines, the Management Fee and, in certain circumstances, the Incentive Fee will still be payable to the Adviser.</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including investors in offerings of common stock pursuant to this prospectus. Given the subjective nature of the investment decisions that our Adviser will make on our behalf, we may not be able to monitor this potential conflict of interest.</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Incentive Fee is calculated as a percentage of pre-Incentive Fee net investment income. Since pre-Incentive Fee net investment income does not include any realized capital gains, realized capital losses or unrealized capital appreciation or depreciation,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67" w:lineRule="exact"/>
        <w:rPr>
          <w:sz w:val="20"/>
          <w:szCs w:val="20"/>
          <w:color w:val="auto"/>
        </w:rPr>
      </w:pPr>
    </w:p>
    <w:p>
      <w:pPr>
        <w:jc w:val="both"/>
        <w:ind w:right="240" w:firstLine="456"/>
        <w:spacing w:after="0" w:line="302" w:lineRule="auto"/>
        <w:rPr>
          <w:sz w:val="20"/>
          <w:szCs w:val="20"/>
          <w:color w:val="auto"/>
        </w:rPr>
      </w:pPr>
      <w:r>
        <w:rPr>
          <w:rFonts w:ascii="Arial" w:cs="Arial" w:eastAsia="Arial" w:hAnsi="Arial"/>
          <w:sz w:val="16"/>
          <w:szCs w:val="16"/>
          <w:color w:val="auto"/>
        </w:rPr>
        <w:t>Also, one component of the Incentive Fee is calculated annually based upon our realized capital gains, computed net of realized capital losses and unrealized capital depreciation on a cumulative basis. As a result, we may owe the Adviser an Incentive Fee during one year as a result of realized capital gains on certain investments, and then later incur significant realized capital losses and unrealized capital depreciation on the remaining investments in our portfolio during subsequent years. Incentive Fees earned in prior years cannot be clawed back even if we later incur losses.</w:t>
      </w:r>
    </w:p>
    <w:p>
      <w:pPr>
        <w:spacing w:after="0" w:line="154"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2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To the extent that we do not realize income or choose not to retain after-tax realized net capital gains, we will have a greater need for additional capital to fund our investments and operating expenses.</w:t>
      </w:r>
    </w:p>
    <w:p>
      <w:pPr>
        <w:spacing w:after="0" w:line="62"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To maintain our status as a RIC for U.S. federal income tax purposes, we must distribute (or be treated as distributing) in each taxable year dividends for tax purposes equal to at least 90% of our investment company taxable income and net tax-exempt income for that taxable year, and may either distribute or retain our realized net capital gains from investments. Unless investors elect to reinvest dividends, earnings that we are required to</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distribute to stockholders will not be available to fund future investments. Accordingly, we may have insufficient funds to make new and follow-on investments, which could have a material adverse effect on our financial condition and results of operations. Because of the structure and objectives of our business, we may experience operating losses and expect to rely on proceeds from sales of investments, rather than on interest and dividend income, to pay our operating expenses. We cannot assure you that we will be able to sell our investments and thereby fund our operating expenses.</w:t>
      </w:r>
    </w:p>
    <w:p>
      <w:pPr>
        <w:spacing w:after="0" w:line="28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62"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will incur corporate-level U.S. federal income tax costs if we are unable to maintain our qualification as a RIC for U.S. federal income tax purposes, including as a result of our failure to satisfy the RIC distribution requirements. Although we have elected to be treated as a RIC for U.S. federal income tax purposes, we cannot assure you that we will be able to continue to qualify for and maintain RIC status. To maintain RIC status under the Code and to avoid corporate-level U.S. federal income tax, we must meet the following annual distribution, income source and asset diversification requirements:</w:t>
      </w:r>
    </w:p>
    <w:p>
      <w:pPr>
        <w:spacing w:after="0" w:line="60"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must distribute (or be treated as distributing) dividends for tax purposes in each taxable year equal to at least 90% of each of:</w:t>
      </w:r>
    </w:p>
    <w:p>
      <w:pPr>
        <w:spacing w:after="0" w:line="130" w:lineRule="exact"/>
        <w:rPr>
          <w:rFonts w:ascii="Arial" w:cs="Arial" w:eastAsia="Arial" w:hAnsi="Arial"/>
          <w:sz w:val="18"/>
          <w:szCs w:val="18"/>
          <w:color w:val="auto"/>
        </w:rPr>
      </w:pPr>
    </w:p>
    <w:p>
      <w:pPr>
        <w:ind w:left="1480" w:right="700" w:hanging="446"/>
        <w:spacing w:after="0" w:line="277" w:lineRule="auto"/>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sum of our net ordinary income and realized net short-term capital gains in excess of realized net long-term capital losses or, investment company taxable income, if any, for that taxable year;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our net tax-exempt income for that taxable year.</w:t>
      </w:r>
    </w:p>
    <w:p>
      <w:pPr>
        <w:spacing w:after="0" w:line="225" w:lineRule="exact"/>
        <w:rPr>
          <w:sz w:val="20"/>
          <w:szCs w:val="20"/>
          <w:color w:val="auto"/>
        </w:rPr>
      </w:pPr>
    </w:p>
    <w:p>
      <w:pPr>
        <w:ind w:right="460" w:firstLine="456"/>
        <w:spacing w:after="0" w:line="302" w:lineRule="auto"/>
        <w:rPr>
          <w:sz w:val="20"/>
          <w:szCs w:val="20"/>
          <w:color w:val="auto"/>
        </w:rPr>
      </w:pPr>
      <w:r>
        <w:rPr>
          <w:rFonts w:ascii="Arial" w:cs="Arial" w:eastAsia="Arial" w:hAnsi="Arial"/>
          <w:sz w:val="16"/>
          <w:szCs w:val="16"/>
          <w:color w:val="auto"/>
        </w:rPr>
        <w:t>The asset coverage ratio requirements under the 1940 Act and financial covenants under our loan and credit agreements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satisfy the distribution requirements that apply to a RIC. As a result, we could lose our RIC status and become subject to corporate-level U.S. federal income tax.</w:t>
      </w:r>
    </w:p>
    <w:p>
      <w:pPr>
        <w:spacing w:after="0" w:line="60" w:lineRule="exact"/>
        <w:rPr>
          <w:sz w:val="20"/>
          <w:szCs w:val="20"/>
          <w:color w:val="auto"/>
        </w:rPr>
      </w:pPr>
    </w:p>
    <w:p>
      <w:pPr>
        <w:ind w:left="900" w:right="38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must derive at least 90% of our gross income for each taxable year from dividends, interest, gains from the sale of or other disposition of stock or securities or similar sources.</w:t>
      </w:r>
    </w:p>
    <w:p>
      <w:pPr>
        <w:spacing w:after="0" w:line="75" w:lineRule="exact"/>
        <w:rPr>
          <w:rFonts w:ascii="Arial" w:cs="Arial" w:eastAsia="Arial" w:hAnsi="Arial"/>
          <w:sz w:val="18"/>
          <w:szCs w:val="18"/>
          <w:color w:val="auto"/>
        </w:rPr>
      </w:pPr>
    </w:p>
    <w:p>
      <w:pPr>
        <w:ind w:left="900" w:right="20" w:hanging="325"/>
        <w:spacing w:after="0" w:line="31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must meet specified asset diversification requirements at the end of each quarter of our taxable year. The need to satisfy these requirements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14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If we fail to maintain our qualification for tax treatment as a RIC for any reason, the resulting U.S. federal income tax liability could substantially reduce our net assets, the amount of income available for distribution, and the amount of our distributions.</w:t>
      </w:r>
    </w:p>
    <w:p>
      <w:pPr>
        <w:spacing w:after="0" w:line="2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can be expected to retain some income and capital gains in excess of what is permissible for excise tax purposes and such amounts will be subject to 4% U.S. federal excise tax.</w:t>
      </w:r>
    </w:p>
    <w:p>
      <w:pPr>
        <w:spacing w:after="0" w:line="6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of March 31, 2015, December 31, 2014 and December 31, 2013, we had elected to retain approximately $32 million, $31 million and $6 million of taxable income and capital gains, respectively, in order to provide us with additional liquidity and for the three months ended March 31, 2015 and the calendar years ended December 31, 2014 and December 31, 2013 we recorded a net expense of $0.3 million, $1.1 million and $0.2 million, respectively, for U.S. federal excise tax as a result. We can be expected to retain some income 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capital gains in the future, including for purposes of providing us with additional liquidity, which amounts would similarly be subject to the 4% U.S. federal excise tax. In that event, we will be liable for the tax on the amount by which we do not meet the foregoing distribution requirement. See “Material U.S. Federal Income Tax Considerations—Regulated Investment Company Classification.”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Adviser and its affiliates, officers and employees may face certain conflicts of interest.</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 However, the Adviser, its officers and employees and members of its Investment Review Committee serve or may serve as investment advisers, officers, directors or principals of entities or investment funds that operate in the same or a related line of business as us or of investment funds managed by our affiliates. Accordingly, these individuals may have obligations to investors in those entities or funds, the fulfillment of which might not be in our best interests or the best interests of our stockholders.</w:t>
      </w:r>
    </w:p>
    <w:p>
      <w:pPr>
        <w:spacing w:after="0" w:line="178"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In addition, any affiliated investment vehicle currently formed or formed in the future and managed by the Adviser or its affiliates, particularly in connection with any future growth of their respective businesses, may have overlapping investment objectives with our own and, accordingly, may invest in asset classes similar to those targeted by us. For example, TSSP has organized a separate investment vehicle, TSL Europe, aimed specifically at European middle-market loan originations and may in the future organize vehicles aimed at other loan origination opportunities outside our primary focus. Our ability to pursue investment opportunities other than middle-market loan originations for companies domiciled in the United States is subject to the contractual and other requirements of these other funds and allocation decisions by TSSP or TPG senior professionals. As a result, the Adviser and its affiliates may face conflicts in allocating investment opportunities between us and those other entities. It is possible that we may not be given the opportunity to participate in certain investments made by other TSSP or TPG vehicles that would otherwise be suitable for us.</w:t>
      </w:r>
    </w:p>
    <w:p>
      <w:pPr>
        <w:spacing w:after="0" w:line="17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TPG and the Adviser were to determine that an investment is appropriate both for us and for one or more other TSSP or TPG vehicles, we would only be able to make the investment in conjunction with another vehicle to the extent the exemptive relief order granted to us by the SEC permits us to do so or the investment is otherwise permitted under relevant SEC guidance. On December 16, 2014, we were granted an exemptive relief order from the SEC that, if certain conditions are met, allows us to co-invest with affiliates of TSSP and TPG in middle-market loan origination activities for companies domiciled in the United States and certain “follow-on” investments in companies in which we have already co-invested pursuant to the order and remain invested. These conditions include, among others, prior approval by a majority of our Independent Directors. The terms and conditions of the investment applicable to any affiliates of TSSP and TPG also must be the same as those applicable to us. We cannot assure you when or whether we will apply for any other exemptive relief in the future and whether such orders will be obtained. See “Related-Party Transactions and Certain Relationships.”</w:t>
      </w:r>
    </w:p>
    <w:p>
      <w:pPr>
        <w:spacing w:after="0" w:line="27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Adviser can resign on 60 days’ notice. We may not be able to find a suitable replacement within that time, resulting in a disruption in our operations and a loss of the benefits from our relationship with TSSP and TPG.</w:t>
      </w:r>
    </w:p>
    <w:p>
      <w:pPr>
        <w:spacing w:after="0" w:line="62"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Adviser has the right, under the Investment Advisory Agreement and the Administration Agreement, to resign at any time on 60 days’ written notice, regardless of whether we have found a replacement. In addition, our Board has the authority to remove the Adviser for any reason or for no reason, or may choose not to renew the Investment Advisory Agreement and the Administration Agreement. Furthermore, the Investment Advisory Agreement automatically terminates in the event of its assignment, as defined in the 1940 Act, by the Adviser, and requires stockholder consent to renew. If the Adviser resigns or is terminated, or if we do not obtain the requisite consents to renew the Adviser after an assignment, we may not be able to find a new investment adviser or hire internal management with similar expertise and ability to provide the same or equivalent services on</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acceptable terms within 60 days, or at all. If we are unable to do so quickly, our operations are likely to experience a disruption and costs under any new agreements that we enter into could increase. Our financial condition, business and results of operations, as well as our ability to pay distributions, are likely to be adversely affected, and the value of our common stock may decline.</w:t>
      </w:r>
    </w:p>
    <w:p>
      <w:pPr>
        <w:spacing w:after="0" w:line="181"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Any new Investment Advisory Agreement also would be subject to approval by our stockholders. Even if we are able to enter into comparable management or administrative arrangements, the integration of a new adviser or administrator and their lack of familiarity with our investment objective may result in additional costs and time delays that may adversely affect our business, financial condition and results of operations.</w:t>
      </w:r>
    </w:p>
    <w:p>
      <w:pPr>
        <w:spacing w:after="0" w:line="16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if the Adviser resigns or is terminated, we would lose the benefits of our relationship with TSSP and TPG, including insights into our existing portfolio, market expertise, sector and macroeconomic views and due diligence capabilities, as well as any investment opportunities referred to us by TSSP and TPG. We also would no longer be able to use TPG’s name and logo because our license agreement would terminate upon the termination of the Investment Advisory Agreement.</w:t>
      </w:r>
    </w:p>
    <w:p>
      <w:pPr>
        <w:spacing w:after="0" w:line="29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Adviser has not assumed any responsibility to us other than to render the services described in the Investment Advisory Agreement, and it will not be responsible for any action of our Board in declining to follow the Adviser’s advice or recommendations. Pursuant to the Investment Advisory Agreement, the Adviser and its members, managers, officers, employees, agents, controlling persons and any other person or entity affiliated with it will not be liable to us for any action taken or omitted to be taken by the Adviser in connection with the performance of any of its duties or obligations under the Investment Advisory Agreement or otherwise as our investment adviser (except to the extent specified in Section 36(b) of the 1940 Act concerning loss resulting from a breach of fiduciary duty (as the same is finally determined by judicial proceedings) with respect to the receipt of compensation for services).</w:t>
      </w:r>
    </w:p>
    <w:p>
      <w:pPr>
        <w:spacing w:after="0" w:line="16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agreed to the fullest extent permitted by law, to provide indemnification and the right to the advancement of expenses, to each person who was or is made a party or is threatened to be made a party to or is involved (including as a witness) in any actual or threatened action, suit or proceeding, whether civil, criminal, administrative or investigative, because he or she is or was a member, manager, officer, employee, agent, controlling person or any other person or entity affiliated with the Adviser with respect to all damages, liabilities, costs and expenses resulting from acts of the Adviser in the performance of the person’s duties under the Investment Advisory Agreement.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Despite these limitations, the rights to indemnification and advancement of expenses may lead the Adviser and its members, managers, officers, employees, agents, controlling persons and other persons and entities affiliated with the Adviser to act in a riskier manner than they would when acting for their own account.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to our incorporation, the Adviser and its management had no prior experience managing a BDC or a RIC.</w:t>
      </w:r>
    </w:p>
    <w:p>
      <w:pPr>
        <w:spacing w:after="0" w:line="11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Prior to our incorporation, the senior members of our Investment Team had no experience managing a BDC or a RIC, and the investment philosophy and techniques used by the Adviser to manage us may differ from the investment philosophy and techniques previously employed by the senior members of our Investment Team in identifying and managing past investments. Accordingly, our performance may differ from the performance of other businesses or companies with which the senior members of our Investment Team have been affiliated.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maintain our status as a BDC would reduce our operating flexibility.</w:t>
      </w:r>
    </w:p>
    <w:p>
      <w:pPr>
        <w:spacing w:after="0" w:line="11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In addition, failure to comply with the requirements imposed on BDCs by the 1940 Act could cause the SEC to bring an enforcement action against 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as a result of being a publicly traded company.</w:t>
      </w:r>
    </w:p>
    <w:p>
      <w:pPr>
        <w:spacing w:after="0" w:line="11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As a publicly traded company, we incur legal, accounting, investor relations and other expenses, including costs associated with corporate governance requirements, such as those under the Sarbanes-Oxley Act of 2002, or the Sarbanes-Oxley Act, other rules implemented by the SEC and the listing standards of the NYSE. Our independent registered public accounting firm is required to attest to the effectiveness of our internal controls over financial reporting pursuant to Section 404 of the Sarbanes-Oxley Act, which increases the costs associated with our periodic reporting requirements.</w:t>
      </w:r>
    </w:p>
    <w:p>
      <w:pPr>
        <w:spacing w:after="0" w:line="262"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are obligated to maintain proper and effective internal control over financial reporting. We may not complete our analysis of our internal control over financial reporting in a timely manner, or our internal controls may not be determined to be effective, which may adversely affect investor confidence in our company and, as a result, the value of our securities.</w:t>
      </w:r>
    </w:p>
    <w:p>
      <w:pPr>
        <w:spacing w:after="0" w:line="7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As of December 31, 2014, we are no longer an “emerging growth company,” as defined in the Jumpstart Our Business Startups Act of 2012. As a result, we are now required to comply with the independent auditor attestation requirements of Section 404 of the Sarbanes-Oxley Act. Complying with Section 404 requires a rigorous compliance program as well as adequate time and resources. We may not be able to complete our internal control evaluation, testing and any required remediation in a timely fashion. Additionally, if we identify one or more material weaknesses in our internal control over financial reporting, we will be unable to assert that our internal controls are effective. If we are unable to assert that our internal control over financial reporting is effective, or if our auditors are unable to attest to management’s report on the effectiveness of our internal controls, we could lose investor confidence in the accuracy and completeness of our financial reports, which would have a material adverse effect on the price of our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experience fluctuations in our quarterly operating results as a result of a number of factors, including the pace at which investments are made, rates of repayment, interest rates payable on investments, changes in realized and unrealized gains and losses, syndication and other fees, the level of our expenses and default rates on our investments. As a result of these and other possible factors, results for any period should not be relied upon as being indicative of performance in future periods.</w:t>
      </w:r>
    </w:p>
    <w:p>
      <w:pPr>
        <w:spacing w:after="0" w:line="29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Provisions of the General Corporation Law of the State of Delaware and our certificate of incorporation and bylaws could deter takeover attempts and have an adverse effect on the price of our common stock.</w:t>
      </w:r>
    </w:p>
    <w:p>
      <w:pPr>
        <w:spacing w:after="0" w:line="62"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General Corporation Law of the State of Delaware, or the DGCL, our amended and restated certificate of incorporation, which we refer to as our certificate of incorporation, and bylaws contain provisions that may discourage, delay or make more difficult a change in control of us or the removal of our directors. Among other provisions, we have a staggered board and our directors may be removed for cause only by the affirmative vote of 75% of the holders of our outstanding capital stock. Our Board also is authorized to issue preferred stock in one or more series. In addition, our certificate of incorporation requires the favorable vote of a majority of our Board followed by the favorable vote of the holders of at least 75% of our outstanding shares of common stock, to approve, adopt or authorize certain transactions, including mergers and the sale, lease or exchange of all or any substantial part of our assets with 10% or greater holders of our outstanding common stock and their affiliates or</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associates, unless the transaction has been approved by at least 80% of our Board, in which case approval by “a majority of the outstanding voting securities” (as defined in the 1940 Act) is required. Our certificate of incorporation further provides that stockholders may not take action by written consent in lieu of a meeting and our bylaws provide that any stockholder action required or permitted at an annual meeting or special meeting of stockholders may only be taken if it is properly brought before such meeting.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 We also are subject to Section 203 of the DGCL, which generally prohibits us from engaging in mergers and other business combinations with stockholders that beneficially own 15% or more of our voting stock, or with their affiliates, unless our directors or stockholders approve the business combination in the prescribed manner. These measures may delay, defer or prevent a transaction or a change in control that might otherwise be in the best interests of our stockholders and could have the effect of depriving stockholders of an opportunity to sell their shares at a premium over prevailing market prices. See “Description of Our Capital Stock—Anti-Takeover Provisions.”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investors are limited in their ability to make significant investments in us.</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Investment companies registered under the 1940 Act are restricted from acquiring directly or through a controlled entity more than 3% of our total outstanding voting stock (measured at the time of the acquisition), unless these funds comply with an exemption under the 1940 Act as well as other limitations under the 1940 Act that would restrict the amount that they are able to invest in our securities. Private funds that are excluded from the definition of “investment company” either pursuant to Section 3(c)(1) or 3(c)(7) of the 1940 Act are also subject to this restriction. As a result, certain investors may be precluded from acquiring additional shares at a time that they might desire to do so.</w:t>
      </w:r>
    </w:p>
    <w:p>
      <w:pPr>
        <w:spacing w:after="0" w:line="29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significantly disrupt our business, which may, in turn, negatively affect the market price of our common stock and our ability to pay dividends.</w:t>
      </w:r>
    </w:p>
    <w:p>
      <w:pPr>
        <w:spacing w:after="0" w:line="6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business is highly dependent on the communications and information systems of the Adviser, its affiliates and third parties. Any failure or interruption of those systems, including as a result of the termination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94"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sudden electrical or telecommunications outages;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natural disasters such as earthquakes, tornadoes and hurricanes;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disease pandemics;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events arising from local or larger scale political or social matters, including terrorist acts;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cyber-attacks.</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These events, in turn, could have a material adverse effect on our operating results and negatively affect the market price of our common stock and our ability to pay dividends to our stockholders.</w:t>
      </w:r>
    </w:p>
    <w:p>
      <w:pPr>
        <w:spacing w:after="0" w:line="27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Cybersecurity risks and cyber incidents may adversely affect our business by causing a disruption to our operations, a compromise or corruption of our confidential information and/or damage to our business relationships, all of which could negatively impact our business, results of operations or financial condition.</w:t>
      </w:r>
    </w:p>
    <w:p>
      <w:pPr>
        <w:spacing w:after="0" w:line="73"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 cyber incident is considered to be any adverse event that threatens the confidentiality, integrity or availability of our information resources. These incidents may be an intentional attack or an unintentional event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and could involve gaining unauthorized access to our information systems for purposes of misappropriating assets, stealing confidential information, corrupting data or causing operational disruption. The result of these incidents may include disrupted operations, misstated or unreliable financial data, liability for stolen information, misappropriation of assets, increased cybersecurity protection and insurance costs, litigation and damage to our business relationships. This could result in significant losses, reputational damage, litigation, regulatory fines or penalties, or otherwise adversely affect our business, financial condition or results of operations. In addition, we may be required to expend significant additional resources to modify our protective measures and to investigate and remediate vulnerabilities or other exposures arising from operational and security risks. We face risks posed to our information systems, both internal and those provided to us by third-party service providers. We, our Adviser and its affiliates have implemented processes, procedures and internal controls to help mitigate cybersecurity risks and cyber intrusions, but these measures, as well as our increased awareness of the nature and extent of a risk of a cyber incident, may be ineffective and do not guarantee that a cyber incident will not occur or that our financial results, operations or confidential information will not be negatively impacted by such an incident.</w:t>
      </w:r>
    </w:p>
    <w:p>
      <w:pPr>
        <w:spacing w:after="0" w:line="17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Third parties with which we do business (including those that provide services to us) may also be sources or targets of cybersecurity or other technological risks. We outsource certain functions and these relationships allow for the storage and processing of our information and assets, as well as certain investor, counterparty, employee and borrower information. While we engage in actions to reduce our exposure resulting from outsourcing, ongoing threats may result in unauthorized access, loss, exposure or destruction of data, or other cybersecurity incidents, with increased costs and other consequences, including those described above. Privacy and information security laws and regulation changes, and compliance with those changes, may also result in cost increases due to system changes and the development of new administrative processes.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Board may change our investment objective, operating policies and strategies without prior notice or stockholder approval.</w:t>
      </w:r>
    </w:p>
    <w:p>
      <w:pPr>
        <w:spacing w:after="0" w:line="117"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Our Board has the authority to change our investment objective and modify or waive certain of our operating policies and strategies without prior notice (except as required by the 1940 Act) and without stockholder approval. However, absent stockholder approval, we may not change the nature of our business so as to cease to be a BDC and we may not withdraw our election as a BDC. We cannot predict the effect any changes to our current operating policies or strategies would have on our business, operating results and value of our common stock. Nevertheless, the effects may adversely affect our business and impact our ability to make distributions.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or regulations governing our operations may adversely affect our business.</w:t>
      </w:r>
    </w:p>
    <w:p>
      <w:pPr>
        <w:spacing w:after="0" w:line="11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and our portfolio companies are subject to regulation by laws and regulations at the local, state, federal and, in some cases, foreign levels. These laws and regulations, as well as their interpretation, may be changed from time to time, and new laws and regulations may be enacted. Accordingly, any change in these laws or regulations, changes in their interpretation, or newly enacted laws or regulations and any failure by us or our portfolio companies to comply with these laws or regulations, could require changes to certain business practices of us or our portfolio companies, negatively impact the operations, cash flows or financial condition of us or our portfolio companies, impose additional costs on us or our portfolio companies or otherwise adversely affect our business or the business of our portfolio companies. In particular, changes to the laws and regulations governing BDCs or the interpretation of these laws and regulations by the staff of the SEC could disrupt our business model. Any changes to the laws and regulations governing our operations may cause us to alter our investment strategy to avail ourselves of new or different opportunities. For more information on tax regulatory risks, see “—Risks Related to our Portfolio Company Investments—Unless Congress renews certain exemptions that expired for taxable years commencing after December 31, 2014, certain dividend distributions we make to certain non-U.S. stockholders will be subject to U.S. withholding tax.”</w:t>
      </w:r>
    </w:p>
    <w:p>
      <w:pPr>
        <w:spacing w:after="0" w:line="169"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On July 21, 2010, the Wall Street Reform and Consumer Protection Act, or the Dodd-Frank Act, was signed into law. Although passage of the Dodd-Frank Act has resulted in extensive rulemaking and regulatory changes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that affect us and the financial industry as a whole, many of its provisions remain subject to extended implementation periods and delayed effective dates and will require extensive rulemaking by regulatory authorities. While the full impact of the Dodd-Frank Act on us and our portfolio companies may not be known for an extended period of time, the Dodd-Frank Act, including future rules implementing its provisions and the interpretation of those rules, along with other legislative and regulatory proposals directed at the financial services industry or affecting taxation that are proposed or pending in the U.S. Congress, may negatively impact the operations, cash flows or financial condition of us or our portfolio companies, impose additional costs on us or our portfolio companies, intensify the regulatory supervision of us or our portfolio companies or otherwise adversely affect our business or the business of our portfolio companies.</w:t>
      </w:r>
    </w:p>
    <w:p>
      <w:pPr>
        <w:spacing w:after="0" w:line="189"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Over the last several years, there has been an increase in regulatory attention to the extension of credit outside of the traditional banking sector, raising the possibility that some portion of the non-bank financial sector will be subject to new regulation. While it cannot be known at this time whether these regulations will be implemented or what form they will take, increased regulation of non-bank credit extension could negatively impact our operations, cash flows or financial condition, impose additional costs on us, intensify the regulatory supervision of us or otherwise adversely affect our business.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Economic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current state of the economy and financial markets increases the likelihood of adverse effects on our financial position and results of operations.</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U.S. capital markets experienced extreme volatility and disruption in recent years, leading to recessionary conditions and depressed levels of consumer and commercial spending. Disruptions in the capital markets increased the spread between the yields realized on risk-free and higher risk securities, resulting in illiquidity in parts of the capital markets. Although recent indicators suggest improvement in the capital markets, we cannot assure you that these conditions will not worsen. If conditions worsen, a prolonged period of market illiquidity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189"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In addition, to the extent that recessionary conditions return, the financial results of small to mid-sized companies, like those in which we invest, will likely experience deterioration, which could ultimately lead to difficulty in meeting debt service requirements and an increase in defaults. Additionally, the end markets for certain of our portfolio companies’ products and services have experienced, and continue to experience, negative economic trends. The performances of certain of our portfolio companies have been, and may continue to be, negatively impacted by these economic or other conditions, which may ultimately result in:</w:t>
      </w:r>
    </w:p>
    <w:p>
      <w:pPr>
        <w:spacing w:after="0" w:line="94"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receipt of a reduced level of interest income from our portfolio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decreases in the value of collateral securing some of our loans and the value of our equity investments;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ultimately, losses or charge-offs related to our investments.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Uncertainty about financial stability could have a significant adverse effect on our business, results of operations and financial condition.</w:t>
      </w: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Due to federal budget deficit concerns, S&amp;P downgraded the federal government’s credit rating from AAA to AA+ for the first time in history on August 5, 2011. Further, Moody’s and Fitch warned that they may downgrade the federal government’s credit rating. Further downgrades or warnings by S&amp;P or other rating agencies, and the government’s credit and deficit concerns in general, could cause interest rates and borrowing costs to rise, which may negatively impact both the perception of credit risk associated with our debt portfolio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and our ability to access the debt markets on favorable terms. In addition, a decreased credit rating could create broader financial turmoil and uncertainty, which may weigh heavily on our financial performance and the value of our common stock.</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Also, to the extent uncertainty regarding any economic recovery in Europe continues to negatively impact consumer confidence and consumer credit factors, our business and results of operations could be significantly and adversely affected.</w:t>
      </w:r>
    </w:p>
    <w:p>
      <w:pPr>
        <w:spacing w:after="0" w:line="17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On December 18, 2013, the U.S. Federal Reserve announced that it would scale back its bond-buying program, or quantitative easing, which is designed to stimulate the economy and expand the Federal Reserve’s holdings of long-term securities until key economic indicators, such as the unemployment rate, show signs of improvement. The Federal Reserve signaled it would reduce its purchases of long-term Treasury bonds and would scale back on its purchases of mortgage-backed securities.</w:t>
      </w:r>
    </w:p>
    <w:p>
      <w:pPr>
        <w:spacing w:after="0" w:line="187" w:lineRule="exact"/>
        <w:rPr>
          <w:sz w:val="20"/>
          <w:szCs w:val="20"/>
          <w:color w:val="auto"/>
        </w:rPr>
      </w:pPr>
    </w:p>
    <w:p>
      <w:pPr>
        <w:jc w:val="both"/>
        <w:ind w:right="400" w:firstLine="456"/>
        <w:spacing w:after="0" w:line="286" w:lineRule="auto"/>
        <w:rPr>
          <w:sz w:val="20"/>
          <w:szCs w:val="20"/>
          <w:color w:val="auto"/>
        </w:rPr>
      </w:pPr>
      <w:r>
        <w:rPr>
          <w:rFonts w:ascii="Arial" w:cs="Arial" w:eastAsia="Arial" w:hAnsi="Arial"/>
          <w:sz w:val="17"/>
          <w:szCs w:val="17"/>
          <w:color w:val="auto"/>
        </w:rPr>
        <w:t>It is unclear what effect, if any, the incremental reduction in the rate of the U.S. Federal Reserve’s monthly purchases will have on the value of our investments. However, it is possible that absent continued quantitative easing by the Federal Reserve, these developments could cause interest rates and borrowing costs to rise, which may negatively impact our ability to access the debt markets on favorable terms.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Portfolio Company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are very risky and highly speculative.</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We primarily invest in first-lien debt, second-lien debt, mezzanine debt or equity or other securities issued by middle-market companies. The companies in which we intend to invest are typically highly leveraged, and, in most cases, our investments in these companies are not rated by any rating agency. If these instruments were rated, we believe that they would likely receive a rating of below investment grade (that is, below BBB- or Baa3, which is often referred to as “junk”). Exposure to below investment grade instruments involves certain risks, including speculation with respect to the borrower’s capacity to pay interest and repay principal.</w:t>
      </w:r>
    </w:p>
    <w:p>
      <w:pPr>
        <w:spacing w:after="0" w:line="18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 xml:space="preserve">First-Lien Debt. </w:t>
      </w:r>
      <w:r>
        <w:rPr>
          <w:rFonts w:ascii="Arial" w:cs="Arial" w:eastAsia="Arial" w:hAnsi="Arial"/>
          <w:sz w:val="18"/>
          <w:szCs w:val="18"/>
          <w:color w:val="auto"/>
        </w:rPr>
        <w:t>When we make a first-lien loan, we generally take a security interest in the available assets of the portfolio company,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equity interests of its subsidiaries, which we expect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 is, or could become, subordinated to claims of other creditors. Consequently, the fact that a loan is secured does not guarantee that we will receive principal and interest payments according to the loan’s terms, or at all, or that we will be able to collect on the loan should we need to enforce our remedies. In addition, in connection with our “last out” first-lien loans, we enter into agreements among lenders. Under these agreements, our interest in the collateral of the first-lien loans may rank junior to those of other lenders in the loan under certain circumstances. This may result in greater risk and loss of principal on these loans.</w:t>
      </w:r>
    </w:p>
    <w:p>
      <w:pPr>
        <w:spacing w:after="0" w:line="19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i w:val="1"/>
          <w:iCs w:val="1"/>
          <w:color w:val="auto"/>
        </w:rPr>
        <w:t xml:space="preserve">Second-Lien and Mezzanine Debt. </w:t>
      </w:r>
      <w:r>
        <w:rPr>
          <w:rFonts w:ascii="Arial" w:cs="Arial" w:eastAsia="Arial" w:hAnsi="Arial"/>
          <w:sz w:val="18"/>
          <w:szCs w:val="18"/>
          <w:color w:val="auto"/>
        </w:rPr>
        <w:t>Our investments in second-lien and mezzanine debt generally are subordinated to senior loans and will either have</w:t>
      </w:r>
      <w:r>
        <w:rPr>
          <w:rFonts w:ascii="Arial" w:cs="Arial" w:eastAsia="Arial" w:hAnsi="Arial"/>
          <w:sz w:val="18"/>
          <w:szCs w:val="18"/>
          <w:i w:val="1"/>
          <w:iCs w:val="1"/>
          <w:color w:val="auto"/>
        </w:rPr>
        <w:t xml:space="preserve"> </w:t>
      </w:r>
      <w:r>
        <w:rPr>
          <w:rFonts w:ascii="Arial" w:cs="Arial" w:eastAsia="Arial" w:hAnsi="Arial"/>
          <w:sz w:val="18"/>
          <w:szCs w:val="18"/>
          <w:color w:val="auto"/>
        </w:rPr>
        <w:t>junior security interests or be unsecured. As such, other creditors may rank senior to us in the event of insolvency. This may result in greater risk and loss of principal.</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Equity and Other Investments. </w:t>
      </w:r>
      <w:r>
        <w:rPr>
          <w:rFonts w:ascii="Arial" w:cs="Arial" w:eastAsia="Arial" w:hAnsi="Arial"/>
          <w:sz w:val="18"/>
          <w:szCs w:val="18"/>
          <w:color w:val="auto"/>
        </w:rPr>
        <w:t>When we invest in first-lien debt, second-lien debt or mezzanine debt, we may acquire equity securities,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warrants, options and convertible instruments. In addition, we may invest directly in the equity securities of portfolio companies. We seek to dispose of these equity interests and realize gains upon our disposition of these interests. However, the equity interests we receive may not appreciate in value and, in fact, may decline in value. Accordingly, we may not be able to realize gains from our equity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interests, and any gains that we do realize on the disposition of any equity interests may not be sufficient to offset any other losses we experience.</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Preferred Stock. </w:t>
      </w:r>
      <w:r>
        <w:rPr>
          <w:rFonts w:ascii="Arial" w:cs="Arial" w:eastAsia="Arial" w:hAnsi="Arial"/>
          <w:sz w:val="18"/>
          <w:szCs w:val="18"/>
          <w:color w:val="auto"/>
        </w:rPr>
        <w:t>To the extent we invest in preferred securities, we may incur particular risks, including:</w:t>
      </w:r>
    </w:p>
    <w:p>
      <w:pPr>
        <w:spacing w:after="0" w:line="131" w:lineRule="exact"/>
        <w:rPr>
          <w:sz w:val="20"/>
          <w:szCs w:val="20"/>
          <w:color w:val="auto"/>
        </w:rPr>
      </w:pPr>
    </w:p>
    <w:p>
      <w:pPr>
        <w:ind w:left="900" w:right="60" w:hanging="325"/>
        <w:spacing w:after="0" w:line="264"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U.S. federal income tax purposes before we receive such distributions;</w:t>
      </w:r>
    </w:p>
    <w:p>
      <w:pPr>
        <w:spacing w:after="0" w:line="86"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preferred securities are subordinated to bonds and other debt instruments in a company’s capital structure in terms of priority to corporate income and liquidation payments, and therefore are subject to greater credit risk than more senior debt instruments; and</w:t>
      </w:r>
    </w:p>
    <w:p>
      <w:pPr>
        <w:spacing w:after="0" w:line="75"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generally, preferred security holders have no voting rights with respect to the issuing company unless preferred dividends have been in arrears for a specified number of periods, at which time the preferred security holders may elect a number of directors to the issuer’s board; generally, once all the arrearages have been paid, the preferred security holders no longer have voting rights.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our investments generally involve a number of significant risks, including:</w:t>
      </w:r>
    </w:p>
    <w:p>
      <w:pPr>
        <w:spacing w:after="0" w:line="131" w:lineRule="exact"/>
        <w:rPr>
          <w:sz w:val="20"/>
          <w:szCs w:val="20"/>
          <w:color w:val="auto"/>
        </w:rPr>
      </w:pPr>
    </w:p>
    <w:p>
      <w:pPr>
        <w:ind w:left="900" w:right="240" w:hanging="325"/>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companies in which we invest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86" w:lineRule="exact"/>
        <w:rPr>
          <w:rFonts w:ascii="Arial" w:cs="Arial" w:eastAsia="Arial" w:hAnsi="Arial"/>
          <w:sz w:val="18"/>
          <w:szCs w:val="18"/>
          <w:color w:val="auto"/>
        </w:rPr>
      </w:pPr>
    </w:p>
    <w:p>
      <w:pPr>
        <w:ind w:left="900" w:right="40" w:hanging="325"/>
        <w:spacing w:after="0" w:line="34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companies in which we invest typically have shorter operating histories, narrower product lines and smaller market shares than larger businesses, which tend to render them more vulnerable to competitors’ actions and market conditions, as well as to general economic downturns;</w:t>
      </w:r>
    </w:p>
    <w:p>
      <w:pPr>
        <w:spacing w:after="0" w:line="29" w:lineRule="exact"/>
        <w:rPr>
          <w:rFonts w:ascii="Arial" w:cs="Arial" w:eastAsia="Arial" w:hAnsi="Arial"/>
          <w:sz w:val="16"/>
          <w:szCs w:val="16"/>
          <w:color w:val="auto"/>
        </w:rPr>
      </w:pPr>
    </w:p>
    <w:p>
      <w:pPr>
        <w:ind w:left="900" w:right="120" w:hanging="325"/>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companies in which we invest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86"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companies in which we invest generally have less predictable operating results, may be engaged in rapidly changing businesses with products subject to a substantial risk of obsolescence, and may require substantial additional capital to support their operations, finance expansion or maintain their competitive position;</w:t>
      </w:r>
    </w:p>
    <w:p>
      <w:pPr>
        <w:spacing w:after="0" w:line="86"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75"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executive officers, directors and Adviser may, in the ordinary course of business, be named as defendants in litigation arising from our investments in the portfolio companies;</w:t>
      </w:r>
    </w:p>
    <w:p>
      <w:pPr>
        <w:spacing w:after="0" w:line="75" w:lineRule="exact"/>
        <w:rPr>
          <w:rFonts w:ascii="Arial" w:cs="Arial" w:eastAsia="Arial" w:hAnsi="Arial"/>
          <w:sz w:val="18"/>
          <w:szCs w:val="18"/>
          <w:color w:val="auto"/>
        </w:rPr>
      </w:pPr>
    </w:p>
    <w:p>
      <w:pPr>
        <w:ind w:left="900" w:right="240" w:hanging="325"/>
        <w:spacing w:after="0" w:line="34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companies in which we invest generally have less publicly available information about their businesses, operations and financial condition and, if we are unable to uncover all material information about these companies, we may not make a fully informed investment decision; and</w:t>
      </w:r>
    </w:p>
    <w:p>
      <w:pPr>
        <w:spacing w:after="0" w:line="29" w:lineRule="exact"/>
        <w:rPr>
          <w:rFonts w:ascii="Arial" w:cs="Arial" w:eastAsia="Arial" w:hAnsi="Arial"/>
          <w:sz w:val="16"/>
          <w:szCs w:val="16"/>
          <w:color w:val="auto"/>
        </w:rPr>
      </w:pPr>
    </w:p>
    <w:p>
      <w:pPr>
        <w:ind w:left="900" w:right="8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companies in which we invest may have difficulty accessing the capital markets to meet future capital needs, which may limit their ability to grow or to repay their outstanding indebtedness upon maturity.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73"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Investments are valued at the end of each fiscal quarter. The majority of our investments are expected to be in loans that do not have readily ascertainable market prices. The fair value of investments that are not publicly traded or whose market prices are not readily available are determined in good faith by the Board, which is supported by the valuation committee of our Adviser and by the audit committee of our Board. The Board has retained independent third-party valuation firms to perform certain limited third-party valuation services that the Board identified and requested them to perform. In accordance with our valuation policy, our Investment Team prepares portfolio company valuations using sources or proprietary models depending on the availability of information on our investments and the type of asset being valued. The participation of the Adviser in our valuation process could result in a conflict of interest, since the Management Fee is based in part on our gross assets.</w:t>
      </w:r>
    </w:p>
    <w:p>
      <w:pPr>
        <w:spacing w:after="0" w:line="178"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Factors that we may consider in determining the fair value of our investments include the nature and realizable value of any collateral, the portfolio company’s earnings and its ability to make payments on its indebtedness, the markets in which the portfolio company does business, comparison to similar publicly traded companies, discounted cash flow and other relevant factors. 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stock. In addition, the valuation of these types of securities may result in substantial write-downs and earnings volatility.</w:t>
      </w:r>
    </w:p>
    <w:p>
      <w:pPr>
        <w:spacing w:after="0" w:line="192"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Decreases in the market values or fair values of our investments are recorded as unrealized depreciation. The effect of all of these factors on our portfolio can reduce our net asset value by increasing net unrealized depreciation in our portfolio. Depending on market conditions, we could incur substantial realized losses and may suffer unrealized losses, which could have a material adverse impact on our business, financial condition and results of operations.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generally make loans to private companies. There may not be a ready market for our loans and certain loans may contain transfer restrictions, which may also limit liquidity. The illiquidity of these investments may make it difficult for us to sell positions if the need arises. In addition, if we are required to liquidate all or a portion of our portfolio quickly, we may realize significantly less than the value at which we had previously recorded these investments. 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28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3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portfolio is currently invested in a limited number of portfolio companies and industries and may continue to be in the near future. Beyond the asset diversification requirements associated with our qualification as a RIC for U.S. federal income tax purposes, we do not have fixed guidelines for diversification. While we expect that no single investment will represent more than 15% of our investment portfolio, based on fair value, and are not targeting any specific industries, our investments may be focused on relatively few industries. For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example, although we classify the industries of our portfolio companies by end-market (such as healthcare and pharmaceuticals, and business services) and not by the products or services (such as software) directed to those end-markets, many of our portfolio companies principally provide software products or services, which exposes us to downturns in that sector.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securitize certain of our investments, which may subject us to certain structured financing risks.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Although we have not done so to date, we may securitize certain of our investments in the future, including through the formation of one or more collateralized loan obligations, or CLOs, while retaining all or most of the exposure to the performance of these investments. This would involve contributing a pool of assets to a special purpose entity, and selling debt interests in that entity on a non-recourse or limited-recourse basis to purchasers. For example, we could use our wholly owned subsidiary, TPG SL SPV, LLC, which holds the assets that support our asset-backed credit facility, the Second Amended and Restated Credit and Security Agreement between our wholly owned subsidiary, TPG SL SPV, LLC and Natixis, New York Branch and certain other lenders, which we refer to as the SPV Asset Facility, to form a CLO or other securitization vehicle in the future.</w:t>
      </w:r>
    </w:p>
    <w:p>
      <w:pPr>
        <w:spacing w:after="0" w:line="17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If we were to create a CLO or other securitization vehicle, we would depend on distributions from the vehicle to make distributions to our stockholders. The ability of a CLO or other securitization vehicle to make distributions will be subject to various limitations, including the terms and covenants of the debt it issues. For example, tests (based on interest coverage or other financial ratios or other criteria) may restrict our ability, as holder of a CLO or other securitization vehicle equity interest, to receive cash flow from these investments. We cannot assure you that any such performance tests would be satisfied. Also, a CLO or other securitization vehicle may take actions that delay distributions to preserve ratings and to keep the cost of present and future financings lower or the financing vehicle may be obligated to retain cash or other assets to satisfy over-collateralization requirements commonly provided for holders of its debt. As a result, there may be a lag, which could be significant, between the repayment or other realization on a loan or other assets in, and the distribution of cash out of, a CLO or other securitization vehicle, or cash flow may be completely restricted for the life of the CLO or other securitization vehicle.</w:t>
      </w:r>
    </w:p>
    <w:p>
      <w:pPr>
        <w:spacing w:after="0" w:line="19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addition, a decline in the credit quality of loans in a CLO or other securitization vehicle due to poor operating results of the relevant borrower, declines in the value of loan collateral or increases in defaults, among other things, may force the sale of certain assets at a loss, reducing their earnings and, in turn, cash potentially available for distribution to us for distribution to our stockholders. If we were to form a CLO or other securitization vehicle, to the extent that any losses were incurred by the financing vehicle in respect of any collateral, these losses would be borne first by us as owners of its equity interests. Any equity interests that we were to retain in a CLO or other securitization vehicle would not be secured by its assets and we would rank behind all of its creditors.</w:t>
      </w:r>
    </w:p>
    <w:p>
      <w:pPr>
        <w:spacing w:after="0" w:line="193"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We may be exposed to many of the same risks as described above with respect to our wholly owned subsidiary that supports our SPV Asset Facility. However, in the event we formed a CLO or other securitization vehicle, many of the risks described above would be heightened because we may incur a higher degree of leverage under a CLO or other securitization vehicle than we are permitted to incur under our SPV Asset Facility.</w:t>
      </w:r>
    </w:p>
    <w:p>
      <w:pPr>
        <w:spacing w:after="0" w:line="166"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Nonetheless, a CLO or other securitization vehicle, if created, also would likely be consolidated in our financial statements and consequently affect our asset coverage ratio, which may limit our ability to incur additional leverage. See “Regulation.”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16"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are a lender, and loans (and any equity investments we make) typically will be non-controlling investments, meaning we will not be in a position to control the management, operation and strategic decision-making of the companies we invest in (outside of, potentially, the context of a restructuring, insolvency or similar event). As a result, we will be subject to the risk that a portfolio company we do not control, or in which we do not have a majority ownership position, may make business decisions with which we disagree, and the equityholders and management of such a portfolio company may take risks or otherwise act in ways that are adverse to our interests. We may not be able to dispose of our investments in the event that we disagree with the actions of a portfolio company, and may therefore suffer a decrease in the value of our investments.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majority of our debt investments are based on floating rates, such as LIBOR, EURIBOR, the Federal Funds Rate or the Prime Rate. General interest rate fluctuations may have a substantial negative impact on our investments, the value of our common stock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w:t>
      </w:r>
    </w:p>
    <w:p>
      <w:pPr>
        <w:spacing w:after="0" w:line="15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stock less attractive if we are not able to increase our dividend rate, which could reduce the value of our common stock.</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170"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We may use interest rate risk management techniques in an effort to limit our exposure to interest rate fluctuations. These techniques may include various interest rate hedging activities to the extent permitted by the 1940 Act. See “—We expose ourselves to risks when we engage in hedging transactions.”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realize expected returns on our invested capital.</w:t>
      </w:r>
    </w:p>
    <w:p>
      <w:pPr>
        <w:spacing w:after="0" w:line="11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may not realize expected returns on our investment in a portfolio company due to changes in the portfolio company’s financial position or due to an acquisition of the portfolio company. If a portfolio company repays our loans prior to their maturity, we may not receive our expected returns on our invested capital. Many of our investments are structured to provide a disincentive for the borrower to pre-pay or call the security, but this call protection may not cover the full expected value of an investment if that investment is repaid prior to maturity.</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Middle-market companies operate in a highly acquisitive market with frequent mergers and buyouts. If a portfolio company is acquired or merged with another company prior to drawing on our commitment, we would not realize our expected return. Similarly, in many cases companies will seek to restructure or repay their debt investments or buy our other equity ownership positions as part of an acquisition or merger transaction, which may result in a repayment of debt or other reduction of our investment.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By originating loans to companies that are experiencing significant financial or business difficulties, we may be exposed to distressed lending risks.</w:t>
      </w:r>
    </w:p>
    <w:p>
      <w:pPr>
        <w:spacing w:after="0" w:line="14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 unusually high. We cannot assure you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portfolio companies in some cases may incur debt or issue equity securities that rank equally with, or senior to, our investments in those companies.</w:t>
      </w:r>
    </w:p>
    <w:p>
      <w:pPr>
        <w:spacing w:after="0" w:line="152"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Our portfolio companies may have, or may be permitted to incur, other debt, or issue other equity securities that rank equally with, or senior to, our investments. By their terms, those instruments may provide that the holders are entitled to receive payment of dividends, interest or principal on or before the dates on which we are entitled to receive payments in respect of our investments. These debt instruments would usually prohibit the portfolio companies from paying interest on or repaying our investments in the event and during the continuance of a default under the debt. Also, in the event of insolvency, liquidation, dissolution, reorganization or bankruptcy of a portfolio company, holders of securities ranking senior to our investment in that portfolio company typically would be entitled to receive payment in full before we receive any distribution in respect of our investment. After repaying those holders, the portfolio company may not have any remaining assets to use for repaying its obligation to us. In the case of securities ranking equally with our investments, we would have to share on an equal basis any distributions with other security holders in the event of an insolvency, liquidation, dissolution, reorganization or bankruptcy of the relevant portfolio company.</w:t>
      </w:r>
    </w:p>
    <w:p>
      <w:pPr>
        <w:spacing w:after="0" w:line="18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rights we may have with respect to the collateral securing certain loans we make to our portfolio companies may also be limited pursuant to the terms of one or more intercreditor agreements or agreements among lenders. Under these agreements, we may forfeit certain rights with respect to the collateral to holders with prior claims. These rights may include the right to commence enforcement proceedings against the collateral, the right to control the conduct of those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lenders are adversely affected.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special risks associated with bankruptcy cases.</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One or more of our portfolio companies may be involved in bankruptcy or other reorganization or liquidation proceedings. Many of the events within a bankruptcy case are adversarial and often beyond the control of the creditors. While creditors generally are afforded an opportunity to object to significant actions, we cannot assure you that a bankruptcy court would not approve actions that may be contrary to our interests. There also are instances where creditors can lose their ranking and priority if they are considered to have taken over management of a borrower.</w:t>
      </w:r>
    </w:p>
    <w:p>
      <w:pPr>
        <w:spacing w:after="0" w:line="17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assets. The debt of companies in financial reorganization will, in most cases, not pay current interest, may not accrue interest during reorganization and may be adversely affected by an erosion of the issuer’s fundamental value.</w:t>
      </w:r>
    </w:p>
    <w:p>
      <w:pPr>
        <w:spacing w:after="0" w:line="170"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In addition, lenders can be subject to lender liability claims for actions taken by them where they become too involved in the borrower’s business or exercise control over the borrower. For example, we could become subject to a lender liability claim (alleging that we misused our influence on the borrower for the benefit of its lenders), if, among other things, the borrower requests significant managerial assistance from us and we provide that assistance.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make follow-on investments in our portfolio companies could impair the value of our 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Following an initial investment in a portfolio company, we may make additional investments in that portfolio company as “follow-on” investments to:</w:t>
      </w:r>
    </w:p>
    <w:p>
      <w:pPr>
        <w:spacing w:after="0" w:line="154"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may elect not to make follow-on investments, may be constrained in our ability to employ available funds, or otherwise may lack sufficient funds to make those investments. We have the discretion to make any follow-on investments, subject to the availability of capital resources. However, doing so could be placing even more capital at risk in existing portfolio companies.</w:t>
      </w:r>
    </w:p>
    <w:p>
      <w:pPr>
        <w:spacing w:after="0" w:line="181"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enter into transactions with our affiliates is restricted.</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are prohibited under the 1940 Act from participating in certain transactions with certain of our affiliates without the prior approval of our Independent Directors and, in some cases, the SEC. Any person that owns, directly or indirectly, 5% or more of our outstanding voting securities is our affiliate for purposes of the 1940 Act, and we generally are prohibited from buying or selling any security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directors or their affiliates.</w:t>
      </w:r>
    </w:p>
    <w:p>
      <w:pPr>
        <w:spacing w:after="0" w:line="179"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The decision by TSSP, TPG or our Adviser to allocate an opportunity to another entity could cause us to forgo an investment opportunity that we otherwise would have made. We also generally will be unable to invest in any issuer in which TPG and its other affiliates or a fund managed by TPG or its other affiliates has previously invested or in which they are making an investment. Similar restrictions limit our ability to transact business with</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our officers or directors or their affiliates. These restrictions may limit the scope of investment opportunities that would otherwise be available to us.</w:t>
      </w:r>
    </w:p>
    <w:p>
      <w:pPr>
        <w:spacing w:after="0" w:line="23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December 16, 2014, we were granted an exemptive relief order from the SEC that, if certain conditions are met, allows us to co-invest with affiliates of TSSP and TPG in middle-market loan origination activities for companies domiciled in the United States and certain “follow-on” investments in companies in which we have already co-invested pursuant to the order and remain invested. We and our affiliates, including investment funds managed by our affiliates, are only permitted to co-invest in accordance with the terms of the exemptive relief order or in the limited circumstances otherwise currently permitted by regulatory guidance. See “Related-Party Transactions and Certain Relationships—Exemptive Relief” for more information on the terms of the exemptive relief order.</w:t>
      </w:r>
    </w:p>
    <w:p>
      <w:pPr>
        <w:spacing w:after="0" w:line="30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cannot guarantee that we will be able to obtain various required licenses in U.S. states or in any other jurisdiction where they may be required in the future.</w:t>
      </w:r>
    </w:p>
    <w:p>
      <w:pPr>
        <w:spacing w:after="0" w:line="6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are required to have and may be required in the future to obtain various state licenses to, among other things, originate commercial loans, and may be required to obtain similar licenses from other authorities, including outside of the United States, in the future in connection with one or more investments. Applying for and obtaining required licenses can be costly and take several months. We cannot assure you that we will maintain or obtain all of the licenses that we need on a timely basis. We also are and will be subject to various information and other requirements to maintain and obtain these licenses, and we cannot assure you that we will satisfy those requirements. Our failure to maintain or obtain licenses that we require, now or in the future, might restrict investment options and have other adverse consequences.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foreign companies may involve significant risks in addition to the risks inherent in U.S. investments.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investment strategy may include potential investments in foreign companies. Investing in foreign companies may expose us to additional risks not typically associated with investing in U.S. companies. These risks include changes in exchange control regulations, political and social instability, expropriation, imposition of foreign taxes (potentially at confiscatory levels), less liquid markets,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In addition, interest income derived from loans to foreign companies is not eligible to be distributed to our non-U.S. stockholders free from withholding taxes.</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cannot assure you that such strategies will be effective or without risk to us.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expose ourselves to risks when we engage in hedging transactions.</w:t>
      </w:r>
    </w:p>
    <w:p>
      <w:pPr>
        <w:spacing w:after="0" w:line="11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We have entered, and may in the future enter, into hedging transactions, which may expose us to risks associated with such transactions. We may seek to utilize instruments such as forward contracts, currency options and interest rate swaps, caps, collars and floors to seek to hedge against fluctuations in the relative values of our portfolio positions from changes in currency exchange rates and market interest rates and the relative value of certain debt securities from changes in market interest rates. Use of these hedging instruments may include counter-party credit risk. To the extent we have non-U.S. investments, particularly investments in non-U.S. denominated currencies, our hedging costs will increase.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also have the ability to borrow in certain foreign currencies under the second amended and restated senior secured revolving credit agreement, as amended, with SunTrust Bank, as administrative agent, and certain lenders, which we refer to as the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19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Hedging against a decline in the values of our portfolio positions would not eliminate the possibility of fluctuations in the values of such positions or prevent losses if the values of such positions were to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were to increase. It also may not be possible to hedge against an exchange rate or interest rate fluctuation that is so generally anticipated that we are not able to enter into a hedging transaction at an acceptable price.</w:t>
      </w:r>
    </w:p>
    <w:p>
      <w:pPr>
        <w:spacing w:after="0" w:line="173"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success of our hedging strategy will depend on our ability to correctly identify appropriate exposures for hedging. To date, we have entered into hedging transactions to seek to reduce currency exchange rate risk. In addition, in connection with the offering of our Convertible Senior Notes, which bear interest at a fixed rate, we entered into fixed-to-floating interest rate swaps to continue to align the interest rates of our liabilities with our investment portfolio, which consists of predominately floating rate loans. However, unanticipated changes in currency exchange rates or other exposures that we might hedge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as may the time period in which the hedge is effective relative to the time period of the related exposure.</w:t>
      </w:r>
    </w:p>
    <w:p>
      <w:pPr>
        <w:spacing w:after="0" w:line="178"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For a variety of reasons, we may not seek to (or be able to) establish a perfect correlation between such hedging instruments and the positions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Income derived from hedging transactions also is not eligible to be distributed to non-U.S. stockholders free from withholding taxes. See also “—We are exposed to risks associated with changes in interest rates” and “Management’s Discussion and Analysis of Financial Condition and Results of Operations—Results of Operations—Hedging.”</w:t>
      </w:r>
    </w:p>
    <w:p>
      <w:pPr>
        <w:spacing w:after="0" w:line="178"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color w:val="auto"/>
        </w:rPr>
        <w:t>Finally, recent and anticipated regulatory changes require that certain types of swaps, including interest rate and credit default swaps, be cleared and traded on regulated platforms, and these regulatory changes are expected to apply to foreign exchange transactions in the future. Cleared swaps, such as the interest rate swaps we entered into in connection with our Convertible Senior Notes offering, require us to post collateral. Any failure by us to fulfill any collateral requirement (e.g., a so-called “margin call”) may result in a default and could have a material adverse impact on our business, financial condition and results of operations. Regulators also are expected to impose margin requirements for derivatives that are not cleared. These new requirements could significantly increase the cost of using swaps to hedge our interest rate and foreign exchange risk, and could increase our exposure to these risks.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cease to be eligible for an exemption from regulation as a commodity pool operator, our compliance expenses could increase substantially.</w:t>
      </w:r>
    </w:p>
    <w:p>
      <w:pPr>
        <w:spacing w:after="0" w:line="140"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Our Adviser has been granted relief under a no-action letter, known as Letter 12-40, issued by the staff of the Commodity Futures Trading Commission, or CFTC. Letter 12-40 relieves our Adviser from registering with the CFTC as the commodity pool operator, or CPO, of us, so long as we:</w:t>
      </w:r>
    </w:p>
    <w:p>
      <w:pPr>
        <w:spacing w:after="0" w:line="52"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to be regulated by the SEC as a BDC;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confine our trading in CFTC-regulated derivatives within specified thresholds;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are not marketed to the public as a commodity pool or as a vehicle for trading in CFTC-regulated derivatives.</w:t>
      </w:r>
    </w:p>
    <w:p>
      <w:pPr>
        <w:spacing w:after="0" w:line="225"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If we were not to satisfy the conditions of Letter 12-40 in the future, our Adviser may be subject to registration with the CFTC as a CPO. Registered CPOs must comply with numerous substantive regulations related to disclosure, reporting and recordkeeping, and are required to become members of the National Futures Association, or the NFA, and be subject to the NFA’s rules and bylaws. Compliance with these additional registration and regulatory requirements could increase our expenses and impact performance. The Adviser previously relied on the exemption from registration in CFTC Rule 4.13(a)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(3), which is not available for advisers of companies whose stock is marketed to the public.</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 investments may present special tax issues.</w:t>
      </w:r>
    </w:p>
    <w:p>
      <w:pPr>
        <w:spacing w:after="0" w:line="117"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Investments in below-investment grade debt instruments and certain equity securities may present special tax issues for us. U.S. federal income tax rules are not entirely clear about certain issues, including when we may cease to accrue interest, original issue discount or market discount, when and to what extent certain deductions may be taken for bad debts or worthless equity securities, how payments received on obligations in default should be allocated between principal and interest income, as well as whether exchanges of debt instruments in a bankruptcy or workout context are taxable. These matters could cause us to recognize taxable income for U.S. federal income tax purposes, even in the absence of cash or economic gain, and require us to make taxable distributions to our stockholders to maintain our RIC status or preclude the imposition of either U.S. federal corporate income or excise taxation. Additionally, because such taxable income may not be matched by corresponding cash received by us, we may be required to borrow money or dispose of other investments to be able to make distributions to our stockholders. These and other issues will be considered by us, to the extent determined necessary, so that we aim to minimize the level of any U.S. federal income or excise tax that we would otherwise incur. See “Material U.S. Federal Income Tax Considerations—Regulated Investment Company Classification.”</w:t>
      </w:r>
    </w:p>
    <w:p>
      <w:pPr>
        <w:spacing w:after="0" w:line="28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Unless Congress renews certain exemptions that expired for taxable years commencing after December 31, 2014, certain dividend distributions we make to certain non-U.S. stockholders will be subject to U.S. withholding tax.</w:t>
      </w:r>
    </w:p>
    <w:p>
      <w:pPr>
        <w:spacing w:after="0" w:line="62"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In recent years, Congress has renewed the rules under which certain dividend distributions by RICs paid out of interest income, which we refer to as interest-related dividends, qualified for a generally applicable exemption from U.S. withholding tax. As a result, a non-U.S. stockholder could receive interest-related dividends free of U.S. withholding tax if (as normally would be the case) the stockholder would not have been subject to U.S. withholding tax if it had received the underlying interest income directly. This exemption expired for taxable years commencing after December 31, 2014. Further legislation will be required to make the exemption available with respect to such taxable years. We cannot assure you that Congress will extend the pass-through rules for taxable years commencing after December 31, 2014, or that any such extension will apply to all dividends that we distribute in such taxable years. A failure to extend the exemption for interest-related dividends would not affect the treatment of non-U.S. stockholders that qualify for an exemption from U.S. withholding tax on dividends by reason of their special status (for example, foreign government-related entities and certain pension funds resident in favorable treaty jurisdictions).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b w:val="1"/>
          <w:bCs w:val="1"/>
          <w:i w:val="1"/>
          <w:iCs w:val="1"/>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39" w:lineRule="exact"/>
        <w:rPr>
          <w:sz w:val="20"/>
          <w:szCs w:val="20"/>
          <w:color w:val="auto"/>
        </w:rPr>
      </w:pPr>
    </w:p>
    <w:p>
      <w:pPr>
        <w:ind w:right="120" w:firstLine="456"/>
        <w:spacing w:after="0" w:line="269" w:lineRule="auto"/>
        <w:rPr>
          <w:sz w:val="20"/>
          <w:szCs w:val="20"/>
          <w:color w:val="auto"/>
        </w:rPr>
      </w:pPr>
      <w:r>
        <w:rPr>
          <w:rFonts w:ascii="Arial" w:cs="Arial" w:eastAsia="Arial" w:hAnsi="Arial"/>
          <w:sz w:val="17"/>
          <w:szCs w:val="17"/>
          <w:color w:val="auto"/>
        </w:rPr>
        <w:t>We expect to be treated as a “publicly offered regulated investment company” as a result of shares of our common stock being treated as regularly traded on an established securities market. However, we cannot assure you that we will be treated as a publicly offered regulated investment company for all years. For example, if our shares are not treated as regularly traded and we are not held by more than 500 persons at all times during the taxable year, we might not be treated as a publicly offered regulated investment company. If we are not treated as a publicly offered regulated investment company for any calendar year, each U.S. stockholder that is an individual, trust or estate will be treated as having received a dividend from us in the amount of such U.S. stockholder’s allocable share of the Management Fees and Incentive Fees paid to our Adviser and certain of our other expenses for the calendar year, and these fees and expenses will be treated as miscellaneous itemized deductions of such U.S. stockholder. Miscellaneous itemized deductions generally are deductible by a U.S. stockholder that is an individual, trust or estate only to the extent that the aggregate of such U.S. stockholder’s miscellaneous itemized deductions exceeds 2% of such U.S. stockholder’s adjusted gross income for U.S. federal income tax purposes, are not deductible for purposes of the alternative minimum tax and are subject to the overall limitation on itemized deductions under the Code. See “Material U.S. Federal Income Tax Considerations—Taxation of U.S. Stockholders—Potential Limitation with Respect to Certain U.S. Stockholders on Deductions for Certain Fees and Expenses.”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certain risks associated with holding debt obligations that have original issue discount or payment-in-kind, or PIK.</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Original issue discount, or OID, may arise if we hold securities issued at a discount, receive warrants in connection with the making of a loan, or in certain other circumstances.</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OID creates the risk that Incentive Fees will be paid to the Adviser based on non-cash accruals that ultimately may not be realized, while the Adviser will be under no obligation to reimburse us for these fees.</w:t>
      </w:r>
    </w:p>
    <w:p>
      <w:pPr>
        <w:spacing w:after="0" w:line="170" w:lineRule="exact"/>
        <w:rPr>
          <w:sz w:val="20"/>
          <w:szCs w:val="20"/>
          <w:color w:val="auto"/>
        </w:rPr>
      </w:pPr>
    </w:p>
    <w:p>
      <w:pPr>
        <w:ind w:right="640" w:firstLine="456"/>
        <w:spacing w:after="0" w:line="286" w:lineRule="auto"/>
        <w:rPr>
          <w:sz w:val="20"/>
          <w:szCs w:val="20"/>
          <w:color w:val="auto"/>
        </w:rPr>
      </w:pPr>
      <w:r>
        <w:rPr>
          <w:rFonts w:ascii="Arial" w:cs="Arial" w:eastAsia="Arial" w:hAnsi="Arial"/>
          <w:sz w:val="17"/>
          <w:szCs w:val="17"/>
          <w:color w:val="auto"/>
        </w:rPr>
        <w:t>The higher interest rates of OID instruments reflect the payment deferral and increased credit risk associated with these instruments, and OID instruments generally represent a significantly higher credit risk than coupon loans. Even if the accounting conditions for income accrual are met, the borrower could still default when our actual collection is supposed to occur at the maturity of the obligation.</w:t>
      </w:r>
    </w:p>
    <w:p>
      <w:pPr>
        <w:spacing w:after="0" w:line="166"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OID instruments may have unreliable valuations because their continuing accruals require continuing judgments about the collectability of the deferred payments and the value of any associated collateral. OID income may also create uncertainty about the source of our cash distributions.</w:t>
      </w:r>
    </w:p>
    <w:p>
      <w:pPr>
        <w:spacing w:after="0" w:line="14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For accounting purposes, any cash distributions to stockholders representing OID income are not treated as coming from paid-in capital, even if the cash to pay them comes from the proceeds of issuances of our common stock. As a result, despite the fact that a distribution representing OID income could be paid out of amounts invested by our stockholders, the 1940 Act does not require that stockholders be given notice of this fact by reporting it as a return of capital.</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PIK interest has the effect of generating investment income at a compounding rate, thereby further increasing the Incentive Fees payable to the Adviser.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Similarly, all things being equal, the deferral associated with PIK interest also increases the loan-to-value ratio at a compounding rate.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Offerings Pursuant to This Prospectus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investors in our common stock may not receive dividends or that our dividends may not grow over time.</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intend to continue making distributions on a quarterly basis to our stockholders out of assets legally available for distribution. We cannot assure you that we will achieve investment results or maintain a tax status that will allow or require any specified level of cash distributions or year-to-year increases in cash distributions. Our ability to pay distributions might be adversely affected by the impact of one or more of the risk factors described in this prospectus. Due to the asset coverage test applicable to us under the 1940 Act as a BDC or restrictions under our credit facilities, we may be limited in our ability to make distributions.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8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“—Risks Related to Our Portfolio Company Investments—There are certain risks associated with holding debt obligations that have original issue discount or payment-in-kind, or PIK.”</w:t>
      </w:r>
    </w:p>
    <w:p>
      <w:pPr>
        <w:spacing w:after="0" w:line="18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Therefore, we may be required to make a distribution to our stockholders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 In addition, the withholding tax treatment of our distributions to certain of our non-U.S. stockholders depends on whether and when Congress enacts legislation extending the pass-through treatment of “interest-related dividends.” This treatment expired for taxable years commencing after December 31, 2014. See “Material U.S. Federal Income Tax Considerations—Regulated Investment Company Classification.”</w:t>
      </w:r>
    </w:p>
    <w:p>
      <w:pPr>
        <w:spacing w:after="0" w:line="192"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 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w:t>
      </w:r>
    </w:p>
    <w:p>
      <w:pPr>
        <w:spacing w:after="0" w:line="173"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our securities may involve a high degree of risk.</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securities may not be suitable for someone with lower risk tolerance.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76" w:lineRule="exact"/>
        <w:rPr>
          <w:sz w:val="20"/>
          <w:szCs w:val="20"/>
          <w:color w:val="auto"/>
        </w:rPr>
      </w:pPr>
    </w:p>
    <w:p>
      <w:pPr>
        <w:ind w:left="900" w:right="40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is not necessarily related to the operating performance of these companies;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exclusion of BDC common stock from certain market indices, which could reduce the ability of certain investment funds to own our common stock and put short-term selling pressure on our common stock;</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RIC or BDC status;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or perceived changes in earnings or variations in operating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our portfolio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or perceived changes in the value of our portfolio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accounting guidelines governing valuation of our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downgrades to our credit rating or placement on a negative watch status by a credit rating agency;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departure of the Adviser’s or any of its affiliates’ key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cannot assure you that a market for our common stock will be sustained or that the market price of shares of our common stock will not decline.</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cannot assure you that a trading market for our common stock will be sustained. In addition, we cannot predict the prices at which our common stock will trade. 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We cannot predict whether our common stock will trade at, above or below net asset value. In addition, if our common stock trades below its net asset value,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substantial amounts of our common stock in the public market may have an adverse effect on the market price of our common stock.</w:t>
      </w:r>
    </w:p>
    <w:p>
      <w:pPr>
        <w:spacing w:after="0" w:line="140"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Sales of substantial amounts of our common stock, the availability of such common stock for sale (including as a result of the conversion of our Convertible Senior Notes into common stock)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may experience dilution upon the conversion of our Convertible Senior Notes.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Convertible Senior Notes are convertible into shares of our common stock beginning on June 15, 2019 or, under certain circumstances, earlier. Upon conversion of the Convertible Senior Notes, we have the choice to pay or deliver, as the case may be, at our election, cash, shares of our common stock or a combination of cash and shares of our common stock. The initial conversion price of the Convertible Senior Notes is $25.83, subject to adjustment in certain circumstances. If we elect to deliver shares of common stock upon a conversion at the time our tangible book value per share exceeds the conversion price in effect at such time, our stockholders may incur dilution. In addition, our stockholders will experience dilution in their ownership percentage of common stock upon our issuance of common stock in connection with the conversion of the Convertible Senior Notes and any dividends paid on our common stock will also be paid on shares issued in connection with such conversion after such issuance.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will experience dilution in their ownership percentage if they opt out of our dividend reinvestment plan.</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have adopted a dividend reinvestment plan, pursuant to which we will reinvest all cash dividends and distributions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“Price Range of Common Stock and Distributions” and “Dividend Reinvestment Plan” for a description of our dividend policy and obligations.</w:t>
      </w:r>
    </w:p>
    <w:p>
      <w:pPr>
        <w:spacing w:after="0" w:line="188" w:lineRule="exact"/>
        <w:rPr>
          <w:sz w:val="20"/>
          <w:szCs w:val="20"/>
          <w:color w:val="auto"/>
        </w:rPr>
      </w:pPr>
    </w:p>
    <w:p>
      <w:pPr>
        <w:ind w:right="260" w:firstLine="456"/>
        <w:spacing w:after="0" w:line="272" w:lineRule="auto"/>
        <w:rPr>
          <w:sz w:val="20"/>
          <w:szCs w:val="20"/>
          <w:color w:val="auto"/>
        </w:rPr>
      </w:pPr>
      <w:r>
        <w:rPr>
          <w:rFonts w:ascii="Arial" w:cs="Arial" w:eastAsia="Arial" w:hAnsi="Arial"/>
          <w:sz w:val="17"/>
          <w:szCs w:val="17"/>
          <w:color w:val="auto"/>
        </w:rPr>
        <w:t>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of shares of our common stock than the number of shares associated with the market price of our common stock, resulting in dilution for other stockholders. Stockholders that opt out of our dividend reinvestment plan will experience dilution in their ownership percentage of our common stock over time.</w:t>
      </w:r>
    </w:p>
    <w:p>
      <w:pPr>
        <w:spacing w:after="0" w:line="28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Purchases of our common stock by us under the Company 10b5-1 Plan may result in the price of our common stock being higher than the price that otherwise might exist in the open market.</w:t>
      </w:r>
    </w:p>
    <w:p>
      <w:pPr>
        <w:spacing w:after="0" w:line="62"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We have entered into an agreement with Goldman, Sachs &amp; Co., or the Company 10b5-1 Plan, in accordance with Rules 10b5-1 and 10b-18 under the Exchange Act, under which Goldman, Sachs &amp; Co, as agent for us, will buy up to $50 million of our common stock in the aggregate during the period ending on the earlier of the date on which all the capital committed to the plan has been exhausted or June 30, 2015.</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Whether purchases will be made under the Company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have broad discretion over the use of proceeds of any offering made pursuant to this prospectus, to the extent it is successful.</w:t>
      </w:r>
    </w:p>
    <w:p>
      <w:pPr>
        <w:spacing w:after="0" w:line="129"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We will have significant flexibility in applying the proceeds of any offering made pursuant to this prospectus. For example, we may pay operating expenses from net proceeds, which could limit our ability to achieve our investment objective.</w:t>
      </w:r>
    </w:p>
    <w:p>
      <w:pPr>
        <w:spacing w:after="0" w:line="279"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Your interest in us may be diluted if you do not fully exercise your subscription rights in any rights offering. In addition, if the subscription price is less than our net asset value per share, then you will experience an immediate dilution of the aggregate net asset value of your shares.</w:t>
      </w:r>
    </w:p>
    <w:p>
      <w:pPr>
        <w:spacing w:after="0" w:line="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the event we issue subscription rights, stockholders who do not fully exercise their subscription rights should expect that they will, at the completion of a rights offering pursuant to this prospectus, own a smaller proportional interest in us than would otherwise be the case if they fully exercised their rights. We cannot state precisely the amount of any such dilution in share ownership because we do not know at this time what proportion of the shares will be purchased as a result of such rights offering.</w:t>
      </w:r>
    </w:p>
    <w:p>
      <w:pPr>
        <w:spacing w:after="0" w:line="18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In addition, if the subscription price is less than the net asset value per share of our common stock, then our stockholders would experience an immediate dilution of the aggregate net asset value of their shares as a result of the offering. The amount of any decrease in net asset value is not predictable because it is not known at this time what the subscription price and net asset value per share will be on the expiration date of a rights offering or what proportion of the shares will be purchased as a result of such rights offering. Such dilution could be substantial.</w:t>
      </w:r>
    </w:p>
    <w:p>
      <w:pPr>
        <w:spacing w:after="0" w:line="2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in the future determine to issue preferred stock, which could adversely affect the market value of our common stock and cause the net asset value and market value of our common stock to be more volatile.</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and could make the net asset value and market value of our common stock more volatile. Payment of dividends and repayment of the liquidation preference of preferred stock would take preference over any dividends or other payments to our common stockholders, and holders of preferred stock would not be subject to any of our expenses or losses and would not be entitled to participate in any income or appreciation in excess of their stated preference (other than convertible preferred stock that converts into common stock). If the dividend rate on the preferred stock were to approach the net rate of return on our investment portfolio, the benefit of leverage to the holders of the common stock would be reduced. If the dividend rate on the preferred stock were to exceed the net rate of return on our portfolio, the leverage would result in a lower rate of return to the holders of common stock than if we had not issued preferred stock. Any decline in the net asset value of our investments would be borne entirely by the holders of common stock. Therefore, if the market value of our portfolio were to decline, the leverage would result in a greater decrease in net asset value to the holders of common stock than if we were not leveraged through the issuance of preferred stock. This greater net asset value decrease would also tend to cause a greater decline in the market price for the common stock. We might be in danger of failing to maintain the required asset coverage of the preferred stock or of losing our ratings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under the 1940 Act, preferred stock constitutes a “senior security” for purposes of the asset coverage test.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Holders of any preferred stock we might issue would have the right to elect members of the board of directors and class voting rights on certain matters.</w:t>
      </w:r>
    </w:p>
    <w:p>
      <w:pPr>
        <w:spacing w:after="0" w:line="15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Holders of any preferred stock we might issue, voting separately as a single class, would have the right to elect two members of the Board at all times and in the event dividends become two full years in arrears would have the right to elect a majority of the directors until such arrearage is completely eliminated. In addition, preferred stockholders may have class voting rights on certain matters, including changes in fundamental investment restrictions and conversion to open-end status, and, accordingly, could veto any such changes. Restrictions imposed on the declarations and payment of dividends or other distributions to the holders of our common stock and preferred stock, both by the 1940 Act and by requirements imposed by rating agencies or the terms of our credit facilities, might impair our ability to maintain our qualification as a RIC for federal income tax purposes. While we would intend to redeem our preferred stock to the extent necessary to enable us to distribute our income as required to maintain our qualification as a RIC, there can be no assurance that such actions could be effected in time to meet the tax requirements.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00"/>
          </w:cols>
          <w:pgMar w:left="240" w:top="459" w:right="3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7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addition to factors identified elsewhere in this prospectus, the following factors, among others, could cause actual results to differ materially from forward-looking statements or historical performance:</w:t>
      </w:r>
    </w:p>
    <w:p>
      <w:pPr>
        <w:spacing w:after="0" w:line="76" w:lineRule="exact"/>
        <w:rPr>
          <w:sz w:val="20"/>
          <w:szCs w:val="20"/>
          <w:color w:val="auto"/>
        </w:rPr>
      </w:pPr>
    </w:p>
    <w:p>
      <w:pPr>
        <w:ind w:left="900" w:right="22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75"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 entitled “Risk Factors” in this prospectus.</w:t>
      </w:r>
    </w:p>
    <w:p>
      <w:pPr>
        <w:spacing w:after="0" w:line="225"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These risks and uncertainties include, among other things, those described or identified in “Risk Factors” and elsewhere in this prospectus. You should not place undue reliance on these forward-looking statements, which apply only as of the date of this prospectus. We do not undertake any obligation to update or revise any forward-looking statements or any other information contained herein, except as required by applicable law. You should understand that, under Section 27A(b)(2)(B) of the Securities Act and Section 21E(b)(2)</w:t>
      </w:r>
    </w:p>
    <w:p>
      <w:pPr>
        <w:spacing w:after="0" w:line="3" w:lineRule="exact"/>
        <w:rPr>
          <w:sz w:val="20"/>
          <w:szCs w:val="20"/>
          <w:color w:val="auto"/>
        </w:rPr>
      </w:pPr>
    </w:p>
    <w:p>
      <w:pPr>
        <w:ind w:right="120" w:firstLine="8"/>
        <w:spacing w:after="0" w:line="261" w:lineRule="auto"/>
        <w:tabs>
          <w:tab w:leader="none" w:pos="28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of the Exchange Act, the “safe harbor” provisions of the Private Securities Litigation Reform Act of 1995 do not apply to statements made in connection with any offering of securities pursuant to this prospectus.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Unless otherwise specified in a prospectus supplement, we intend to use the net proceeds from the sale of our securities pursuant to this prospectus for general corporate purposes, which may include investing in portfolio companies in accordance with our investment objective and strategies described in this prospectus and repaying indebtedness (which will be subject to reborrowing). The supplement to this prospectus relating to an offering will more fully identify the use of the proceeds from such offering.</w:t>
      </w:r>
    </w:p>
    <w:p>
      <w:pPr>
        <w:spacing w:after="0" w:line="18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estimate that it will take less than three months for us to substantially invest the net proceeds of any offering made pursuant to this prospectus, depending on the availability of attractive opportunities, market conditions and the amount raised.</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Proceeds not immediately used for new investments or the temporary repayment of debt will be invested primarily in cash, cash equivalents, U.S. government securities and other high-quality investments that mature in one year or less from the date of investment. These securities may have lower yields than the types of investments we would typically make in accordance with our investment objective and, accordingly, may result in lower distributions, if any, during such period.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 AND DISTRIBUTIONS</w:t>
      </w:r>
    </w:p>
    <w:p>
      <w:pPr>
        <w:spacing w:after="0" w:line="22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common stock is traded on the NYSE under the symbol “TSLX.” Our common stock has historically traded at prices both above and below our net asset value per share. It is not possible to predict whether our common stock will trade at, above or below net asset value. See “Risk Factors—Risks Related to Offerings Pursuant to This Prospectus.”</w:t>
      </w:r>
    </w:p>
    <w:p>
      <w:pPr>
        <w:spacing w:after="0" w:line="181" w:lineRule="exact"/>
        <w:rPr>
          <w:sz w:val="20"/>
          <w:szCs w:val="20"/>
          <w:color w:val="auto"/>
        </w:rPr>
      </w:pPr>
    </w:p>
    <w:p>
      <w:pPr>
        <w:ind w:right="500" w:firstLine="456"/>
        <w:spacing w:after="0" w:line="279" w:lineRule="auto"/>
        <w:rPr>
          <w:sz w:val="20"/>
          <w:szCs w:val="20"/>
          <w:color w:val="auto"/>
        </w:rPr>
      </w:pPr>
      <w:r>
        <w:rPr>
          <w:rFonts w:ascii="Arial" w:cs="Arial" w:eastAsia="Arial" w:hAnsi="Arial"/>
          <w:sz w:val="17"/>
          <w:szCs w:val="17"/>
          <w:color w:val="auto"/>
        </w:rPr>
        <w:t>The following table sets forth, for each fiscal quarter since our IPO, the net asset value per share of our common stock, the range of high and low closing sales prices of our common stock reported on the NYSE, the closing sales price as a premium (discount) to net asset value and the dividends or distributions declared by us. On June 12, 2015, the last reported closing sales price of our common stock on the NYSE was $18.08 per share, which represented a premium of approximately 15.9% to the net asset value per share reported by us as of March 31, 2015.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Price Range</w:t>
            </w:r>
          </w:p>
        </w:tc>
        <w:tc>
          <w:tcPr>
            <w:tcW w:w="260" w:type="dxa"/>
            <w:vAlign w:val="bottom"/>
            <w:vMerge w:val="restart"/>
          </w:tcPr>
          <w:p>
            <w:pPr>
              <w:spacing w:after="0"/>
              <w:rPr>
                <w:sz w:val="14"/>
                <w:szCs w:val="14"/>
                <w:color w:val="auto"/>
              </w:rPr>
            </w:pPr>
          </w:p>
        </w:tc>
        <w:tc>
          <w:tcPr>
            <w:tcW w:w="150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High Sales</w:t>
            </w:r>
          </w:p>
        </w:tc>
        <w:tc>
          <w:tcPr>
            <w:tcW w:w="14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Low Sales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Cash</w:t>
            </w:r>
          </w:p>
        </w:tc>
        <w:tc>
          <w:tcPr>
            <w:tcW w:w="0" w:type="dxa"/>
            <w:vAlign w:val="bottom"/>
          </w:tcPr>
          <w:p>
            <w:pPr>
              <w:spacing w:after="0"/>
              <w:rPr>
                <w:sz w:val="1"/>
                <w:szCs w:val="1"/>
                <w:color w:val="auto"/>
              </w:rPr>
            </w:pPr>
          </w:p>
        </w:tc>
      </w:tr>
      <w:tr>
        <w:trPr>
          <w:trHeight w:val="82"/>
        </w:trPr>
        <w:tc>
          <w:tcPr>
            <w:tcW w:w="3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Net Asset</w:t>
            </w:r>
          </w:p>
        </w:tc>
        <w:tc>
          <w:tcPr>
            <w:tcW w:w="260" w:type="dxa"/>
            <w:vAlign w:val="bottom"/>
          </w:tcPr>
          <w:p>
            <w:pPr>
              <w:spacing w:after="0"/>
              <w:rPr>
                <w:sz w:val="6"/>
                <w:szCs w:val="6"/>
                <w:color w:val="auto"/>
              </w:rPr>
            </w:pPr>
          </w:p>
        </w:tc>
        <w:tc>
          <w:tcPr>
            <w:tcW w:w="1540" w:type="dxa"/>
            <w:vAlign w:val="bottom"/>
            <w:tcBorders>
              <w:bottom w:val="single" w:sz="8" w:color="auto"/>
            </w:tcBorders>
            <w:gridSpan w:val="2"/>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500" w:type="dxa"/>
            <w:vAlign w:val="bottom"/>
            <w:vMerge w:val="restart"/>
          </w:tcPr>
          <w:p>
            <w:pPr>
              <w:jc w:val="center"/>
              <w:ind w:right="57"/>
              <w:spacing w:after="0" w:line="149" w:lineRule="exact"/>
              <w:rPr>
                <w:sz w:val="20"/>
                <w:szCs w:val="20"/>
                <w:color w:val="auto"/>
              </w:rPr>
            </w:pPr>
            <w:r>
              <w:rPr>
                <w:rFonts w:ascii="Arial" w:cs="Arial" w:eastAsia="Arial" w:hAnsi="Arial"/>
                <w:sz w:val="14"/>
                <w:szCs w:val="14"/>
                <w:b w:val="1"/>
                <w:bCs w:val="1"/>
                <w:color w:val="auto"/>
                <w:w w:val="92"/>
              </w:rPr>
              <w:t>Price to Net</w:t>
            </w:r>
          </w:p>
        </w:tc>
        <w:tc>
          <w:tcPr>
            <w:tcW w:w="146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Price to Net</w:t>
            </w:r>
          </w:p>
        </w:tc>
        <w:tc>
          <w:tcPr>
            <w:tcW w:w="240" w:type="dxa"/>
            <w:vAlign w:val="bottom"/>
          </w:tcPr>
          <w:p>
            <w:pPr>
              <w:spacing w:after="0"/>
              <w:rPr>
                <w:sz w:val="6"/>
                <w:szCs w:val="6"/>
                <w:color w:val="auto"/>
              </w:rPr>
            </w:pPr>
          </w:p>
        </w:tc>
        <w:tc>
          <w:tcPr>
            <w:tcW w:w="9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Dividend Per</w:t>
            </w:r>
          </w:p>
        </w:tc>
        <w:tc>
          <w:tcPr>
            <w:tcW w:w="0" w:type="dxa"/>
            <w:vAlign w:val="bottom"/>
          </w:tcPr>
          <w:p>
            <w:pPr>
              <w:spacing w:after="0"/>
              <w:rPr>
                <w:sz w:val="1"/>
                <w:szCs w:val="1"/>
                <w:color w:val="auto"/>
              </w:rPr>
            </w:pPr>
          </w:p>
        </w:tc>
      </w:tr>
      <w:tr>
        <w:trPr>
          <w:trHeight w:val="52"/>
        </w:trPr>
        <w:tc>
          <w:tcPr>
            <w:tcW w:w="3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w w:val="96"/>
              </w:rPr>
              <w:t>High</w:t>
            </w: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9"/>
              </w:rPr>
              <w:t>Low</w:t>
            </w:r>
          </w:p>
        </w:tc>
        <w:tc>
          <w:tcPr>
            <w:tcW w:w="1500" w:type="dxa"/>
            <w:vAlign w:val="bottom"/>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12"/>
                <w:szCs w:val="12"/>
                <w:b w:val="1"/>
                <w:bCs w:val="1"/>
                <w:color w:val="auto"/>
              </w:rPr>
              <w:t>(1)</w:t>
            </w: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50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Asset Value</w:t>
            </w:r>
            <w:r>
              <w:rPr>
                <w:rFonts w:ascii="Arial" w:cs="Arial" w:eastAsia="Arial" w:hAnsi="Arial"/>
                <w:sz w:val="12"/>
                <w:szCs w:val="12"/>
                <w:b w:val="1"/>
                <w:bCs w:val="1"/>
                <w:color w:val="auto"/>
                <w:w w:val="89"/>
              </w:rPr>
              <w:t>(2)</w:t>
            </w: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Asset Value</w:t>
            </w:r>
            <w:r>
              <w:rPr>
                <w:rFonts w:ascii="Arial" w:cs="Arial" w:eastAsia="Arial" w:hAnsi="Arial"/>
                <w:sz w:val="12"/>
                <w:szCs w:val="12"/>
                <w:b w:val="1"/>
                <w:bCs w:val="1"/>
                <w:color w:val="auto"/>
                <w:w w:val="89"/>
              </w:rPr>
              <w:t>(2)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Share</w:t>
            </w:r>
            <w:r>
              <w:rPr>
                <w:rFonts w:ascii="Arial" w:cs="Arial" w:eastAsia="Arial" w:hAnsi="Arial"/>
                <w:sz w:val="12"/>
                <w:szCs w:val="12"/>
                <w:b w:val="1"/>
                <w:bCs w:val="1"/>
                <w:color w:val="auto"/>
                <w:w w:val="96"/>
              </w:rPr>
              <w:t>(3)</w:t>
            </w:r>
          </w:p>
        </w:tc>
        <w:tc>
          <w:tcPr>
            <w:tcW w:w="0" w:type="dxa"/>
            <w:vAlign w:val="bottom"/>
          </w:tcPr>
          <w:p>
            <w:pPr>
              <w:spacing w:after="0"/>
              <w:rPr>
                <w:sz w:val="1"/>
                <w:szCs w:val="1"/>
                <w:color w:val="auto"/>
              </w:rPr>
            </w:pPr>
          </w:p>
        </w:tc>
      </w:tr>
      <w:tr>
        <w:trPr>
          <w:trHeight w:val="196"/>
        </w:trPr>
        <w:tc>
          <w:tcPr>
            <w:tcW w:w="3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2014</w:t>
            </w:r>
          </w:p>
        </w:tc>
        <w:tc>
          <w:tcPr>
            <w:tcW w:w="7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First Quarter (beginning March 21, 2014)</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15.51</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0"/>
              </w:rPr>
              <w:t>$16.70</w:t>
            </w: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0"/>
              </w:rPr>
              <w:t>$16.00</w:t>
            </w:r>
          </w:p>
        </w:tc>
        <w:tc>
          <w:tcPr>
            <w:tcW w:w="1500" w:type="dxa"/>
            <w:vAlign w:val="bottom"/>
          </w:tcPr>
          <w:p>
            <w:pPr>
              <w:jc w:val="right"/>
              <w:ind w:right="157"/>
              <w:spacing w:after="0"/>
              <w:rPr>
                <w:sz w:val="20"/>
                <w:szCs w:val="20"/>
                <w:color w:val="auto"/>
              </w:rPr>
            </w:pPr>
            <w:r>
              <w:rPr>
                <w:rFonts w:ascii="Arial" w:cs="Arial" w:eastAsia="Arial" w:hAnsi="Arial"/>
                <w:sz w:val="18"/>
                <w:szCs w:val="18"/>
                <w:color w:val="auto"/>
              </w:rPr>
              <w:t>7.7%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15.70</w:t>
            </w: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$23.90</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$16.60</w:t>
            </w:r>
          </w:p>
        </w:tc>
        <w:tc>
          <w:tcPr>
            <w:tcW w:w="15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52.2%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Third Quarter</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15.66</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0"/>
              </w:rPr>
              <w:t>$22.36</w:t>
            </w: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0"/>
              </w:rPr>
              <w:t>$16.01</w:t>
            </w:r>
          </w:p>
        </w:tc>
        <w:tc>
          <w:tcPr>
            <w:tcW w:w="1500" w:type="dxa"/>
            <w:vAlign w:val="bottom"/>
          </w:tcPr>
          <w:p>
            <w:pPr>
              <w:jc w:val="right"/>
              <w:ind w:right="157"/>
              <w:spacing w:after="0"/>
              <w:rPr>
                <w:sz w:val="20"/>
                <w:szCs w:val="20"/>
                <w:color w:val="auto"/>
              </w:rPr>
            </w:pPr>
            <w:r>
              <w:rPr>
                <w:rFonts w:ascii="Arial" w:cs="Arial" w:eastAsia="Arial" w:hAnsi="Arial"/>
                <w:sz w:val="18"/>
                <w:szCs w:val="18"/>
                <w:color w:val="auto"/>
              </w:rPr>
              <w:t>42.8%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15.53</w:t>
            </w: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$18.00</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$15.74</w:t>
            </w:r>
          </w:p>
        </w:tc>
        <w:tc>
          <w:tcPr>
            <w:tcW w:w="15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15.9%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b w:val="1"/>
                <w:bCs w:val="1"/>
                <w:color w:val="auto"/>
              </w:rPr>
              <w:t>Year ended December 31, 2015</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15.60</w:t>
            </w: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$18.54</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$16.34</w:t>
            </w:r>
          </w:p>
        </w:tc>
        <w:tc>
          <w:tcPr>
            <w:tcW w:w="15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18.8%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60" w:hanging="452"/>
        <w:spacing w:after="0" w:line="274"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ind w:left="460" w:hanging="452"/>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Calculated as the respective high or low closing sales price less net asset value, divided by net asset value (in each case, as of the applicable quarter).</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the dividend or distribution declared in the relevant quarter.</w:t>
      </w:r>
    </w:p>
    <w:p>
      <w:pPr>
        <w:spacing w:after="0" w:line="9"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asset value has not yet been calculated for this period.</w:t>
      </w:r>
    </w:p>
    <w:p>
      <w:pPr>
        <w:spacing w:after="0" w:line="211"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pacing w:after="0" w:line="124"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On December 3, 2013, our Board approved a stock split in the form of a stock dividend pursuant to which our stockholders of record as of December 4, 2013 received 65.676 additional shares of common stock for each share of common stock held. We distributed the shares on December 5, 2013 and paid cash for fractional shares without interest or deduction. We have retroactively applied the effect of the stock split to the financial information presented in this prospectus by multiplying numbers of shares outstanding by 66.676 and dividing per share amounts by 66.676.</w:t>
      </w:r>
    </w:p>
    <w:p>
      <w:pPr>
        <w:spacing w:after="0" w:line="17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On May 6, 2015, our Board declared a dividend of $0.39 per share for the quarter ending June 30, 2015 to stockholders of record as of June 30, 2015. The dividend is expected to be paid on or about July 31, 2015. We anticipate that this dividend will be paid from income generated primarily by interest earned on our investment portfolio.</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summarize dividends declared during the three months ended March 31, 2015 and the years ended December 31, 2014 and 2013:</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Date Declared</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February 24, 2015</w:t>
      </w:r>
    </w:p>
    <w:p>
      <w:pPr>
        <w:spacing w:after="0" w:line="30" w:lineRule="exact"/>
        <w:rPr>
          <w:sz w:val="20"/>
          <w:szCs w:val="20"/>
          <w:color w:val="auto"/>
        </w:rPr>
      </w:pPr>
    </w:p>
    <w:p>
      <w:pPr>
        <w:jc w:val="right"/>
        <w:ind w:right="1640"/>
        <w:spacing w:after="0"/>
        <w:rPr>
          <w:sz w:val="20"/>
          <w:szCs w:val="20"/>
          <w:color w:val="auto"/>
        </w:rPr>
      </w:pPr>
      <w:r>
        <w:rPr>
          <w:rFonts w:ascii="Arial" w:cs="Arial" w:eastAsia="Arial" w:hAnsi="Arial"/>
          <w:sz w:val="18"/>
          <w:szCs w:val="18"/>
          <w:b w:val="1"/>
          <w:bCs w:val="1"/>
          <w:color w:val="auto"/>
        </w:rPr>
        <w:t>Total Dividends Declared</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Date Declared</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March 26, 2014</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May 6, 2014</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August 4, 2014</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November 3, 2014</w:t>
      </w:r>
    </w:p>
    <w:p>
      <w:pPr>
        <w:spacing w:after="0" w:line="18" w:lineRule="exact"/>
        <w:rPr>
          <w:sz w:val="20"/>
          <w:szCs w:val="20"/>
          <w:color w:val="auto"/>
        </w:rPr>
      </w:pPr>
    </w:p>
    <w:p>
      <w:pPr>
        <w:jc w:val="right"/>
        <w:ind w:right="1640"/>
        <w:spacing w:after="0"/>
        <w:rPr>
          <w:sz w:val="20"/>
          <w:szCs w:val="20"/>
          <w:color w:val="auto"/>
        </w:rPr>
      </w:pPr>
      <w:r>
        <w:rPr>
          <w:rFonts w:ascii="Arial" w:cs="Arial" w:eastAsia="Arial" w:hAnsi="Arial"/>
          <w:sz w:val="18"/>
          <w:szCs w:val="18"/>
          <w:b w:val="1"/>
          <w:bCs w:val="1"/>
          <w:color w:val="auto"/>
        </w:rPr>
        <w:t>Total Dividends Declared</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Date Declared</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March 12, 2013</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June 30, 2013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September 30, 2013</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December 31, 2013</w:t>
      </w:r>
      <w:r>
        <w:rPr>
          <w:rFonts w:ascii="Arial" w:cs="Arial" w:eastAsia="Arial" w:hAnsi="Arial"/>
          <w:sz w:val="15"/>
          <w:szCs w:val="15"/>
          <w:color w:val="auto"/>
        </w:rPr>
        <w:t>(1)</w:t>
      </w:r>
    </w:p>
    <w:p>
      <w:pPr>
        <w:spacing w:after="0" w:line="19" w:lineRule="exact"/>
        <w:rPr>
          <w:sz w:val="20"/>
          <w:szCs w:val="20"/>
          <w:color w:val="auto"/>
        </w:rPr>
      </w:pPr>
    </w:p>
    <w:p>
      <w:pPr>
        <w:jc w:val="right"/>
        <w:ind w:right="1640"/>
        <w:spacing w:after="0"/>
        <w:rPr>
          <w:sz w:val="20"/>
          <w:szCs w:val="20"/>
          <w:color w:val="auto"/>
        </w:rPr>
      </w:pPr>
      <w:r>
        <w:rPr>
          <w:rFonts w:ascii="Arial" w:cs="Arial" w:eastAsia="Arial" w:hAnsi="Arial"/>
          <w:sz w:val="18"/>
          <w:szCs w:val="18"/>
          <w:b w:val="1"/>
          <w:bCs w:val="1"/>
          <w:color w:val="auto"/>
        </w:rPr>
        <w:t>Total Dividends Declared</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auto"/>
        </w:rPr>
        <w:t>Three Months Ended March 31, 2015</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720" w:type="dxa"/>
            <w:vAlign w:val="bottom"/>
            <w:tcBorders>
              <w:top w:val="single" w:sz="8" w:color="auto"/>
            </w:tcBorders>
            <w:gridSpan w:val="2"/>
          </w:tcPr>
          <w:p>
            <w:pPr>
              <w:ind w:left="380"/>
              <w:spacing w:after="0" w:line="142" w:lineRule="exact"/>
              <w:rPr>
                <w:sz w:val="20"/>
                <w:szCs w:val="20"/>
                <w:color w:val="auto"/>
              </w:rPr>
            </w:pPr>
            <w:r>
              <w:rPr>
                <w:rFonts w:ascii="Arial" w:cs="Arial" w:eastAsia="Arial" w:hAnsi="Arial"/>
                <w:sz w:val="14"/>
                <w:szCs w:val="14"/>
                <w:b w:val="1"/>
                <w:bCs w:val="1"/>
                <w:color w:val="auto"/>
              </w:rPr>
              <w:t>Record Date</w:t>
            </w:r>
          </w:p>
        </w:tc>
        <w:tc>
          <w:tcPr>
            <w:tcW w:w="58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Payment Date</w:t>
            </w:r>
          </w:p>
        </w:tc>
        <w:tc>
          <w:tcPr>
            <w:tcW w:w="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Dividend per Share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50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w w:val="89"/>
              </w:rPr>
              <w:t>March 31, 2015</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April 30, 2015</w:t>
            </w:r>
          </w:p>
        </w:tc>
        <w:tc>
          <w:tcPr>
            <w:tcW w:w="7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Year Ended December 31, 2014</w:t>
            </w: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3"/>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720" w:type="dxa"/>
            <w:vAlign w:val="bottom"/>
            <w:gridSpan w:val="2"/>
          </w:tcPr>
          <w:p>
            <w:pPr>
              <w:ind w:left="380"/>
              <w:spacing w:after="0" w:line="142" w:lineRule="exact"/>
              <w:rPr>
                <w:sz w:val="20"/>
                <w:szCs w:val="20"/>
                <w:color w:val="auto"/>
              </w:rPr>
            </w:pPr>
            <w:r>
              <w:rPr>
                <w:rFonts w:ascii="Arial" w:cs="Arial" w:eastAsia="Arial" w:hAnsi="Arial"/>
                <w:sz w:val="14"/>
                <w:szCs w:val="14"/>
                <w:b w:val="1"/>
                <w:bCs w:val="1"/>
                <w:color w:val="auto"/>
              </w:rPr>
              <w:t>Record Date</w:t>
            </w:r>
          </w:p>
        </w:tc>
        <w:tc>
          <w:tcPr>
            <w:tcW w:w="580" w:type="dxa"/>
            <w:vAlign w:val="bottom"/>
          </w:tcPr>
          <w:p>
            <w:pPr>
              <w:spacing w:after="0"/>
              <w:rPr>
                <w:sz w:val="12"/>
                <w:szCs w:val="12"/>
                <w:color w:val="auto"/>
              </w:rPr>
            </w:pPr>
          </w:p>
        </w:tc>
        <w:tc>
          <w:tcPr>
            <w:tcW w:w="210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Payment Date</w:t>
            </w:r>
          </w:p>
        </w:tc>
        <w:tc>
          <w:tcPr>
            <w:tcW w:w="20" w:type="dxa"/>
            <w:vAlign w:val="bottom"/>
          </w:tcPr>
          <w:p>
            <w:pPr>
              <w:spacing w:after="0"/>
              <w:rPr>
                <w:sz w:val="12"/>
                <w:szCs w:val="12"/>
                <w:color w:val="auto"/>
              </w:rPr>
            </w:pPr>
          </w:p>
        </w:tc>
        <w:tc>
          <w:tcPr>
            <w:tcW w:w="13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Dividend per Share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500" w:type="dxa"/>
            <w:vAlign w:val="bottom"/>
            <w:tcBorders>
              <w:top w:val="single" w:sz="8" w:color="auto"/>
            </w:tcBorders>
          </w:tcPr>
          <w:p>
            <w:pPr>
              <w:ind w:left="360"/>
              <w:spacing w:after="0" w:line="195" w:lineRule="exact"/>
              <w:rPr>
                <w:sz w:val="20"/>
                <w:szCs w:val="20"/>
                <w:color w:val="auto"/>
              </w:rPr>
            </w:pPr>
            <w:r>
              <w:rPr>
                <w:rFonts w:ascii="Arial" w:cs="Arial" w:eastAsia="Arial" w:hAnsi="Arial"/>
                <w:sz w:val="18"/>
                <w:szCs w:val="18"/>
                <w:color w:val="auto"/>
                <w:w w:val="89"/>
              </w:rPr>
              <w:t>March 31, 2014</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April 30, 2014</w:t>
            </w: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0.38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June 30, 2014</w:t>
            </w:r>
          </w:p>
        </w:tc>
        <w:tc>
          <w:tcPr>
            <w:tcW w:w="580" w:type="dxa"/>
            <w:vAlign w:val="bottom"/>
          </w:tcPr>
          <w:p>
            <w:pPr>
              <w:spacing w:after="0"/>
              <w:rPr>
                <w:sz w:val="18"/>
                <w:szCs w:val="18"/>
                <w:color w:val="auto"/>
              </w:rPr>
            </w:pPr>
          </w:p>
        </w:tc>
        <w:tc>
          <w:tcPr>
            <w:tcW w:w="2100" w:type="dxa"/>
            <w:vAlign w:val="bottom"/>
            <w:gridSpan w:val="2"/>
          </w:tcPr>
          <w:p>
            <w:pPr>
              <w:jc w:val="right"/>
              <w:ind w:right="780"/>
              <w:spacing w:after="0"/>
              <w:rPr>
                <w:sz w:val="20"/>
                <w:szCs w:val="20"/>
                <w:color w:val="auto"/>
              </w:rPr>
            </w:pPr>
            <w:r>
              <w:rPr>
                <w:rFonts w:ascii="Arial" w:cs="Arial" w:eastAsia="Arial" w:hAnsi="Arial"/>
                <w:sz w:val="18"/>
                <w:szCs w:val="18"/>
                <w:color w:val="auto"/>
              </w:rPr>
              <w:t>July 31, 2014</w:t>
            </w:r>
          </w:p>
        </w:tc>
        <w:tc>
          <w:tcPr>
            <w:tcW w:w="560" w:type="dxa"/>
            <w:vAlign w:val="bottom"/>
            <w:gridSpan w:val="2"/>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September 30, 2014</w:t>
            </w:r>
          </w:p>
        </w:tc>
        <w:tc>
          <w:tcPr>
            <w:tcW w:w="580" w:type="dxa"/>
            <w:vAlign w:val="bottom"/>
          </w:tcPr>
          <w:p>
            <w:pPr>
              <w:spacing w:after="0"/>
              <w:rPr>
                <w:sz w:val="18"/>
                <w:szCs w:val="18"/>
                <w:color w:val="auto"/>
              </w:rPr>
            </w:pPr>
          </w:p>
        </w:tc>
        <w:tc>
          <w:tcPr>
            <w:tcW w:w="2100" w:type="dxa"/>
            <w:vAlign w:val="bottom"/>
            <w:gridSpan w:val="2"/>
          </w:tcPr>
          <w:p>
            <w:pPr>
              <w:jc w:val="right"/>
              <w:ind w:right="780"/>
              <w:spacing w:after="0"/>
              <w:rPr>
                <w:sz w:val="20"/>
                <w:szCs w:val="20"/>
                <w:color w:val="auto"/>
              </w:rPr>
            </w:pPr>
            <w:r>
              <w:rPr>
                <w:rFonts w:ascii="Arial" w:cs="Arial" w:eastAsia="Arial" w:hAnsi="Arial"/>
                <w:sz w:val="18"/>
                <w:szCs w:val="18"/>
                <w:color w:val="auto"/>
                <w:w w:val="93"/>
              </w:rPr>
              <w:t>October 31, 2014</w:t>
            </w:r>
          </w:p>
        </w:tc>
        <w:tc>
          <w:tcPr>
            <w:tcW w:w="560" w:type="dxa"/>
            <w:vAlign w:val="bottom"/>
            <w:gridSpan w:val="2"/>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30"/>
        </w:trPr>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December 31, 2014</w:t>
            </w:r>
          </w:p>
        </w:tc>
        <w:tc>
          <w:tcPr>
            <w:tcW w:w="580" w:type="dxa"/>
            <w:vAlign w:val="bottom"/>
          </w:tcPr>
          <w:p>
            <w:pPr>
              <w:spacing w:after="0"/>
              <w:rPr>
                <w:sz w:val="20"/>
                <w:szCs w:val="20"/>
                <w:color w:val="auto"/>
              </w:rPr>
            </w:pPr>
          </w:p>
        </w:tc>
        <w:tc>
          <w:tcPr>
            <w:tcW w:w="2100" w:type="dxa"/>
            <w:vAlign w:val="bottom"/>
            <w:gridSpan w:val="2"/>
          </w:tcPr>
          <w:p>
            <w:pPr>
              <w:jc w:val="right"/>
              <w:ind w:right="780"/>
              <w:spacing w:after="0"/>
              <w:rPr>
                <w:sz w:val="20"/>
                <w:szCs w:val="20"/>
                <w:color w:val="auto"/>
              </w:rPr>
            </w:pPr>
            <w:r>
              <w:rPr>
                <w:rFonts w:ascii="Arial" w:cs="Arial" w:eastAsia="Arial" w:hAnsi="Arial"/>
                <w:sz w:val="18"/>
                <w:szCs w:val="18"/>
                <w:color w:val="auto"/>
                <w:w w:val="93"/>
              </w:rPr>
              <w:t>January 30, 2015</w:t>
            </w:r>
          </w:p>
        </w:tc>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Year Ended December 31, 2013</w:t>
            </w: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3"/>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720" w:type="dxa"/>
            <w:vAlign w:val="bottom"/>
            <w:gridSpan w:val="2"/>
          </w:tcPr>
          <w:p>
            <w:pPr>
              <w:ind w:left="380"/>
              <w:spacing w:after="0" w:line="142" w:lineRule="exact"/>
              <w:rPr>
                <w:sz w:val="20"/>
                <w:szCs w:val="20"/>
                <w:color w:val="auto"/>
              </w:rPr>
            </w:pPr>
            <w:r>
              <w:rPr>
                <w:rFonts w:ascii="Arial" w:cs="Arial" w:eastAsia="Arial" w:hAnsi="Arial"/>
                <w:sz w:val="14"/>
                <w:szCs w:val="14"/>
                <w:b w:val="1"/>
                <w:bCs w:val="1"/>
                <w:color w:val="auto"/>
              </w:rPr>
              <w:t>Record Date</w:t>
            </w:r>
          </w:p>
        </w:tc>
        <w:tc>
          <w:tcPr>
            <w:tcW w:w="580" w:type="dxa"/>
            <w:vAlign w:val="bottom"/>
          </w:tcPr>
          <w:p>
            <w:pPr>
              <w:spacing w:after="0"/>
              <w:rPr>
                <w:sz w:val="12"/>
                <w:szCs w:val="12"/>
                <w:color w:val="auto"/>
              </w:rPr>
            </w:pPr>
          </w:p>
        </w:tc>
        <w:tc>
          <w:tcPr>
            <w:tcW w:w="210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Payment Date</w:t>
            </w:r>
          </w:p>
        </w:tc>
        <w:tc>
          <w:tcPr>
            <w:tcW w:w="20" w:type="dxa"/>
            <w:vAlign w:val="bottom"/>
          </w:tcPr>
          <w:p>
            <w:pPr>
              <w:spacing w:after="0"/>
              <w:rPr>
                <w:sz w:val="12"/>
                <w:szCs w:val="12"/>
                <w:color w:val="auto"/>
              </w:rPr>
            </w:pPr>
          </w:p>
        </w:tc>
        <w:tc>
          <w:tcPr>
            <w:tcW w:w="13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Dividend per Share</w:t>
            </w:r>
            <w:r>
              <w:rPr>
                <w:rFonts w:ascii="Arial" w:cs="Arial" w:eastAsia="Arial" w:hAnsi="Arial"/>
                <w:sz w:val="12"/>
                <w:szCs w:val="12"/>
                <w:b w:val="1"/>
                <w:bCs w:val="1"/>
                <w:color w:val="auto"/>
                <w:w w:val="91"/>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March 31, 2013</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May 6, 2013</w:t>
            </w: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0.38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June 30, 2013</w:t>
            </w:r>
          </w:p>
        </w:tc>
        <w:tc>
          <w:tcPr>
            <w:tcW w:w="580" w:type="dxa"/>
            <w:vAlign w:val="bottom"/>
          </w:tcPr>
          <w:p>
            <w:pPr>
              <w:spacing w:after="0"/>
              <w:rPr>
                <w:sz w:val="18"/>
                <w:szCs w:val="18"/>
                <w:color w:val="auto"/>
              </w:rPr>
            </w:pPr>
          </w:p>
        </w:tc>
        <w:tc>
          <w:tcPr>
            <w:tcW w:w="2100" w:type="dxa"/>
            <w:vAlign w:val="bottom"/>
            <w:gridSpan w:val="2"/>
          </w:tcPr>
          <w:p>
            <w:pPr>
              <w:jc w:val="right"/>
              <w:ind w:right="780"/>
              <w:spacing w:after="0"/>
              <w:rPr>
                <w:sz w:val="20"/>
                <w:szCs w:val="20"/>
                <w:color w:val="auto"/>
              </w:rPr>
            </w:pPr>
            <w:r>
              <w:rPr>
                <w:rFonts w:ascii="Arial" w:cs="Arial" w:eastAsia="Arial" w:hAnsi="Arial"/>
                <w:sz w:val="18"/>
                <w:szCs w:val="18"/>
                <w:color w:val="auto"/>
              </w:rPr>
              <w:t>July 31, 2013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September 30, 2013</w:t>
            </w:r>
          </w:p>
        </w:tc>
        <w:tc>
          <w:tcPr>
            <w:tcW w:w="580" w:type="dxa"/>
            <w:vAlign w:val="bottom"/>
          </w:tcPr>
          <w:p>
            <w:pPr>
              <w:spacing w:after="0"/>
              <w:rPr>
                <w:sz w:val="18"/>
                <w:szCs w:val="18"/>
                <w:color w:val="auto"/>
              </w:rPr>
            </w:pPr>
          </w:p>
        </w:tc>
        <w:tc>
          <w:tcPr>
            <w:tcW w:w="2100" w:type="dxa"/>
            <w:vAlign w:val="bottom"/>
            <w:gridSpan w:val="2"/>
          </w:tcPr>
          <w:p>
            <w:pPr>
              <w:jc w:val="right"/>
              <w:ind w:right="780"/>
              <w:spacing w:after="0"/>
              <w:rPr>
                <w:sz w:val="20"/>
                <w:szCs w:val="20"/>
                <w:color w:val="auto"/>
              </w:rPr>
            </w:pPr>
            <w:r>
              <w:rPr>
                <w:rFonts w:ascii="Arial" w:cs="Arial" w:eastAsia="Arial" w:hAnsi="Arial"/>
                <w:sz w:val="18"/>
                <w:szCs w:val="18"/>
                <w:color w:val="auto"/>
                <w:w w:val="93"/>
              </w:rPr>
              <w:t>October 31, 2013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30"/>
        </w:trPr>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December 31, 2013</w:t>
            </w:r>
          </w:p>
        </w:tc>
        <w:tc>
          <w:tcPr>
            <w:tcW w:w="580" w:type="dxa"/>
            <w:vAlign w:val="bottom"/>
          </w:tcPr>
          <w:p>
            <w:pPr>
              <w:spacing w:after="0"/>
              <w:rPr>
                <w:sz w:val="20"/>
                <w:szCs w:val="20"/>
                <w:color w:val="auto"/>
              </w:rPr>
            </w:pPr>
          </w:p>
        </w:tc>
        <w:tc>
          <w:tcPr>
            <w:tcW w:w="2100" w:type="dxa"/>
            <w:vAlign w:val="bottom"/>
            <w:gridSpan w:val="2"/>
          </w:tcPr>
          <w:p>
            <w:pPr>
              <w:jc w:val="right"/>
              <w:ind w:right="780"/>
              <w:spacing w:after="0"/>
              <w:rPr>
                <w:sz w:val="20"/>
                <w:szCs w:val="20"/>
                <w:color w:val="auto"/>
              </w:rPr>
            </w:pPr>
            <w:r>
              <w:rPr>
                <w:rFonts w:ascii="Arial" w:cs="Arial" w:eastAsia="Arial" w:hAnsi="Arial"/>
                <w:sz w:val="18"/>
                <w:szCs w:val="18"/>
                <w:color w:val="auto"/>
                <w:w w:val="93"/>
              </w:rPr>
              <w:t>January 30, 2014</w:t>
            </w:r>
          </w:p>
        </w:tc>
        <w:tc>
          <w:tcPr>
            <w:tcW w:w="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-1534160</wp:posOffset>
            </wp:positionV>
            <wp:extent cx="666369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-1242695</wp:posOffset>
            </wp:positionV>
            <wp:extent cx="666369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-454025</wp:posOffset>
            </wp:positionV>
            <wp:extent cx="666369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-162560</wp:posOffset>
            </wp:positionV>
            <wp:extent cx="666369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-736600</wp:posOffset>
            </wp:positionV>
            <wp:extent cx="6663690"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63690" cy="14605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-1817370</wp:posOffset>
            </wp:positionV>
            <wp:extent cx="6663690"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63690" cy="14605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-2486660</wp:posOffset>
            </wp:positionV>
            <wp:extent cx="6663690"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00" w:space="720"/>
            <w:col w:w="6300"/>
          </w:cols>
          <w:pgMar w:left="240" w:top="459" w:right="239" w:bottom="1440" w:gutter="0" w:footer="0" w:header="0"/>
          <w:type w:val="continuous"/>
        </w:sectPr>
      </w:pPr>
    </w:p>
    <w:p>
      <w:pPr>
        <w:spacing w:after="0" w:line="42"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December 31, 2013 declared dividend includes a special dividend of $0.03 per share.</w:t>
      </w:r>
    </w:p>
    <w:p>
      <w:pPr>
        <w:spacing w:after="0" w:line="23" w:lineRule="exact"/>
        <w:rPr>
          <w:rFonts w:ascii="Arial" w:cs="Arial" w:eastAsia="Arial" w:hAnsi="Arial"/>
          <w:sz w:val="18"/>
          <w:szCs w:val="18"/>
          <w:color w:val="auto"/>
        </w:rPr>
      </w:pPr>
    </w:p>
    <w:p>
      <w:pPr>
        <w:ind w:left="460" w:right="240" w:hanging="452"/>
        <w:spacing w:after="0" w:line="261"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further described in Note 9 to our audited consolidated financial statements, the indicated amounts for dates prior to December 3, 2013 have been retroactively adjusted for the stock split which was effected in the form of a stock dividend.</w:t>
      </w:r>
    </w:p>
    <w:p>
      <w:pPr>
        <w:spacing w:after="0" w:line="18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dividends declared during the three months ended March 31, 2015 were derived from net investment income, determined on a tax basis. The dividends declared during the years ended December 31, 2014 and December 31, 2013, were derived from net investment income and long-term capital gains, determined on a tax basis.</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To the extent that the amounts distributed by us are in excess of our current and accumulated earnings and profits, such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8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To be treated as a RIC for U.S. federal income tax purposes and therefore to avoid being subject to corporate-level U.S. federal income taxation of our earnings, we must 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4% of the amount by which our distributions for a calendar year are less than the sum of:</w:t>
      </w:r>
    </w:p>
    <w:p>
      <w:pPr>
        <w:spacing w:after="0" w:line="60" w:lineRule="exact"/>
        <w:rPr>
          <w:sz w:val="20"/>
          <w:szCs w:val="20"/>
          <w:color w:val="auto"/>
        </w:rPr>
      </w:pPr>
    </w:p>
    <w:p>
      <w:pPr>
        <w:ind w:left="5620" w:right="2200" w:hanging="5045"/>
        <w:spacing w:after="0" w:line="449" w:lineRule="auto"/>
        <w:tabs>
          <w:tab w:leader="none" w:pos="896" w:val="left"/>
        </w:tabs>
        <w:numPr>
          <w:ilvl w:val="0"/>
          <w:numId w:val="30"/>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such calendar year; 52</w:t>
      </w:r>
    </w:p>
    <w:p>
      <w:pPr>
        <w:sectPr>
          <w:pgSz w:w="11900" w:h="16838" w:orient="portrait"/>
          <w:cols w:equalWidth="0" w:num="1">
            <w:col w:w="11420"/>
          </w:cols>
          <w:pgMar w:left="240" w:top="459" w:right="23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100% of income or gains recognized, but not distributed, in preceding years.</w:t>
      </w:r>
    </w:p>
    <w:p>
      <w:pPr>
        <w:spacing w:after="0" w:line="22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elected to retain a portion of income and capital gains for the three months ended March 31, 2015 and for the calendar years ended December 31, 2014 and 2013 for purposes of additional liquidity and we recorded a net expense of $0.3 million, $1.1 million and $0.2 million, respectively, for U.S. federal excise tax as a result. We cannot assure you that we will achieve results that will permit the payment 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w:t>
      </w:r>
    </w:p>
    <w:p>
      <w:pPr>
        <w:spacing w:after="0" w:line="19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our stockholders. If this happens, our stockholders will be treated for U.S. federal income tax purposes as if they had received an actual distribution of the net capital gains that we retain and they reinvested the net after-tax proceeds in us. In this situation, our stockholders would be eligible to claim a tax credit (or, in certain circumstances, a tax refund) equal to their allocable share of the tax we paid on the capital gains deemed distributed to them. See “Material U.S. Federal Income Tax Considerations.” We cannot assure you that we will achieve results that will permit us to pay any cash distributions or that will not be limited in our ability to pay dividends under the asset coverage test applicable to us under the 1940 Act.</w:t>
      </w:r>
    </w:p>
    <w:p>
      <w:pPr>
        <w:spacing w:after="0" w:line="16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Unless our common stockholders elect to receive their dividends in cash, we intend to make such distributions in additional shares of our common stock under our dividend reinvestment plan. See “Dividend Reinvestment Plan.”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“Selected Financial Data and Other Information” and our consolidated financial statements and related notes appearing elsewhere in this prospectus. The information in this section contains forward-looking statements that involve risks and uncertainties. Please see “Risk Factors” and “Special Note Regarding Forward-Looking Statements” for a discussion of the uncertainties, risks and assumptions associated with these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TPG Specialty Lending, Inc. is a Delaware corporation formed on July 21, 2010. The Adviser is our external manager. We have three wholly owned subsidiaries, TC Lending, LLC, a Delaware limited liability company, which holds a California finance lender and broker license, TPG SL SPV, LLC, a Delaware limited liability company, in which we hold assets to support our asset-backed credit facility, and TSL MR, LLC, a Delaware limited liability company, in which we hold certain investments. Our results reflect our ramp-up of initial investments, which is now complete, as well as the ongoing measured growth of our portfolio of investments.</w:t>
      </w:r>
    </w:p>
    <w:p>
      <w:pPr>
        <w:spacing w:after="0" w:line="18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76"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shares are currently listed on the NYSE under the symbol “TSLX.”</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On November 3, 2014, our Board approved a stock repurchase plan, the Company 10b5-1 Plan, to acquire up to $50 million in the aggregate of our common stock at prices below our net asset value over a specified period, in accordance with the guidelines specified in Rule 10b-18 and Rule 10b5-1 of the Exchange Act. Unless extended or terminated by the Board, the Company 10b5-1 Plan will be in effect through the earlier of June 30, 2015 or such time as the approved $50 million repurchase amount has been fully utilized, subject to certain conditions. As of March 31, 2015, no shares had been repurchased under the Company 10b5-1 Plan.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12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We are a specialty finance company focused on lending to middle-market companies. Since we began our investment activities in July 2011, through March 31, 2015, we have originated more than $3.6 billion aggregate principal amount of investments and retained approximately $2.5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w:t>
      </w:r>
    </w:p>
    <w:p>
      <w:pPr>
        <w:spacing w:after="0" w:line="18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By “middle-market companies,” we mean companies that have annual EBITDA, which we believe is a useful proxy for cash flow, of $10 million to $250 million, although we may invest in larger or smaller companies on occasion. As of March 31, 2015, our core portfolio companies, which excludes certain investments that fall outside of our typical borrower profile, had weighted average annual revenue of $126 million and weighted average annual EBITDA of $32 million.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459" w:right="2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We invest in first-lien debt, second-lien debt, mezzanine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2015, our average investment size in each of our portfolio companies was approximately $38.0 million.</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companies in which we invest use our capital to support organic growth, acquisitions, market or product expansion and recapitalizations. We expect that no single investment will represent more than 15% of our total investment portfolio. The debt in which we invest typically is not rated by any rating agency, but if these instruments were rated, they would likely receive a rating of below investment grade (that is, below BBB- or Baa3), which is often referred to as “junk”.</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Through our Adviser, we consider potential investments utilizing a four-tiered investment framework and against our existing portfolio as a whole:</w:t>
      </w:r>
    </w:p>
    <w:p>
      <w:pPr>
        <w:spacing w:after="0" w:line="23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Business and sector selection. </w:t>
      </w:r>
      <w:r>
        <w:rPr>
          <w:rFonts w:ascii="Arial" w:cs="Arial" w:eastAsia="Arial" w:hAnsi="Arial"/>
          <w:sz w:val="18"/>
          <w:szCs w:val="18"/>
          <w:color w:val="auto"/>
        </w:rPr>
        <w:t>We focus on companies with enterprise value between $50 million and $1 billion. When reviewing potential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8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pharmaceuticals, and business services) and not by the products or services (such as software) directed to those end-markets.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2015, no industry represented more than 16.2% of our total investment portfolio.</w:t>
      </w:r>
    </w:p>
    <w:p>
      <w:pPr>
        <w:spacing w:after="0" w:line="2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 xml:space="preserve">Investment Structuring. </w:t>
      </w:r>
      <w:r>
        <w:rPr>
          <w:rFonts w:ascii="Arial" w:cs="Arial" w:eastAsia="Arial" w:hAnsi="Arial"/>
          <w:sz w:val="18"/>
          <w:szCs w:val="18"/>
          <w:color w:val="auto"/>
        </w:rPr>
        <w:t>We focus on investing at the top of the capital structure and protecting that position. As of March 31, 2015,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97.9% of our portfolio was invested in secured debt, including 90.1% in first-lien debt investments. We carefully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three months ended March 31, 2015, the weighted average term on new investment commitments in new portfolio companies was 5.5 years.</w:t>
      </w:r>
    </w:p>
    <w:p>
      <w:pPr>
        <w:spacing w:after="0" w:line="189"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i w:val="1"/>
          <w:iCs w:val="1"/>
          <w:color w:val="auto"/>
        </w:rPr>
        <w:t xml:space="preserve">Deal Dynamics. </w:t>
      </w:r>
      <w:r>
        <w:rPr>
          <w:rFonts w:ascii="Arial" w:cs="Arial" w:eastAsia="Arial" w:hAnsi="Arial"/>
          <w:sz w:val="18"/>
          <w:szCs w:val="18"/>
          <w:color w:val="auto"/>
        </w:rPr>
        <w:t>We focus on, among other deal dynamics, direct origination of investments, where we identify and lead the investment transaction. A</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majority of our portfolio investments are sourced through our direct or proprietary relationships.</w:t>
      </w:r>
    </w:p>
    <w:p>
      <w:pPr>
        <w:spacing w:after="0" w:line="170"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i w:val="1"/>
          <w:iCs w:val="1"/>
          <w:color w:val="auto"/>
        </w:rPr>
        <w:t xml:space="preserve">Risk Mitigation. </w:t>
      </w:r>
      <w:r>
        <w:rPr>
          <w:rFonts w:ascii="Arial" w:cs="Arial" w:eastAsia="Arial" w:hAnsi="Arial"/>
          <w:sz w:val="16"/>
          <w:szCs w:val="16"/>
          <w:color w:val="auto"/>
        </w:rPr>
        <w:t>We seek to mitigate non-credit-related risk on our returns in several ways, including call protection provisions to protect future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income. As of March 31, 2015, we had call protection on 93.9% of our debt investments, with weighted average call prices of 107.2% for the first year, 104.0% for the second year and 102.0% for the third year, in each case from the date of the initial investment. As of March 31, 2015, 96.5% of our debt investments bore interest at floating rates, subject to interest rate floors, which we believe helps act as a portfolio-wide hedge against inflation.</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our Adviser, TSSP and TPG</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Chairman and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our Adviser and TSSP.</w:t>
      </w:r>
    </w:p>
    <w:p>
      <w:pPr>
        <w:spacing w:after="0" w:line="193"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TSSP, with over $11 billion of assets under management, encompasses TPG Specialty Lending, TPG Opportunities Partners and TSSP Adjacent Opportunities Partners, which invest in special situations and distressed investments across the credit cycle, Austin Credit Macro, which is focused on macro credit opportunities, TSL Europe, which is aimed at European middle-market loan originations, and TPG Institutional Credit Partners, which is a “public-side” credit investment platform focused on investment opportunities in broadly syndicated leveraged loan markets, is TPG’s special situations and credit platform. TSSP has extensive experience with highly complex, global public and private investments executed through primary originations, secondary market purchases and restructurings, and has a team of over 100 investment and operating professionals. Twenty six (26) of these personnel are dedicated to our business, including 19 investment professionals.</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On December 16, 2014, we were granted an exemptive relief order from the SEC that, if certain conditions are met, allows us to co-invest with affiliates of TSSP and TPG in middle-market loan origination activities for companies domiciled in the United States and certain “follow-on” investments in companies in which we have already co-invested pursuant to the order and remain invested. These conditions include, among others, prior approval by a majority of our Independent Directors. The terms and conditions of the investment applicable to any affiliates of TSSP and TPG also must be the same as those applicable to us.</w:t>
      </w:r>
    </w:p>
    <w:p>
      <w:pPr>
        <w:spacing w:after="0" w:line="188"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Pursuant to the exemptive relief order, to the extent the size of an investment opportunity exceeds the amount our Adviser has independently determined is appropriate for us to invest, our affiliates may be able to co-invest with us, subject to the approval of a majority of our Independent Directors. We believe our ability to co-invest with TSSP and TPG affiliates will be particularly useful where we identify larger capital commitments than otherwise would be appropriate for us. We expect that with the ability to co-invest with TSSP and TPG affiliates we will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78" w:lineRule="exact"/>
        <w:rPr>
          <w:sz w:val="20"/>
          <w:szCs w:val="20"/>
          <w:color w:val="auto"/>
        </w:rPr>
      </w:pPr>
    </w:p>
    <w:p>
      <w:pPr>
        <w:jc w:val="both"/>
        <w:ind w:right="200" w:firstLine="456"/>
        <w:spacing w:after="0" w:line="312" w:lineRule="auto"/>
        <w:rPr>
          <w:sz w:val="20"/>
          <w:szCs w:val="20"/>
          <w:color w:val="auto"/>
        </w:rPr>
      </w:pPr>
      <w:r>
        <w:rPr>
          <w:rFonts w:ascii="Arial" w:cs="Arial" w:eastAsia="Arial" w:hAnsi="Arial"/>
          <w:sz w:val="16"/>
          <w:szCs w:val="16"/>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40"/>
          </w:cols>
          <w:pgMar w:left="240" w:top="459" w:right="3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187" w:lineRule="exact"/>
        <w:rPr>
          <w:sz w:val="20"/>
          <w:szCs w:val="20"/>
          <w:color w:val="auto"/>
        </w:rPr>
      </w:pPr>
    </w:p>
    <w:p>
      <w:pPr>
        <w:jc w:val="both"/>
        <w:ind w:right="260" w:firstLine="456"/>
        <w:spacing w:after="0" w:line="302" w:lineRule="auto"/>
        <w:rPr>
          <w:sz w:val="20"/>
          <w:szCs w:val="20"/>
          <w:color w:val="auto"/>
        </w:rPr>
      </w:pPr>
      <w:r>
        <w:rPr>
          <w:rFonts w:ascii="Arial" w:cs="Arial" w:eastAsia="Arial" w:hAnsi="Arial"/>
          <w:sz w:val="16"/>
          <w:szCs w:val="16"/>
          <w:color w:val="auto"/>
        </w:rPr>
        <w:t>In 2014, the Adviser entered into a purchase agreement, the Adviser 10b5-1 Plan, in accordance with Rules 10b5-1 and 10b-18 under the Exchange Act, under which an agent for the Adviser, would buy up to $25 million in the aggregate of our common stock, subject to certain conditions. The Adviser 10b5-1 Plan expired in accordance with its terms on December 31, 2014. During the year ended December 31, 2014, 300 shares were purchased under the Adviser 10b5-1 Plan. These 300 shares were purchased prior to the approval and implementation of the Company 10b5-1 Plan.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Our level of investment activity (both the number of investments and the size of each investment) can and does vary substantially from period to period depending on many factors, including the amount of debt and equity capital available to middle-market companies, the level of merger and acquisition activity for such companies, the general economic environment and the competitive environment for the types of investments we make.</w:t>
      </w:r>
    </w:p>
    <w:p>
      <w:pPr>
        <w:spacing w:after="0" w:line="166"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We generate revenues primarily in the form of interest income from the investments we hold. In addition, we may generate income from dividends on direct equity investments, capital gains on the sales of loans and debt and equity securities and various loan origination and other fees. Our debt investments typically have a term of two to six years, and, as of March 31, 2015, 96.5% bear interest at a floating rate, subject to interest rate floors. Interest on debt investments is generally payable quarterly or semiannually. Some of our investments provide for deferred interest payments or PIK interest. For the three months ended March 31, 2015, less than 3.0% of our total investment income was comprised of PIK interest.</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Loan origination fees, original issue discount and market discount or premium are capitalized, and we accrete or amortize such amounts as interest income using the effective yield method for term instruments and the straight-line method for revolving or delayed draw instruments. Repayments of our debt investments can reduce interest income from period to period. The frequency or volume of these repayments may fluctuate significantly. We record prepayment premiums on loans as interest income. We also may generate revenue in the form of commitment, amendment, structuring, syndication or due diligence fees, fees for providing managerial assistance and consulting fees.</w:t>
      </w:r>
    </w:p>
    <w:p>
      <w:pPr>
        <w:spacing w:after="0" w:line="18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Dividend income on equity investments is recorded on the record date for private portfolio companies or on the ex-dividend date for publicly traded portfolio companies.</w:t>
      </w:r>
    </w:p>
    <w:p>
      <w:pPr>
        <w:spacing w:after="0" w:line="17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current period changes in fair value of investments that are measured at fair value as a component of the net change in unrealized appreciation (depreciation) on investments in the consolidated statements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87"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30"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Adviser’s allocable share of costs incurred in providing significant managerial assistance to those portfolio companies that request it;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30" w:lineRule="exact"/>
        <w:rPr>
          <w:rFonts w:ascii="Arial" w:cs="Arial" w:eastAsia="Arial" w:hAnsi="Arial"/>
          <w:sz w:val="18"/>
          <w:szCs w:val="18"/>
          <w:color w:val="auto"/>
        </w:rPr>
      </w:pPr>
    </w:p>
    <w:p>
      <w:pPr>
        <w:ind w:left="900" w:hanging="325"/>
        <w:spacing w:after="0" w:line="30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Compliance Officer, Chief Financial Officer and other professionals who spend time on those related activities (based on the percentage of time those individuals devote, on an estimated basis, to our business and affairs);</w:t>
      </w:r>
    </w:p>
    <w:p>
      <w:pPr>
        <w:spacing w:after="0" w:line="59" w:lineRule="exact"/>
        <w:rPr>
          <w:rFonts w:ascii="Arial" w:cs="Arial" w:eastAsia="Arial" w:hAnsi="Arial"/>
          <w:sz w:val="16"/>
          <w:szCs w:val="16"/>
          <w:color w:val="auto"/>
        </w:rPr>
      </w:pPr>
    </w:p>
    <w:p>
      <w:pPr>
        <w:ind w:left="900" w:right="100" w:hanging="325"/>
        <w:spacing w:after="0" w:line="34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In any period, our interest expense will depend largely on the extent of our borrowing. In addition, we may continue to dedicate assets to financing facilities.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Trends</w:t>
      </w:r>
    </w:p>
    <w:p>
      <w:pPr>
        <w:spacing w:after="0" w:line="117" w:lineRule="exact"/>
        <w:rPr>
          <w:sz w:val="20"/>
          <w:szCs w:val="20"/>
          <w:color w:val="auto"/>
        </w:rPr>
      </w:pPr>
    </w:p>
    <w:p>
      <w:pPr>
        <w:ind w:right="780" w:firstLine="456"/>
        <w:spacing w:after="0" w:line="308" w:lineRule="auto"/>
        <w:rPr>
          <w:sz w:val="20"/>
          <w:szCs w:val="20"/>
          <w:color w:val="auto"/>
        </w:rPr>
      </w:pPr>
      <w:r>
        <w:rPr>
          <w:rFonts w:ascii="Arial" w:cs="Arial" w:eastAsia="Arial" w:hAnsi="Arial"/>
          <w:sz w:val="17"/>
          <w:szCs w:val="17"/>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4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limited number of providers of capital to middle-market companies, combined with expected increases in required capital levels for financial institutions, reduces the capacity of traditional lenders to serve middle-market companies. Further, GE Capital, the largest non-bank lender in the U.S. middle market, recently announced its intention to sell nearly all of its non-captive finance assets. We believe that the exit of one of the largest middle market non-bank lender will likely create opportunities for the remaining non-bank lenders, including BDCs. We believe that the limited availability of capital creates a large number of opportunities for us to originate direct investments in companies. We also believe that the large amount of uninvested capital held by private equity firms will continue to drive deal activity, which may in turn create additional demand for debt capital.</w:t>
      </w:r>
    </w:p>
    <w:p>
      <w:pPr>
        <w:spacing w:after="0" w:line="17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limited number of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8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 of March 31, 2015, our portfolio consisted of 90.1% first-lien debt investments, 7.8% second-lien debt investments, 1.0% mezzanine debt investments and 1.1% equity and other investments. As of December 31, 2014, our portfolio consisted of 89.0% first-lien debt investments, 8.8% second-lien debt investments, 1.0% mezzanine debt investments, and 1.2% equity and other investments.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As of March 31, 2015 and December 31, 2014, our weighted average total yield of debt and income producing securities at fair value (which includes interest income and amortization of fees and discounts) was 10.4% and 10.3%, respectively, and our weighted average total yield of debt and income producing securities at amortized cost (which includes interest income and amortization of fees and discounts) was 10.3% and 10.3%, respectively.</w:t>
      </w:r>
    </w:p>
    <w:p>
      <w:pPr>
        <w:spacing w:after="0" w:line="14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As of March 31, 2015 and December 31, 2014, we had investments in 35 and 34 portfolio companies, respectively, with an aggregate fair value of $1,331.0 million and $1,263.5 million, respectively.</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For the three months ended March 31, 2015, we made new investment commitments of $137.8 million, $101.0 million in three new portfolio companies and $36.8 million in three existing portfolio companies. For this period, we had $60.8 million aggregate principal amount in exits and repayments, resulting in a net portfolio increase of $71.0 million aggregate principal amount.</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For the three months ended March 31, 2014, we made new investment commitments of $314.6 million, $303.8 million in six new portfolio companies and $10.8 million in two existing portfolio companies. For this period, we had $101.2 million aggregate principal amount in exits and repayments, resulting in a net portfolio increase of $187.0 million aggregate principal amount.</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For the year ended December 31, 2014, we made new investment commitments of $884.4 million, $805.7 million in 20 new portfolio companies and $78.7 million in seven existing portfolio companies. For this period, we had $518.4 million aggregate principal amount in exits and repayments, resulting in a net portfolio increase of $296.5 million aggregate principal amount.</w:t>
      </w:r>
    </w:p>
    <w:p>
      <w:pPr>
        <w:spacing w:after="0" w:line="18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For the year ended December 31, 2013, we made new investment commitments of $606.2 million, $536.0 million in 14 new portfolio companies and $70.2 million in five existing portfolio companies. For this period, we had $192.1 million aggregate principal amount in exits and repayments, resulting in a net portfolio increase of $387.3 million aggregate principal amount.</w:t>
      </w:r>
    </w:p>
    <w:p>
      <w:pPr>
        <w:spacing w:after="0" w:line="181"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For the year ended December 31, 2012, we made new investment commitments of $714.2 million, $615.0 million in 20 new portfolio companies and $99.2 million in six existing portfolio companies. For this period, we had $193.1 million aggregate principal amount in exits and repayments, resulting in a net portfolio increase of $487.5 million aggregate principal amount.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Our investment activity for the three months ended March 31, 2015 and 2014 and for the years ended December 31, 2014, 2013 and 2012 is presented below (information presented herein is at par value unless otherwise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8"/>
              </w:rPr>
              <w:t>Year 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160" w:type="dxa"/>
            <w:vAlign w:val="bottom"/>
            <w:tcBorders>
              <w:top w:val="single" w:sz="8" w:color="auto"/>
            </w:tcBorders>
            <w:gridSpan w:val="3"/>
          </w:tcPr>
          <w:p>
            <w:pPr>
              <w:jc w:val="right"/>
              <w:ind w:right="460"/>
              <w:spacing w:after="0" w:line="119" w:lineRule="exact"/>
              <w:rPr>
                <w:sz w:val="20"/>
                <w:szCs w:val="20"/>
                <w:color w:val="auto"/>
              </w:rPr>
            </w:pPr>
            <w:r>
              <w:rPr>
                <w:rFonts w:ascii="Arial" w:cs="Arial" w:eastAsia="Arial" w:hAnsi="Arial"/>
                <w:sz w:val="13"/>
                <w:szCs w:val="13"/>
                <w:b w:val="1"/>
                <w:bCs w:val="1"/>
                <w:color w:val="auto"/>
              </w:rPr>
              <w:t>March 31,</w:t>
            </w:r>
          </w:p>
        </w:tc>
        <w:tc>
          <w:tcPr>
            <w:tcW w:w="2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580" w:type="dxa"/>
            <w:vAlign w:val="bottom"/>
          </w:tcPr>
          <w:p>
            <w:pPr>
              <w:spacing w:after="0"/>
              <w:rPr>
                <w:sz w:val="10"/>
                <w:szCs w:val="10"/>
                <w:color w:val="auto"/>
              </w:rPr>
            </w:pPr>
          </w:p>
        </w:tc>
        <w:tc>
          <w:tcPr>
            <w:tcW w:w="12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00" w:type="dxa"/>
            <w:vAlign w:val="bottom"/>
          </w:tcPr>
          <w:p>
            <w:pPr>
              <w:spacing w:after="0"/>
              <w:rPr>
                <w:sz w:val="10"/>
                <w:szCs w:val="10"/>
                <w:color w:val="auto"/>
              </w:rPr>
            </w:pPr>
          </w:p>
        </w:tc>
      </w:tr>
      <w:tr>
        <w:trPr>
          <w:trHeight w:val="171"/>
        </w:trPr>
        <w:tc>
          <w:tcPr>
            <w:tcW w:w="484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60" w:type="dxa"/>
            <w:vAlign w:val="bottom"/>
          </w:tcPr>
          <w:p>
            <w:pPr>
              <w:spacing w:after="0"/>
              <w:rPr>
                <w:sz w:val="14"/>
                <w:szCs w:val="14"/>
                <w:color w:val="auto"/>
              </w:rPr>
            </w:pPr>
          </w:p>
        </w:tc>
        <w:tc>
          <w:tcPr>
            <w:tcW w:w="620" w:type="dxa"/>
            <w:vAlign w:val="bottom"/>
          </w:tcPr>
          <w:p>
            <w:pPr>
              <w:jc w:val="right"/>
              <w:ind w:right="151"/>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51"/>
              <w:spacing w:after="0"/>
              <w:rPr>
                <w:sz w:val="20"/>
                <w:szCs w:val="20"/>
                <w:color w:val="auto"/>
              </w:rPr>
            </w:pPr>
            <w:r>
              <w:rPr>
                <w:rFonts w:ascii="Arial" w:cs="Arial" w:eastAsia="Arial" w:hAnsi="Arial"/>
                <w:sz w:val="14"/>
                <w:szCs w:val="14"/>
                <w:b w:val="1"/>
                <w:bCs w:val="1"/>
                <w:color w:val="auto"/>
              </w:rPr>
              <w:t>2014</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New investment commitments:</w:t>
            </w: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Gross originations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267.8</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369.6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1,120.1</w:t>
            </w:r>
          </w:p>
        </w:tc>
        <w:tc>
          <w:tcPr>
            <w:tcW w:w="36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897.5</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1,071.7</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Syndications/sell downs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55.0</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235.7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291.3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357.5</w:t>
            </w:r>
          </w:p>
        </w:tc>
      </w:tr>
      <w:tr>
        <w:trPr>
          <w:trHeight w:val="223"/>
        </w:trPr>
        <w:tc>
          <w:tcPr>
            <w:tcW w:w="20" w:type="dxa"/>
            <w:vAlign w:val="bottom"/>
          </w:tcPr>
          <w:p>
            <w:pPr>
              <w:spacing w:after="0"/>
              <w:rPr>
                <w:sz w:val="19"/>
                <w:szCs w:val="19"/>
                <w:color w:val="auto"/>
              </w:rPr>
            </w:pPr>
          </w:p>
        </w:tc>
        <w:tc>
          <w:tcPr>
            <w:tcW w:w="4820" w:type="dxa"/>
            <w:vAlign w:val="bottom"/>
          </w:tcPr>
          <w:p>
            <w:pPr>
              <w:ind w:left="700"/>
              <w:spacing w:after="0"/>
              <w:rPr>
                <w:sz w:val="20"/>
                <w:szCs w:val="20"/>
                <w:color w:val="auto"/>
              </w:rPr>
            </w:pPr>
            <w:r>
              <w:rPr>
                <w:rFonts w:ascii="Arial" w:cs="Arial" w:eastAsia="Arial" w:hAnsi="Arial"/>
                <w:sz w:val="18"/>
                <w:szCs w:val="18"/>
                <w:color w:val="auto"/>
              </w:rPr>
              <w:t>Total new investment commitments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314.6</w:t>
            </w:r>
          </w:p>
        </w:tc>
        <w:tc>
          <w:tcPr>
            <w:tcW w:w="58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884.4</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606.2</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714.2</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First-lien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122.0</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218.0</w:t>
            </w:r>
          </w:p>
        </w:tc>
        <w:tc>
          <w:tcPr>
            <w:tcW w:w="5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681.3</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497.9</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603.9</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Second-lien</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65.0</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102.7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74.7</w:t>
            </w: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Mezzanine</w:t>
            </w:r>
          </w:p>
        </w:tc>
        <w:tc>
          <w:tcPr>
            <w:tcW w:w="16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and other</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r>
      <w:tr>
        <w:trPr>
          <w:trHeight w:val="223"/>
        </w:trPr>
        <w:tc>
          <w:tcPr>
            <w:tcW w:w="20" w:type="dxa"/>
            <w:vAlign w:val="bottom"/>
          </w:tcPr>
          <w:p>
            <w:pPr>
              <w:spacing w:after="0"/>
              <w:rPr>
                <w:sz w:val="19"/>
                <w:szCs w:val="19"/>
                <w:color w:val="auto"/>
              </w:rPr>
            </w:pPr>
          </w:p>
        </w:tc>
        <w:tc>
          <w:tcPr>
            <w:tcW w:w="4820" w:type="dxa"/>
            <w:vAlign w:val="bottom"/>
          </w:tcPr>
          <w:p>
            <w:pPr>
              <w:ind w:left="7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288.2</w:t>
            </w:r>
          </w:p>
        </w:tc>
        <w:tc>
          <w:tcPr>
            <w:tcW w:w="58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814.9</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579.4</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680.6</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First-lien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43.8</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101.2</w:t>
            </w:r>
          </w:p>
        </w:tc>
        <w:tc>
          <w:tcPr>
            <w:tcW w:w="5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395.0</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173.4</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161.0</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Second-lien</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123.4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w:t>
            </w: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Mezzanine</w:t>
            </w:r>
          </w:p>
        </w:tc>
        <w:tc>
          <w:tcPr>
            <w:tcW w:w="16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and other</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r>
      <w:tr>
        <w:trPr>
          <w:trHeight w:val="230"/>
        </w:trPr>
        <w:tc>
          <w:tcPr>
            <w:tcW w:w="20" w:type="dxa"/>
            <w:vAlign w:val="bottom"/>
          </w:tcPr>
          <w:p>
            <w:pPr>
              <w:spacing w:after="0"/>
              <w:rPr>
                <w:sz w:val="20"/>
                <w:szCs w:val="20"/>
                <w:color w:val="auto"/>
              </w:rPr>
            </w:pPr>
          </w:p>
        </w:tc>
        <w:tc>
          <w:tcPr>
            <w:tcW w:w="4820" w:type="dxa"/>
            <w:vAlign w:val="bottom"/>
          </w:tcPr>
          <w:p>
            <w:pPr>
              <w:ind w:left="7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5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518.4</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192.1</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193.1</w:t>
            </w:r>
          </w:p>
        </w:tc>
        <w:tc>
          <w:tcPr>
            <w:tcW w:w="2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48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Number of new investment commitments in new portfolio</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companies</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r>
      <w:tr>
        <w:trPr>
          <w:trHeight w:val="198"/>
        </w:trPr>
        <w:tc>
          <w:tcPr>
            <w:tcW w:w="20" w:type="dxa"/>
            <w:vAlign w:val="bottom"/>
          </w:tcPr>
          <w:p>
            <w:pPr>
              <w:spacing w:after="0"/>
              <w:rPr>
                <w:sz w:val="17"/>
                <w:szCs w:val="17"/>
                <w:color w:val="auto"/>
              </w:rPr>
            </w:pPr>
          </w:p>
        </w:tc>
        <w:tc>
          <w:tcPr>
            <w:tcW w:w="4820" w:type="dxa"/>
            <w:vAlign w:val="bottom"/>
          </w:tcPr>
          <w:p>
            <w:pPr>
              <w:spacing w:after="0" w:line="198" w:lineRule="exact"/>
              <w:rPr>
                <w:sz w:val="20"/>
                <w:szCs w:val="20"/>
                <w:color w:val="auto"/>
              </w:rPr>
            </w:pPr>
            <w:r>
              <w:rPr>
                <w:rFonts w:ascii="Arial" w:cs="Arial" w:eastAsia="Arial" w:hAnsi="Arial"/>
                <w:sz w:val="18"/>
                <w:szCs w:val="18"/>
                <w:b w:val="1"/>
                <w:bCs w:val="1"/>
                <w:color w:val="auto"/>
              </w:rPr>
              <w:t>Average new investment commitment amount in new</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820" w:type="dxa"/>
            <w:vAlign w:val="bottom"/>
          </w:tcPr>
          <w:p>
            <w:pPr>
              <w:ind w:left="160"/>
              <w:spacing w:after="0"/>
              <w:rPr>
                <w:sz w:val="20"/>
                <w:szCs w:val="20"/>
                <w:color w:val="auto"/>
              </w:rPr>
            </w:pPr>
            <w:r>
              <w:rPr>
                <w:rFonts w:ascii="Arial" w:cs="Arial" w:eastAsia="Arial" w:hAnsi="Arial"/>
                <w:sz w:val="18"/>
                <w:szCs w:val="18"/>
                <w:b w:val="1"/>
                <w:bCs w:val="1"/>
                <w:color w:val="auto"/>
              </w:rPr>
              <w:t>portfolio companies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33.7</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50.6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40.3</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38.3</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30.7</w:t>
            </w:r>
          </w:p>
        </w:tc>
      </w:tr>
      <w:tr>
        <w:trPr>
          <w:trHeight w:val="198"/>
        </w:trPr>
        <w:tc>
          <w:tcPr>
            <w:tcW w:w="20" w:type="dxa"/>
            <w:vAlign w:val="bottom"/>
          </w:tcPr>
          <w:p>
            <w:pPr>
              <w:spacing w:after="0"/>
              <w:rPr>
                <w:sz w:val="17"/>
                <w:szCs w:val="17"/>
                <w:color w:val="auto"/>
              </w:rPr>
            </w:pPr>
          </w:p>
        </w:tc>
        <w:tc>
          <w:tcPr>
            <w:tcW w:w="48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Weighted average term for new investment commitments</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 new portfolio companies (in years)</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r>
      <w:tr>
        <w:trPr>
          <w:trHeight w:val="198"/>
        </w:trPr>
        <w:tc>
          <w:tcPr>
            <w:tcW w:w="20" w:type="dxa"/>
            <w:vAlign w:val="bottom"/>
          </w:tcPr>
          <w:p>
            <w:pPr>
              <w:spacing w:after="0"/>
              <w:rPr>
                <w:sz w:val="17"/>
                <w:szCs w:val="17"/>
                <w:color w:val="auto"/>
              </w:rPr>
            </w:pPr>
          </w:p>
        </w:tc>
        <w:tc>
          <w:tcPr>
            <w:tcW w:w="4820" w:type="dxa"/>
            <w:vAlign w:val="bottom"/>
          </w:tcPr>
          <w:p>
            <w:pPr>
              <w:spacing w:after="0" w:line="198" w:lineRule="exact"/>
              <w:rPr>
                <w:sz w:val="20"/>
                <w:szCs w:val="20"/>
                <w:color w:val="auto"/>
              </w:rPr>
            </w:pPr>
            <w:r>
              <w:rPr>
                <w:rFonts w:ascii="Arial" w:cs="Arial" w:eastAsia="Arial" w:hAnsi="Arial"/>
                <w:sz w:val="18"/>
                <w:szCs w:val="18"/>
                <w:b w:val="1"/>
                <w:bCs w:val="1"/>
                <w:color w:val="auto"/>
              </w:rPr>
              <w:t>Percentage of new debt investment commitments at</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820" w:type="dxa"/>
            <w:vAlign w:val="bottom"/>
          </w:tcPr>
          <w:p>
            <w:pPr>
              <w:ind w:left="160"/>
              <w:spacing w:after="0"/>
              <w:rPr>
                <w:sz w:val="20"/>
                <w:szCs w:val="20"/>
                <w:color w:val="auto"/>
              </w:rPr>
            </w:pPr>
            <w:r>
              <w:rPr>
                <w:rFonts w:ascii="Arial" w:cs="Arial" w:eastAsia="Arial" w:hAnsi="Arial"/>
                <w:sz w:val="18"/>
                <w:szCs w:val="18"/>
                <w:b w:val="1"/>
                <w:bCs w:val="1"/>
                <w:color w:val="auto"/>
              </w:rPr>
              <w:t>floating rates</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92.9%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98.5%</w:t>
            </w:r>
          </w:p>
        </w:tc>
        <w:tc>
          <w:tcPr>
            <w:tcW w:w="1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96.5%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98.1%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98.0%</w:t>
            </w:r>
          </w:p>
        </w:tc>
      </w:tr>
      <w:tr>
        <w:trPr>
          <w:trHeight w:val="198"/>
        </w:trPr>
        <w:tc>
          <w:tcPr>
            <w:tcW w:w="20" w:type="dxa"/>
            <w:vAlign w:val="bottom"/>
          </w:tcPr>
          <w:p>
            <w:pPr>
              <w:spacing w:after="0"/>
              <w:rPr>
                <w:sz w:val="17"/>
                <w:szCs w:val="17"/>
                <w:color w:val="auto"/>
              </w:rPr>
            </w:pPr>
          </w:p>
        </w:tc>
        <w:tc>
          <w:tcPr>
            <w:tcW w:w="48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Percentage of new debt investment commitments at fixed</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rates</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r>
      <w:tr>
        <w:trPr>
          <w:trHeight w:val="198"/>
        </w:trPr>
        <w:tc>
          <w:tcPr>
            <w:tcW w:w="20" w:type="dxa"/>
            <w:vAlign w:val="bottom"/>
          </w:tcPr>
          <w:p>
            <w:pPr>
              <w:spacing w:after="0"/>
              <w:rPr>
                <w:sz w:val="17"/>
                <w:szCs w:val="17"/>
                <w:color w:val="auto"/>
              </w:rPr>
            </w:pPr>
          </w:p>
        </w:tc>
        <w:tc>
          <w:tcPr>
            <w:tcW w:w="4820" w:type="dxa"/>
            <w:vAlign w:val="bottom"/>
          </w:tcPr>
          <w:p>
            <w:pPr>
              <w:spacing w:after="0" w:line="198" w:lineRule="exact"/>
              <w:rPr>
                <w:sz w:val="20"/>
                <w:szCs w:val="20"/>
                <w:color w:val="auto"/>
              </w:rPr>
            </w:pPr>
            <w:r>
              <w:rPr>
                <w:rFonts w:ascii="Arial" w:cs="Arial" w:eastAsia="Arial" w:hAnsi="Arial"/>
                <w:sz w:val="18"/>
                <w:szCs w:val="18"/>
                <w:b w:val="1"/>
                <w:bCs w:val="1"/>
                <w:color w:val="auto"/>
              </w:rPr>
              <w:t>Weighted average interest rate of new investment</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820" w:type="dxa"/>
            <w:vAlign w:val="bottom"/>
          </w:tcPr>
          <w:p>
            <w:pPr>
              <w:ind w:left="160"/>
              <w:spacing w:after="0"/>
              <w:rPr>
                <w:sz w:val="20"/>
                <w:szCs w:val="20"/>
                <w:color w:val="auto"/>
              </w:rPr>
            </w:pPr>
            <w:r>
              <w:rPr>
                <w:rFonts w:ascii="Arial" w:cs="Arial" w:eastAsia="Arial" w:hAnsi="Arial"/>
                <w:sz w:val="18"/>
                <w:szCs w:val="18"/>
                <w:b w:val="1"/>
                <w:bCs w:val="1"/>
                <w:color w:val="auto"/>
              </w:rPr>
              <w:t>commitments</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r>
      <w:tr>
        <w:trPr>
          <w:trHeight w:val="198"/>
        </w:trPr>
        <w:tc>
          <w:tcPr>
            <w:tcW w:w="20" w:type="dxa"/>
            <w:vAlign w:val="bottom"/>
          </w:tcPr>
          <w:p>
            <w:pPr>
              <w:spacing w:after="0"/>
              <w:rPr>
                <w:sz w:val="17"/>
                <w:szCs w:val="17"/>
                <w:color w:val="auto"/>
              </w:rPr>
            </w:pPr>
          </w:p>
        </w:tc>
        <w:tc>
          <w:tcPr>
            <w:tcW w:w="48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 average spread over LIBOR of new floating</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rate investment commitments</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r>
      <w:tr>
        <w:trPr>
          <w:trHeight w:val="198"/>
        </w:trPr>
        <w:tc>
          <w:tcPr>
            <w:tcW w:w="20" w:type="dxa"/>
            <w:vAlign w:val="bottom"/>
          </w:tcPr>
          <w:p>
            <w:pPr>
              <w:spacing w:after="0"/>
              <w:rPr>
                <w:sz w:val="17"/>
                <w:szCs w:val="17"/>
                <w:color w:val="auto"/>
              </w:rPr>
            </w:pPr>
          </w:p>
        </w:tc>
        <w:tc>
          <w:tcPr>
            <w:tcW w:w="4820" w:type="dxa"/>
            <w:vAlign w:val="bottom"/>
          </w:tcPr>
          <w:p>
            <w:pPr>
              <w:spacing w:after="0" w:line="198" w:lineRule="exact"/>
              <w:rPr>
                <w:sz w:val="20"/>
                <w:szCs w:val="20"/>
                <w:color w:val="auto"/>
              </w:rPr>
            </w:pPr>
            <w:r>
              <w:rPr>
                <w:rFonts w:ascii="Arial" w:cs="Arial" w:eastAsia="Arial" w:hAnsi="Arial"/>
                <w:sz w:val="18"/>
                <w:szCs w:val="18"/>
                <w:b w:val="1"/>
                <w:bCs w:val="1"/>
                <w:color w:val="auto"/>
              </w:rPr>
              <w:t>Weighted average interest rate on investments sold or</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820" w:type="dxa"/>
            <w:vAlign w:val="bottom"/>
          </w:tcPr>
          <w:p>
            <w:pPr>
              <w:ind w:left="160"/>
              <w:spacing w:after="0"/>
              <w:rPr>
                <w:sz w:val="20"/>
                <w:szCs w:val="20"/>
                <w:color w:val="auto"/>
              </w:rPr>
            </w:pPr>
            <w:r>
              <w:rPr>
                <w:rFonts w:ascii="Arial" w:cs="Arial" w:eastAsia="Arial" w:hAnsi="Arial"/>
                <w:sz w:val="18"/>
                <w:szCs w:val="18"/>
                <w:b w:val="1"/>
                <w:bCs w:val="1"/>
                <w:color w:val="auto"/>
              </w:rPr>
              <w:t>paid down</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12.2%</w:t>
            </w:r>
          </w:p>
        </w:tc>
      </w:tr>
      <w:tr>
        <w:trPr>
          <w:trHeight w:val="365"/>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2015, December 31, 2014 and December 31, 2013, our investments consisted of the following:</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 in millions)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First-lien debt investments</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Second-lien debt investments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Mezzanine debt investments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Equity and other investments</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Total</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40" w:type="dxa"/>
            <w:vAlign w:val="bottom"/>
          </w:tcPr>
          <w:p>
            <w:pPr>
              <w:spacing w:after="0"/>
              <w:rPr>
                <w:sz w:val="14"/>
                <w:szCs w:val="14"/>
                <w:color w:val="auto"/>
              </w:rPr>
            </w:pPr>
          </w:p>
        </w:tc>
        <w:tc>
          <w:tcPr>
            <w:tcW w:w="1420" w:type="dxa"/>
            <w:vAlign w:val="bottom"/>
            <w:gridSpan w:val="5"/>
          </w:tcPr>
          <w:p>
            <w:pPr>
              <w:jc w:val="center"/>
              <w:ind w:left="317"/>
              <w:spacing w:after="0"/>
              <w:rPr>
                <w:sz w:val="20"/>
                <w:szCs w:val="20"/>
                <w:color w:val="auto"/>
              </w:rPr>
            </w:pPr>
            <w:r>
              <w:rPr>
                <w:rFonts w:ascii="Arial" w:cs="Arial" w:eastAsia="Arial" w:hAnsi="Arial"/>
                <w:sz w:val="14"/>
                <w:szCs w:val="14"/>
                <w:b w:val="1"/>
                <w:bCs w:val="1"/>
                <w:color w:val="auto"/>
                <w:w w:val="94"/>
              </w:rPr>
              <w:t>March 31, 2015</w:t>
            </w: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1"/>
              </w:rPr>
              <w:t>December 31, 2014</w:t>
            </w:r>
          </w:p>
        </w:tc>
        <w:tc>
          <w:tcPr>
            <w:tcW w:w="140" w:type="dxa"/>
            <w:vAlign w:val="bottom"/>
          </w:tcPr>
          <w:p>
            <w:pPr>
              <w:spacing w:after="0"/>
              <w:rPr>
                <w:sz w:val="14"/>
                <w:szCs w:val="14"/>
                <w:color w:val="auto"/>
              </w:rPr>
            </w:pPr>
          </w:p>
        </w:tc>
        <w:tc>
          <w:tcPr>
            <w:tcW w:w="1580" w:type="dxa"/>
            <w:vAlign w:val="bottom"/>
            <w:gridSpan w:val="3"/>
          </w:tcPr>
          <w:p>
            <w:pPr>
              <w:jc w:val="center"/>
              <w:ind w:left="217"/>
              <w:spacing w:after="0"/>
              <w:rPr>
                <w:sz w:val="20"/>
                <w:szCs w:val="20"/>
                <w:color w:val="auto"/>
              </w:rPr>
            </w:pPr>
            <w:r>
              <w:rPr>
                <w:rFonts w:ascii="Arial" w:cs="Arial" w:eastAsia="Arial" w:hAnsi="Arial"/>
                <w:sz w:val="14"/>
                <w:szCs w:val="14"/>
                <w:b w:val="1"/>
                <w:bCs w:val="1"/>
                <w:color w:val="auto"/>
                <w:w w:val="91"/>
              </w:rPr>
              <w:t>December 31, 2013</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860" w:type="dxa"/>
            <w:vAlign w:val="bottom"/>
            <w:tcBorders>
              <w:top w:val="single" w:sz="8" w:color="auto"/>
            </w:tcBorders>
            <w:gridSpan w:val="4"/>
          </w:tcPr>
          <w:p>
            <w:pPr>
              <w:ind w:left="40"/>
              <w:spacing w:after="0" w:line="142" w:lineRule="exact"/>
              <w:rPr>
                <w:sz w:val="20"/>
                <w:szCs w:val="20"/>
                <w:color w:val="auto"/>
              </w:rPr>
            </w:pPr>
            <w:r>
              <w:rPr>
                <w:rFonts w:ascii="Arial" w:cs="Arial" w:eastAsia="Arial" w:hAnsi="Arial"/>
                <w:sz w:val="14"/>
                <w:szCs w:val="14"/>
                <w:b w:val="1"/>
                <w:bCs w:val="1"/>
                <w:color w:val="auto"/>
              </w:rPr>
              <w:t>Fair Value</w:t>
            </w: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Amortized Cost</w:t>
            </w:r>
          </w:p>
        </w:tc>
        <w:tc>
          <w:tcPr>
            <w:tcW w:w="320" w:type="dxa"/>
            <w:vAlign w:val="bottom"/>
          </w:tcPr>
          <w:p>
            <w:pPr>
              <w:spacing w:after="0"/>
              <w:rPr>
                <w:sz w:val="12"/>
                <w:szCs w:val="12"/>
                <w:color w:val="auto"/>
              </w:rPr>
            </w:pPr>
          </w:p>
        </w:tc>
        <w:tc>
          <w:tcPr>
            <w:tcW w:w="102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Fair Value</w:t>
            </w:r>
          </w:p>
        </w:tc>
        <w:tc>
          <w:tcPr>
            <w:tcW w:w="10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Amortized Cost</w:t>
            </w:r>
          </w:p>
        </w:tc>
        <w:tc>
          <w:tcPr>
            <w:tcW w:w="320" w:type="dxa"/>
            <w:vAlign w:val="bottom"/>
          </w:tcPr>
          <w:p>
            <w:pPr>
              <w:spacing w:after="0"/>
              <w:rPr>
                <w:sz w:val="12"/>
                <w:szCs w:val="12"/>
                <w:color w:val="auto"/>
              </w:rPr>
            </w:pPr>
          </w:p>
        </w:tc>
        <w:tc>
          <w:tcPr>
            <w:tcW w:w="1060" w:type="dxa"/>
            <w:vAlign w:val="bottom"/>
            <w:tcBorders>
              <w:top w:val="single" w:sz="8" w:color="auto"/>
            </w:tcBorders>
            <w:gridSpan w:val="3"/>
          </w:tcPr>
          <w:p>
            <w:pPr>
              <w:jc w:val="right"/>
              <w:ind w:right="380"/>
              <w:spacing w:after="0" w:line="142" w:lineRule="exact"/>
              <w:rPr>
                <w:sz w:val="20"/>
                <w:szCs w:val="20"/>
                <w:color w:val="auto"/>
              </w:rPr>
            </w:pPr>
            <w:r>
              <w:rPr>
                <w:rFonts w:ascii="Arial" w:cs="Arial" w:eastAsia="Arial" w:hAnsi="Arial"/>
                <w:sz w:val="14"/>
                <w:szCs w:val="14"/>
                <w:b w:val="1"/>
                <w:bCs w:val="1"/>
                <w:color w:val="auto"/>
                <w:w w:val="98"/>
              </w:rPr>
              <w:t>Fair Value</w:t>
            </w:r>
          </w:p>
        </w:tc>
        <w:tc>
          <w:tcPr>
            <w:tcW w:w="11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Amortized Cost</w:t>
            </w:r>
          </w:p>
        </w:tc>
        <w:tc>
          <w:tcPr>
            <w:tcW w:w="20" w:type="dxa"/>
            <w:vAlign w:val="bottom"/>
          </w:tcPr>
          <w:p>
            <w:pPr>
              <w:spacing w:after="0"/>
              <w:rPr>
                <w:sz w:val="12"/>
                <w:szCs w:val="12"/>
                <w:color w:val="auto"/>
              </w:rPr>
            </w:pPr>
          </w:p>
        </w:tc>
      </w:tr>
      <w:tr>
        <w:trPr>
          <w:trHeight w:val="192"/>
        </w:trPr>
        <w:tc>
          <w:tcPr>
            <w:tcW w:w="14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17"/>
                <w:szCs w:val="17"/>
                <w:color w:val="auto"/>
                <w:w w:val="98"/>
              </w:rPr>
              <w:t>1,199.2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Borders>
              <w:top w:val="single" w:sz="8" w:color="auto"/>
            </w:tcBorders>
          </w:tcPr>
          <w:p>
            <w:pPr>
              <w:jc w:val="center"/>
              <w:ind w:right="379"/>
              <w:spacing w:after="0" w:line="192" w:lineRule="exact"/>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17"/>
                <w:szCs w:val="17"/>
                <w:color w:val="auto"/>
                <w:w w:val="88"/>
              </w:rPr>
              <w:t>1,206.4</w:t>
            </w:r>
          </w:p>
        </w:tc>
        <w:tc>
          <w:tcPr>
            <w:tcW w:w="3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17"/>
                <w:szCs w:val="17"/>
                <w:color w:val="auto"/>
                <w:w w:val="98"/>
              </w:rPr>
              <w:t>1,124.2</w:t>
            </w:r>
          </w:p>
        </w:tc>
        <w:tc>
          <w:tcPr>
            <w:tcW w:w="300" w:type="dxa"/>
            <w:vAlign w:val="bottom"/>
          </w:tcPr>
          <w:p>
            <w:pPr>
              <w:spacing w:after="0"/>
              <w:rPr>
                <w:sz w:val="16"/>
                <w:szCs w:val="16"/>
                <w:color w:val="auto"/>
              </w:rPr>
            </w:pPr>
          </w:p>
        </w:tc>
        <w:tc>
          <w:tcPr>
            <w:tcW w:w="340" w:type="dxa"/>
            <w:vAlign w:val="bottom"/>
            <w:tcBorders>
              <w:top w:val="single" w:sz="8" w:color="auto"/>
            </w:tcBorders>
          </w:tcPr>
          <w:p>
            <w:pPr>
              <w:jc w:val="center"/>
              <w:ind w:right="159"/>
              <w:spacing w:after="0" w:line="192" w:lineRule="exact"/>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17"/>
                <w:szCs w:val="17"/>
                <w:color w:val="auto"/>
              </w:rPr>
              <w:t>1,127.2</w:t>
            </w:r>
          </w:p>
        </w:tc>
        <w:tc>
          <w:tcPr>
            <w:tcW w:w="3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17"/>
                <w:szCs w:val="17"/>
                <w:color w:val="auto"/>
              </w:rPr>
              <w:t>877.2</w:t>
            </w:r>
          </w:p>
        </w:tc>
        <w:tc>
          <w:tcPr>
            <w:tcW w:w="340" w:type="dxa"/>
            <w:vAlign w:val="bottom"/>
          </w:tcPr>
          <w:p>
            <w:pPr>
              <w:spacing w:after="0"/>
              <w:rPr>
                <w:sz w:val="16"/>
                <w:szCs w:val="16"/>
                <w:color w:val="auto"/>
              </w:rPr>
            </w:pPr>
          </w:p>
        </w:tc>
        <w:tc>
          <w:tcPr>
            <w:tcW w:w="660" w:type="dxa"/>
            <w:vAlign w:val="bottom"/>
            <w:tcBorders>
              <w:top w:val="single" w:sz="8" w:color="auto"/>
            </w:tcBorders>
          </w:tcPr>
          <w:p>
            <w:pPr>
              <w:jc w:val="center"/>
              <w:ind w:right="499"/>
              <w:spacing w:after="0" w:line="192" w:lineRule="exact"/>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17"/>
                <w:szCs w:val="17"/>
                <w:color w:val="auto"/>
                <w:w w:val="98"/>
              </w:rPr>
              <w:t>863.4</w:t>
            </w:r>
          </w:p>
        </w:tc>
        <w:tc>
          <w:tcPr>
            <w:tcW w:w="20" w:type="dxa"/>
            <w:vAlign w:val="bottom"/>
          </w:tcPr>
          <w:p>
            <w:pPr>
              <w:spacing w:after="0"/>
              <w:rPr>
                <w:sz w:val="16"/>
                <w:szCs w:val="16"/>
                <w:color w:val="auto"/>
              </w:rPr>
            </w:pPr>
          </w:p>
        </w:tc>
      </w:tr>
      <w:tr>
        <w:trPr>
          <w:trHeight w:val="216"/>
        </w:trPr>
        <w:tc>
          <w:tcPr>
            <w:tcW w:w="14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7"/>
                <w:szCs w:val="17"/>
                <w:color w:val="auto"/>
              </w:rPr>
              <w:t>103.2</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104.7</w:t>
            </w: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111.4</w:t>
            </w:r>
          </w:p>
        </w:tc>
        <w:tc>
          <w:tcPr>
            <w:tcW w:w="3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7"/>
                <w:szCs w:val="17"/>
                <w:color w:val="auto"/>
              </w:rPr>
              <w:t>111.1</w:t>
            </w:r>
          </w:p>
        </w:tc>
        <w:tc>
          <w:tcPr>
            <w:tcW w:w="1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7"/>
                <w:szCs w:val="17"/>
                <w:color w:val="auto"/>
              </w:rPr>
              <w:t>137.5</w:t>
            </w:r>
          </w:p>
        </w:tc>
        <w:tc>
          <w:tcPr>
            <w:tcW w:w="66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w w:val="98"/>
              </w:rPr>
              <w:t>131.1</w:t>
            </w:r>
          </w:p>
        </w:tc>
      </w:tr>
      <w:tr>
        <w:trPr>
          <w:trHeight w:val="216"/>
        </w:trPr>
        <w:tc>
          <w:tcPr>
            <w:tcW w:w="14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7"/>
                <w:szCs w:val="17"/>
                <w:color w:val="auto"/>
              </w:rPr>
              <w:t>14.1</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13.4</w:t>
            </w: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13.0</w:t>
            </w:r>
          </w:p>
        </w:tc>
        <w:tc>
          <w:tcPr>
            <w:tcW w:w="3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7"/>
                <w:szCs w:val="17"/>
                <w:color w:val="auto"/>
              </w:rPr>
              <w:t>13.4</w:t>
            </w: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18"/>
        </w:trPr>
        <w:tc>
          <w:tcPr>
            <w:tcW w:w="14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7"/>
                <w:szCs w:val="17"/>
                <w:color w:val="auto"/>
              </w:rPr>
              <w:t>14.5</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21.5</w:t>
            </w: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14.9</w:t>
            </w:r>
          </w:p>
        </w:tc>
        <w:tc>
          <w:tcPr>
            <w:tcW w:w="3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7"/>
                <w:szCs w:val="17"/>
                <w:color w:val="auto"/>
              </w:rPr>
              <w:t>21.5</w:t>
            </w:r>
          </w:p>
        </w:tc>
        <w:tc>
          <w:tcPr>
            <w:tcW w:w="1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7"/>
                <w:szCs w:val="17"/>
                <w:color w:val="auto"/>
              </w:rPr>
              <w:t>1.8</w:t>
            </w:r>
          </w:p>
        </w:tc>
        <w:tc>
          <w:tcPr>
            <w:tcW w:w="66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rPr>
              <w:t>2.8</w:t>
            </w:r>
          </w:p>
        </w:tc>
      </w:tr>
      <w:tr>
        <w:trPr>
          <w:trHeight w:val="212"/>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w w:val="98"/>
              </w:rPr>
              <w:t>1,331.0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center"/>
              <w:ind w:right="379"/>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8"/>
              </w:rPr>
              <w:t>1,346.0</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1,263.5</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center"/>
              <w:ind w:right="159"/>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1,273.2</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1,016.5</w:t>
            </w:r>
          </w:p>
        </w:tc>
        <w:tc>
          <w:tcPr>
            <w:tcW w:w="34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center"/>
              <w:ind w:right="499"/>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997.3</w:t>
            </w:r>
          </w:p>
        </w:tc>
        <w:tc>
          <w:tcPr>
            <w:tcW w:w="20" w:type="dxa"/>
            <w:vAlign w:val="bottom"/>
          </w:tcPr>
          <w:p>
            <w:pPr>
              <w:spacing w:after="0"/>
              <w:rPr>
                <w:sz w:val="18"/>
                <w:szCs w:val="18"/>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-719455</wp:posOffset>
            </wp:positionV>
            <wp:extent cx="72466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-445135</wp:posOffset>
            </wp:positionV>
            <wp:extent cx="72466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-153670</wp:posOffset>
            </wp:positionV>
            <wp:extent cx="7246620" cy="1289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00" w:space="720"/>
            <w:col w:w="7100"/>
          </w:cols>
          <w:pgMar w:left="240" w:top="459" w:right="239" w:bottom="1440" w:gutter="0" w:footer="0" w:header="0"/>
          <w:type w:val="continuous"/>
        </w:sectPr>
      </w:pPr>
    </w:p>
    <w:p>
      <w:pPr>
        <w:spacing w:after="0" w:line="1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following table shows the amortized cost of our performing and non-accrual investments as of March 31, 2015, December 31, 2014 and December 31, 2013: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gridSpan w:val="4"/>
          </w:tcPr>
          <w:p>
            <w:pPr>
              <w:jc w:val="right"/>
              <w:ind w:right="1280"/>
              <w:spacing w:after="0"/>
              <w:rPr>
                <w:sz w:val="20"/>
                <w:szCs w:val="20"/>
                <w:color w:val="auto"/>
              </w:rPr>
            </w:pPr>
            <w:r>
              <w:rPr>
                <w:rFonts w:ascii="Arial" w:cs="Arial" w:eastAsia="Arial" w:hAnsi="Arial"/>
                <w:sz w:val="14"/>
                <w:szCs w:val="14"/>
                <w:b w:val="1"/>
                <w:bCs w:val="1"/>
                <w:color w:val="auto"/>
              </w:rPr>
              <w:t>March 31, 2015</w:t>
            </w:r>
          </w:p>
        </w:tc>
        <w:tc>
          <w:tcPr>
            <w:tcW w:w="260" w:type="dxa"/>
            <w:vAlign w:val="bottom"/>
          </w:tcPr>
          <w:p>
            <w:pPr>
              <w:spacing w:after="0"/>
              <w:rPr>
                <w:sz w:val="14"/>
                <w:szCs w:val="14"/>
                <w:color w:val="auto"/>
              </w:rPr>
            </w:pPr>
          </w:p>
        </w:tc>
        <w:tc>
          <w:tcPr>
            <w:tcW w:w="234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December 31, 2014</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42"/>
        </w:trPr>
        <w:tc>
          <w:tcPr>
            <w:tcW w:w="2240" w:type="dxa"/>
            <w:vAlign w:val="bottom"/>
            <w:tcBorders>
              <w:bottom w:val="single" w:sz="8" w:color="CCEEFF"/>
            </w:tcBorders>
            <w:vMerge w:val="continue"/>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Amortized Cost</w:t>
            </w:r>
          </w:p>
        </w:tc>
        <w:tc>
          <w:tcPr>
            <w:tcW w:w="54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Percentage</w:t>
            </w:r>
          </w:p>
        </w:tc>
        <w:tc>
          <w:tcPr>
            <w:tcW w:w="64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Amortized Cost</w:t>
            </w:r>
          </w:p>
        </w:tc>
        <w:tc>
          <w:tcPr>
            <w:tcW w:w="54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Percentage</w:t>
            </w:r>
          </w:p>
        </w:tc>
        <w:tc>
          <w:tcPr>
            <w:tcW w:w="4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Amortized Cost</w:t>
            </w:r>
          </w:p>
        </w:tc>
        <w:tc>
          <w:tcPr>
            <w:tcW w:w="5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Percentage</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Performing</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1,346.0</w:t>
            </w:r>
          </w:p>
        </w:tc>
        <w:tc>
          <w:tcPr>
            <w:tcW w:w="5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1,273.2</w:t>
            </w: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997.3</w:t>
            </w:r>
          </w:p>
        </w:tc>
        <w:tc>
          <w:tcPr>
            <w:tcW w:w="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240" w:type="dxa"/>
            <w:vAlign w:val="bottom"/>
          </w:tcPr>
          <w:p>
            <w:pPr>
              <w:spacing w:after="0"/>
              <w:rPr>
                <w:sz w:val="20"/>
                <w:szCs w:val="20"/>
                <w:color w:val="auto"/>
              </w:rPr>
            </w:pPr>
            <w:r>
              <w:rPr>
                <w:rFonts w:ascii="Arial" w:cs="Arial" w:eastAsia="Arial" w:hAnsi="Arial"/>
                <w:sz w:val="18"/>
                <w:szCs w:val="18"/>
                <w:color w:val="auto"/>
              </w:rPr>
              <w:t>Non-accrual (1)</w:t>
            </w:r>
          </w:p>
        </w:tc>
        <w:tc>
          <w:tcPr>
            <w:tcW w:w="10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3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1,346.0</w:t>
            </w:r>
          </w:p>
        </w:tc>
        <w:tc>
          <w:tcPr>
            <w:tcW w:w="18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1,273.2</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997.3</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60" w:hanging="452"/>
        <w:spacing w:after="0" w:line="259"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Loans are generally placed on non-accrual status when principal or interest payments are past due 30 days or more or when there is reasonable doubt that principal or interest will be collected in full.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8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weighted average yields and interest rates of our debt investments at fair value as of March 31, 2015, December 31, 2014 and December 31, 2013 were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214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w w:val="94"/>
              </w:rPr>
              <w:t>March 31, 2015</w:t>
            </w:r>
          </w:p>
        </w:tc>
        <w:tc>
          <w:tcPr>
            <w:tcW w:w="234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w w:val="90"/>
              </w:rPr>
              <w:t>December 31, 2014</w:t>
            </w:r>
          </w:p>
        </w:tc>
        <w:tc>
          <w:tcPr>
            <w:tcW w:w="13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December 31, 2013</w:t>
            </w:r>
          </w:p>
        </w:tc>
      </w:tr>
      <w:tr>
        <w:trPr>
          <w:trHeight w:val="182"/>
        </w:trPr>
        <w:tc>
          <w:tcPr>
            <w:tcW w:w="46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Weighted average total yield of debt and income</w:t>
            </w:r>
          </w:p>
        </w:tc>
        <w:tc>
          <w:tcPr>
            <w:tcW w:w="9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23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producing securities</w:t>
            </w:r>
          </w:p>
        </w:tc>
        <w:tc>
          <w:tcPr>
            <w:tcW w:w="21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10.4%</w:t>
            </w:r>
          </w:p>
        </w:tc>
        <w:tc>
          <w:tcPr>
            <w:tcW w:w="23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10.3%</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r>
      <w:tr>
        <w:trPr>
          <w:trHeight w:val="202"/>
        </w:trPr>
        <w:tc>
          <w:tcPr>
            <w:tcW w:w="4660" w:type="dxa"/>
            <w:vAlign w:val="bottom"/>
          </w:tcPr>
          <w:p>
            <w:pPr>
              <w:spacing w:after="0" w:line="201" w:lineRule="exact"/>
              <w:rPr>
                <w:sz w:val="20"/>
                <w:szCs w:val="20"/>
                <w:color w:val="auto"/>
              </w:rPr>
            </w:pPr>
            <w:r>
              <w:rPr>
                <w:rFonts w:ascii="Arial" w:cs="Arial" w:eastAsia="Arial" w:hAnsi="Arial"/>
                <w:sz w:val="18"/>
                <w:szCs w:val="18"/>
                <w:color w:val="auto"/>
              </w:rPr>
              <w:t>Weighted average interest rate of debt and</w:t>
            </w: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4660" w:type="dxa"/>
            <w:vAlign w:val="bottom"/>
          </w:tcPr>
          <w:p>
            <w:pPr>
              <w:ind w:left="180"/>
              <w:spacing w:after="0"/>
              <w:rPr>
                <w:sz w:val="20"/>
                <w:szCs w:val="20"/>
                <w:color w:val="auto"/>
              </w:rPr>
            </w:pPr>
            <w:r>
              <w:rPr>
                <w:rFonts w:ascii="Arial" w:cs="Arial" w:eastAsia="Arial" w:hAnsi="Arial"/>
                <w:sz w:val="18"/>
                <w:szCs w:val="18"/>
                <w:color w:val="auto"/>
              </w:rPr>
              <w:t>income producing securities</w:t>
            </w:r>
          </w:p>
        </w:tc>
        <w:tc>
          <w:tcPr>
            <w:tcW w:w="2140" w:type="dxa"/>
            <w:vAlign w:val="bottom"/>
            <w:gridSpan w:val="2"/>
          </w:tcPr>
          <w:p>
            <w:pPr>
              <w:jc w:val="right"/>
              <w:ind w:right="1020"/>
              <w:spacing w:after="0"/>
              <w:rPr>
                <w:sz w:val="20"/>
                <w:szCs w:val="20"/>
                <w:color w:val="auto"/>
              </w:rPr>
            </w:pPr>
            <w:r>
              <w:rPr>
                <w:rFonts w:ascii="Arial" w:cs="Arial" w:eastAsia="Arial" w:hAnsi="Arial"/>
                <w:sz w:val="18"/>
                <w:szCs w:val="18"/>
                <w:color w:val="auto"/>
              </w:rPr>
              <w:t>9.9%</w:t>
            </w:r>
          </w:p>
        </w:tc>
        <w:tc>
          <w:tcPr>
            <w:tcW w:w="2340" w:type="dxa"/>
            <w:vAlign w:val="bottom"/>
            <w:gridSpan w:val="2"/>
          </w:tcPr>
          <w:p>
            <w:pPr>
              <w:jc w:val="right"/>
              <w:ind w:right="1020"/>
              <w:spacing w:after="0"/>
              <w:rPr>
                <w:sz w:val="20"/>
                <w:szCs w:val="20"/>
                <w:color w:val="auto"/>
              </w:rPr>
            </w:pPr>
            <w:r>
              <w:rPr>
                <w:rFonts w:ascii="Arial" w:cs="Arial" w:eastAsia="Arial" w:hAnsi="Arial"/>
                <w:sz w:val="18"/>
                <w:szCs w:val="18"/>
                <w:color w:val="auto"/>
              </w:rPr>
              <w:t>9.9%</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2"/>
        </w:trPr>
        <w:tc>
          <w:tcPr>
            <w:tcW w:w="4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spread over LIBOR of all</w:t>
            </w:r>
          </w:p>
        </w:tc>
        <w:tc>
          <w:tcPr>
            <w:tcW w:w="9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floating rate investments</w:t>
            </w:r>
          </w:p>
        </w:tc>
        <w:tc>
          <w:tcPr>
            <w:tcW w:w="21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8.8%</w:t>
            </w:r>
          </w:p>
        </w:tc>
        <w:tc>
          <w:tcPr>
            <w:tcW w:w="23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8.7%</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r>
    </w:tbl>
    <w:p>
      <w:pPr>
        <w:spacing w:after="0" w:line="202"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87"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30"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87" w:lineRule="exact"/>
        <w:rPr>
          <w:sz w:val="20"/>
          <w:szCs w:val="20"/>
          <w:color w:val="auto"/>
        </w:rPr>
      </w:pPr>
    </w:p>
    <w:p>
      <w:pPr>
        <w:ind w:left="900" w:right="340" w:hanging="325"/>
        <w:spacing w:after="0" w:line="26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loan performance and intensive quarterly asset reviews.</w:t>
      </w:r>
    </w:p>
    <w:p>
      <w:pPr>
        <w:spacing w:after="0" w:line="86" w:lineRule="exact"/>
        <w:rPr>
          <w:rFonts w:ascii="Arial" w:cs="Arial" w:eastAsia="Arial" w:hAnsi="Arial"/>
          <w:sz w:val="18"/>
          <w:szCs w:val="18"/>
          <w:color w:val="auto"/>
        </w:rPr>
      </w:pPr>
    </w:p>
    <w:p>
      <w:pPr>
        <w:ind w:left="900" w:right="200" w:hanging="325"/>
        <w:spacing w:after="0" w:line="26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borrower.</w:t>
      </w:r>
    </w:p>
    <w:p>
      <w:pPr>
        <w:spacing w:after="0" w:line="86" w:lineRule="exact"/>
        <w:rPr>
          <w:rFonts w:ascii="Arial" w:cs="Arial" w:eastAsia="Arial" w:hAnsi="Arial"/>
          <w:sz w:val="18"/>
          <w:szCs w:val="18"/>
          <w:color w:val="auto"/>
        </w:rPr>
      </w:pPr>
    </w:p>
    <w:p>
      <w:pPr>
        <w:ind w:left="900" w:right="140" w:hanging="325"/>
        <w:spacing w:after="0" w:line="26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covenant violation is expected. For these investments, in addition to monthly reports and quarterly asset reviews, the Adviser also adds the company to its “watch list” and researches any areas of concern with the objective of early intervention with the borrower.</w:t>
      </w:r>
    </w:p>
    <w:p>
      <w:pPr>
        <w:spacing w:after="0" w:line="86" w:lineRule="exact"/>
        <w:rPr>
          <w:rFonts w:ascii="Arial" w:cs="Arial" w:eastAsia="Arial" w:hAnsi="Arial"/>
          <w:sz w:val="18"/>
          <w:szCs w:val="18"/>
          <w:color w:val="auto"/>
        </w:rPr>
      </w:pPr>
    </w:p>
    <w:p>
      <w:pPr>
        <w:ind w:left="900" w:right="180" w:hanging="325"/>
        <w:spacing w:after="0" w:line="297"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loan terms or structure, or payment of amendment and waiver fees.</w:t>
      </w:r>
    </w:p>
    <w:p>
      <w:pPr>
        <w:spacing w:after="0" w:line="63"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rating of 5 indicates an investment is in default on its interest or principal payments. For these investments, our Adviser reviews the loans on a bi-monthly basis and, where possible, pursues workouts that achieve an early resolution to avoid further deterioration. The Adviser retains legal counsel and takes actions to preserve our rights, which may include working with the borrower to have the default cured, to have the loan restructured or to have the loan repaid through a consensual workout.</w:t>
      </w:r>
    </w:p>
    <w:p>
      <w:pPr>
        <w:spacing w:after="0" w:line="187"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The following table shows the distribution of our investments on the 1 to 5 investment performance rating scale at fair value as of March 31, 2015, December 31, 2014 and December 31, 2013. Investment performance ratings are accurate only as of those dates and may change due to subsequent developments relating to a portfolio company’s business or financial condition, market conditions or developments, and other factors.</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153"/>
        </w:trPr>
        <w:tc>
          <w:tcPr>
            <w:tcW w:w="21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7"/>
              </w:rPr>
              <w:t>Investment</w:t>
            </w:r>
          </w:p>
        </w:tc>
        <w:tc>
          <w:tcPr>
            <w:tcW w:w="340" w:type="dxa"/>
            <w:vAlign w:val="bottom"/>
          </w:tcPr>
          <w:p>
            <w:pPr>
              <w:spacing w:after="0"/>
              <w:rPr>
                <w:sz w:val="13"/>
                <w:szCs w:val="13"/>
                <w:color w:val="auto"/>
              </w:rPr>
            </w:pPr>
          </w:p>
        </w:tc>
        <w:tc>
          <w:tcPr>
            <w:tcW w:w="2520" w:type="dxa"/>
            <w:vAlign w:val="bottom"/>
            <w:gridSpan w:val="5"/>
          </w:tcPr>
          <w:p>
            <w:pPr>
              <w:jc w:val="right"/>
              <w:ind w:right="1220"/>
              <w:spacing w:after="0"/>
              <w:rPr>
                <w:sz w:val="20"/>
                <w:szCs w:val="20"/>
                <w:color w:val="auto"/>
              </w:rPr>
            </w:pPr>
            <w:r>
              <w:rPr>
                <w:rFonts w:ascii="Arial" w:cs="Arial" w:eastAsia="Arial" w:hAnsi="Arial"/>
                <w:sz w:val="13"/>
                <w:szCs w:val="13"/>
                <w:b w:val="1"/>
                <w:bCs w:val="1"/>
                <w:color w:val="auto"/>
              </w:rPr>
              <w:t>March 31, 2015</w:t>
            </w:r>
          </w:p>
        </w:tc>
        <w:tc>
          <w:tcPr>
            <w:tcW w:w="320" w:type="dxa"/>
            <w:vAlign w:val="bottom"/>
          </w:tcPr>
          <w:p>
            <w:pPr>
              <w:spacing w:after="0"/>
              <w:rPr>
                <w:sz w:val="13"/>
                <w:szCs w:val="13"/>
                <w:color w:val="auto"/>
              </w:rPr>
            </w:pPr>
          </w:p>
        </w:tc>
        <w:tc>
          <w:tcPr>
            <w:tcW w:w="2520" w:type="dxa"/>
            <w:vAlign w:val="bottom"/>
            <w:gridSpan w:val="4"/>
          </w:tcPr>
          <w:p>
            <w:pPr>
              <w:jc w:val="right"/>
              <w:ind w:right="1120"/>
              <w:spacing w:after="0"/>
              <w:rPr>
                <w:sz w:val="20"/>
                <w:szCs w:val="20"/>
                <w:color w:val="auto"/>
              </w:rPr>
            </w:pPr>
            <w:r>
              <w:rPr>
                <w:rFonts w:ascii="Arial" w:cs="Arial" w:eastAsia="Arial" w:hAnsi="Arial"/>
                <w:sz w:val="13"/>
                <w:szCs w:val="13"/>
                <w:b w:val="1"/>
                <w:bCs w:val="1"/>
                <w:color w:val="auto"/>
              </w:rPr>
              <w:t>December 31, 2014</w:t>
            </w:r>
          </w:p>
        </w:tc>
        <w:tc>
          <w:tcPr>
            <w:tcW w:w="340" w:type="dxa"/>
            <w:vAlign w:val="bottom"/>
          </w:tcPr>
          <w:p>
            <w:pPr>
              <w:spacing w:after="0"/>
              <w:rPr>
                <w:sz w:val="13"/>
                <w:szCs w:val="13"/>
                <w:color w:val="auto"/>
              </w:rPr>
            </w:pPr>
          </w:p>
        </w:tc>
        <w:tc>
          <w:tcPr>
            <w:tcW w:w="2280" w:type="dxa"/>
            <w:vAlign w:val="bottom"/>
            <w:gridSpan w:val="4"/>
          </w:tcPr>
          <w:p>
            <w:pPr>
              <w:jc w:val="right"/>
              <w:ind w:right="880"/>
              <w:spacing w:after="0"/>
              <w:rPr>
                <w:sz w:val="20"/>
                <w:szCs w:val="20"/>
                <w:color w:val="auto"/>
              </w:rPr>
            </w:pPr>
            <w:r>
              <w:rPr>
                <w:rFonts w:ascii="Arial" w:cs="Arial" w:eastAsia="Arial" w:hAnsi="Arial"/>
                <w:sz w:val="13"/>
                <w:szCs w:val="13"/>
                <w:b w:val="1"/>
                <w:bCs w:val="1"/>
                <w:color w:val="auto"/>
              </w:rPr>
              <w:t>December 31, 2013</w:t>
            </w:r>
          </w:p>
        </w:tc>
        <w:tc>
          <w:tcPr>
            <w:tcW w:w="0" w:type="dxa"/>
            <w:vAlign w:val="bottom"/>
          </w:tcPr>
          <w:p>
            <w:pPr>
              <w:spacing w:after="0"/>
              <w:rPr>
                <w:sz w:val="1"/>
                <w:szCs w:val="1"/>
                <w:color w:val="auto"/>
              </w:rPr>
            </w:pPr>
          </w:p>
        </w:tc>
      </w:tr>
      <w:tr>
        <w:trPr>
          <w:trHeight w:val="102"/>
        </w:trPr>
        <w:tc>
          <w:tcPr>
            <w:tcW w:w="2180" w:type="dxa"/>
            <w:vAlign w:val="bottom"/>
            <w:gridSpan w:val="2"/>
            <w:vMerge w:val="continue"/>
          </w:tcPr>
          <w:p>
            <w:pPr>
              <w:spacing w:after="0"/>
              <w:rPr>
                <w:sz w:val="8"/>
                <w:szCs w:val="8"/>
                <w:color w:val="auto"/>
              </w:rPr>
            </w:pPr>
          </w:p>
        </w:tc>
        <w:tc>
          <w:tcPr>
            <w:tcW w:w="1400" w:type="dxa"/>
            <w:vAlign w:val="bottom"/>
            <w:tcBorders>
              <w:top w:val="single" w:sz="8" w:color="auto"/>
            </w:tcBorders>
            <w:gridSpan w:val="4"/>
          </w:tcPr>
          <w:p>
            <w:pPr>
              <w:ind w:left="20"/>
              <w:spacing w:after="0" w:line="102" w:lineRule="exact"/>
              <w:rPr>
                <w:sz w:val="20"/>
                <w:szCs w:val="20"/>
                <w:color w:val="auto"/>
              </w:rPr>
            </w:pPr>
            <w:r>
              <w:rPr>
                <w:rFonts w:ascii="Arial" w:cs="Arial" w:eastAsia="Arial" w:hAnsi="Arial"/>
                <w:sz w:val="11"/>
                <w:szCs w:val="11"/>
                <w:b w:val="1"/>
                <w:bCs w:val="1"/>
                <w:color w:val="auto"/>
              </w:rPr>
              <w:t>Investments at Fair</w:t>
            </w:r>
          </w:p>
        </w:tc>
        <w:tc>
          <w:tcPr>
            <w:tcW w:w="104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w w:val="99"/>
              </w:rPr>
              <w:t>Percentage of Total</w:t>
            </w:r>
          </w:p>
        </w:tc>
        <w:tc>
          <w:tcPr>
            <w:tcW w:w="420" w:type="dxa"/>
            <w:vAlign w:val="bottom"/>
          </w:tcPr>
          <w:p>
            <w:pPr>
              <w:spacing w:after="0"/>
              <w:rPr>
                <w:sz w:val="8"/>
                <w:szCs w:val="8"/>
                <w:color w:val="auto"/>
              </w:rPr>
            </w:pPr>
          </w:p>
        </w:tc>
        <w:tc>
          <w:tcPr>
            <w:tcW w:w="1400" w:type="dxa"/>
            <w:vAlign w:val="bottom"/>
            <w:tcBorders>
              <w:top w:val="single" w:sz="8" w:color="auto"/>
            </w:tcBorders>
            <w:gridSpan w:val="3"/>
          </w:tcPr>
          <w:p>
            <w:pPr>
              <w:spacing w:after="0" w:line="102" w:lineRule="exact"/>
              <w:rPr>
                <w:sz w:val="20"/>
                <w:szCs w:val="20"/>
                <w:color w:val="auto"/>
              </w:rPr>
            </w:pPr>
            <w:r>
              <w:rPr>
                <w:rFonts w:ascii="Arial" w:cs="Arial" w:eastAsia="Arial" w:hAnsi="Arial"/>
                <w:sz w:val="11"/>
                <w:szCs w:val="11"/>
                <w:b w:val="1"/>
                <w:bCs w:val="1"/>
                <w:color w:val="auto"/>
              </w:rPr>
              <w:t>Investments at Fair</w:t>
            </w:r>
          </w:p>
        </w:tc>
        <w:tc>
          <w:tcPr>
            <w:tcW w:w="104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w w:val="99"/>
              </w:rPr>
              <w:t>Percentage of Total</w:t>
            </w:r>
          </w:p>
        </w:tc>
        <w:tc>
          <w:tcPr>
            <w:tcW w:w="400" w:type="dxa"/>
            <w:vAlign w:val="bottom"/>
          </w:tcPr>
          <w:p>
            <w:pPr>
              <w:spacing w:after="0"/>
              <w:rPr>
                <w:sz w:val="8"/>
                <w:szCs w:val="8"/>
                <w:color w:val="auto"/>
              </w:rPr>
            </w:pPr>
          </w:p>
        </w:tc>
        <w:tc>
          <w:tcPr>
            <w:tcW w:w="1400" w:type="dxa"/>
            <w:vAlign w:val="bottom"/>
            <w:tcBorders>
              <w:top w:val="single" w:sz="8" w:color="auto"/>
            </w:tcBorders>
            <w:gridSpan w:val="3"/>
          </w:tcPr>
          <w:p>
            <w:pPr>
              <w:ind w:left="20"/>
              <w:spacing w:after="0" w:line="102" w:lineRule="exact"/>
              <w:rPr>
                <w:sz w:val="20"/>
                <w:szCs w:val="20"/>
                <w:color w:val="auto"/>
              </w:rPr>
            </w:pPr>
            <w:r>
              <w:rPr>
                <w:rFonts w:ascii="Arial" w:cs="Arial" w:eastAsia="Arial" w:hAnsi="Arial"/>
                <w:sz w:val="11"/>
                <w:szCs w:val="11"/>
                <w:b w:val="1"/>
                <w:bCs w:val="1"/>
                <w:color w:val="auto"/>
              </w:rPr>
              <w:t>Investments at Fair</w:t>
            </w:r>
          </w:p>
        </w:tc>
        <w:tc>
          <w:tcPr>
            <w:tcW w:w="104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w w:val="99"/>
              </w:rPr>
              <w:t>Percentage of Total</w:t>
            </w: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Performance Rating</w:t>
            </w:r>
          </w:p>
        </w:tc>
        <w:tc>
          <w:tcPr>
            <w:tcW w:w="2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6"/>
              </w:rPr>
              <w:t xml:space="preserve">Value </w:t>
            </w:r>
            <w:r>
              <w:rPr>
                <w:rFonts w:ascii="Arial" w:cs="Arial" w:eastAsia="Arial" w:hAnsi="Arial"/>
                <w:sz w:val="13"/>
                <w:szCs w:val="13"/>
                <w:b w:val="1"/>
                <w:bCs w:val="1"/>
                <w:u w:val="single" w:color="auto"/>
                <w:color w:val="auto"/>
                <w:w w:val="86"/>
              </w:rPr>
              <w:t>(</w:t>
            </w:r>
            <w:r>
              <w:rPr>
                <w:rFonts w:ascii="Arial" w:cs="Arial" w:eastAsia="Arial" w:hAnsi="Arial"/>
                <w:sz w:val="13"/>
                <w:szCs w:val="13"/>
                <w:b w:val="1"/>
                <w:bCs w:val="1"/>
                <w:color w:val="auto"/>
                <w:w w:val="86"/>
              </w:rPr>
              <w:t>$ in millions)</w:t>
            </w:r>
          </w:p>
        </w:tc>
        <w:tc>
          <w:tcPr>
            <w:tcW w:w="320" w:type="dxa"/>
            <w:vAlign w:val="bottom"/>
            <w:tcBorders>
              <w:bottom w:val="single" w:sz="8" w:color="CCEEFF"/>
            </w:tcBorders>
            <w:gridSpan w:val="2"/>
          </w:tcPr>
          <w:p>
            <w:pPr>
              <w:spacing w:after="0"/>
              <w:rPr>
                <w:sz w:val="14"/>
                <w:szCs w:val="14"/>
                <w:color w:val="auto"/>
              </w:rPr>
            </w:pPr>
          </w:p>
        </w:tc>
        <w:tc>
          <w:tcPr>
            <w:tcW w:w="1040" w:type="dxa"/>
            <w:vAlign w:val="bottom"/>
            <w:tcBorders>
              <w:bottom w:val="single" w:sz="8" w:color="auto"/>
            </w:tcBorders>
          </w:tcPr>
          <w:p>
            <w:pPr>
              <w:jc w:val="right"/>
              <w:ind w:right="205"/>
              <w:spacing w:after="0"/>
              <w:rPr>
                <w:sz w:val="20"/>
                <w:szCs w:val="20"/>
                <w:color w:val="auto"/>
              </w:rPr>
            </w:pPr>
            <w:r>
              <w:rPr>
                <w:rFonts w:ascii="Arial" w:cs="Arial" w:eastAsia="Arial" w:hAnsi="Arial"/>
                <w:sz w:val="13"/>
                <w:szCs w:val="13"/>
                <w:b w:val="1"/>
                <w:bCs w:val="1"/>
                <w:color w:val="auto"/>
              </w:rPr>
              <w:t>Portfolio</w:t>
            </w:r>
          </w:p>
        </w:tc>
        <w:tc>
          <w:tcPr>
            <w:tcW w:w="4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6"/>
              </w:rPr>
              <w:t xml:space="preserve">Value </w:t>
            </w:r>
            <w:r>
              <w:rPr>
                <w:rFonts w:ascii="Arial" w:cs="Arial" w:eastAsia="Arial" w:hAnsi="Arial"/>
                <w:sz w:val="13"/>
                <w:szCs w:val="13"/>
                <w:b w:val="1"/>
                <w:bCs w:val="1"/>
                <w:u w:val="single" w:color="auto"/>
                <w:color w:val="auto"/>
                <w:w w:val="86"/>
              </w:rPr>
              <w:t>(</w:t>
            </w:r>
            <w:r>
              <w:rPr>
                <w:rFonts w:ascii="Arial" w:cs="Arial" w:eastAsia="Arial" w:hAnsi="Arial"/>
                <w:sz w:val="13"/>
                <w:szCs w:val="13"/>
                <w:b w:val="1"/>
                <w:bCs w:val="1"/>
                <w:color w:val="auto"/>
                <w:w w:val="86"/>
              </w:rPr>
              <w:t>$ in millions)</w:t>
            </w:r>
          </w:p>
        </w:tc>
        <w:tc>
          <w:tcPr>
            <w:tcW w:w="3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05"/>
              <w:spacing w:after="0"/>
              <w:rPr>
                <w:sz w:val="20"/>
                <w:szCs w:val="20"/>
                <w:color w:val="auto"/>
              </w:rPr>
            </w:pPr>
            <w:r>
              <w:rPr>
                <w:rFonts w:ascii="Arial" w:cs="Arial" w:eastAsia="Arial" w:hAnsi="Arial"/>
                <w:sz w:val="13"/>
                <w:szCs w:val="13"/>
                <w:b w:val="1"/>
                <w:bCs w:val="1"/>
                <w:color w:val="auto"/>
              </w:rPr>
              <w:t>Portfolio</w:t>
            </w:r>
          </w:p>
        </w:tc>
        <w:tc>
          <w:tcPr>
            <w:tcW w:w="4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6"/>
              </w:rPr>
              <w:t xml:space="preserve">Value </w:t>
            </w:r>
            <w:r>
              <w:rPr>
                <w:rFonts w:ascii="Arial" w:cs="Arial" w:eastAsia="Arial" w:hAnsi="Arial"/>
                <w:sz w:val="13"/>
                <w:szCs w:val="13"/>
                <w:b w:val="1"/>
                <w:bCs w:val="1"/>
                <w:u w:val="single" w:color="auto"/>
                <w:color w:val="auto"/>
                <w:w w:val="86"/>
              </w:rPr>
              <w:t>(</w:t>
            </w:r>
            <w:r>
              <w:rPr>
                <w:rFonts w:ascii="Arial" w:cs="Arial" w:eastAsia="Arial" w:hAnsi="Arial"/>
                <w:sz w:val="13"/>
                <w:szCs w:val="13"/>
                <w:b w:val="1"/>
                <w:bCs w:val="1"/>
                <w:color w:val="auto"/>
                <w:w w:val="86"/>
              </w:rPr>
              <w:t>$ in millions)</w:t>
            </w:r>
          </w:p>
        </w:tc>
        <w:tc>
          <w:tcPr>
            <w:tcW w:w="3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05"/>
              <w:spacing w:after="0"/>
              <w:rPr>
                <w:sz w:val="20"/>
                <w:szCs w:val="20"/>
                <w:color w:val="auto"/>
              </w:rPr>
            </w:pPr>
            <w:r>
              <w:rPr>
                <w:rFonts w:ascii="Arial" w:cs="Arial" w:eastAsia="Arial" w:hAnsi="Arial"/>
                <w:sz w:val="13"/>
                <w:szCs w:val="13"/>
                <w:b w:val="1"/>
                <w:bCs w:val="1"/>
                <w:color w:val="auto"/>
              </w:rPr>
              <w:t>Portfolio</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786.1</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59.1%</w:t>
            </w:r>
          </w:p>
        </w:tc>
        <w:tc>
          <w:tcPr>
            <w:tcW w:w="3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904.3</w:t>
            </w:r>
          </w:p>
        </w:tc>
        <w:tc>
          <w:tcPr>
            <w:tcW w:w="3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71.6%</w:t>
            </w: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859.4</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84.6%</w:t>
            </w:r>
          </w:p>
        </w:tc>
        <w:tc>
          <w:tcPr>
            <w:tcW w:w="0" w:type="dxa"/>
            <w:vAlign w:val="bottom"/>
          </w:tcPr>
          <w:p>
            <w:pPr>
              <w:spacing w:after="0"/>
              <w:rPr>
                <w:sz w:val="1"/>
                <w:szCs w:val="1"/>
                <w:color w:val="auto"/>
              </w:rPr>
            </w:pPr>
          </w:p>
        </w:tc>
      </w:tr>
      <w:tr>
        <w:trPr>
          <w:trHeight w:val="203"/>
        </w:trPr>
        <w:tc>
          <w:tcPr>
            <w:tcW w:w="194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470.0</w:t>
            </w:r>
          </w:p>
        </w:tc>
        <w:tc>
          <w:tcPr>
            <w:tcW w:w="300" w:type="dxa"/>
            <w:vAlign w:val="bottom"/>
          </w:tcPr>
          <w:p>
            <w:pPr>
              <w:spacing w:after="0"/>
              <w:rPr>
                <w:sz w:val="17"/>
                <w:szCs w:val="17"/>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6"/>
                <w:szCs w:val="16"/>
                <w:color w:val="auto"/>
              </w:rPr>
              <w:t>35.3%</w:t>
            </w:r>
          </w:p>
        </w:tc>
        <w:tc>
          <w:tcPr>
            <w:tcW w:w="320" w:type="dxa"/>
            <w:vAlign w:val="bottom"/>
          </w:tcPr>
          <w:p>
            <w:pPr>
              <w:spacing w:after="0"/>
              <w:rPr>
                <w:sz w:val="17"/>
                <w:szCs w:val="17"/>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6"/>
                <w:szCs w:val="16"/>
                <w:color w:val="auto"/>
              </w:rPr>
              <w:t>260.7</w:t>
            </w: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20.6%</w:t>
            </w:r>
          </w:p>
        </w:tc>
        <w:tc>
          <w:tcPr>
            <w:tcW w:w="340" w:type="dxa"/>
            <w:vAlign w:val="bottom"/>
          </w:tcPr>
          <w:p>
            <w:pPr>
              <w:spacing w:after="0"/>
              <w:rPr>
                <w:sz w:val="17"/>
                <w:szCs w:val="17"/>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116.4</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98.5</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7.8%</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40.7</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3"/>
        </w:trPr>
        <w:tc>
          <w:tcPr>
            <w:tcW w:w="194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74.9</w:t>
            </w:r>
          </w:p>
        </w:tc>
        <w:tc>
          <w:tcPr>
            <w:tcW w:w="300" w:type="dxa"/>
            <w:vAlign w:val="bottom"/>
          </w:tcPr>
          <w:p>
            <w:pPr>
              <w:spacing w:after="0"/>
              <w:rPr>
                <w:sz w:val="17"/>
                <w:szCs w:val="17"/>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6"/>
                <w:szCs w:val="16"/>
                <w:color w:val="auto"/>
              </w:rPr>
              <w:t>5.6%</w:t>
            </w:r>
          </w:p>
        </w:tc>
        <w:tc>
          <w:tcPr>
            <w:tcW w:w="320" w:type="dxa"/>
            <w:vAlign w:val="bottom"/>
          </w:tcPr>
          <w:p>
            <w:pPr>
              <w:spacing w:after="0"/>
              <w:rPr>
                <w:sz w:val="17"/>
                <w:szCs w:val="17"/>
                <w:color w:val="auto"/>
              </w:rPr>
            </w:pPr>
          </w:p>
        </w:tc>
        <w:tc>
          <w:tcPr>
            <w:tcW w:w="10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2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180" w:type="dxa"/>
            <w:vAlign w:val="bottom"/>
            <w:gridSpan w:val="2"/>
          </w:tcPr>
          <w:p>
            <w:pPr>
              <w:spacing w:after="0"/>
              <w:rPr>
                <w:sz w:val="20"/>
                <w:szCs w:val="20"/>
                <w:color w:val="auto"/>
              </w:rPr>
            </w:pPr>
            <w:r>
              <w:rPr>
                <w:rFonts w:ascii="Arial" w:cs="Arial" w:eastAsia="Arial" w:hAnsi="Arial"/>
                <w:sz w:val="16"/>
                <w:szCs w:val="16"/>
                <w:color w:val="auto"/>
              </w:rPr>
              <w:t>Total</w:t>
            </w: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1,331.0</w:t>
            </w:r>
          </w:p>
        </w:tc>
        <w:tc>
          <w:tcPr>
            <w:tcW w:w="300" w:type="dxa"/>
            <w:vAlign w:val="bottom"/>
          </w:tcPr>
          <w:p>
            <w:pPr>
              <w:spacing w:after="0"/>
              <w:rPr>
                <w:sz w:val="17"/>
                <w:szCs w:val="17"/>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6"/>
                <w:szCs w:val="16"/>
                <w:color w:val="auto"/>
              </w:rPr>
              <w:t>100.0%</w:t>
            </w:r>
          </w:p>
        </w:tc>
        <w:tc>
          <w:tcPr>
            <w:tcW w:w="320" w:type="dxa"/>
            <w:vAlign w:val="bottom"/>
          </w:tcPr>
          <w:p>
            <w:pPr>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6"/>
                <w:szCs w:val="16"/>
                <w:color w:val="auto"/>
              </w:rPr>
              <w:t>1,263.5</w:t>
            </w: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100.0%</w:t>
            </w: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1,016.5</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40"/>
          </w:cols>
          <w:pgMar w:left="240" w:top="459" w:right="3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2015 and 2014</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results for the three months ended March 31, 2015 and 2014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gridSpan w:val="2"/>
            <w:vMerge w:val="restart"/>
          </w:tcPr>
          <w:p>
            <w:pPr>
              <w:ind w:left="1380"/>
              <w:spacing w:after="0"/>
              <w:rPr>
                <w:sz w:val="20"/>
                <w:szCs w:val="20"/>
                <w:color w:val="auto"/>
              </w:rPr>
            </w:pPr>
            <w:r>
              <w:rPr>
                <w:rFonts w:ascii="Arial" w:cs="Arial" w:eastAsia="Arial" w:hAnsi="Arial"/>
                <w:sz w:val="14"/>
                <w:szCs w:val="14"/>
                <w:color w:val="auto"/>
              </w:rPr>
              <w:t>($ in millions)</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w w:val="99"/>
              </w:rPr>
              <w:t>Three Months Ended March 31,</w:t>
            </w:r>
          </w:p>
        </w:tc>
        <w:tc>
          <w:tcPr>
            <w:tcW w:w="0" w:type="dxa"/>
            <w:vAlign w:val="bottom"/>
          </w:tcPr>
          <w:p>
            <w:pPr>
              <w:spacing w:after="0"/>
              <w:rPr>
                <w:sz w:val="1"/>
                <w:szCs w:val="1"/>
                <w:color w:val="auto"/>
              </w:rPr>
            </w:pPr>
          </w:p>
        </w:tc>
      </w:tr>
      <w:tr>
        <w:trPr>
          <w:trHeight w:val="142"/>
        </w:trPr>
        <w:tc>
          <w:tcPr>
            <w:tcW w:w="650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8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Less: Net expenses</w:t>
            </w:r>
          </w:p>
        </w:tc>
        <w:tc>
          <w:tcPr>
            <w:tcW w:w="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investment income before income taxes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Less: Income taxes, including excise taxes</w:t>
            </w:r>
          </w:p>
        </w:tc>
        <w:tc>
          <w:tcPr>
            <w:tcW w:w="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investment income</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w:t>
            </w:r>
          </w:p>
        </w:tc>
        <w:tc>
          <w:tcPr>
            <w:tcW w:w="8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120" w:type="dxa"/>
            <w:vAlign w:val="bottom"/>
          </w:tcPr>
          <w:p>
            <w:pPr>
              <w:ind w:left="36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86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Investment Income</w:t>
            </w: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50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500" w:type="dxa"/>
            <w:vAlign w:val="bottom"/>
            <w:gridSpan w:val="2"/>
            <w:vMerge w:val="restart"/>
          </w:tcPr>
          <w:p>
            <w:pPr>
              <w:ind w:left="1380"/>
              <w:spacing w:after="0"/>
              <w:rPr>
                <w:sz w:val="20"/>
                <w:szCs w:val="20"/>
                <w:color w:val="auto"/>
              </w:rPr>
            </w:pPr>
            <w:r>
              <w:rPr>
                <w:rFonts w:ascii="Arial" w:cs="Arial" w:eastAsia="Arial" w:hAnsi="Arial"/>
                <w:sz w:val="14"/>
                <w:szCs w:val="14"/>
                <w:color w:val="auto"/>
              </w:rPr>
              <w:t>($ in millions)</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50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from investments</w:t>
            </w:r>
          </w:p>
        </w:tc>
        <w:tc>
          <w:tcPr>
            <w:tcW w:w="8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54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Other income</w:t>
            </w:r>
          </w:p>
        </w:tc>
        <w:tc>
          <w:tcPr>
            <w:tcW w:w="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 income</w:t>
            </w:r>
          </w:p>
        </w:tc>
        <w:tc>
          <w:tcPr>
            <w:tcW w:w="10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7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Interest from investments, which includes amortization of upfront fees and prepayment fees, increased from $31.1 million for the three months ended March 31, 2014 to $34.3 million for the three months ended March 31, 2015, primarily due to the increase in the size of our investment portfolio. The average size of our investment portfolio increased from $1.1 billion during the three months ended March 31, 2014 to $1.3 billion during the three months ended March 31, 2015. In addition, accelerated amortization of upfront fees primarily from unscheduled paydowns decreased from $1.2 million for the three months ended March 31, 2014 to $0.3 million for the three months ended March 31, 2015. In addition, prepayment fees increased from $1.0 million for the three months ended March 31, 2014 to $1.7 million for the three months ended March 31, 2015. The accelerated amortization and prepayment fees primarily resulted from full paydowns on three portfolio investments during the three months ended March 31, 2014 and full paydowns on two portfolio investments during the three months ended March 31, 2015. Other income increased from $2.4 million for the three months ended March 31, 2014 to $3.4 million for the three months ended March 31, 2015, primarily due to higher syndication, amendment and agency fees earned during 2015.</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expenses for the three months ended March 31, 2015 and 2014 were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04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04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2015</w:t>
            </w:r>
          </w:p>
        </w:tc>
        <w:tc>
          <w:tcPr>
            <w:tcW w:w="6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Management fees (net of waivers)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related to pre-incentive fee net investment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Incentive fees related to realized/unrealized capital gains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0.5</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Directors fees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tcPr>
          <w:p>
            <w:pPr>
              <w:ind w:left="360"/>
              <w:spacing w:after="0"/>
              <w:rPr>
                <w:sz w:val="20"/>
                <w:szCs w:val="20"/>
                <w:color w:val="auto"/>
              </w:rPr>
            </w:pPr>
            <w:r>
              <w:rPr>
                <w:rFonts w:ascii="Arial" w:cs="Arial" w:eastAsia="Arial" w:hAnsi="Arial"/>
                <w:sz w:val="18"/>
                <w:szCs w:val="18"/>
                <w:b w:val="1"/>
                <w:bCs w:val="1"/>
                <w:color w:val="auto"/>
              </w:rPr>
              <w:t>Net Expenses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6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Interest, including other debt financing expenses, increased from $3.8 million for the three months ended March 31, 2014 to $4.2 million for the three months ended March 31, 2015. This increase was primarily due to an increase in the average interest rate on our debt outstanding from 2.5% for the three months ended March 31, 2014 to 2.6% for the three months ended March 31, 2015. The increase in the average interest rate on our debt was offset by a decrease in the weighted average debt outstanding from $471 million for the three months ended March 31, 2014 to $422 million for the three months ended March 31, 2015.</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Management Fees</w:t>
      </w:r>
    </w:p>
    <w:p>
      <w:pPr>
        <w:spacing w:after="0" w:line="11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Management Fees (net of waivers) increased from $1.8 million for the three months ended March 31, 2014 to $5.0 million for the three months ended March 31, 2015. Management Fees increased from $4.2 million for the three months ended March 31, 2014 to $5.0 million for the three months ended March 31, 2015 due to the increase in total assets, which increased from an average of $1.1 billion for the three months ended March 31, 2014 to an average of $1.3 billion for the three months ended March 31, 2015. Management Fees waived were $2.4 million for the three months ended March 31, 2014. There were no management fees waived for the three months ended March 31, 2015.</w:t>
      </w:r>
    </w:p>
    <w:p>
      <w:pPr>
        <w:spacing w:after="0" w:line="173"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Until our IPO in March 2014, the Adviser had waived its right to receive the Management Fee in excess of the sum of (i) 0.25% of aggregate committed but undrawn capital and (ii) 0.75% of aggregate drawn capital (including capital drawn to pay our expenses) as determined as of the end of any calendar quarter. Any waived Management Fees were not subject to recoupment by the Adviser. Following our IPO, the Adviser has not waived its right to receive the full Management Fee, and accordingly, we will be required to continue to pay the full amount of the Management Fee.</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Incentive Fees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Incentive Fees related to pre-Incentive Fee net investment income increased from $3.9 million for the three months ended March 31, 2014 to $4.5 million for the three months ended March 31, 2015. This increase resulted from an increase in the Incentive Fee rate from 15% through March 31, 2014 to 17.5% beginning April 1, 2014 as a result of the consummation of our IPO. Incentive Fees related to capital gains and losses decreased from $0.6 million for the three months ended March 31, 2014 to $0.5 million for the three months ended March 31, 2015 due to changes in unrealized gains and losses on our investments, realized gains on our investments and realized losses on foreign currency transactions.</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00"/>
          </w:cols>
          <w:pgMar w:left="240" w:top="459" w:right="3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Professional Fees and Other General and Administrative Expenses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Professional fees were $1.2 million for each of the three months ended March 31, 2014 and 2015, while other general and administrative fees increased from $0.9 million for the three months ended March 31, 2014 to $1.1 million for the three months ended March 31, 2015 due to an increase in costs associated with servicing a growing investment portfolio.</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three months ended March 31, 2015 and 2014 we recorded a net expense of $0.3 million and $9 thousand, respectively, for U.S. federal excise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tax.</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and Unrealized Gains and Losses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net realized and unrealized gains (losses) for the three months ended March 31, 2015 and 2014:</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08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40" w:type="dxa"/>
            <w:vAlign w:val="bottom"/>
          </w:tcPr>
          <w:p>
            <w:pPr>
              <w:spacing w:after="0"/>
              <w:rPr>
                <w:sz w:val="14"/>
                <w:szCs w:val="14"/>
                <w:color w:val="auto"/>
              </w:rPr>
            </w:pPr>
          </w:p>
        </w:tc>
        <w:tc>
          <w:tcPr>
            <w:tcW w:w="23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142"/>
        </w:trPr>
        <w:tc>
          <w:tcPr>
            <w:tcW w:w="7080" w:type="dxa"/>
            <w:vAlign w:val="bottom"/>
            <w:tcBorders>
              <w:bottom w:val="single" w:sz="8" w:color="CCEEFF"/>
            </w:tcBorders>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 (losses) on investments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Net realized gains on interest rate swaps</w:t>
            </w: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 on foreign currency transactions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Net realized gains (losses) on foreign currency forward contracts</w:t>
            </w: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losses on foreign currency investments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Net realized gains on foreign currency borrowings</w:t>
            </w: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realized gains (losses)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rPr>
              <w:t>Change in unrealized gains on investments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losses on investments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b w:val="1"/>
                <w:bCs w:val="1"/>
                <w:color w:val="auto"/>
              </w:rPr>
              <w:t>Net Change in Unrealized Gains (Losses) on Investments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Unrealized appreciation on foreign currency borrowings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Unrealized appreciation on foreign currency cash and forward contracts</w:t>
            </w: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Unrealized depreciation on interest rate swaps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7080" w:type="dxa"/>
            <w:vAlign w:val="bottom"/>
          </w:tcPr>
          <w:p>
            <w:pPr>
              <w:spacing w:after="0" w:line="205" w:lineRule="exact"/>
              <w:rPr>
                <w:sz w:val="20"/>
                <w:szCs w:val="20"/>
                <w:color w:val="auto"/>
              </w:rPr>
            </w:pPr>
            <w:r>
              <w:rPr>
                <w:rFonts w:ascii="Arial" w:cs="Arial" w:eastAsia="Arial" w:hAnsi="Arial"/>
                <w:sz w:val="18"/>
                <w:szCs w:val="18"/>
                <w:b w:val="1"/>
                <w:bCs w:val="1"/>
                <w:color w:val="auto"/>
                <w:w w:val="97"/>
              </w:rPr>
              <w:t>Net Change in Unrealized Gains on Foreign Currency Transactions and Interest Rate</w:t>
            </w: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80" w:type="dxa"/>
            <w:vAlign w:val="bottom"/>
          </w:tcPr>
          <w:p>
            <w:pPr>
              <w:ind w:left="180"/>
              <w:spacing w:after="0"/>
              <w:rPr>
                <w:sz w:val="20"/>
                <w:szCs w:val="20"/>
                <w:color w:val="auto"/>
              </w:rPr>
            </w:pPr>
            <w:r>
              <w:rPr>
                <w:rFonts w:ascii="Arial" w:cs="Arial" w:eastAsia="Arial" w:hAnsi="Arial"/>
                <w:sz w:val="18"/>
                <w:szCs w:val="18"/>
                <w:b w:val="1"/>
                <w:bCs w:val="1"/>
                <w:color w:val="auto"/>
              </w:rPr>
              <w:t>Swaps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6.9</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Unrealized Gains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700"/>
              <w:spacing w:after="0"/>
              <w:rPr>
                <w:sz w:val="20"/>
                <w:szCs w:val="20"/>
                <w:color w:val="auto"/>
              </w:rPr>
            </w:pPr>
            <w:r>
              <w:rPr>
                <w:rFonts w:ascii="Arial" w:cs="Arial" w:eastAsia="Arial" w:hAnsi="Arial"/>
                <w:sz w:val="18"/>
                <w:szCs w:val="18"/>
                <w:color w:val="auto"/>
              </w:rPr>
              <w:t>66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0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For the three months ended March 31, 2015, we had net realized gains on investments of $0.3 million. For the three months ended March 31, 2014 we had net realized losses on investments of less than $0.1 million. For the three months ended March 31, 2015, we had net realized gains on interest rate swaps of $1.8 million. For the three months ended March 31, 2015, we had net realized gains on foreign currency transactions and foreign currency forward contracts of less than $0.1 million, primarily as a result of translating foreign currency related to our non-USD denominated investments. For the three months ended March 31, 2014 we had net realized losses on foreign currency forward contracts of $1.6 million primarily as a result of settling our foreign currency forward contracts. For the three months ended March 31, 2015, we had net realized losses of $0.1 million on foreign currency investments and net realized gains of $0.1 million on foreign currency borrowings. We did not have realized gains or losses on foreign currency investments or foreign currency borrowings for the three months ended March 31, 2014.</w:t>
      </w:r>
    </w:p>
    <w:p>
      <w:pPr>
        <w:spacing w:after="0" w:line="17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For the three months ended March 31, 2015 we had $7.2 million in unrealized appreciation on 22 portfolio company investments, which was offset by $12.5 million in unrealized depreciation on 15 portfolio company investments. Unrealized appreciation resulted from an increase in fair market value, primarily due to a tightening spread environment and positive credit-related adjustments. Unrealized depreciation resulted from the reversal of prior period unrealized appreciation and in some instances negative credit-related adjustments.</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the three months ended March 31, 2014, we had $8.4 million in unrealized appreciation on 20 portfolio company investments which was partially offset by $4.5 million in unrealized depreciation on 13 portfolio company investments. Unrealized appreciation resulted from an increase in fair market value, primarily due to a tightening spread environment and positive credit-related adjustments. Unrealized depreciation primarily resulted from the reversal of prior period unrealized appreciation and in some instances negative credit-related adjustments.</w:t>
      </w:r>
    </w:p>
    <w:p>
      <w:pPr>
        <w:spacing w:after="0" w:line="18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the three months ended March 31, 2015, we had unrealized appreciation on foreign currency borrowings of $7.2 million, primarily as a result of fluctuations in the GBP, SEK and EUR exchange rates. For the three months ended March 31, 2014, we had unrealized appreciation on foreign currency borrowings of $0.5 million, primarily as a result of fluctuations in the GBP and SEK exchange rates. For the three months ended March 31, 2015, we had unrealized depreciation on foreign currency cash and forward contracts of less than $0.1 million. For the three months ended March 31, 2014, we had unrealized appreciation on foreign currency forward contracts of $1.3 million. For the three months ended March 31, 2015, we had unrealized depreciation on interest rate swaps of $0.3 million due to fluctuations in interest rates. For the three months ended March 31, 2014, we did not have unrealized appreciation or depreciation on interest rate swaps.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2014, 2013 and 2012</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results for the years ended December 31, 2014, 2013 and 2012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Year Ended</w:t>
            </w: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December 31, 2014</w:t>
            </w:r>
          </w:p>
        </w:tc>
        <w:tc>
          <w:tcPr>
            <w:tcW w:w="22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December 31, 2013</w:t>
            </w:r>
          </w:p>
        </w:tc>
        <w:tc>
          <w:tcPr>
            <w:tcW w:w="1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December 31,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Less: Net expenses</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57.7</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34.9</w:t>
            </w: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investment income before income taxes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3"/>
        </w:trPr>
        <w:tc>
          <w:tcPr>
            <w:tcW w:w="5660" w:type="dxa"/>
            <w:vAlign w:val="bottom"/>
          </w:tcPr>
          <w:p>
            <w:pPr>
              <w:ind w:left="360"/>
              <w:spacing w:after="0"/>
              <w:rPr>
                <w:sz w:val="20"/>
                <w:szCs w:val="20"/>
                <w:color w:val="auto"/>
              </w:rPr>
            </w:pPr>
            <w:r>
              <w:rPr>
                <w:rFonts w:ascii="Arial" w:cs="Arial" w:eastAsia="Arial" w:hAnsi="Arial"/>
                <w:sz w:val="18"/>
                <w:szCs w:val="18"/>
                <w:color w:val="auto"/>
              </w:rPr>
              <w:t>Less: Income taxes, including excise taxes</w:t>
            </w:r>
          </w:p>
        </w:tc>
        <w:tc>
          <w:tcPr>
            <w:tcW w:w="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investment income</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104.4</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57.5</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Net realized gains (losses) on investments</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gridSpan w:val="3"/>
          </w:tcPr>
          <w:p>
            <w:pPr>
              <w:jc w:val="right"/>
              <w:ind w:right="102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2100" w:type="dxa"/>
            <w:vAlign w:val="bottom"/>
            <w:gridSpan w:val="2"/>
          </w:tcPr>
          <w:p>
            <w:pPr>
              <w:jc w:val="right"/>
              <w:ind w:right="1080"/>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(losses) on investments</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8.4</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60" w:type="dxa"/>
            <w:vAlign w:val="bottom"/>
          </w:tcPr>
          <w:p>
            <w:pPr>
              <w:ind w:left="36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20" w:type="dxa"/>
            <w:vAlign w:val="bottom"/>
            <w:tcBorders>
              <w:bottom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08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foreign exchange hedging activity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7120" w:type="dxa"/>
            <w:vAlign w:val="bottom"/>
          </w:tcPr>
          <w:p>
            <w:pPr>
              <w:spacing w:after="0"/>
              <w:rPr>
                <w:sz w:val="10"/>
                <w:szCs w:val="10"/>
                <w:color w:val="auto"/>
              </w:rPr>
            </w:pPr>
          </w:p>
        </w:tc>
        <w:tc>
          <w:tcPr>
            <w:tcW w:w="168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6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r>
      <w:tr>
        <w:trPr>
          <w:trHeight w:val="171"/>
        </w:trPr>
        <w:tc>
          <w:tcPr>
            <w:tcW w:w="71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 in millions)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8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Interest from investments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Dividend income</w:t>
            </w:r>
          </w:p>
        </w:tc>
        <w:tc>
          <w:tcPr>
            <w:tcW w:w="180" w:type="dxa"/>
            <w:vAlign w:val="bottom"/>
          </w:tcPr>
          <w:p>
            <w:pPr>
              <w:spacing w:after="0"/>
              <w:rPr>
                <w:sz w:val="18"/>
                <w:szCs w:val="18"/>
                <w:color w:val="auto"/>
              </w:rPr>
            </w:pPr>
          </w:p>
        </w:tc>
        <w:tc>
          <w:tcPr>
            <w:tcW w:w="15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r>
      <w:tr>
        <w:trPr>
          <w:trHeight w:val="223"/>
        </w:trPr>
        <w:tc>
          <w:tcPr>
            <w:tcW w:w="7120" w:type="dxa"/>
            <w:vAlign w:val="bottom"/>
          </w:tcPr>
          <w:p>
            <w:pPr>
              <w:ind w:left="360"/>
              <w:spacing w:after="0"/>
              <w:rPr>
                <w:sz w:val="20"/>
                <w:szCs w:val="20"/>
                <w:color w:val="auto"/>
              </w:rPr>
            </w:pPr>
            <w:r>
              <w:rPr>
                <w:rFonts w:ascii="Arial" w:cs="Arial" w:eastAsia="Arial" w:hAnsi="Arial"/>
                <w:sz w:val="18"/>
                <w:szCs w:val="18"/>
                <w:b w:val="1"/>
                <w:bCs w:val="1"/>
                <w:color w:val="auto"/>
              </w:rPr>
              <w:t>Total investment income</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20" w:type="dxa"/>
            <w:vAlign w:val="bottom"/>
            <w:tcBorders>
              <w:bottom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8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Interest from investments, which includes amortization of upfront fees and prepayment fees, increased from $90.4 million for the year ended December 31, 2013 to $154.0 million for the year ended December 31, 2014, primarily due to the increase in the size of our investment portfolio. The average size of our investment portfolio increased from $0.8 billion during the year ended December 31, 2013 to $1.2 billion during the year ended December 31, 2014. In addition, accelerated amortization of upfront fees primarily from unscheduled paydowns increased from $3.0 million for the year ended December 31, 2013 to $12.5 million for the year ended December 31, 2014. In addition, prepayment fees increased from $3.0 million for the year ended December 31, 2013 to $21.0 million for the year ended December 31, 2014. The accelerated amortization and prepayment fees primarily resulted from partial paydowns on three portfolio investments and full paydowns on five portfolio investments during the year ended December 31, 2013 and from partial paydowns on two portfolio investments, full paydowns on thirteen portfolio investments and the expiration of one unfunded commitment during the year ended December 31, 2014. Other income increased from $2.2 million for the year ended December 31, 2013 to $9.3 million for the year ended December 31, 2014, primarily due to higher syndication, amendment and agency fees earned during 2014.</w:t>
      </w:r>
    </w:p>
    <w:p>
      <w:pPr>
        <w:spacing w:after="0" w:line="178"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Interest from investments, which includes amortization of upfront fees and prepayment fees, increased from $49.1 million for the year ended December 31, 2012 to $90.4 million for the year ended December 31, 2013, primarily due to the increase in the size of our portfolio. The average size of our total investment portfolio at fair value increased from $417 million during the year ended December 31, 2012 to $795 million during the year ended December 31, 2013. In addition, prepayment fees increased from $0.9 million for the year ended December 31, 2012 to $3.0 million for the year ended December 31, 2013. These prepayment fees resulted from full or partial paydowns on portfolio investments. Dividend income was $1.2 million for the year ended December 31, 2012 due to the receipt of a dividend from a non-controlled, affiliated investment. There was no dividend income in the year ended December 31, 2013. Other income increased from $0.7 million for the year ended December 31, 2012 to $2.2 million for the year ended December 31, 2013, primarily due to higher syndication, amendment and agency fees earned during 2013.</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expenses for the years ended December 31, 2014, 2013 and 2012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Year Ended</w:t>
            </w: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gridSpan w:val="3"/>
          </w:tcPr>
          <w:p>
            <w:pPr>
              <w:jc w:val="right"/>
              <w:ind w:right="1080"/>
              <w:spacing w:after="0" w:line="142" w:lineRule="exact"/>
              <w:rPr>
                <w:sz w:val="20"/>
                <w:szCs w:val="20"/>
                <w:color w:val="auto"/>
              </w:rPr>
            </w:pPr>
            <w:r>
              <w:rPr>
                <w:rFonts w:ascii="Arial" w:cs="Arial" w:eastAsia="Arial" w:hAnsi="Arial"/>
                <w:sz w:val="14"/>
                <w:szCs w:val="14"/>
                <w:b w:val="1"/>
                <w:bCs w:val="1"/>
                <w:color w:val="auto"/>
                <w:w w:val="88"/>
              </w:rPr>
              <w:t>December 31, 2014</w:t>
            </w:r>
          </w:p>
        </w:tc>
        <w:tc>
          <w:tcPr>
            <w:tcW w:w="22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December 31, 2013</w:t>
            </w:r>
          </w:p>
        </w:tc>
        <w:tc>
          <w:tcPr>
            <w:tcW w:w="1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December 31,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w:t>
            </w:r>
          </w:p>
        </w:tc>
        <w:tc>
          <w:tcPr>
            <w:tcW w:w="580" w:type="dxa"/>
            <w:vAlign w:val="bottom"/>
            <w:tcBorders>
              <w:top w:val="single" w:sz="8" w:color="CCEEFF"/>
            </w:tcBorders>
            <w:gridSpan w:val="2"/>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6"/>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Management fees (net of waivers)</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60" w:type="dxa"/>
            <w:vAlign w:val="bottom"/>
            <w:gridSpan w:val="2"/>
          </w:tcPr>
          <w:p>
            <w:pPr>
              <w:jc w:val="right"/>
              <w:ind w:right="1080"/>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18"/>
                <w:szCs w:val="18"/>
                <w:color w:val="auto"/>
              </w:rPr>
            </w:pPr>
          </w:p>
        </w:tc>
        <w:tc>
          <w:tcPr>
            <w:tcW w:w="2060" w:type="dxa"/>
            <w:vAlign w:val="bottom"/>
            <w:gridSpan w:val="2"/>
          </w:tcPr>
          <w:p>
            <w:pPr>
              <w:jc w:val="right"/>
              <w:ind w:right="1060"/>
              <w:spacing w:after="0"/>
              <w:rPr>
                <w:sz w:val="20"/>
                <w:szCs w:val="20"/>
                <w:color w:val="auto"/>
              </w:rPr>
            </w:pPr>
            <w:r>
              <w:rPr>
                <w:rFonts w:ascii="Arial" w:cs="Arial" w:eastAsia="Arial" w:hAnsi="Arial"/>
                <w:sz w:val="18"/>
                <w:szCs w:val="18"/>
                <w:color w:val="auto"/>
              </w:rPr>
              <w:t>6.2</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w w:val="99"/>
              </w:rPr>
              <w:t>Incentive fees related to Pre-incentive fee net investment income</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20.8</w:t>
            </w:r>
          </w:p>
        </w:tc>
        <w:tc>
          <w:tcPr>
            <w:tcW w:w="1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10.4</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Incentive fees related to realized/unrealized capital gains</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60" w:type="dxa"/>
            <w:vAlign w:val="bottom"/>
            <w:gridSpan w:val="2"/>
          </w:tcPr>
          <w:p>
            <w:pPr>
              <w:jc w:val="right"/>
              <w:ind w:right="102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2060" w:type="dxa"/>
            <w:vAlign w:val="bottom"/>
            <w:gridSpan w:val="2"/>
          </w:tcPr>
          <w:p>
            <w:pPr>
              <w:jc w:val="right"/>
              <w:ind w:right="1060"/>
              <w:spacing w:after="0"/>
              <w:rPr>
                <w:sz w:val="20"/>
                <w:szCs w:val="20"/>
                <w:color w:val="auto"/>
              </w:rPr>
            </w:pPr>
            <w:r>
              <w:rPr>
                <w:rFonts w:ascii="Arial" w:cs="Arial" w:eastAsia="Arial" w:hAnsi="Arial"/>
                <w:sz w:val="18"/>
                <w:szCs w:val="18"/>
                <w:color w:val="auto"/>
              </w:rPr>
              <w:t>1.4</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3.7</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Directors’ fees</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60" w:type="dxa"/>
            <w:vAlign w:val="bottom"/>
            <w:gridSpan w:val="2"/>
          </w:tcPr>
          <w:p>
            <w:pPr>
              <w:jc w:val="right"/>
              <w:ind w:right="108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2060" w:type="dxa"/>
            <w:vAlign w:val="bottom"/>
            <w:gridSpan w:val="2"/>
          </w:tcPr>
          <w:p>
            <w:pPr>
              <w:jc w:val="right"/>
              <w:ind w:right="1060"/>
              <w:spacing w:after="0"/>
              <w:rPr>
                <w:sz w:val="20"/>
                <w:szCs w:val="20"/>
                <w:color w:val="auto"/>
              </w:rPr>
            </w:pPr>
            <w:r>
              <w:rPr>
                <w:rFonts w:ascii="Arial" w:cs="Arial" w:eastAsia="Arial" w:hAnsi="Arial"/>
                <w:sz w:val="18"/>
                <w:szCs w:val="18"/>
                <w:color w:val="auto"/>
              </w:rPr>
              <w:t>0.3</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2.4</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360"/>
              <w:spacing w:after="0"/>
              <w:rPr>
                <w:sz w:val="20"/>
                <w:szCs w:val="20"/>
                <w:color w:val="auto"/>
              </w:rPr>
            </w:pPr>
            <w:r>
              <w:rPr>
                <w:rFonts w:ascii="Arial" w:cs="Arial" w:eastAsia="Arial" w:hAnsi="Arial"/>
                <w:sz w:val="18"/>
                <w:szCs w:val="18"/>
                <w:b w:val="1"/>
                <w:bCs w:val="1"/>
                <w:color w:val="auto"/>
              </w:rPr>
              <w:t>Net Expenses</w:t>
            </w:r>
          </w:p>
        </w:tc>
        <w:tc>
          <w:tcPr>
            <w:tcW w:w="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06"/>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0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06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40" w:type="dxa"/>
            <w:vAlign w:val="bottom"/>
          </w:tcPr>
          <w:p>
            <w:pPr>
              <w:spacing w:after="0"/>
              <w:rPr>
                <w:sz w:val="24"/>
                <w:szCs w:val="24"/>
                <w:color w:val="auto"/>
              </w:rPr>
            </w:pPr>
          </w:p>
        </w:tc>
        <w:tc>
          <w:tcPr>
            <w:tcW w:w="1040" w:type="dxa"/>
            <w:vAlign w:val="bottom"/>
            <w:gridSpan w:val="3"/>
          </w:tcPr>
          <w:p>
            <w:pPr>
              <w:jc w:val="right"/>
              <w:ind w:right="306"/>
              <w:spacing w:after="0"/>
              <w:rPr>
                <w:sz w:val="20"/>
                <w:szCs w:val="20"/>
                <w:color w:val="auto"/>
              </w:rPr>
            </w:pPr>
            <w:r>
              <w:rPr>
                <w:rFonts w:ascii="Arial" w:cs="Arial" w:eastAsia="Arial" w:hAnsi="Arial"/>
                <w:sz w:val="18"/>
                <w:szCs w:val="18"/>
                <w:color w:val="auto"/>
              </w:rPr>
              <w:t>68</w:t>
            </w: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117"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Interest, including other debt financing expenses, increased from $10.5 million for the year ended December 31, 2013 to $15.1 million for the year ended December 31, 2014. This increase was primarily due to an increase in the weighted average debt outstanding from $266 million for the year ended December 31, 2013 to $377 million for the year ended December 31, 2014. The increase in average debt outstanding was offset by a decrease in the average interest rate on our debt outstanding from 2.7% for the year ended December 31, 2013 to 2.6% for the year ended December 31, 2014.</w:t>
      </w:r>
    </w:p>
    <w:p>
      <w:pPr>
        <w:spacing w:after="0" w:line="154"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Interest, including other debt financing expenses, increased from $6.0 million for the year ended December 31, 2012 to $10.5 million for the year ended December 31, 2013. This increase was primarily due to an increase in the weighted average debt outstanding from $111 million for the year ended December 31, 2012 to $266 million for the year ended December 31, 2013. The increase in average debt outstanding was offset by a decrease in the average interest rate on our debt outstanding from 2.9% for the year ended December 31, 2012 to 2.7% for the year ended December 31, 2013.</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Fees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Fees (net of waivers) increased from $6.2 million for the year ended December 31, 2013 to $15.8 million for the year ended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Management Fees increased from $13.4 million for the year ended December 31, 2013 to $18.3 million for the year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2014 due to the increase in total assets, which increased from an average of $0.9 billion for the year ended December 31, 2013 to an average of $1.2 billion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2014. Management Fees waived decreased from $7.1 million for the year ended December 31, 2013 to $2.5 million for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year ended December 31, 2014, as there were no management fees waived during the period April 1, 2014 through December 31, 2014.</w:t>
      </w:r>
    </w:p>
    <w:p>
      <w:pPr>
        <w:spacing w:after="0" w:line="21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Management Fees (net of waivers) increased from $5.2 million for the year ended December 31, 2012 to $6.2 million for the year ended December 31, 2013. Management Fees increased from $8.9 million for the year ended December 31, 2012 to $13.4 million for the year ended December 31, 2013 due to the increase in total assets, which increased from an average of $0.6 billion for the year ended December 31, 2012 to an average of $0.9 billion for the year ended December 31, 2013. Management Fees waived increased from $3.7 million for the year ended December 31, 2012 to $7.1 million for the year ended December 31, 2013 due to an increase in total assets.</w:t>
      </w:r>
    </w:p>
    <w:p>
      <w:pPr>
        <w:spacing w:after="0" w:line="188"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Until our IPO in March 2014, the Adviser had waived its right to receive the Management Fee in excess of the sum of (i) 0.25% of aggregate committed but undrawn capital; and (ii) 0.75% of aggregate drawn capital (including capital drawn to pay our expenses) as determined as of the end of any calendar quarter. Any waived Management Fees were not subject to recoupment by the Adviser. Following our IPO, the Adviser has not waived its right to receive the full Management Fee, and accordingly, we will be required to continue to pay the full amount of the Management Fee.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Fees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Incentive Fees related to pre-Incentive Fee net investment income increased from $10.4 million for the year ended December 31, 2013 to $20.8 million for the year ended December 31, 2014. This increase resulted from the increase in the size of the portfolio and related increase in net investment income, including an increase in prepayment fees and accelerated amortization of upfront fees primarily from unscheduled paydowns. This increase also resulted from an increase in the Incentive Fee rate from 15% through March 31, 2014 to 17.5% beginning April 1, 2014 as a result of the consummation of our IPO. Incentive Fees related to capital gains and losses decreased from $1.4 million for the year ended December 31, 2013 to ($2.9) million for the year ended December 31, 2014 due to changes in unrealized gains and losses on our investments, realized gains on our investments and realized losses on foreign currency transactions.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Incentive Fees related to pre-Incentive Fee net investment income increased from $5.3 million for the year ended December 31, 2012 to $10.4 million for the year ended December 31, 2013. This increase resulted from the increase in the size of the portfolio and related increase in pre-Incentive Fee net investment income. Incentive Fees related to capital gains decreased from $1.7 million for the year ended December 31, 2012 to $1.4 million for the year ended December 31, 2013 due to changes in unrealized gains and losses on our investments and realized gains on our investments.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Fees and Other General and Administrative Expenses</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Professional fees increased from $3.7 million for the year ended December 31, 2013 to $4.7 million for the year ended December 31, 2014 and other general and administrative fees increased from $2.4 million for the year ended December 31, 2013 to $3.9 million for the year ended December 31, 2014, both due to an increase in costs associated with servicing a growing investment portfolio.</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Professional fees increased from $2.9 million for the year ended December 31, 2012 to $3.7 million for the year ended December 31, 2013 and other general and administrative fees increased from $1.5 million for the year ended December 31, 2012 to $2.4 million for the year ended December 31, 2013, both due to an increase in costs associated with servicing a growing investment portfolio.</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71"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color w:val="auto"/>
        </w:rPr>
        <w:t>For the calendar years ended December 31, 2014, 2013 and 2012, we recorded a net expense of $1.1 million, $0.2 million and $0.1 million, respectively, for U.S. federal excise tax.</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40"/>
          </w:cols>
          <w:pgMar w:left="240" w:top="459" w:right="3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and Unrealized Gains and Losses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net realized and unrealized gains (losses) for the years ended December 31, 2014, 2013 and 2012: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700" w:type="dxa"/>
            <w:vAlign w:val="bottom"/>
            <w:gridSpan w:val="3"/>
          </w:tcPr>
          <w:p>
            <w:pPr>
              <w:jc w:val="right"/>
              <w:ind w:right="880"/>
              <w:spacing w:after="0" w:line="119" w:lineRule="exact"/>
              <w:rPr>
                <w:sz w:val="20"/>
                <w:szCs w:val="20"/>
                <w:color w:val="auto"/>
              </w:rPr>
            </w:pPr>
            <w:r>
              <w:rPr>
                <w:rFonts w:ascii="Arial" w:cs="Arial" w:eastAsia="Arial" w:hAnsi="Arial"/>
                <w:sz w:val="13"/>
                <w:szCs w:val="13"/>
                <w:b w:val="1"/>
                <w:bCs w:val="1"/>
                <w:color w:val="auto"/>
                <w:w w:val="94"/>
              </w:rPr>
              <w:t>December 31,</w:t>
            </w:r>
          </w:p>
        </w:tc>
        <w:tc>
          <w:tcPr>
            <w:tcW w:w="17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6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1"/>
              <w:spacing w:after="0"/>
              <w:rPr>
                <w:sz w:val="20"/>
                <w:szCs w:val="20"/>
                <w:color w:val="auto"/>
              </w:rPr>
            </w:pPr>
            <w:r>
              <w:rPr>
                <w:rFonts w:ascii="Arial" w:cs="Arial" w:eastAsia="Arial" w:hAnsi="Arial"/>
                <w:sz w:val="14"/>
                <w:szCs w:val="14"/>
                <w:b w:val="1"/>
                <w:bCs w:val="1"/>
                <w:color w:val="auto"/>
              </w:rPr>
              <w:t>2014</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realized gains on investments</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Net realized losses on foreign currency transactions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82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1520" w:type="dxa"/>
            <w:vAlign w:val="bottom"/>
            <w:gridSpan w:val="2"/>
          </w:tcPr>
          <w:p>
            <w:pPr>
              <w:jc w:val="right"/>
              <w:ind w:right="86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losses on foreign currency forward contracts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Net realized gains on foreign currency borrowings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88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5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realized gains (losses)</w:t>
            </w:r>
          </w:p>
        </w:tc>
        <w:tc>
          <w:tcPr>
            <w:tcW w:w="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color w:val="auto"/>
              </w:rPr>
              <w:t>Change in unrealized gains on investments</w:t>
            </w: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w:t>
            </w:r>
          </w:p>
        </w:tc>
        <w:tc>
          <w:tcPr>
            <w:tcW w:w="8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13.4</w:t>
            </w:r>
          </w:p>
        </w:tc>
        <w:tc>
          <w:tcPr>
            <w:tcW w:w="8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losses on investments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(34.3)</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Change in Unrealized Gains (Losses) on Investments</w:t>
            </w:r>
          </w:p>
        </w:tc>
        <w:tc>
          <w:tcPr>
            <w:tcW w:w="4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60" w:type="dxa"/>
            <w:vAlign w:val="bottom"/>
            <w:gridSpan w:val="2"/>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820"/>
              <w:spacing w:after="0"/>
              <w:rPr>
                <w:sz w:val="20"/>
                <w:szCs w:val="20"/>
                <w:color w:val="auto"/>
              </w:rPr>
            </w:pPr>
            <w:r>
              <w:rPr>
                <w:rFonts w:ascii="Arial" w:cs="Arial" w:eastAsia="Arial" w:hAnsi="Arial"/>
                <w:sz w:val="18"/>
                <w:szCs w:val="18"/>
                <w:color w:val="auto"/>
              </w:rPr>
              <w:t>(28.9)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9.6</w:t>
            </w:r>
          </w:p>
        </w:tc>
        <w:tc>
          <w:tcPr>
            <w:tcW w:w="86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Unrealized appreciation on foreign currency borrowings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6"/>
              </w:rPr>
              <w:t>Unrealized appreciation (depreciation) on foreign currency cash and forward contracts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88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Unrealized appreciation on interest rate swaps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666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w w:val="96"/>
              </w:rPr>
              <w:t>Net Change in Unrealized Gains (Losses) on Foreign Currency Transactions and</w:t>
            </w:r>
          </w:p>
        </w:tc>
        <w:tc>
          <w:tcPr>
            <w:tcW w:w="4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40" w:type="dxa"/>
            <w:vAlign w:val="bottom"/>
          </w:tcPr>
          <w:p>
            <w:pPr>
              <w:ind w:left="160"/>
              <w:spacing w:after="0"/>
              <w:rPr>
                <w:sz w:val="20"/>
                <w:szCs w:val="20"/>
                <w:color w:val="auto"/>
              </w:rPr>
            </w:pPr>
            <w:r>
              <w:rPr>
                <w:rFonts w:ascii="Arial" w:cs="Arial" w:eastAsia="Arial" w:hAnsi="Arial"/>
                <w:sz w:val="18"/>
                <w:szCs w:val="18"/>
                <w:b w:val="1"/>
                <w:bCs w:val="1"/>
                <w:color w:val="auto"/>
              </w:rPr>
              <w:t>Interest Rate Swaps</w:t>
            </w:r>
          </w:p>
        </w:tc>
        <w:tc>
          <w:tcPr>
            <w:tcW w:w="6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880"/>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80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Unrealized Gains (Losses)</w:t>
            </w:r>
          </w:p>
        </w:tc>
        <w:tc>
          <w:tcPr>
            <w:tcW w:w="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(17.7)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For the years ended December 31, 2014, 2013 and 2012, we had net realized gains on investments of $0.1 million, $1.1 million and $4.4 million, respectively. For the year ended December 31, 2014, we had net realized losses on foreign currency transactions of $0.4 million, primarily as a result of translating foreign currency related to one of our non-USD denominated investments. For the year ended December 31, 2014 we had net realized losses on foreign currency forward contracts of $1.6 million primarily as a result of settling our foreign currency forward contracts. For the year ended December 31, 2014, we had net realized gains on foreign currency borrowings of $0.2 million. For the year ended December 31, 2013 we had net realized gains on foreign currency transactions and foreign currency forward contracts of less than $0.1 million. For the year ended December 31, 2012 we did not have realized gains or losses on foreign currency transactions, foreign currency forward contracts or foreign currency borrowings.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year ended December 31, 2014, we had $5.4 million in unrealized appreciation on 10 portfolio company investments, which was offset by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$34.3 million in unrealized depreciation on 35 portfolio company investments. Unrealized appreciation for the year ended December 31, 2014 resulted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 increase in fair market value, primarily due to a tightening spread environment during the six months ended June 30, 2014 and positive credit-related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adjustments. Unrealized depreciation for the year ended December 31, 2014 resulted from the reversal of prior period unrealized appreciation, primarily due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a widening spread environment during the six months ended December 31, 2014, and in some instances negative credit-related and energy-related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adjustments.</w:t>
      </w:r>
    </w:p>
    <w:p>
      <w:pPr>
        <w:spacing w:after="0" w:line="21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For the year ended December 31, 2013, we had $13.4 million in unrealized appreciation on 24 portfolio company investments, which was partially offset by $3.8 million in unrealized depreciation on nine portfolio company investments. For the year ended December 31, 2012 we had $9.2 million in unrealized appreciation on 13 portfolio company investments, which was partially offset by $2.0 million in unrealized depreciation on five portfolio company investments. Unrealized appreciation for the years ended December 31, 2013 and 2012 resulted from increases in fair market value, primarily due to a tightening spread environment and positive credit-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related adjustments. Unrealized depreciation for the years ended December 31, 2013 and 2012 primarily resulted from the reversal of prior period unrealized appreciation and in some instances negative credit-related adjustments.</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For the year ended December 31, 2014, we had unrealized appreciation on foreign currency borrowings of $8.9 million, primarily as a result of fluctuations in the GBP, SEK and EUR exchange rates. For the years ended December 31, 2013 and 2012, we did not have unrealized appreciation or depreciation on foreign currency borrowings. For the year ended December 31, 2014 we had unrealized appreciation on foreign currency forward contracts of $1.3 million as a result of the reversal of prior period unrealized depreciation due to settling our foreign currency forward contracts. For the year ended December 31, 2013 we had unrealized depreciation on foreign currency forward contracts of $1.2 million. For the year ended December 31, 2014 we had unrealized appreciation on interest rate swaps of $1.0 million due to fluctuations in interest rates. For the years ended December 31, 2013 and 2012 we did not have unrealized appreciation or depreciation on interest rate swaps.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Cash Flow Realized Gross Internal Rate of Return</w:t>
      </w:r>
    </w:p>
    <w:p>
      <w:pPr>
        <w:spacing w:after="0" w:line="121"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Since we began investing in 2011 through March 31, 2015, our exited investments have resulted in an aggregate cash flow realized gross internal rate of return to us of 16.3% (based on cash invested of $904.0 million and total proceeds from these exited investments of $1,073.4 million). Eighty seven percent of these exited investments resulted in an aggregate cash flow realized gross internal rate of return to us of 10% or greater.</w:t>
      </w:r>
    </w:p>
    <w:p>
      <w:pPr>
        <w:spacing w:after="0" w:line="166"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our investments is equal to the present value of all realized returns from the investments. Our IRR calculations are unaudited.</w:t>
      </w:r>
    </w:p>
    <w:p>
      <w:pPr>
        <w:spacing w:after="0" w:line="181"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14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15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81"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24"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Aggregate cash flow realized gross IRR on our exited investments reflects only invested and realized cash amounts as described above, and does not reflect any unrealized gains or losses in our portfolio.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current approach to hedging the foreign currency exposure in our non-U.S. dollar denominated investments is primarily to borrow the necessary local currency under our Revolving Credit Facility to fund these investments. For the three months ended March 31, 2015, we had $7.2 million of unrealized gains on the translation of our non-U.S. dollar denominated debt into U.S. dollars; such amount approximates the corresponding unrealized losses on the translation of our non-U.S. dollar denominated investments into U.S. dollars for the three months ended March 31, 2015. See Note 2 for additional disclosure regarding our accounting for foreign currency. See Note 7 for additional disclosure regarding the amounts of outstanding debt denominated in each foreign currency at March 31, 2015.</w:t>
      </w:r>
    </w:p>
    <w:p>
      <w:pPr>
        <w:spacing w:after="0" w:line="19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During the three months ended March 31, 2015, we entered into foreign currency forward contracts related to our non-USD denominated investments, which in total generated a realized gain of less than $0.1 million. As of March 31, 2015, we did not have any open foreign currency forward contracts. During the three months ended March 31, 2014, we settled our foreign currency forward contracts related to our investments in Jeeves Information Systems AB and Soho House Bond Ltd., which in total generated a realized loss of $1.6 million. We bear the costs incurred in connection with entering into, administering and settling derivative contracts. There can be no assurance any hedging strategy we employ will be successful.</w:t>
      </w:r>
    </w:p>
    <w:p>
      <w:pPr>
        <w:spacing w:after="0" w:line="173"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During the year ended December 31, 2014, we entered into foreign currency forward contracts related to our non-USD denominated investments, which in total generated an unrealized gain of $1.2 million and a realized loss of $1.6 million. As of December 31, 2014, we did not have any open foreign currency forward contracts.</w:t>
      </w:r>
    </w:p>
    <w:p>
      <w:pPr>
        <w:spacing w:after="0" w:line="18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During the year ended December 31, 2013, we entered into foreign currency forward contracts related to our non- USD denominated investments, which in total generated an unrealized loss of $1.2 million and a realized gain of less than $0.1 million. Other than these foreign currency forward contracts and the interest rate swaps we entered into in connection with our Convertible Senior Notes, we did not enter into any other interest rate or other derivative agreements.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2012, we did not enter into any interest rate, foreign currency forward contracts or other derivative agreements.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76"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cash distributions to the holders of our shares.</w:t>
      </w:r>
    </w:p>
    <w:p>
      <w:pPr>
        <w:spacing w:after="0" w:line="2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capital commitments of our private phase investors terminated upon the completion of our IPO. 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200%. As of March 31, 2015 and December 31, 2014, our asset coverage ratio was 273.4% and 311.0%, respectively.</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Cash and cash equivalents as of March 31, 2015, taken together with cash available under our credit facilities, is expected to be sufficient for our investing activities and to conduct our operations in the near term. As of March 31, 2015, we had approximately $445.3 million of availability on our Revolving Credit Facility.</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March 31, 2015, we had $3.3 million in cash and cash equivalents, an increase of $0.9 million from December 31, 2014. During the three months ended March 31, 2015, we used $77.3 million in cash for operating activities, primarily as a result of funding portfolio investments of $139.3 million and other operating activity of $31.9 million, which was partially offset by proceeds from investments of $5.0 million, repayments on investments of $64.4 million, and an increase in net assets resulting from operations of $24.5 million. Lastly, cash provided by financing activities was $78.2 million during the period, primarily due to net borrowings of $244.4 million, partially offset by net repayments on debt of $147.8 million, debt issuance costs of $0.1 million and dividends paid of $18.3 million.</w:t>
      </w:r>
    </w:p>
    <w:p>
      <w:pPr>
        <w:spacing w:after="0" w:line="19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As of December 31, 2014, we had $2.4 million in cash and cash equivalents, a decrease of $1.1 million from December 31, 2013. During the year ended December 31, 2014, we used net $148.8 million in cash for operating activities, primarily as a result of funding portfolio investments of $974.8 million, which was partially offset by proceeds from investments of $100.7 million, repayments on investments of $620.7 million, other operating activity of $19.6 million, and an increase in net assets resulting from operations of $85.0 million. Lastly, cash provided by financing activities was $147.8 million during the period, primarily due to net borrowings of $1,108.1 million and proceeds from issuance of common stock of $234.4 million, partially offset by net repayments on debt of $1,135.4 million, debt issuance costs of $6.8 million and dividends paid of $52.6 million.</w:t>
      </w:r>
    </w:p>
    <w:p>
      <w:pPr>
        <w:spacing w:after="0" w:line="178"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As of December 31, 2013, we had $3.5 million in cash and cash equivalents, a decrease of $158.3 million from December 31, 2012. The decrease was primarily attributable to investments made during the period. During the year ended December 31, 2013, we used net $289.6 million in operating activities, primarily as a result of funding of portfolio investments of $603.0 million. This was partially offset by proceeds from investments of $46.4 million, repayments on investments of $214.3 million, an increase in net assets resulting from operations of $67.0 million and other operating activity of $14.3 million. Lastly, cash provided by financing activities was $131.3 million during the period, primarily due to proceeds from issuance of common stock of $56.9 million and net borrowings of $100.4 million, partially offset by debt issuance costs of $1.6 million and dividends paid of $24.4 million.</w:t>
      </w:r>
    </w:p>
    <w:p>
      <w:pPr>
        <w:spacing w:after="0" w:line="16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of March 31, 2015, we had $2.4 million of restricted cash pledged as collateral under our interest rate swap agreements, an increase of $0.1 million from December 31, 2014. As of March 31, 2015, we had $10.3 million of restricted cash in our wholly owned subsidiary TPG SL SPV, an increase of less than $0.1 million from December 31, 2014. The increase was primarily attributable to increased interest payments from additional investments contributed to TPG SL SPV. Proceeds received by TPG SL SPV from interest and principal at the end of a quarterly reporting period that have not gone through a settlement process are considered to be restricted cash. The settlement process involves the payment of certain required amounts under the SPV Asset Facility, following which excess cash generated in TPG SL SPV may be distributed to us. Restricted cash is a component of prepaid expenses and other assets in our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w:t>
      </w:r>
    </w:p>
    <w:p>
      <w:pPr>
        <w:spacing w:after="0" w:line="117" w:lineRule="exact"/>
        <w:rPr>
          <w:sz w:val="20"/>
          <w:szCs w:val="20"/>
          <w:color w:val="auto"/>
        </w:rPr>
      </w:pPr>
    </w:p>
    <w:p>
      <w:pPr>
        <w:ind w:right="560" w:firstLine="456"/>
        <w:spacing w:after="0" w:line="308" w:lineRule="auto"/>
        <w:rPr>
          <w:sz w:val="20"/>
          <w:szCs w:val="20"/>
          <w:color w:val="auto"/>
        </w:rPr>
      </w:pPr>
      <w:r>
        <w:rPr>
          <w:rFonts w:ascii="Arial" w:cs="Arial" w:eastAsia="Arial" w:hAnsi="Arial"/>
          <w:sz w:val="17"/>
          <w:szCs w:val="17"/>
          <w:color w:val="auto"/>
        </w:rPr>
        <w:t>On March 26, 2014, we closed our IPO and issued 7,000,000 shares at $16.00 per share, and closed our concurrent private placement and issued 3,124,984 shares at $16.00 per share. Net of underwriting fees and offering costs, we received total cash proceeds of $151.6 million.</w:t>
      </w:r>
    </w:p>
    <w:p>
      <w:pPr>
        <w:spacing w:after="0" w:line="147" w:lineRule="exact"/>
        <w:rPr>
          <w:sz w:val="20"/>
          <w:szCs w:val="20"/>
          <w:color w:val="auto"/>
        </w:rPr>
      </w:pPr>
    </w:p>
    <w:p>
      <w:pPr>
        <w:ind w:right="940" w:firstLine="456"/>
        <w:spacing w:after="0" w:line="277" w:lineRule="auto"/>
        <w:rPr>
          <w:sz w:val="20"/>
          <w:szCs w:val="20"/>
          <w:color w:val="auto"/>
        </w:rPr>
      </w:pPr>
      <w:r>
        <w:rPr>
          <w:rFonts w:ascii="Arial" w:cs="Arial" w:eastAsia="Arial" w:hAnsi="Arial"/>
          <w:sz w:val="18"/>
          <w:szCs w:val="18"/>
          <w:color w:val="auto"/>
        </w:rPr>
        <w:t>In April 2014, we issued an additional 1,050,000 shares of stock pursuant to the exercise of the underwriters’ over-allotment option. Net of underwriting fees and offering costs, we received additional total cash proceeds of $15.4 million.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Prior to December 31, 2013, we entered into subscription agreements with our private phase investors, including our Adviser and its affiliates, providing for the private placement of our common stock, which brought our total capital commitments to $1.5 billion (including $117.1 million from our Adviser and its affiliates).</w:t>
      </w:r>
    </w:p>
    <w:p>
      <w:pPr>
        <w:spacing w:after="0" w:line="181"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During the year ended December 31, 2013, we delivered drawdown notices to our investors relating to the issuance of 3,713,053 shares of our common stock for aggregate proceeds of $57 million. Proceeds from the issuances were used in investing activities and for other general corporate purposes.</w:t>
      </w:r>
    </w:p>
    <w:p>
      <w:pPr>
        <w:spacing w:after="0" w:line="124"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During the three months ended March 31, 2014, we did not deliver any drawdown notices to our private phase investors. On December 31, 2013, we delivered a capital drawdown notice to our private phase investors relating to the sale of 4,234,501 shares of our common stock for an aggregate offering price of $65.0 million. The sale closed on January 15, 2014. This capital drawdown notice is reflected in the number of shares issued for the three months ended March 31, 2014 below and in the consolidated financial statements for the three months ended March 31, 2014.</w:t>
      </w:r>
    </w:p>
    <w:p>
      <w:pPr>
        <w:spacing w:after="0" w:line="171"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From inception through March 26, 2014, we had drawn down a total of $0.6 billion of capital and issued 38.9 million shares, excluding equity and shares issued through our dividend reinvestment plan. The remaining unfunded commitments under the subscription agreements terminated upon the completion of our IPO in March 2014, and hence as of March 31, 2015 no longer remain in effect.</w:t>
      </w:r>
    </w:p>
    <w:p>
      <w:pPr>
        <w:spacing w:after="0" w:line="18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During the three months ended March 31, 2015 and 2014, we issued 162,490 and 502,200 shares of our common stock, respectively, to investors who have not opted out of our dividend reinvestment plan for proceeds of $2.7 million and $7.8 million, respectively. During the years ended December 31, 2014 and 2013, we issued 1,361,850 and 1,730,042 shares of our common stock, respectively, to investors who have not opted out of our dividend reinvestment plan for proceeds of $22.6 million and $26.4 million, respectively. On May 1, 2015, we issued 41,441 shares of our common stock through our dividend reinvestment plan for proceeds of $0.7 million, which is not reflected in the number of shares issued for the three months ended March 31, 2015 in this section or the consolidated financial statements for the three months ended March 31, 2015.</w:t>
      </w:r>
    </w:p>
    <w:p>
      <w:pPr>
        <w:spacing w:after="0" w:line="178"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On November 3, 2014, the Board approved the Company 10b5-1 Plan to acquire up to $50 million in the aggregate of our common stock at prices below our net asset value over a specified period, in accordance with the guidelines specified in Rule 10b-18 and Rule 10b5-1 of the Exchange Act.</w:t>
      </w:r>
    </w:p>
    <w:p>
      <w:pPr>
        <w:spacing w:after="0" w:line="12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10b5-1 Plan is designed to allow us to repurchase our common stock at times when we otherwise might be prevented from doing so under insider trading laws. The Company 10b5-1 Plan requires an agent selected by us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89"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Unless extended or terminated by the Board, the Company 10b5-1 Plan will be in effect through the earlier of June 30, 2015 or such time as the approved $50 million repurchase amount has been fully utilized, subject to certain conditions. As of March 31, 2015, no shares had been repurchased under the Company 10b5-1 Plan.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consisted of the following as of March 31, 2015, December 31, 2014 and December 31, 2013: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March 31, 2015</w:t>
            </w:r>
          </w:p>
        </w:tc>
        <w:tc>
          <w:tcPr>
            <w:tcW w:w="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5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Aggregate Principal</w:t>
            </w:r>
          </w:p>
        </w:tc>
        <w:tc>
          <w:tcPr>
            <w:tcW w:w="400" w:type="dxa"/>
            <w:vAlign w:val="bottom"/>
          </w:tcPr>
          <w:p>
            <w:pPr>
              <w:spacing w:after="0"/>
              <w:rPr>
                <w:sz w:val="10"/>
                <w:szCs w:val="10"/>
                <w:color w:val="auto"/>
              </w:rPr>
            </w:pPr>
          </w:p>
        </w:tc>
        <w:tc>
          <w:tcPr>
            <w:tcW w:w="1360" w:type="dxa"/>
            <w:vAlign w:val="bottom"/>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rPr>
              <w:t>Outstanding</w:t>
            </w:r>
          </w:p>
        </w:tc>
        <w:tc>
          <w:tcPr>
            <w:tcW w:w="220" w:type="dxa"/>
            <w:vAlign w:val="bottom"/>
          </w:tcPr>
          <w:p>
            <w:pPr>
              <w:spacing w:after="0"/>
              <w:rPr>
                <w:sz w:val="10"/>
                <w:szCs w:val="10"/>
                <w:color w:val="auto"/>
              </w:rPr>
            </w:pPr>
          </w:p>
        </w:tc>
        <w:tc>
          <w:tcPr>
            <w:tcW w:w="1160" w:type="dxa"/>
            <w:vAlign w:val="bottom"/>
            <w:gridSpan w:val="2"/>
          </w:tcPr>
          <w:p>
            <w:pPr>
              <w:jc w:val="center"/>
              <w:ind w:right="640"/>
              <w:spacing w:after="0" w:line="119" w:lineRule="exact"/>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0"/>
                <w:szCs w:val="10"/>
                <w:color w:val="auto"/>
              </w:rPr>
            </w:pPr>
          </w:p>
        </w:tc>
        <w:tc>
          <w:tcPr>
            <w:tcW w:w="820" w:type="dxa"/>
            <w:vAlign w:val="bottom"/>
          </w:tcPr>
          <w:p>
            <w:pPr>
              <w:jc w:val="center"/>
              <w:ind w:right="77"/>
              <w:spacing w:after="0" w:line="119" w:lineRule="exact"/>
              <w:rPr>
                <w:sz w:val="20"/>
                <w:szCs w:val="20"/>
                <w:color w:val="auto"/>
              </w:rPr>
            </w:pPr>
            <w:r>
              <w:rPr>
                <w:rFonts w:ascii="Arial" w:cs="Arial" w:eastAsia="Arial" w:hAnsi="Arial"/>
                <w:sz w:val="13"/>
                <w:szCs w:val="13"/>
                <w:b w:val="1"/>
                <w:bCs w:val="1"/>
                <w:color w:val="auto"/>
              </w:rPr>
              <w:t>Carrying</w:t>
            </w:r>
          </w:p>
        </w:tc>
        <w:tc>
          <w:tcPr>
            <w:tcW w:w="120" w:type="dxa"/>
            <w:vAlign w:val="bottom"/>
          </w:tcPr>
          <w:p>
            <w:pPr>
              <w:spacing w:after="0"/>
              <w:rPr>
                <w:sz w:val="10"/>
                <w:szCs w:val="10"/>
                <w:color w:val="auto"/>
              </w:rPr>
            </w:pPr>
          </w:p>
        </w:tc>
      </w:tr>
      <w:tr>
        <w:trPr>
          <w:trHeight w:val="171"/>
        </w:trPr>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Committed</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7"/>
              </w:rPr>
              <w:t>Principal</w:t>
            </w:r>
          </w:p>
        </w:tc>
        <w:tc>
          <w:tcPr>
            <w:tcW w:w="13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Available (1)</w:t>
            </w:r>
          </w:p>
        </w:tc>
        <w:tc>
          <w:tcPr>
            <w:tcW w:w="16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SPV Asset Facility </w:t>
            </w:r>
            <w:r>
              <w:rPr>
                <w:rFonts w:ascii="Arial" w:cs="Arial" w:eastAsia="Arial" w:hAnsi="Arial"/>
                <w:sz w:val="15"/>
                <w:szCs w:val="15"/>
                <w:color w:val="auto"/>
              </w:rPr>
              <w:t>(2)</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128,725</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128,725</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128,725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781,250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244,437</w:t>
            </w:r>
          </w:p>
        </w:tc>
        <w:tc>
          <w:tcPr>
            <w:tcW w:w="22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445,318</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244,437</w:t>
            </w:r>
          </w:p>
        </w:tc>
        <w:tc>
          <w:tcPr>
            <w:tcW w:w="12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115,000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115,000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112,061</w:t>
            </w:r>
          </w:p>
        </w:tc>
      </w:tr>
      <w:tr>
        <w:trPr>
          <w:trHeight w:val="223"/>
        </w:trPr>
        <w:tc>
          <w:tcPr>
            <w:tcW w:w="5820" w:type="dxa"/>
            <w:vAlign w:val="bottom"/>
          </w:tcPr>
          <w:p>
            <w:pPr>
              <w:ind w:left="360"/>
              <w:spacing w:after="0"/>
              <w:rPr>
                <w:sz w:val="20"/>
                <w:szCs w:val="20"/>
                <w:color w:val="auto"/>
              </w:rPr>
            </w:pPr>
            <w:r>
              <w:rPr>
                <w:rFonts w:ascii="Arial" w:cs="Arial" w:eastAsia="Arial" w:hAnsi="Arial"/>
                <w:sz w:val="18"/>
                <w:szCs w:val="18"/>
                <w:b w:val="1"/>
                <w:bCs w:val="1"/>
                <w:color w:val="auto"/>
              </w:rPr>
              <w:t>Total Debt</w:t>
            </w: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1,024,975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488,162</w:t>
            </w:r>
          </w:p>
        </w:tc>
        <w:tc>
          <w:tcPr>
            <w:tcW w:w="4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445,318</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485,223</w:t>
            </w:r>
          </w:p>
        </w:tc>
        <w:tc>
          <w:tcPr>
            <w:tcW w:w="12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5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2014</w:t>
            </w:r>
          </w:p>
        </w:tc>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19"/>
        </w:trPr>
        <w:tc>
          <w:tcPr>
            <w:tcW w:w="5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Aggregate Principal</w:t>
            </w:r>
          </w:p>
        </w:tc>
        <w:tc>
          <w:tcPr>
            <w:tcW w:w="400" w:type="dxa"/>
            <w:vAlign w:val="bottom"/>
          </w:tcPr>
          <w:p>
            <w:pPr>
              <w:spacing w:after="0"/>
              <w:rPr>
                <w:sz w:val="10"/>
                <w:szCs w:val="10"/>
                <w:color w:val="auto"/>
              </w:rPr>
            </w:pPr>
          </w:p>
        </w:tc>
        <w:tc>
          <w:tcPr>
            <w:tcW w:w="1360" w:type="dxa"/>
            <w:vAlign w:val="bottom"/>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rPr>
              <w:t>Outstanding</w:t>
            </w:r>
          </w:p>
        </w:tc>
        <w:tc>
          <w:tcPr>
            <w:tcW w:w="220" w:type="dxa"/>
            <w:vAlign w:val="bottom"/>
          </w:tcPr>
          <w:p>
            <w:pPr>
              <w:spacing w:after="0"/>
              <w:rPr>
                <w:sz w:val="10"/>
                <w:szCs w:val="10"/>
                <w:color w:val="auto"/>
              </w:rPr>
            </w:pPr>
          </w:p>
        </w:tc>
        <w:tc>
          <w:tcPr>
            <w:tcW w:w="1160" w:type="dxa"/>
            <w:vAlign w:val="bottom"/>
            <w:gridSpan w:val="2"/>
          </w:tcPr>
          <w:p>
            <w:pPr>
              <w:jc w:val="center"/>
              <w:ind w:right="640"/>
              <w:spacing w:after="0" w:line="119" w:lineRule="exact"/>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0"/>
                <w:szCs w:val="10"/>
                <w:color w:val="auto"/>
              </w:rPr>
            </w:pPr>
          </w:p>
        </w:tc>
        <w:tc>
          <w:tcPr>
            <w:tcW w:w="820" w:type="dxa"/>
            <w:vAlign w:val="bottom"/>
          </w:tcPr>
          <w:p>
            <w:pPr>
              <w:jc w:val="center"/>
              <w:ind w:right="77"/>
              <w:spacing w:after="0" w:line="119" w:lineRule="exact"/>
              <w:rPr>
                <w:sz w:val="20"/>
                <w:szCs w:val="20"/>
                <w:color w:val="auto"/>
              </w:rPr>
            </w:pPr>
            <w:r>
              <w:rPr>
                <w:rFonts w:ascii="Arial" w:cs="Arial" w:eastAsia="Arial" w:hAnsi="Arial"/>
                <w:sz w:val="13"/>
                <w:szCs w:val="13"/>
                <w:b w:val="1"/>
                <w:bCs w:val="1"/>
                <w:color w:val="auto"/>
              </w:rPr>
              <w:t>Carrying</w:t>
            </w:r>
          </w:p>
        </w:tc>
        <w:tc>
          <w:tcPr>
            <w:tcW w:w="120" w:type="dxa"/>
            <w:vAlign w:val="bottom"/>
          </w:tcPr>
          <w:p>
            <w:pPr>
              <w:spacing w:after="0"/>
              <w:rPr>
                <w:sz w:val="10"/>
                <w:szCs w:val="10"/>
                <w:color w:val="auto"/>
              </w:rPr>
            </w:pPr>
          </w:p>
        </w:tc>
      </w:tr>
      <w:tr>
        <w:trPr>
          <w:trHeight w:val="171"/>
        </w:trPr>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Committed</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7"/>
              </w:rPr>
              <w:t>Principal</w:t>
            </w:r>
          </w:p>
        </w:tc>
        <w:tc>
          <w:tcPr>
            <w:tcW w:w="13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Available (1)</w:t>
            </w:r>
          </w:p>
        </w:tc>
        <w:tc>
          <w:tcPr>
            <w:tcW w:w="16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SPV Asset Facility</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106,725</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45,279</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106,725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781,250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177,216</w:t>
            </w:r>
          </w:p>
        </w:tc>
        <w:tc>
          <w:tcPr>
            <w:tcW w:w="22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466,189</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177,216</w:t>
            </w:r>
          </w:p>
        </w:tc>
        <w:tc>
          <w:tcPr>
            <w:tcW w:w="12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115,000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115,000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111,923</w:t>
            </w:r>
          </w:p>
        </w:tc>
      </w:tr>
      <w:tr>
        <w:trPr>
          <w:trHeight w:val="223"/>
        </w:trPr>
        <w:tc>
          <w:tcPr>
            <w:tcW w:w="5820" w:type="dxa"/>
            <w:vAlign w:val="bottom"/>
          </w:tcPr>
          <w:p>
            <w:pPr>
              <w:ind w:left="360"/>
              <w:spacing w:after="0"/>
              <w:rPr>
                <w:sz w:val="20"/>
                <w:szCs w:val="20"/>
                <w:color w:val="auto"/>
              </w:rPr>
            </w:pPr>
            <w:r>
              <w:rPr>
                <w:rFonts w:ascii="Arial" w:cs="Arial" w:eastAsia="Arial" w:hAnsi="Arial"/>
                <w:sz w:val="18"/>
                <w:szCs w:val="18"/>
                <w:b w:val="1"/>
                <w:bCs w:val="1"/>
                <w:color w:val="auto"/>
              </w:rPr>
              <w:t>Total Debt</w:t>
            </w: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1,071,250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398,941</w:t>
            </w:r>
          </w:p>
        </w:tc>
        <w:tc>
          <w:tcPr>
            <w:tcW w:w="4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511,468</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395,864</w:t>
            </w:r>
          </w:p>
        </w:tc>
        <w:tc>
          <w:tcPr>
            <w:tcW w:w="12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5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2013</w:t>
            </w:r>
          </w:p>
        </w:tc>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19"/>
        </w:trPr>
        <w:tc>
          <w:tcPr>
            <w:tcW w:w="5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Aggregate Principal</w:t>
            </w:r>
          </w:p>
        </w:tc>
        <w:tc>
          <w:tcPr>
            <w:tcW w:w="400" w:type="dxa"/>
            <w:vAlign w:val="bottom"/>
          </w:tcPr>
          <w:p>
            <w:pPr>
              <w:spacing w:after="0"/>
              <w:rPr>
                <w:sz w:val="10"/>
                <w:szCs w:val="10"/>
                <w:color w:val="auto"/>
              </w:rPr>
            </w:pPr>
          </w:p>
        </w:tc>
        <w:tc>
          <w:tcPr>
            <w:tcW w:w="1360" w:type="dxa"/>
            <w:vAlign w:val="bottom"/>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rPr>
              <w:t>Outstanding</w:t>
            </w:r>
          </w:p>
        </w:tc>
        <w:tc>
          <w:tcPr>
            <w:tcW w:w="220" w:type="dxa"/>
            <w:vAlign w:val="bottom"/>
          </w:tcPr>
          <w:p>
            <w:pPr>
              <w:spacing w:after="0"/>
              <w:rPr>
                <w:sz w:val="10"/>
                <w:szCs w:val="10"/>
                <w:color w:val="auto"/>
              </w:rPr>
            </w:pPr>
          </w:p>
        </w:tc>
        <w:tc>
          <w:tcPr>
            <w:tcW w:w="1160" w:type="dxa"/>
            <w:vAlign w:val="bottom"/>
            <w:gridSpan w:val="2"/>
          </w:tcPr>
          <w:p>
            <w:pPr>
              <w:jc w:val="center"/>
              <w:ind w:right="640"/>
              <w:spacing w:after="0" w:line="119" w:lineRule="exact"/>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0"/>
                <w:szCs w:val="10"/>
                <w:color w:val="auto"/>
              </w:rPr>
            </w:pPr>
          </w:p>
        </w:tc>
        <w:tc>
          <w:tcPr>
            <w:tcW w:w="820" w:type="dxa"/>
            <w:vAlign w:val="bottom"/>
          </w:tcPr>
          <w:p>
            <w:pPr>
              <w:jc w:val="center"/>
              <w:ind w:right="77"/>
              <w:spacing w:after="0" w:line="119" w:lineRule="exact"/>
              <w:rPr>
                <w:sz w:val="20"/>
                <w:szCs w:val="20"/>
                <w:color w:val="auto"/>
              </w:rPr>
            </w:pPr>
            <w:r>
              <w:rPr>
                <w:rFonts w:ascii="Arial" w:cs="Arial" w:eastAsia="Arial" w:hAnsi="Arial"/>
                <w:sz w:val="13"/>
                <w:szCs w:val="13"/>
                <w:b w:val="1"/>
                <w:bCs w:val="1"/>
                <w:color w:val="auto"/>
              </w:rPr>
              <w:t>Carrying</w:t>
            </w:r>
          </w:p>
        </w:tc>
        <w:tc>
          <w:tcPr>
            <w:tcW w:w="120" w:type="dxa"/>
            <w:vAlign w:val="bottom"/>
          </w:tcPr>
          <w:p>
            <w:pPr>
              <w:spacing w:after="0"/>
              <w:rPr>
                <w:sz w:val="10"/>
                <w:szCs w:val="10"/>
                <w:color w:val="auto"/>
              </w:rPr>
            </w:pPr>
          </w:p>
        </w:tc>
      </w:tr>
      <w:tr>
        <w:trPr>
          <w:trHeight w:val="171"/>
        </w:trPr>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Committed</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7"/>
              </w:rPr>
              <w:t>Principal</w:t>
            </w:r>
          </w:p>
        </w:tc>
        <w:tc>
          <w:tcPr>
            <w:tcW w:w="13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4"/>
              </w:rPr>
              <w:t>Available(1)</w:t>
            </w:r>
          </w:p>
        </w:tc>
        <w:tc>
          <w:tcPr>
            <w:tcW w:w="16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Subscription Credit Facility </w:t>
            </w:r>
            <w:r>
              <w:rPr>
                <w:rFonts w:ascii="Arial" w:cs="Arial" w:eastAsia="Arial" w:hAnsi="Arial"/>
                <w:sz w:val="15"/>
                <w:szCs w:val="15"/>
                <w:color w:val="auto"/>
              </w:rPr>
              <w:t>(3)</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SPV Asset Facility</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77,767</w:t>
            </w:r>
          </w:p>
        </w:tc>
        <w:tc>
          <w:tcPr>
            <w:tcW w:w="22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77,767</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400,000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322,500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77,500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322,500</w:t>
            </w:r>
          </w:p>
        </w:tc>
        <w:tc>
          <w:tcPr>
            <w:tcW w:w="120" w:type="dxa"/>
            <w:vAlign w:val="bottom"/>
            <w:shd w:val="clear" w:color="auto" w:fill="CCEEFF"/>
          </w:tcPr>
          <w:p>
            <w:pPr>
              <w:spacing w:after="0"/>
              <w:rPr>
                <w:sz w:val="18"/>
                <w:szCs w:val="18"/>
                <w:color w:val="auto"/>
              </w:rPr>
            </w:pPr>
          </w:p>
        </w:tc>
      </w:tr>
      <w:tr>
        <w:trPr>
          <w:trHeight w:val="223"/>
        </w:trPr>
        <w:tc>
          <w:tcPr>
            <w:tcW w:w="5820" w:type="dxa"/>
            <w:vAlign w:val="bottom"/>
          </w:tcPr>
          <w:p>
            <w:pPr>
              <w:ind w:left="360"/>
              <w:spacing w:after="0"/>
              <w:rPr>
                <w:sz w:val="20"/>
                <w:szCs w:val="20"/>
                <w:color w:val="auto"/>
              </w:rPr>
            </w:pPr>
            <w:r>
              <w:rPr>
                <w:rFonts w:ascii="Arial" w:cs="Arial" w:eastAsia="Arial" w:hAnsi="Arial"/>
                <w:sz w:val="18"/>
                <w:szCs w:val="18"/>
                <w:b w:val="1"/>
                <w:bCs w:val="1"/>
                <w:color w:val="auto"/>
              </w:rPr>
              <w:t>Total Debt</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600,000</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432,267</w:t>
            </w:r>
          </w:p>
        </w:tc>
        <w:tc>
          <w:tcPr>
            <w:tcW w:w="4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145,500</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432,267</w:t>
            </w:r>
          </w:p>
        </w:tc>
        <w:tc>
          <w:tcPr>
            <w:tcW w:w="12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reinvestment period under the SPV Asset Facility terminated on January 21, 2015 and accordingly any undrawn availability under the facility also terminated.</w:t>
      </w:r>
    </w:p>
    <w:p>
      <w:pPr>
        <w:ind w:left="460" w:right="600" w:hanging="452"/>
        <w:spacing w:after="0" w:line="261"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February 27, 2014, we terminated the Subscription Credit Facility, effective March 4, 2014. The outstanding balance was paid down prior to terminating the facility.</w:t>
      </w:r>
    </w:p>
    <w:p>
      <w:pPr>
        <w:spacing w:after="0" w:line="184"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As of March 31, 2015, December 31, 2014 and December 31, 2013, we were in compliance with the terms of our debt arrangements. We intend to continue to utilize our credit facilities to fund investments and for other general corporate purposes.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On August 23, 2012, we entered into a senior secured revolving credit agreement with SunTrust Bank, as administrative agent, and J.P. Morgan Chase Bank, N.A., as syndication agent, and certain other lenders. On July 2, 2013, we entered into an agreement to amend and restate the agreement, effective on July 3, 2013. The amended and restated facility, among other things, increased the size of the facility from $200 million to $350 million. The facility included an uncommitted accordion feature that allowed us, under certain circumstances, to increase the size of the facility up to $550 million. On September 30, 2013, we exercised our right under the accordion feature and increased the size of the facility to $400 million. On January 27, 2014, we again exercised our right under the accordion feature and increased the size of the facility to $420 million.</w:t>
      </w:r>
    </w:p>
    <w:p>
      <w:pPr>
        <w:spacing w:after="0" w:line="17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On February 27, 2014, we further amended and restated the agreement. The second amended and restated agreement (the Revolving Credit Facility), among other things:</w:t>
      </w:r>
    </w:p>
    <w:p>
      <w:pPr>
        <w:spacing w:after="0" w:line="76"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us, under certain circumstances, to increase the size of the facility up to $956.3 million;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30" w:lineRule="exact"/>
        <w:rPr>
          <w:rFonts w:ascii="Arial" w:cs="Arial" w:eastAsia="Arial" w:hAnsi="Arial"/>
          <w:sz w:val="18"/>
          <w:szCs w:val="18"/>
          <w:color w:val="auto"/>
        </w:rPr>
      </w:pPr>
    </w:p>
    <w:p>
      <w:pPr>
        <w:ind w:left="1480" w:right="400" w:hanging="446"/>
        <w:spacing w:after="0" w:line="277" w:lineRule="auto"/>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we, subject to certain conditions, may make borrowings under the facility;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On May 30, 2014, we entered into agreements with various financial institutions pursuant to which each of the institutions agreed to provide commitments through the accordion feature of our Revolving Credit Facility, increasing the aggregate commitments from $581.3 million to $781.3 million.</w:t>
      </w:r>
    </w:p>
    <w:p>
      <w:pPr>
        <w:spacing w:after="0" w:line="12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On June 27, 2014, we further amended the Revolving Credit Facility to extend the $36.3 million in commitments not previously extended such that the revolving period as it related to all outstanding commitments would expire on February 27, 2018 and the stated maturity date as it related to all outstanding commitments would be February 27, 2019.</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17, 2014, we entered into a third amendment to the Revolving Credit Facility:</w:t>
      </w:r>
    </w:p>
    <w:p>
      <w:pPr>
        <w:spacing w:after="0" w:line="131" w:lineRule="exact"/>
        <w:rPr>
          <w:sz w:val="20"/>
          <w:szCs w:val="20"/>
          <w:color w:val="auto"/>
        </w:rPr>
      </w:pPr>
    </w:p>
    <w:p>
      <w:pPr>
        <w:ind w:left="900" w:right="260" w:hanging="325"/>
        <w:spacing w:after="0" w:line="34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decreasing the applicable margin with respect to (i) any loan bearing interest at a rate determined by reference to the Alternate Base Rate from 1.25% to 1.00% and (ii) any loan bearing interest at a rate determined by reference to the Adjusted LIBO Rate from 2.25% to 2.00%;</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decreasing the aggregate commitments from $781.3 million to $766.3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extending the revolving period from February 27, 2018 to October 17, 2018;</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extending the stated maturity date from February 27, 2019 to October 17, 2019;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increasing the sublimit applicable to letters of credit from $20 million to $100 million.</w:t>
      </w:r>
    </w:p>
    <w:p>
      <w:pPr>
        <w:spacing w:after="0" w:line="225"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On October 23, 2014, we entered into an agreement with a financial institution pursuant to which the institution agreed to provide commitments through the accordion feature, increasing the aggregate commitments from $766.3 million to $776.3 million. On November 3, 2014, an existing lender agreed to increase their commitment through the accordion feature, increasing aggregate commitments from $776.3 million to $781.3 million.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Revolving Credit Facility continues to include the accordion feature, which would allow us, under certain circumstances, to increase the size to a maximum of $956.3 million.</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may borrow amounts in U.S. dollars or certain other permitted currencies. As of March 31, 2015, we had outstanding debt denominated in Swedish Krona (SEK) of 203.1 million, Euro (EUR) of 28.1 million and Pound Sterling (GBP) of 21.0 million on our Revolving Credit Facility, included in the Outstanding Principal amount in the table above.</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Amounts drawn under the Revolving Credit Facility, including amounts drawn in respect of letters of credit, bear interest at either LIBOR plus a margin, or the prime rate plus a margin. We may elect either the LIBOR or prime rate at the time of drawdown, and loans may be converted from one rate to another at any time, subject to certain conditions. We also pay a fee of 0.375% on undrawn amounts and, in respect of each undrawn letter of credit, a fee and interest rate equal to the then-applicable margin while the letter of credit is outstanding.</w:t>
      </w:r>
    </w:p>
    <w:p>
      <w:pPr>
        <w:spacing w:after="0" w:line="18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Revolving Credit Facility is guaranteed by TC Lending, LLC and TSL MR, LLC and may be guaranteed by certain domestic subsidiaries that are formed or acquired by us in the future.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8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76"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liquidity test under which we must maintain cash and liquid investments of at least 10% of the covered debt amount under circumstances where our adjusted covered debt balance is greater than 90% of our adjusted borrowing base under the facility;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October 17, 2014.</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Net proceeds received from our IPO, the exercise of the underwriters’ over-allotment option from the IPO, and net proceeds received from the issuance of the Convertible Senior Notes were used to pay down borrowings on the Revolving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SPV Asset Facility</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May 8, 2012, the Closing Date, our wholly owned subsidiary TPG SL SPV, LLC, a Delaware limited liability company, which we refer to as TPG SL SPV, entered into a credit and security agreement with Natixis, New York Branch. Also on May 8, 2012, we contributed certain investments to TPG SL SPV pursuant to the terms of a Master Sale and Contribution Agreement by and between us and TPG SL SPV. We consolidate TPG SL SPV in our consolidated financial statements, and no gain or loss was recognized as a result of the contribution. Proceeds from the SPV Asset Facility were permitted to be used to finance the acquisition of eligible assets by TPG SL SPV, including the purchase of such assets from us. We retain a residual interest in assets contributed to or acquired by TPG SL SPV through our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92"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undrawn availability under the facility terminated. Proceeds received by TPG SL SPV from interest, dividends or fees on assets are required to be used to pay expenses and interest on outstanding borrowings, and the excess can be returned to us, subject to certain conditions, on a quarterly basis. Prior to the Commitment Termination Date, proceeds received from principal on assets could be used to pay down borrowings or make additional investments. Following the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93"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On January 21, 2014, TPG SL SPV entered into an agreement to amend and restate the credit and security agreement. The amended and restated facility, among other things:</w:t>
      </w:r>
    </w:p>
    <w:p>
      <w:pPr>
        <w:spacing w:after="0" w:line="76"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the size of the facility from $100 million to $175 million;</w:t>
      </w:r>
    </w:p>
    <w:p>
      <w:pPr>
        <w:spacing w:after="0" w:line="130"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reopened the reinvestment period thereunder for an additional period of six months following the closing date of January 21, 2014, which reinvestment period was subsequently extended by the borrower for an additional six month period (pursuant to an extension right exercisable by the borrower) so that the reinvestment period would remain open until January 21, 2015;</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extended the stated maturity date from May 8, 2020 to January 21, 2021;</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modified pricing for Natixis to cost of funds + 2.25%;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made certain changes to the eligibility criteria and concentration limits.</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reinvestment period under the amended and restated credit and security agreement terminated on January 21, 2015 and accordingly any undrawn availability under the facility also terminated.</w:t>
      </w:r>
    </w:p>
    <w:p>
      <w:pPr>
        <w:spacing w:after="0" w:line="170" w:lineRule="exact"/>
        <w:rPr>
          <w:sz w:val="20"/>
          <w:szCs w:val="20"/>
          <w:color w:val="auto"/>
        </w:rPr>
      </w:pPr>
    </w:p>
    <w:p>
      <w:pPr>
        <w:jc w:val="both"/>
        <w:ind w:right="480" w:firstLine="456"/>
        <w:spacing w:after="0" w:line="312" w:lineRule="auto"/>
        <w:rPr>
          <w:sz w:val="20"/>
          <w:szCs w:val="20"/>
          <w:color w:val="auto"/>
        </w:rPr>
      </w:pPr>
      <w:r>
        <w:rPr>
          <w:rFonts w:ascii="Arial" w:cs="Arial" w:eastAsia="Arial" w:hAnsi="Arial"/>
          <w:sz w:val="16"/>
          <w:szCs w:val="16"/>
          <w:color w:val="auto"/>
        </w:rPr>
        <w:t>On March 27, 2015, TPG SL SPV further amended the amended and restated credit and security agreement, which we refer to as the SPV Asset Facility. The second amended and restated credit and security agreement, among other things, reduced the applicable margin with respect to loans from LIBOR lenders from 2.75% to 2.35% and syndicated a portion of the outstanding loan previously held by affiliates of Natixis to two new lenders.</w:t>
      </w:r>
    </w:p>
    <w:p>
      <w:pPr>
        <w:spacing w:after="0" w:line="14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Amounts drawn under the original credit and security agreement bore interest at LIBOR plus a margin or base rate plus a margin, in each case at TPG SL SPV’s option. Amounts outstanding under the SPV Asset Facility bear interest at LIBOR plus a margin, base rate plus a margin or the lenders’ cost of funds plus a margin. The undrawn portion of the commitment bore an unutilized commitment fee of 0.75%. This fee ceased to accrue on January 21, 2015 when the reinvestment period ended. The SPV Asset Facility contains customary covenants, including covenants relating to separateness from the Adviser and its affiliates and long-term credit ratings with respect to the underlying collateral obligations, and events of default. The SPV Asset Facility is secured by a perfected first priority security interest in the assets of TPG SL SPV and on any payments received by TPG SL SPV in respect of such assets, which accordingly are not available to pay our other debt obligations.</w:t>
      </w:r>
    </w:p>
    <w:p>
      <w:pPr>
        <w:spacing w:after="0" w:line="17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of March 31, 2015 and December 31, 2014, TPG SL SPV had $360.8 million and $334.0 million, respectively, in investments at fair value, and $128.8 million and $108.8 million, respectively, in liabilities, including the outstanding borrowings, on its balance sheet. As of March 31, 2015 and December 31, 2014, TPG SL SPV had $10.3 million and $10.2 million, respectively, in restricted cash, a component of prepaid expenses and other assets, in the accompanying consolidated financial statements.</w:t>
      </w:r>
    </w:p>
    <w:p>
      <w:pPr>
        <w:spacing w:after="0" w:line="187" w:lineRule="exact"/>
        <w:rPr>
          <w:sz w:val="20"/>
          <w:szCs w:val="20"/>
          <w:color w:val="auto"/>
        </w:rPr>
      </w:pPr>
    </w:p>
    <w:p>
      <w:pPr>
        <w:jc w:val="center"/>
        <w:ind w:right="280"/>
        <w:spacing w:after="0" w:line="449" w:lineRule="auto"/>
        <w:rPr>
          <w:sz w:val="20"/>
          <w:szCs w:val="20"/>
          <w:color w:val="auto"/>
        </w:rPr>
      </w:pPr>
      <w:r>
        <w:rPr>
          <w:rFonts w:ascii="Arial" w:cs="Arial" w:eastAsia="Arial" w:hAnsi="Arial"/>
          <w:sz w:val="18"/>
          <w:szCs w:val="18"/>
          <w:color w:val="auto"/>
        </w:rPr>
        <w:t>Borrowings of TPG SL SPV are considered our borrowings for purposes of complying with the asset coverage requirements of the 1940 Act. 79</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June 10, 2014, we issued in a private offering $115 million aggregate principal amount convertible senior notes due December 2019, or the Convertible Senior Notes. The Convertible Senior Notes were issued in a private placement only to qualified institutional buyers pursuant to Rule 144A under the Securities Act. The Convertible Senior Notes are unsecured and bear interest at a rate of 4.50% per year, payable semiannually. The Convertible Senior Notes will mature on December 15, 2019. In certain circumstances, the Convertible Senior Notes will be convertible into cash, shares of our common stock or a combination of cash and shares of our common stock, at our election, at an initial conversion rate of 38.7162 shares of common stock per $1,000 principal amount of Convertible Senior Notes, which is equivalent to an initial conversion price of approximately $25.83 per share of our common stock, subject to customary anti-dilution adjustments. The sale of the Convertible Senior Notes generated net proceeds of approximately $110.8 million. We used the net proceeds of the offering to pay down debt under the Revolving Credit Facility. In connection with the offering of Convertible Senior Notes, we entered into two interest rate swaps, each with a $57.5 million notional amount to continue to align the interest rates of our liabilities with our investment portfolio, which consists of predominately floating rate loans. As a result of the swaps, our effective interest rate on the Convertible Senior Notes was three-month LIBOR plus 252.9 basis points. In January 2015, we closed out our existing interest rate swaps and simultaneously entered into new interest rate swaps, realizing a cash payment of $2.0 million and increasing pricing to three-month LIBOR plus 286 basis points.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Holders may convert their Convertible Senior Notes at their option at any time prior to June 15, 2019 only under the following circumstances:</w:t>
      </w:r>
    </w:p>
    <w:p>
      <w:pPr>
        <w:spacing w:after="0" w:line="35" w:lineRule="exact"/>
        <w:rPr>
          <w:sz w:val="20"/>
          <w:szCs w:val="20"/>
          <w:color w:val="auto"/>
        </w:rPr>
      </w:pPr>
    </w:p>
    <w:p>
      <w:pPr>
        <w:ind w:right="40" w:firstLine="8"/>
        <w:spacing w:after="0" w:line="281" w:lineRule="auto"/>
        <w:tabs>
          <w:tab w:leader="none" w:pos="255" w:val="left"/>
        </w:tabs>
        <w:numPr>
          <w:ilvl w:val="0"/>
          <w:numId w:val="44"/>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2" w:lineRule="exact"/>
        <w:rPr>
          <w:rFonts w:ascii="Arial" w:cs="Arial" w:eastAsia="Arial" w:hAnsi="Arial"/>
          <w:sz w:val="16"/>
          <w:szCs w:val="16"/>
          <w:color w:val="auto"/>
        </w:rPr>
      </w:pPr>
    </w:p>
    <w:p>
      <w:pPr>
        <w:ind w:right="40" w:firstLine="8"/>
        <w:spacing w:after="0" w:line="271" w:lineRule="auto"/>
        <w:tabs>
          <w:tab w:leader="none" w:pos="255" w:val="left"/>
        </w:tabs>
        <w:numPr>
          <w:ilvl w:val="0"/>
          <w:numId w:val="44"/>
        </w:numPr>
        <w:rPr>
          <w:rFonts w:ascii="Arial" w:cs="Arial" w:eastAsia="Arial" w:hAnsi="Arial"/>
          <w:sz w:val="17"/>
          <w:szCs w:val="17"/>
          <w:color w:val="auto"/>
        </w:rPr>
      </w:pPr>
      <w:r>
        <w:rPr>
          <w:rFonts w:ascii="Arial" w:cs="Arial" w:eastAsia="Arial" w:hAnsi="Arial"/>
          <w:sz w:val="17"/>
          <w:szCs w:val="17"/>
          <w:color w:val="auto"/>
        </w:rPr>
        <w:t>during the five business day period after any five consecutive trading day period, or the measurement period, in which the trading price (as defined in the indenture governing the Convertible Senior Notes) per $1,000 principal amount of notes for each trading day of the measurement period was less than 98% of the product of the last reported sale price of our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179"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The notes are senior unsecured obligations and rank senior in right of payment to our future indebtedness that is expressly subordinated in right of payment to the notes; equal in right of payment to our existing and future indebtedness that is not so subordinated; effectively junior in right of payment to any of our secured indebtedness (including unsecured indebtedness that we later secure) to the extent of the value of the assets securing such indebtedness; and structurally junior to all existing and future indebtedness (including trade payables) incurred by our subsidiaries, financing vehicles or similar facilities.</w:t>
      </w:r>
    </w:p>
    <w:p>
      <w:pPr>
        <w:spacing w:after="0" w:line="154"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As of March 31, 2015, the principal amount of the Convertible Senior Notes exceeded the value of the underlying shares multiplied by the per share closing price of our common stock.</w:t>
      </w:r>
    </w:p>
    <w:p>
      <w:pPr>
        <w:spacing w:after="0" w:line="170"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Convertible Senior Notes Indenture contains certain covenants, including covenants requiring us to comply with the requirement under the 1940 Act that our asset coverage ratio, as defined in the 1940 Act, equal at least 200% and to provide financial information to the holders of the Convertible Senior Notes under certain circumstances. These covenants are subject to important limitations and exceptions that are described in the Convertible Senior Notes Indenture. As of March 31, 2015, we were in compliance with the terms of the Convertible Senior Notes Indenture.</w:t>
      </w:r>
    </w:p>
    <w:p>
      <w:pPr>
        <w:spacing w:after="0" w:line="17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Convertible Senior Notes are accounted for in accordance with Accounting Standards Codification (“ASC” 470-20). Upon conversion of any of the Convertible Senior Notes, we intend to pay the outstanding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principal amount in cash and, to the extent that the conversion value exceeds the principal amount, we have the option to pay in cash or shares of our common stock (or a combination of cash and shares) in respect of the excess amount, subject to the requirements of the Convertible Senior Notes Indenture. We have determined that the embedded conversion options in the Convertible Senior Notes are not required to be separately accounted for as a derivative under U.S. GAAP. In accounting for the Convertible Senior Notes, we estimated at the time of issuance separate debt and equity components of the Convertible Senior Notes. An original issue discount equal to the equity components of the Convertible Senior Notes was recorded in “additional paid-in capital” in the accompanying consolidated balance sheet. Additionally, the issuance costs associated with the Convertible Senior Notes were allocated to the debt and equity components in proportion to the allocation of the proceeds and accounted for as debt issuance costs and equity issuance costs,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Credit Facility</w:t>
      </w:r>
    </w:p>
    <w:p>
      <w:pPr>
        <w:spacing w:after="0" w:line="11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On February 27, 2014, we terminated our Subscription Credit Facility with Deutsche Bank Trust Company Americas, effective March 4, 2014. At the time of the termination, the maximum principal amount of the facility was $100 million, and the outstanding balance was paid down prior to terminating the facility.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Commitments</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From time to time, we may enter into commitments to fund investments.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March 31, 2015, December 31, 2014 and December 31, 2013, we had the following commitments to fund investments: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700" w:type="dxa"/>
            <w:vAlign w:val="bottom"/>
          </w:tcPr>
          <w:p>
            <w:pPr>
              <w:spacing w:after="0"/>
              <w:rPr>
                <w:sz w:val="20"/>
                <w:szCs w:val="20"/>
                <w:color w:val="auto"/>
              </w:rPr>
            </w:pPr>
            <w:r>
              <w:rPr>
                <w:rFonts w:ascii="Arial" w:cs="Arial" w:eastAsia="Arial" w:hAnsi="Arial"/>
                <w:sz w:val="14"/>
                <w:szCs w:val="14"/>
                <w:color w:val="auto"/>
              </w:rPr>
              <w:t>($ in millions)</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March 31, 2015</w:t>
            </w:r>
          </w:p>
        </w:tc>
        <w:tc>
          <w:tcPr>
            <w:tcW w:w="38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3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2013</w:t>
            </w: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revolving loan commitments</w:t>
            </w: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79"/>
              </w:rPr>
              <w:t>34.2</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79"/>
              </w:rPr>
              <w:t>18.4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13.8</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36.6</w:t>
            </w:r>
          </w:p>
        </w:tc>
      </w:tr>
      <w:tr>
        <w:trPr>
          <w:trHeight w:val="27"/>
        </w:trPr>
        <w:tc>
          <w:tcPr>
            <w:tcW w:w="47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Portfolio Company Commitments</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48.0</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55.0</w:t>
            </w:r>
          </w:p>
        </w:tc>
      </w:tr>
      <w:tr>
        <w:trPr>
          <w:trHeight w:val="20"/>
        </w:trPr>
        <w:tc>
          <w:tcPr>
            <w:tcW w:w="4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As of December 31, 2013, we had $1.5 billion in total capital commitments from investors (over $0.9 billion unfunded). Unfunded commitments terminated upon the completion of our IPO, and hence as of December 31, 2014 no longer remain in effect.</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may become a party to financial instruments with off-balance sheet risk in the normal course of our business to meet the financial needs of our portfolio companies. These instruments may include commitments to extend credit and involve, to varying degrees, elements of liquidity and credit risk in excess of the amount recognized in the balance sheet. As of March 31, 2015, December 31, 2014 and December 31, 2013, we had outstanding commitments to fund investments totaling $34.4 million, $48.0 million and $55.0 million, respectively.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70" w:lineRule="exact"/>
        <w:rPr>
          <w:sz w:val="20"/>
          <w:szCs w:val="20"/>
          <w:color w:val="auto"/>
        </w:rPr>
      </w:pPr>
    </w:p>
    <w:p>
      <w:pPr>
        <w:ind w:right="180" w:firstLine="456"/>
        <w:spacing w:after="0" w:line="272" w:lineRule="auto"/>
        <w:rPr>
          <w:sz w:val="20"/>
          <w:szCs w:val="20"/>
          <w:color w:val="auto"/>
        </w:rPr>
      </w:pPr>
      <w:r>
        <w:rPr>
          <w:rFonts w:ascii="Arial" w:cs="Arial" w:eastAsia="Arial" w:hAnsi="Arial"/>
          <w:sz w:val="17"/>
          <w:szCs w:val="17"/>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including rent, the fees and expenses associated with performing compliance functions and our allocable portion of the compensation of our Chief Compliance Officer, Chief Financial Officer and other professionals who spend time on those related activities (based on a percentage of time those individuals devote, on an estimated basis, to our business and affairs). Our Adviser also offers on our behalf significant managerial assistance to those portfolio companies to which we are required to offer to provide such assistance.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contractual payment obligations as of March 31, 2015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7"/>
          </w:tcPr>
          <w:p>
            <w:pPr>
              <w:ind w:left="480"/>
              <w:spacing w:after="0"/>
              <w:rPr>
                <w:sz w:val="20"/>
                <w:szCs w:val="20"/>
                <w:color w:val="auto"/>
              </w:rPr>
            </w:pPr>
            <w:r>
              <w:rPr>
                <w:rFonts w:ascii="Arial" w:cs="Arial" w:eastAsia="Arial" w:hAnsi="Arial"/>
                <w:sz w:val="14"/>
                <w:szCs w:val="14"/>
                <w:b w:val="1"/>
                <w:bCs w:val="1"/>
                <w:color w:val="auto"/>
                <w:w w:val="93"/>
              </w:rPr>
              <w:t>Payments Due by Period</w:t>
            </w: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2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0"/>
                <w:szCs w:val="10"/>
                <w:color w:val="auto"/>
              </w:rPr>
            </w:pPr>
          </w:p>
        </w:tc>
        <w:tc>
          <w:tcPr>
            <w:tcW w:w="62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5"/>
              </w:rPr>
              <w:t>Less than</w:t>
            </w:r>
          </w:p>
        </w:tc>
        <w:tc>
          <w:tcPr>
            <w:tcW w:w="320" w:type="dxa"/>
            <w:vAlign w:val="bottom"/>
          </w:tcPr>
          <w:p>
            <w:pPr>
              <w:spacing w:after="0"/>
              <w:rPr>
                <w:sz w:val="10"/>
                <w:szCs w:val="10"/>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1-3 years</w:t>
            </w:r>
          </w:p>
        </w:tc>
        <w:tc>
          <w:tcPr>
            <w:tcW w:w="160" w:type="dxa"/>
            <w:vAlign w:val="bottom"/>
          </w:tcPr>
          <w:p>
            <w:pPr>
              <w:spacing w:after="0"/>
              <w:rPr>
                <w:sz w:val="10"/>
                <w:szCs w:val="10"/>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3-5 years</w:t>
            </w:r>
          </w:p>
        </w:tc>
        <w:tc>
          <w:tcPr>
            <w:tcW w:w="160" w:type="dxa"/>
            <w:vAlign w:val="bottom"/>
          </w:tcPr>
          <w:p>
            <w:pPr>
              <w:spacing w:after="0"/>
              <w:rPr>
                <w:sz w:val="10"/>
                <w:szCs w:val="10"/>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After 5 years</w:t>
            </w:r>
          </w:p>
        </w:tc>
        <w:tc>
          <w:tcPr>
            <w:tcW w:w="0" w:type="dxa"/>
            <w:vAlign w:val="bottom"/>
          </w:tcPr>
          <w:p>
            <w:pPr>
              <w:spacing w:after="0"/>
              <w:rPr>
                <w:sz w:val="1"/>
                <w:szCs w:val="1"/>
                <w:color w:val="auto"/>
              </w:rPr>
            </w:pPr>
          </w:p>
        </w:tc>
      </w:tr>
      <w:tr>
        <w:trPr>
          <w:trHeight w:val="171"/>
        </w:trPr>
        <w:tc>
          <w:tcPr>
            <w:tcW w:w="6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1 year</w:t>
            </w:r>
          </w:p>
        </w:tc>
        <w:tc>
          <w:tcPr>
            <w:tcW w:w="32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SPV Asset</w:t>
            </w:r>
          </w:p>
        </w:tc>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Facility</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8"/>
              </w:rPr>
              <w:t>—</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244.5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244.5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8"/>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115.0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488.2</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359.</w:t>
            </w:r>
            <w:r>
              <w:rPr>
                <w:rFonts w:ascii="Arial" w:cs="Arial" w:eastAsia="Arial" w:hAnsi="Arial"/>
                <w:sz w:val="18"/>
                <w:szCs w:val="18"/>
                <w:u w:val="single" w:color="auto"/>
                <w:color w:val="auto"/>
                <w:w w:val="93"/>
              </w:rPr>
              <w:t>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r>
              <w:rPr>
                <w:rFonts w:ascii="Arial" w:cs="Arial" w:eastAsia="Arial" w:hAnsi="Arial"/>
                <w:sz w:val="18"/>
                <w:szCs w:val="18"/>
                <w:u w:val="single" w:color="auto"/>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contractual payment obligations as of December 31, 2014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7"/>
          </w:tcPr>
          <w:p>
            <w:pPr>
              <w:ind w:left="480"/>
              <w:spacing w:after="0"/>
              <w:rPr>
                <w:sz w:val="20"/>
                <w:szCs w:val="20"/>
                <w:color w:val="auto"/>
              </w:rPr>
            </w:pPr>
            <w:r>
              <w:rPr>
                <w:rFonts w:ascii="Arial" w:cs="Arial" w:eastAsia="Arial" w:hAnsi="Arial"/>
                <w:sz w:val="14"/>
                <w:szCs w:val="14"/>
                <w:b w:val="1"/>
                <w:bCs w:val="1"/>
                <w:color w:val="auto"/>
                <w:w w:val="93"/>
              </w:rPr>
              <w:t>Payments Due by Period</w:t>
            </w: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2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0"/>
                <w:szCs w:val="10"/>
                <w:color w:val="auto"/>
              </w:rPr>
            </w:pPr>
          </w:p>
        </w:tc>
        <w:tc>
          <w:tcPr>
            <w:tcW w:w="62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5"/>
              </w:rPr>
              <w:t>Less than</w:t>
            </w:r>
          </w:p>
        </w:tc>
        <w:tc>
          <w:tcPr>
            <w:tcW w:w="320" w:type="dxa"/>
            <w:vAlign w:val="bottom"/>
          </w:tcPr>
          <w:p>
            <w:pPr>
              <w:spacing w:after="0"/>
              <w:rPr>
                <w:sz w:val="10"/>
                <w:szCs w:val="10"/>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1-3 years</w:t>
            </w:r>
          </w:p>
        </w:tc>
        <w:tc>
          <w:tcPr>
            <w:tcW w:w="160" w:type="dxa"/>
            <w:vAlign w:val="bottom"/>
          </w:tcPr>
          <w:p>
            <w:pPr>
              <w:spacing w:after="0"/>
              <w:rPr>
                <w:sz w:val="10"/>
                <w:szCs w:val="10"/>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3-5 years</w:t>
            </w:r>
          </w:p>
        </w:tc>
        <w:tc>
          <w:tcPr>
            <w:tcW w:w="160" w:type="dxa"/>
            <w:vAlign w:val="bottom"/>
          </w:tcPr>
          <w:p>
            <w:pPr>
              <w:spacing w:after="0"/>
              <w:rPr>
                <w:sz w:val="10"/>
                <w:szCs w:val="10"/>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After 5 years</w:t>
            </w:r>
          </w:p>
        </w:tc>
        <w:tc>
          <w:tcPr>
            <w:tcW w:w="0" w:type="dxa"/>
            <w:vAlign w:val="bottom"/>
          </w:tcPr>
          <w:p>
            <w:pPr>
              <w:spacing w:after="0"/>
              <w:rPr>
                <w:sz w:val="1"/>
                <w:szCs w:val="1"/>
                <w:color w:val="auto"/>
              </w:rPr>
            </w:pPr>
          </w:p>
        </w:tc>
      </w:tr>
      <w:tr>
        <w:trPr>
          <w:trHeight w:val="171"/>
        </w:trPr>
        <w:tc>
          <w:tcPr>
            <w:tcW w:w="6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1 year</w:t>
            </w:r>
          </w:p>
        </w:tc>
        <w:tc>
          <w:tcPr>
            <w:tcW w:w="32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SPV Asset</w:t>
            </w:r>
          </w:p>
        </w:tc>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Facility</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8"/>
              </w:rPr>
              <w:t>—</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177.2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177.2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8"/>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115.0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398.9</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292.2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r>
              <w:rPr>
                <w:rFonts w:ascii="Arial" w:cs="Arial" w:eastAsia="Arial" w:hAnsi="Arial"/>
                <w:sz w:val="18"/>
                <w:szCs w:val="18"/>
                <w:u w:val="single" w:color="auto"/>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and to pledge assets as collateral under the terms of our derivatives agreements.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52" w:lineRule="exact"/>
        <w:rPr>
          <w:sz w:val="20"/>
          <w:szCs w:val="20"/>
          <w:color w:val="auto"/>
        </w:rPr>
      </w:pPr>
    </w:p>
    <w:p>
      <w:pPr>
        <w:ind w:left="900" w:right="2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net tax-exempt interest income (which is the excess of our gross tax exempt interest income over certain disallowed deductions) for such taxable year.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7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81"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29"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or losses for that calendar year;</w:t>
      </w:r>
    </w:p>
    <w:p>
      <w:pPr>
        <w:spacing w:after="0" w:line="130" w:lineRule="exact"/>
        <w:rPr>
          <w:rFonts w:ascii="Arial" w:cs="Arial" w:eastAsia="Arial" w:hAnsi="Arial"/>
          <w:sz w:val="18"/>
          <w:szCs w:val="18"/>
          <w:color w:val="auto"/>
        </w:rPr>
      </w:pPr>
    </w:p>
    <w:p>
      <w:pPr>
        <w:ind w:left="900" w:right="780" w:hanging="325"/>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that calendar year;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8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18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31"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Administration Agreement; and</w:t>
      </w:r>
    </w:p>
    <w:p>
      <w:pPr>
        <w:spacing w:after="0" w:line="130"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license agreement with an affiliate of TPG under which the affiliate granted us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subject to financial market risks, including valuation risk, interest rate risk and currency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47"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8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As of March 31, 2015, 96.5% of our debt investments in our portfolio bore interest at floating rates, subject to interest rate floors. Our credit facilities also bear interest at floating rates, and in connection with our Convertible Senior Notes, which bear interest at a fixed rate, we entered into fixed-to-floating interest rate swaps in order to continue to align the interest rates of our liabilities with our investment portfolio.</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Assuming that our consolidated balance sheet as of March 31, 2015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204" w:lineRule="exact"/>
        <w:rPr>
          <w:sz w:val="20"/>
          <w:szCs w:val="20"/>
          <w:color w:val="auto"/>
        </w:rPr>
      </w:pPr>
    </w:p>
    <w:tbl>
      <w:tblPr>
        <w:tblLayout w:type="fixed"/>
        <w:tblInd w:w="920" w:type="dxa"/>
        <w:tblCellMar>
          <w:top w:w="0" w:type="dxa"/>
          <w:left w:w="0" w:type="dxa"/>
          <w:bottom w:w="0" w:type="dxa"/>
          <w:right w:w="0" w:type="dxa"/>
        </w:tblCellMar>
      </w:tblPr>
      <w:tr>
        <w:trPr>
          <w:trHeight w:val="182"/>
        </w:trPr>
        <w:tc>
          <w:tcPr>
            <w:tcW w:w="674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Interest</w:t>
            </w:r>
          </w:p>
        </w:tc>
        <w:tc>
          <w:tcPr>
            <w:tcW w:w="340" w:type="dxa"/>
            <w:vAlign w:val="bottom"/>
          </w:tcPr>
          <w:p>
            <w:pPr>
              <w:spacing w:after="0"/>
              <w:rPr>
                <w:sz w:val="15"/>
                <w:szCs w:val="15"/>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Interest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1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89"/>
              </w:rPr>
              <w:t>Basis Point Change</w:t>
            </w:r>
          </w:p>
        </w:tc>
        <w:tc>
          <w:tcPr>
            <w:tcW w:w="5540" w:type="dxa"/>
            <w:vAlign w:val="bottom"/>
            <w:vMerge w:val="restart"/>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200" w:type="dxa"/>
            <w:vAlign w:val="bottom"/>
            <w:vMerge w:val="continue"/>
          </w:tcPr>
          <w:p>
            <w:pPr>
              <w:spacing w:after="0"/>
              <w:rPr>
                <w:sz w:val="14"/>
                <w:szCs w:val="14"/>
                <w:color w:val="auto"/>
              </w:rPr>
            </w:pPr>
          </w:p>
        </w:tc>
        <w:tc>
          <w:tcPr>
            <w:tcW w:w="5540" w:type="dxa"/>
            <w:vAlign w:val="bottom"/>
            <w:vMerge w:val="continue"/>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Income</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Expense</w:t>
            </w:r>
          </w:p>
        </w:tc>
        <w:tc>
          <w:tcPr>
            <w:tcW w:w="26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55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300 basis points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27.9</w:t>
            </w:r>
          </w:p>
        </w:tc>
        <w:tc>
          <w:tcPr>
            <w:tcW w:w="32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14.6</w:t>
            </w:r>
          </w:p>
        </w:tc>
        <w:tc>
          <w:tcPr>
            <w:tcW w:w="32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Up 200 basis points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w w:val="96"/>
              </w:rPr>
              <w:t>14.9</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9.8</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Down 25 basis points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0.0</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(0.9)</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future, such as interest rate swap agreements, may also limit our ability to participate in the benefits of lower interest rates with respect to our portfolio investments.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as disclosed in “Risk Factors” in this prospectus and elsewhere in our filings with the SEC.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at Fair Value</w:t>
      </w:r>
    </w:p>
    <w:p>
      <w:pPr>
        <w:spacing w:after="0" w:line="11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Investments for which market quotations are readily available are typically valued at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our Board, based on, among other things, the input of the Adviser, our Audit Committee and independent third-party valuation firms engaged at the direction of the Board.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part of the valuation process, the Board takes into account relevant factors in determining the fair value of our investments, including:</w:t>
      </w:r>
    </w:p>
    <w:p>
      <w:pPr>
        <w:spacing w:after="0" w:line="131"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estimated enterprise value of a portfolio company (that is, the total fair value of the portfolio company’s debt and equity);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nature and realizable value of any collateral;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portfolio company’s ability to make payments based on its earnings and cash flow;</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40"/>
          </w:cols>
          <w:pgMar w:left="240" w:top="459" w:right="31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markets in which the portfolio company does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comparison of the portfolio company’s securities to any similar publicly traded securities; and</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overall changes in the interest rate environment and the credit markets that may affect the price at which similar investments may be made in the future.</w:t>
      </w:r>
    </w:p>
    <w:p>
      <w:pPr>
        <w:spacing w:after="0" w:line="17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the Board considers whether the pricing indicated by the external event corroborates our valuation.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31" w:lineRule="exact"/>
        <w:rPr>
          <w:sz w:val="20"/>
          <w:szCs w:val="20"/>
          <w:color w:val="auto"/>
        </w:rPr>
      </w:pPr>
    </w:p>
    <w:p>
      <w:pPr>
        <w:ind w:left="900" w:hanging="325"/>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Agreed-upon valuation recommendations are presented to the Audit Committee.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30" w:lineRule="exact"/>
        <w:rPr>
          <w:rFonts w:ascii="Arial" w:cs="Arial" w:eastAsia="Arial" w:hAnsi="Arial"/>
          <w:sz w:val="18"/>
          <w:szCs w:val="18"/>
          <w:color w:val="auto"/>
        </w:rPr>
      </w:pPr>
    </w:p>
    <w:p>
      <w:pPr>
        <w:jc w:val="both"/>
        <w:ind w:left="900" w:right="520" w:hanging="325"/>
        <w:spacing w:after="0" w:line="264"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conduct this valuation process on a quarterly basis.</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w:t>
      </w:r>
    </w:p>
    <w:p>
      <w:pPr>
        <w:spacing w:after="0" w:line="170"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 xml:space="preserve">We apply Financial Accounting Standards Board Accounting Standards Codification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our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83"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we have the ability to access.</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Transfers between levels, if any, are recognized at the beginning of the quarter in which the transfers occur. In addition to using the above inputs in investment valuations, we apply the valuation policy approved by our</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60"/>
          </w:cols>
          <w:pgMar w:left="240" w:top="459" w:right="2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Board that is consistent with ASC 820. Consistent with the valuation policy, we evaluate the source of inputs, including any markets in which our investments are trading (or any markets in which securities with similar attributes are trading), in determining fair value. When a security is valued based on prices provided by reputable dealers or pricing services (that is, broker quotes), we subject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78"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these valuations, and any change in these valuations, on the consolidated financial statements.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6 to our consolidated financial statements included in this prospectus for more information on the fair value of our investments.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Dividend Income Recognition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8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93"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Our accounting policy on interest and dividend income recognition is critical because it involves the primary source of our revenue and accordingly is significant to the financial results as disclosed in our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Taxes</w:t>
      </w:r>
    </w:p>
    <w:p>
      <w:pPr>
        <w:spacing w:after="0" w:line="11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have elected to be treated as a BDC under the 1940 Act. We also have elected to be treated as a RIC under the Code. So long as we maintain our status as a RIC, we will generally not pay corporate-level U.S. federal income or excise taxes on any ordinary income or capital gains that we distribute at least annually to our stockholders as dividends. As a result, any tax liability related to income earned and distributed by us represents obligations of our stockholders and will not be reflected in our consolidated financial statements.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6"/>
          <w:szCs w:val="16"/>
          <w:color w:val="auto"/>
        </w:rPr>
        <w:t>We evaluate tax positions taken or expected to be taken in the course of preparing our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w:t>
      </w:r>
    </w:p>
    <w:p>
      <w:pPr>
        <w:ind w:right="440"/>
        <w:spacing w:after="0" w:line="261" w:lineRule="auto"/>
        <w:rPr>
          <w:sz w:val="20"/>
          <w:szCs w:val="20"/>
          <w:color w:val="auto"/>
        </w:rPr>
      </w:pPr>
      <w:r>
        <w:rPr>
          <w:rFonts w:ascii="Arial" w:cs="Arial" w:eastAsia="Arial" w:hAnsi="Arial"/>
          <w:sz w:val="18"/>
          <w:szCs w:val="18"/>
          <w:color w:val="auto"/>
        </w:rPr>
        <w:t>Conclusions regarding tax positions are subject to review and may be adjusted at a later date based on factors including on-going analyses of tax laws, regulations and interpretations thereof.</w:t>
      </w:r>
    </w:p>
    <w:p>
      <w:pPr>
        <w:spacing w:after="0" w:line="18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accounting policy on income taxes is critical because if we are unable to maintain our status as a RIC, we would be required to record a provision for corporate-level U.S. federal income taxes which may be significant to our financial results.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80"/>
          </w:cols>
          <w:pgMar w:left="240" w:top="459" w:right="3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right="500" w:firstLine="456"/>
        <w:spacing w:after="0" w:line="286" w:lineRule="auto"/>
        <w:rPr>
          <w:sz w:val="20"/>
          <w:szCs w:val="20"/>
          <w:color w:val="auto"/>
        </w:rPr>
      </w:pPr>
      <w:r>
        <w:rPr>
          <w:rFonts w:ascii="Arial" w:cs="Arial" w:eastAsia="Arial" w:hAnsi="Arial"/>
          <w:sz w:val="17"/>
          <w:szCs w:val="17"/>
          <w:color w:val="auto"/>
        </w:rPr>
        <w:t>Information about our senior securities is shown in the following table as of the end of each fiscal year ended December 31 since we commenced operations and as of March 31, 2015. The report of our independent registered public accounting firm, KPMG LLP, on the senior securities table as of December 31, 2014 is attached as an exhibit to the registration statement of which this prospectus is a part.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Amount</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8"/>
              </w:rPr>
              <w:t>Involuntary</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Exclusive of</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3"/>
              </w:rPr>
              <w:t>Average Market</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4"/>
              </w:rPr>
              <w:t>Treasury</w:t>
            </w:r>
          </w:p>
        </w:tc>
        <w:tc>
          <w:tcPr>
            <w:tcW w:w="1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Coverage</w:t>
            </w:r>
          </w:p>
        </w:tc>
        <w:tc>
          <w:tcPr>
            <w:tcW w:w="16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5"/>
              </w:rPr>
              <w:t>Liquidating</w:t>
            </w: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and Year/Period</w:t>
            </w:r>
          </w:p>
        </w:tc>
        <w:tc>
          <w:tcPr>
            <w:tcW w:w="160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Securities</w:t>
            </w:r>
            <w:r>
              <w:rPr>
                <w:rFonts w:ascii="Arial" w:cs="Arial" w:eastAsia="Arial" w:hAnsi="Arial"/>
                <w:sz w:val="12"/>
                <w:szCs w:val="12"/>
                <w:b w:val="1"/>
                <w:bCs w:val="1"/>
                <w:color w:val="auto"/>
                <w:w w:val="90"/>
              </w:rPr>
              <w:t>(1)</w:t>
            </w:r>
          </w:p>
        </w:tc>
        <w:tc>
          <w:tcPr>
            <w:tcW w:w="1680" w:type="dxa"/>
            <w:vAlign w:val="bottom"/>
            <w:gridSpan w:val="3"/>
            <w:vMerge w:val="continue"/>
          </w:tcPr>
          <w:p>
            <w:pPr>
              <w:spacing w:after="0"/>
              <w:rPr>
                <w:sz w:val="12"/>
                <w:szCs w:val="12"/>
                <w:color w:val="auto"/>
              </w:rPr>
            </w:pPr>
          </w:p>
        </w:tc>
        <w:tc>
          <w:tcPr>
            <w:tcW w:w="166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91"/>
              </w:rPr>
              <w:t>Preference Per</w:t>
            </w:r>
          </w:p>
        </w:tc>
        <w:tc>
          <w:tcPr>
            <w:tcW w:w="11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Value Per</w:t>
            </w:r>
          </w:p>
        </w:tc>
        <w:tc>
          <w:tcPr>
            <w:tcW w:w="0" w:type="dxa"/>
            <w:vAlign w:val="bottom"/>
          </w:tcPr>
          <w:p>
            <w:pPr>
              <w:spacing w:after="0"/>
              <w:rPr>
                <w:sz w:val="1"/>
                <w:szCs w:val="1"/>
                <w:color w:val="auto"/>
              </w:rPr>
            </w:pPr>
          </w:p>
        </w:tc>
      </w:tr>
      <w:tr>
        <w:trPr>
          <w:trHeight w:val="171"/>
        </w:trPr>
        <w:tc>
          <w:tcPr>
            <w:tcW w:w="5380" w:type="dxa"/>
            <w:vAlign w:val="bottom"/>
            <w:gridSpan w:val="2"/>
            <w:vMerge w:val="continue"/>
          </w:tcPr>
          <w:p>
            <w:pPr>
              <w:spacing w:after="0"/>
              <w:rPr>
                <w:sz w:val="14"/>
                <w:szCs w:val="14"/>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20" w:type="dxa"/>
            <w:vAlign w:val="bottom"/>
          </w:tcPr>
          <w:p>
            <w:pPr>
              <w:spacing w:after="0"/>
              <w:rPr>
                <w:sz w:val="14"/>
                <w:szCs w:val="14"/>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Unit</w:t>
            </w:r>
            <w:r>
              <w:rPr>
                <w:rFonts w:ascii="Arial" w:cs="Arial" w:eastAsia="Arial" w:hAnsi="Arial"/>
                <w:sz w:val="12"/>
                <w:szCs w:val="12"/>
                <w:b w:val="1"/>
                <w:bCs w:val="1"/>
                <w:color w:val="auto"/>
              </w:rPr>
              <w:t>(2)</w:t>
            </w:r>
          </w:p>
        </w:tc>
        <w:tc>
          <w:tcPr>
            <w:tcW w:w="16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Unit</w:t>
            </w:r>
            <w:r>
              <w:rPr>
                <w:rFonts w:ascii="Arial" w:cs="Arial" w:eastAsia="Arial" w:hAnsi="Arial"/>
                <w:sz w:val="12"/>
                <w:szCs w:val="12"/>
                <w:b w:val="1"/>
                <w:bCs w:val="1"/>
                <w:color w:val="auto"/>
              </w:rPr>
              <w:t>(3)</w:t>
            </w: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Unit</w:t>
            </w: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210"/>
        </w:trPr>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Credit Facilities</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December 31, 2015 (as of March 31, 2015) (Unaudited)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740"/>
              <w:spacing w:after="0"/>
              <w:rPr>
                <w:sz w:val="20"/>
                <w:szCs w:val="20"/>
                <w:color w:val="auto"/>
              </w:rPr>
            </w:pPr>
            <w:r>
              <w:rPr>
                <w:rFonts w:ascii="Arial" w:cs="Arial" w:eastAsia="Arial" w:hAnsi="Arial"/>
                <w:sz w:val="18"/>
                <w:szCs w:val="18"/>
                <w:color w:val="auto"/>
              </w:rPr>
              <w:t>373.2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2,734.3</w:t>
            </w:r>
          </w:p>
        </w:tc>
        <w:tc>
          <w:tcPr>
            <w:tcW w:w="720" w:type="dxa"/>
            <w:vAlign w:val="bottom"/>
          </w:tcPr>
          <w:p>
            <w:pPr>
              <w:spacing w:after="0"/>
              <w:rPr>
                <w:sz w:val="18"/>
                <w:szCs w:val="18"/>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283.9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3,110.3</w:t>
            </w:r>
          </w:p>
        </w:tc>
        <w:tc>
          <w:tcPr>
            <w:tcW w:w="16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December 31, 2013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740"/>
              <w:spacing w:after="0"/>
              <w:rPr>
                <w:sz w:val="20"/>
                <w:szCs w:val="20"/>
                <w:color w:val="auto"/>
              </w:rPr>
            </w:pPr>
            <w:r>
              <w:rPr>
                <w:rFonts w:ascii="Arial" w:cs="Arial" w:eastAsia="Arial" w:hAnsi="Arial"/>
                <w:sz w:val="18"/>
                <w:szCs w:val="18"/>
                <w:color w:val="auto"/>
              </w:rPr>
              <w:t>432.3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2,329.5</w:t>
            </w:r>
          </w:p>
        </w:tc>
        <w:tc>
          <w:tcPr>
            <w:tcW w:w="720" w:type="dxa"/>
            <w:vAlign w:val="bottom"/>
          </w:tcPr>
          <w:p>
            <w:pPr>
              <w:spacing w:after="0"/>
              <w:rPr>
                <w:sz w:val="18"/>
                <w:szCs w:val="18"/>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331.8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2,445.9</w:t>
            </w:r>
          </w:p>
        </w:tc>
        <w:tc>
          <w:tcPr>
            <w:tcW w:w="7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December 31, 2011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740"/>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2,116.7</w:t>
            </w:r>
          </w:p>
        </w:tc>
        <w:tc>
          <w:tcPr>
            <w:tcW w:w="720" w:type="dxa"/>
            <w:vAlign w:val="bottom"/>
          </w:tcPr>
          <w:p>
            <w:pPr>
              <w:spacing w:after="0"/>
              <w:rPr>
                <w:sz w:val="18"/>
                <w:szCs w:val="18"/>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Convertible Senior Notes due 2019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December 31, 2015 (as of March 31, 2015) (Unaudited)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740"/>
              <w:spacing w:after="0"/>
              <w:rPr>
                <w:sz w:val="20"/>
                <w:szCs w:val="20"/>
                <w:color w:val="auto"/>
              </w:rPr>
            </w:pPr>
            <w:r>
              <w:rPr>
                <w:rFonts w:ascii="Arial" w:cs="Arial" w:eastAsia="Arial" w:hAnsi="Arial"/>
                <w:sz w:val="18"/>
                <w:szCs w:val="18"/>
                <w:color w:val="auto"/>
              </w:rPr>
              <w:t>112.1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2,734.3</w:t>
            </w:r>
          </w:p>
        </w:tc>
        <w:tc>
          <w:tcPr>
            <w:tcW w:w="720" w:type="dxa"/>
            <w:vAlign w:val="bottom"/>
          </w:tcPr>
          <w:p>
            <w:pPr>
              <w:spacing w:after="0"/>
              <w:rPr>
                <w:sz w:val="18"/>
                <w:szCs w:val="18"/>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111.9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3,110.3</w:t>
            </w:r>
          </w:p>
        </w:tc>
        <w:tc>
          <w:tcPr>
            <w:tcW w:w="7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carrying value at the end of the period presented.</w:t>
      </w:r>
    </w:p>
    <w:p>
      <w:pPr>
        <w:spacing w:after="0" w:line="23"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1" w:lineRule="exact"/>
        <w:rPr>
          <w:rFonts w:ascii="Arial" w:cs="Arial" w:eastAsia="Arial" w:hAnsi="Arial"/>
          <w:sz w:val="18"/>
          <w:szCs w:val="18"/>
          <w:color w:val="auto"/>
        </w:rPr>
      </w:pPr>
    </w:p>
    <w:p>
      <w:pPr>
        <w:ind w:left="460" w:right="20" w:hanging="452"/>
        <w:spacing w:after="0" w:line="265" w:lineRule="auto"/>
        <w:tabs>
          <w:tab w:leader="none" w:pos="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Not applicable because the senior securities are not registered for public trading.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 through March 31, 2015, we have originated more than $3.6 billion aggregate principal amount of investments and retained approximately $2.5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 By “middle-market companies,” we mean companies that have annual EBITDA, which we believe is a useful proxy for cash flow, of $10 million to $250 million, although we may invest in larger or smaller companies on occasion. As of March 31, 2015, our core portfolio companies, which exclude certain investments that fall outside of our typical borrower profile, had weighted average annual revenue of $126 million and weighted average annual EBITDA of $32 million.</w:t>
      </w:r>
    </w:p>
    <w:p>
      <w:pPr>
        <w:spacing w:after="0" w:line="179"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147"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In conducting our investment activities, we believe that we benefit from the significant scale and resources of our Adviser and its affiliates. We have operated our business as a BDC since we began our investment activities in July 2011, and we are currently one of the largest BDCs by total assets.</w:t>
      </w:r>
    </w:p>
    <w:p>
      <w:pPr>
        <w:spacing w:after="0" w:line="12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We invest in first-lien debt, second-lien debt, mezzanine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As of March 31, 2015, based on fair value, our portfolio consisted of 90.1% first-lien debt investments, 7.8% second-lien debt investments, 1.0% mezzanine debt investments, and 1.1% equity and other investments. Approximately 96.5% of our debt investments as of March 31, 2015 are floating rate in nature, subject to interest rate floors, which we believe helps act as a portfolio-wide hedge against inflation. As of March 31, 2015 and December 31, 2014, we had investments in 35 and 34 portfolio companies, respectively. As of March 31, 2015, our average investment size in each of our portfolio companies was approximately $38.0 million. We expect that no single investment will represent more than 15% of our total investment portfolio.</w:t>
      </w:r>
    </w:p>
    <w:p>
      <w:pPr>
        <w:spacing w:after="0" w:line="169" w:lineRule="exact"/>
        <w:rPr>
          <w:sz w:val="20"/>
          <w:szCs w:val="20"/>
          <w:color w:val="auto"/>
        </w:rPr>
      </w:pPr>
    </w:p>
    <w:p>
      <w:pPr>
        <w:jc w:val="both"/>
        <w:ind w:right="440" w:firstLine="456"/>
        <w:spacing w:after="0" w:line="286" w:lineRule="auto"/>
        <w:rPr>
          <w:sz w:val="20"/>
          <w:szCs w:val="20"/>
          <w:color w:val="auto"/>
        </w:rPr>
      </w:pPr>
      <w:r>
        <w:rPr>
          <w:rFonts w:ascii="Arial" w:cs="Arial" w:eastAsia="Arial" w:hAnsi="Arial"/>
          <w:sz w:val="17"/>
          <w:szCs w:val="17"/>
          <w:color w:val="auto"/>
        </w:rPr>
        <w:t>As of March 31, 2015, our portfolio was invested across 18 different industries. The largest industries in our portfolio as of March 31, 2015 were healthcare and pharmaceuticals, business services, and financial services, which represented, as a percentage of our portfolio, 16.2%, 10.5% and 10.3%, respectively, based on fair value. See “Portfolio Companies” for more information on our portfolio as of March 31, 2015.</w:t>
      </w:r>
    </w:p>
    <w:p>
      <w:pPr>
        <w:spacing w:after="0" w:line="16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Board has ultimate authority over our business, but delegates authority to our investment adviser who actively sources, manages, and monitors our investment portfolio and other business activities, subject to the supervision of the Board. See “—About TSLX—Our Investment Adviser” below. Pursuant to our certificate of incorporation, the Board consists of five members divided into three classes with staggered three-year terms. As a BDC, a majority of our Board consists of Independent Directors.</w:t>
      </w:r>
    </w:p>
    <w:p>
      <w:pPr>
        <w:spacing w:after="0" w:line="18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We borrow money from time to time within the levels permitted by the 1940 Act to fund investments and for general corporate purposes. Under the 1940 Act, we can incur borrowings, issue debt securities or issue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preferred stock if immediately after the borrowing or issuance the ratio of total assets (less total liabilities other than indebtedness) to total indebtedness plus preferred stock is at least 200%. In determining whether to borrow money, we analyze the maturity, covenant package and rate structure of the proposed borrowings, as well as the risks of those borrowings compared to our investment outlook. The use of borrowed funds or the proceeds of preferred stock offerings to make investments has its own specific set of benefits and risks, and all of the costs of borrowing funds or issuing preferred stock are borne by us, and ultimately the holders of our common stock. See “Risk Factors—Risks Related to Our Business and Structure—We borrow money, which magnifies the potential for gain or loss and increases the risk of investing in us.”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TSLX</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TPG Specialty Lending, Inc. is a Delaware corporation formed on July 21, 2010. TSL Advisers, LLC is our external manager. On June 1, 2011, we formed a wholly owned subsidiary, TC Lending, LLC, a Delaware limited liability company, which holds a California finance lender and broker license. On March 22, 2012, we formed another wholly owned subsidiary, TPG SL SPV, LLC, a Delaware limited liability company, in which we hold assets to support our asset-backed credit facility. On May 19, 2014, we formed another wholly owned subsidiary, TSL MR, LLC, a Delaware limited liability company, to hold certain of our investments.</w:t>
      </w:r>
    </w:p>
    <w:p>
      <w:pPr>
        <w:spacing w:after="0" w:line="18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for more information on these requirements.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 Adviser</w:t>
      </w:r>
    </w:p>
    <w:p>
      <w:pPr>
        <w:spacing w:after="0" w:line="117"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Our Adviser is a Delaware limited liability company. Our Adviser acts as our investment adviser and administrator and is a registered investment adviser with the SEC under the Advisers Act. Our Adviser sources and manages our portfolio through our Investment Team, a dedicated team of investment professionals predominately focused on us. Our Investment Team is led by our Chairman and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our Adviser and TSSP.</w:t>
      </w:r>
    </w:p>
    <w:p>
      <w:pPr>
        <w:spacing w:after="0" w:line="178"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TSSP is the special situations and credit platform of TPG and encompasses TPG Specialty Lending, Inc., TPG Opportunities Partners and TSSP Adjacent Opportunities Partners, which invest in special situations and distressed investments across the credit cycle, Austin Credit Macro, which is focused on macro credit opportunities, TSL Europe, which is aimed at European middle-market loan originations, and TPG Institutional Credit Partners, which is a “public-side” credit investment platform focused on investment opportunities in the broadly syndicated leveraged loan markets. TSSP had over $11 billion of assets under management as of March 31, 2015. TSSP has extensive experience with highly complex, global public and private investments executed through primary originations, secondary market purchases and restructurings, and has a team of over 100 investment and operating professionals as of March 31, 2015. Twenty six of these personnel are dedicated to our business, including 19 investment professionals. The members of the Investment Review Committee are Joshua Easterly, Michael Fishman, Alan Waxman and David Stiepleman.</w:t>
      </w:r>
    </w:p>
    <w:p>
      <w:pPr>
        <w:spacing w:after="0" w:line="17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TPG is a leading global private investment firm founded in 1992 with $67 billion of assets under management as of March 31, 2015, and offices in San Francisco, Fort Worth,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400 professionals.</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8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Under the terms of the Investment Advisory Agreement, the Adviser’s services are not exclusive, and the Adviser is free to furnish similar or other services to others, so long as its services to us are not impaired. Under the terms of the Investment Advisory Agreement, we will pay the Adviser the Management Fee and may also pay Incentive Fees.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Administrator</w:t>
      </w:r>
    </w:p>
    <w:p>
      <w:pPr>
        <w:spacing w:after="0" w:line="11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On March 15, 2011, we entered into the Administration Agreement with our Adviser. Under the terms of the Administration Agreement, the Adviser acts as our administrator, providing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See “Management and Other Agreements—Payment of Our Expenses.” In addition, the Adviser is permitted to delegate its duties under the Administration Agreement to affiliates or third parties and we will pay or reimburse the Adviser expenses incurred by any such affiliates or third parties for work done on our behalf.</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170"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i w:val="1"/>
          <w:iCs w:val="1"/>
          <w:color w:val="auto"/>
        </w:rPr>
        <w:t>Limited availability of capital for middle-market companies</w:t>
      </w:r>
      <w:r>
        <w:rPr>
          <w:rFonts w:ascii="Arial" w:cs="Arial" w:eastAsia="Arial" w:hAnsi="Arial"/>
          <w:sz w:val="17"/>
          <w:szCs w:val="17"/>
          <w:color w:val="auto"/>
        </w:rPr>
        <w:t>. We believe that certain structural changes in the market have reduced the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implementing regulations by the Federal Reserve, the Office of the Comptroller of the Currency and the FDIC will significantly increase capital and liquidity requirements for banks, decreasing their capacity to hold noninvestment grade leveraged loans on their balance sheets. Coupled with new risk retention requirements for collateralized loan vehicles, we believe these developments reduce the capacity of traditional lenders to serve this market segment and, as a result, increase the cost of borrowing for middle-market companies. Further, GE Capital, the largest non-bank lender in the U.S. middle market, recently announced its intention to sell nearly all of its assets. We believe that the exit of the largest middle market non-bank lender will likely create opportunities for the remaining non-bank lenders, including BDCs.</w:t>
      </w:r>
    </w:p>
    <w:p>
      <w:pPr>
        <w:spacing w:after="0" w:line="183"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i w:val="1"/>
          <w:iCs w:val="1"/>
          <w:color w:val="auto"/>
        </w:rPr>
        <w:t>Strong demand for debt capital</w:t>
      </w:r>
      <w:r>
        <w:rPr>
          <w:rFonts w:ascii="Arial" w:cs="Arial" w:eastAsia="Arial" w:hAnsi="Arial"/>
          <w:sz w:val="18"/>
          <w:szCs w:val="18"/>
          <w:color w:val="auto"/>
        </w:rPr>
        <w:t>. We believe middle-market companies will continue to require access to debt capital to refinance existing debt,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growth and finance acquisitions. In addition, we believe the large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amount of uninvested capital held by funds of private equity firms, estimated by Preqin Ltd., an alternative assets industry data and research company, at $1.24 trillion as of March 2015, will continue to drive deal activity. We expect that private equity firms will continue to pursue acquisitions and to seek to leverage their equity investments with secured loans provided by companies such as ours.</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Attractive investment dynamics</w:t>
      </w:r>
      <w:r>
        <w:rPr>
          <w:rFonts w:ascii="Arial" w:cs="Arial" w:eastAsia="Arial" w:hAnsi="Arial"/>
          <w:sz w:val="17"/>
          <w:szCs w:val="17"/>
          <w:color w:val="auto"/>
        </w:rPr>
        <w:t>. An imbalance between the supply of, and demand for, middle-market debt capital creates attractive pricing dynamics.</w:t>
      </w:r>
      <w:r>
        <w:rPr>
          <w:rFonts w:ascii="Arial" w:cs="Arial" w:eastAsia="Arial" w:hAnsi="Arial"/>
          <w:sz w:val="17"/>
          <w:szCs w:val="17"/>
          <w:i w:val="1"/>
          <w:iCs w:val="1"/>
          <w:color w:val="auto"/>
        </w:rPr>
        <w:t xml:space="preserve"> </w:t>
      </w:r>
      <w:r>
        <w:rPr>
          <w:rFonts w:ascii="Arial" w:cs="Arial" w:eastAsia="Arial" w:hAnsi="Arial"/>
          <w:sz w:val="17"/>
          <w:szCs w:val="17"/>
          <w:color w:val="auto"/>
        </w:rPr>
        <w:t>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i w:val="1"/>
          <w:iCs w:val="1"/>
          <w:color w:val="auto"/>
        </w:rPr>
        <w:t>Conservative capital structures</w:t>
      </w:r>
      <w:r>
        <w:rPr>
          <w:rFonts w:ascii="Arial" w:cs="Arial" w:eastAsia="Arial" w:hAnsi="Arial"/>
          <w:sz w:val="18"/>
          <w:szCs w:val="18"/>
          <w:color w:val="auto"/>
        </w:rPr>
        <w:t>. Following the credit crisis, which we define broadly as occurring between mid-2007 and mid-2009, borrowers have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Specialized lending requirements</w:t>
      </w:r>
      <w:r>
        <w:rPr>
          <w:rFonts w:ascii="Arial" w:cs="Arial" w:eastAsia="Arial" w:hAnsi="Arial"/>
          <w:sz w:val="18"/>
          <w:szCs w:val="18"/>
          <w:color w:val="auto"/>
        </w:rPr>
        <w:t>. Lending to middle-market companies requires specialized due diligence and underwriting capabilities,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ongoing monitoring. Middle-market lending also is generally more labor-intensive than lending to larger companies due to smaller investment sizes and the lack of publicly available information on these companies. We believe the experience and resources of our Adviser, TSSP and TPG position us more strongly than many capital providers to lend to middle-market companies.</w:t>
      </w:r>
    </w:p>
    <w:p>
      <w:pPr>
        <w:spacing w:after="0" w:line="187"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i w:val="1"/>
          <w:iCs w:val="1"/>
          <w:color w:val="auto"/>
        </w:rPr>
        <w:t>Desirability of partnering with BDCs</w:t>
      </w:r>
      <w:r>
        <w:rPr>
          <w:rFonts w:ascii="Arial" w:cs="Arial" w:eastAsia="Arial" w:hAnsi="Arial"/>
          <w:sz w:val="16"/>
          <w:szCs w:val="16"/>
          <w:color w:val="auto"/>
        </w:rPr>
        <w:t>. We believe middle-market companies see advantages in raising capital from BDCs. BDCs have the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offer attractive financing structures, including unitranche loans and “one-stop” financings and can provide a valuable combination of flexibility to develop loans that reflect each borrower’s distinct situation, long-term relationship focus, and reliability as a potential source of future capital.</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60"/>
          </w:cols>
          <w:pgMar w:left="240" w:top="459" w:right="2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Illustrative of the market opportunity for BDCs, the graph below demonstrates the decline in bank participation and increased prevalence of non-bank lenders in the leveraged loan market over the past two decades.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134620</wp:posOffset>
            </wp:positionV>
            <wp:extent cx="2967355" cy="2693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967355" cy="269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graph below illustrates the increase in the uninvested capital held by private equity funds that is available to be 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15240</wp:posOffset>
            </wp:positionV>
            <wp:extent cx="2701290" cy="15347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701290"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 and Core Competencies</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i w:val="1"/>
          <w:iCs w:val="1"/>
          <w:color w:val="auto"/>
        </w:rPr>
        <w:t>Leading platform and access to proprietary deal flow</w:t>
      </w:r>
      <w:r>
        <w:rPr>
          <w:rFonts w:ascii="Arial" w:cs="Arial" w:eastAsia="Arial" w:hAnsi="Arial"/>
          <w:sz w:val="18"/>
          <w:szCs w:val="18"/>
          <w:color w:val="auto"/>
        </w:rPr>
        <w:t>. The substantial majority of our investments are not intermediated and are originated without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assistance of investment banks or other traditional Wall Street sources. Our Adviser has a dedicated team of 19 investment professionals responsible for originating, underwriting, executing and managing the assets of our direct lending transactions. This team is responsible for sourcing and executing opportunities directly, while leveraging the resources and expertise of the TSSP and TPG platforms. Our Investment Team has over 160 years of collective experience as commercial dealmakers.</w:t>
      </w:r>
    </w:p>
    <w:p>
      <w:pPr>
        <w:spacing w:after="0" w:line="18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investment opportunities that have more attractive risk-adjusted return characteristics than by relying solely on origination flow from investment banks or other intermediaries.</w:t>
      </w:r>
    </w:p>
    <w:p>
      <w:pPr>
        <w:spacing w:after="0" w:line="17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In addition, our Adviser draws upon the resources of TSSP and TPG in underwriting transactions, performing due diligence, managing assets and optimizing our operations as a public company. Access to TSSP and TPG resources complements our Adviser’s view of markets and provides insight into important cyclical patterns.</w:t>
      </w:r>
    </w:p>
    <w:p>
      <w:pPr>
        <w:spacing w:after="0" w:line="18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i w:val="1"/>
          <w:iCs w:val="1"/>
          <w:color w:val="auto"/>
        </w:rPr>
        <w:t>Disciplined investment and underwriting process</w:t>
      </w:r>
      <w:r>
        <w:rPr>
          <w:rFonts w:ascii="Arial" w:cs="Arial" w:eastAsia="Arial" w:hAnsi="Arial"/>
          <w:sz w:val="16"/>
          <w:szCs w:val="16"/>
          <w:color w:val="auto"/>
        </w:rPr>
        <w:t>. Through our Adviser, we seek to achieve the highest risk-adjusted returns available as opposed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52" w:lineRule="exact"/>
        <w:rPr>
          <w:sz w:val="20"/>
          <w:szCs w:val="20"/>
          <w:color w:val="auto"/>
        </w:rPr>
      </w:pPr>
    </w:p>
    <w:p>
      <w:pPr>
        <w:ind w:left="900" w:right="320" w:hanging="325"/>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Flexibility</w:t>
      </w:r>
      <w:r>
        <w:rPr>
          <w:rFonts w:ascii="Arial" w:cs="Arial" w:eastAsia="Arial" w:hAnsi="Arial"/>
          <w:sz w:val="18"/>
          <w:szCs w:val="18"/>
          <w:color w:val="auto"/>
        </w:rPr>
        <w:t>. Our broad middle-market focus and our Adviser’s integrated position within TSSP and TPG allow us to determine current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and identify relative value.</w:t>
      </w:r>
    </w:p>
    <w:p>
      <w:pPr>
        <w:spacing w:after="0" w:line="75" w:lineRule="exact"/>
        <w:rPr>
          <w:rFonts w:ascii="Arial" w:cs="Arial" w:eastAsia="Arial" w:hAnsi="Arial"/>
          <w:sz w:val="18"/>
          <w:szCs w:val="18"/>
          <w:color w:val="auto"/>
        </w:rPr>
      </w:pPr>
    </w:p>
    <w:p>
      <w:pPr>
        <w:ind w:left="900" w:right="40" w:hanging="325"/>
        <w:spacing w:after="0" w:line="25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Risk pricing</w:t>
      </w:r>
      <w:r>
        <w:rPr>
          <w:rFonts w:ascii="Arial" w:cs="Arial" w:eastAsia="Arial" w:hAnsi="Arial"/>
          <w:sz w:val="18"/>
          <w:szCs w:val="18"/>
          <w:color w:val="auto"/>
        </w:rPr>
        <w:t>. The risk profile of our portfolio evolves across credit cycles as credit tightens and loosens. During periods when risk premiums are</w:t>
      </w:r>
      <w:r>
        <w:rPr>
          <w:rFonts w:ascii="Arial" w:cs="Arial" w:eastAsia="Arial" w:hAnsi="Arial"/>
          <w:sz w:val="18"/>
          <w:szCs w:val="18"/>
          <w:i w:val="1"/>
          <w:iCs w:val="1"/>
          <w:color w:val="auto"/>
        </w:rPr>
        <w:t xml:space="preserve"> </w:t>
      </w:r>
      <w:r>
        <w:rPr>
          <w:rFonts w:ascii="Arial" w:cs="Arial" w:eastAsia="Arial" w:hAnsi="Arial"/>
          <w:sz w:val="18"/>
          <w:szCs w:val="18"/>
          <w:color w:val="auto"/>
        </w:rPr>
        <w:t>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93"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Disciplined four-tiered investment framework</w:t>
      </w:r>
      <w:r>
        <w:rPr>
          <w:rFonts w:ascii="Arial" w:cs="Arial" w:eastAsia="Arial" w:hAnsi="Arial"/>
          <w:sz w:val="18"/>
          <w:szCs w:val="18"/>
          <w:color w:val="auto"/>
        </w:rPr>
        <w:t>. Through our Adviser, we perform detailed company-specific analysis focusing on a four-tiered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framework:</w:t>
      </w:r>
    </w:p>
    <w:p>
      <w:pPr>
        <w:spacing w:after="0" w:line="75" w:lineRule="exact"/>
        <w:rPr>
          <w:rFonts w:ascii="Arial" w:cs="Arial" w:eastAsia="Arial" w:hAnsi="Arial"/>
          <w:sz w:val="18"/>
          <w:szCs w:val="18"/>
          <w:color w:val="auto"/>
        </w:rPr>
      </w:pPr>
    </w:p>
    <w:p>
      <w:pPr>
        <w:ind w:left="1480" w:hanging="446"/>
        <w:spacing w:after="0" w:line="276" w:lineRule="auto"/>
        <w:tabs>
          <w:tab w:leader="none" w:pos="1480" w:val="left"/>
        </w:tabs>
        <w:numPr>
          <w:ilvl w:val="1"/>
          <w:numId w:val="53"/>
        </w:numPr>
        <w:rPr>
          <w:rFonts w:ascii="Arial" w:cs="Arial" w:eastAsia="Arial" w:hAnsi="Arial"/>
          <w:sz w:val="17"/>
          <w:szCs w:val="17"/>
          <w:color w:val="auto"/>
        </w:rPr>
      </w:pPr>
      <w:r>
        <w:rPr>
          <w:rFonts w:ascii="Arial" w:cs="Arial" w:eastAsia="Arial" w:hAnsi="Arial"/>
          <w:sz w:val="17"/>
          <w:szCs w:val="17"/>
          <w:i w:val="1"/>
          <w:iCs w:val="1"/>
          <w:color w:val="auto"/>
        </w:rPr>
        <w:t>Business and sector selection</w:t>
      </w:r>
      <w:r>
        <w:rPr>
          <w:rFonts w:ascii="Arial" w:cs="Arial" w:eastAsia="Arial" w:hAnsi="Arial"/>
          <w:sz w:val="17"/>
          <w:szCs w:val="17"/>
          <w:color w:val="auto"/>
        </w:rPr>
        <w:t>. We focus on companies with enterprise value between $50 million and $1 billion. When reviewing</w:t>
      </w:r>
      <w:r>
        <w:rPr>
          <w:rFonts w:ascii="Arial" w:cs="Arial" w:eastAsia="Arial" w:hAnsi="Arial"/>
          <w:sz w:val="17"/>
          <w:szCs w:val="17"/>
          <w:i w:val="1"/>
          <w:iCs w:val="1"/>
          <w:color w:val="auto"/>
        </w:rPr>
        <w:t xml:space="preserve"> </w:t>
      </w:r>
      <w:r>
        <w:rPr>
          <w:rFonts w:ascii="Arial" w:cs="Arial" w:eastAsia="Arial" w:hAnsi="Arial"/>
          <w:sz w:val="17"/>
          <w:szCs w:val="17"/>
          <w:color w:val="auto"/>
        </w:rPr>
        <w:t>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We currently do not limit our focus to any specific industry and we may invest in larger or smaller companies.</w:t>
      </w:r>
    </w:p>
    <w:p>
      <w:pPr>
        <w:spacing w:after="0" w:line="77" w:lineRule="exact"/>
        <w:rPr>
          <w:rFonts w:ascii="Arial" w:cs="Arial" w:eastAsia="Arial" w:hAnsi="Arial"/>
          <w:sz w:val="17"/>
          <w:szCs w:val="17"/>
          <w:color w:val="auto"/>
        </w:rPr>
      </w:pPr>
    </w:p>
    <w:p>
      <w:pPr>
        <w:ind w:left="1480" w:right="20" w:hanging="446"/>
        <w:spacing w:after="0" w:line="255" w:lineRule="auto"/>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i w:val="1"/>
          <w:iCs w:val="1"/>
          <w:color w:val="auto"/>
        </w:rPr>
        <w:t>Investment structuring</w:t>
      </w:r>
      <w:r>
        <w:rPr>
          <w:rFonts w:ascii="Arial" w:cs="Arial" w:eastAsia="Arial" w:hAnsi="Arial"/>
          <w:sz w:val="18"/>
          <w:szCs w:val="18"/>
          <w:color w:val="auto"/>
        </w:rPr>
        <w:t>. We focus on investing at the top of the capital structure and protecting that position. We carefully diligence and</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w:t>
      </w:r>
    </w:p>
    <w:p>
      <w:pPr>
        <w:spacing w:after="0" w:line="98" w:lineRule="exact"/>
        <w:rPr>
          <w:rFonts w:ascii="Arial" w:cs="Arial" w:eastAsia="Arial" w:hAnsi="Arial"/>
          <w:sz w:val="18"/>
          <w:szCs w:val="18"/>
          <w:color w:val="auto"/>
        </w:rPr>
      </w:pPr>
    </w:p>
    <w:p>
      <w:pPr>
        <w:jc w:val="both"/>
        <w:ind w:left="1480" w:right="220" w:hanging="446"/>
        <w:spacing w:after="0" w:line="312" w:lineRule="auto"/>
        <w:tabs>
          <w:tab w:leader="none" w:pos="1480" w:val="left"/>
        </w:tabs>
        <w:numPr>
          <w:ilvl w:val="1"/>
          <w:numId w:val="53"/>
        </w:numPr>
        <w:rPr>
          <w:rFonts w:ascii="Arial" w:cs="Arial" w:eastAsia="Arial" w:hAnsi="Arial"/>
          <w:sz w:val="16"/>
          <w:szCs w:val="16"/>
          <w:color w:val="auto"/>
        </w:rPr>
      </w:pPr>
      <w:r>
        <w:rPr>
          <w:rFonts w:ascii="Arial" w:cs="Arial" w:eastAsia="Arial" w:hAnsi="Arial"/>
          <w:sz w:val="16"/>
          <w:szCs w:val="16"/>
          <w:i w:val="1"/>
          <w:iCs w:val="1"/>
          <w:color w:val="auto"/>
        </w:rPr>
        <w:t>Deal dynamics</w:t>
      </w:r>
      <w:r>
        <w:rPr>
          <w:rFonts w:ascii="Arial" w:cs="Arial" w:eastAsia="Arial" w:hAnsi="Arial"/>
          <w:sz w:val="16"/>
          <w:szCs w:val="16"/>
          <w:color w:val="auto"/>
        </w:rPr>
        <w:t>. We focus on, among other deal dynamics, direct origination of investments, where we identify and lead the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We seek transactions that are too small for the traditional high yield market. We look to invest in companies that value our commitment and ability to originate an investment that meets their goals and fits within their existing capital structure.</w:t>
      </w:r>
    </w:p>
    <w:p>
      <w:pPr>
        <w:spacing w:after="0" w:line="52" w:lineRule="exact"/>
        <w:rPr>
          <w:rFonts w:ascii="Arial" w:cs="Arial" w:eastAsia="Arial" w:hAnsi="Arial"/>
          <w:sz w:val="16"/>
          <w:szCs w:val="16"/>
          <w:color w:val="auto"/>
        </w:rPr>
      </w:pPr>
    </w:p>
    <w:p>
      <w:pPr>
        <w:ind w:left="1480" w:right="60" w:hanging="446"/>
        <w:spacing w:after="0" w:line="264" w:lineRule="auto"/>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i w:val="1"/>
          <w:iCs w:val="1"/>
          <w:color w:val="auto"/>
        </w:rPr>
        <w:t>Risk Mitigation</w:t>
      </w:r>
      <w:r>
        <w:rPr>
          <w:rFonts w:ascii="Arial" w:cs="Arial" w:eastAsia="Arial" w:hAnsi="Arial"/>
          <w:sz w:val="18"/>
          <w:szCs w:val="18"/>
          <w:color w:val="auto"/>
        </w:rPr>
        <w:t>. We seek to mitigate non-credit-related risk on our returns in several ways, including call protection provisions to protect</w:t>
      </w:r>
      <w:r>
        <w:rPr>
          <w:rFonts w:ascii="Arial" w:cs="Arial" w:eastAsia="Arial" w:hAnsi="Arial"/>
          <w:sz w:val="18"/>
          <w:szCs w:val="18"/>
          <w:i w:val="1"/>
          <w:iCs w:val="1"/>
          <w:color w:val="auto"/>
        </w:rPr>
        <w:t xml:space="preserve"> </w:t>
      </w:r>
      <w:r>
        <w:rPr>
          <w:rFonts w:ascii="Arial" w:cs="Arial" w:eastAsia="Arial" w:hAnsi="Arial"/>
          <w:sz w:val="18"/>
          <w:szCs w:val="18"/>
          <w:color w:val="auto"/>
        </w:rPr>
        <w:t>future payment income. In addition, most of our investments are floating rate in nature, which we believe helps act as a portfolio-wide hedge against inflation.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40" w:hanging="325"/>
        <w:spacing w:after="0" w:line="264"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Robust and active investment management</w:t>
      </w:r>
      <w:r>
        <w:rPr>
          <w:rFonts w:ascii="Arial" w:cs="Arial" w:eastAsia="Arial" w:hAnsi="Arial"/>
          <w:sz w:val="18"/>
          <w:szCs w:val="18"/>
          <w:color w:val="auto"/>
        </w:rPr>
        <w:t>. Our Adviser rigorously monitors the credit profile of portfolio investments, with the aim of</w:t>
      </w:r>
      <w:r>
        <w:rPr>
          <w:rFonts w:ascii="Arial" w:cs="Arial" w:eastAsia="Arial" w:hAnsi="Arial"/>
          <w:sz w:val="18"/>
          <w:szCs w:val="18"/>
          <w:i w:val="1"/>
          <w:iCs w:val="1"/>
          <w:color w:val="auto"/>
        </w:rPr>
        <w:t xml:space="preserve"> </w:t>
      </w:r>
      <w:r>
        <w:rPr>
          <w:rFonts w:ascii="Arial" w:cs="Arial" w:eastAsia="Arial" w:hAnsi="Arial"/>
          <w:sz w:val="18"/>
          <w:szCs w:val="18"/>
          <w:color w:val="auto"/>
        </w:rPr>
        <w:t>proactively identifying sector and operational issues and carefully managing risks. The information gathered on market trends through this process also informs our underwriting for new loans.</w:t>
      </w:r>
    </w:p>
    <w:p>
      <w:pPr>
        <w:spacing w:after="0" w:line="181" w:lineRule="exact"/>
        <w:rPr>
          <w:sz w:val="20"/>
          <w:szCs w:val="20"/>
          <w:color w:val="auto"/>
        </w:rPr>
      </w:pPr>
    </w:p>
    <w:p>
      <w:pPr>
        <w:ind w:right="980" w:firstLine="456"/>
        <w:spacing w:after="0" w:line="277" w:lineRule="auto"/>
        <w:rPr>
          <w:sz w:val="20"/>
          <w:szCs w:val="20"/>
          <w:color w:val="auto"/>
        </w:rPr>
      </w:pPr>
      <w:r>
        <w:rPr>
          <w:rFonts w:ascii="Arial" w:cs="Arial" w:eastAsia="Arial" w:hAnsi="Arial"/>
          <w:sz w:val="18"/>
          <w:szCs w:val="18"/>
          <w:color w:val="auto"/>
        </w:rPr>
        <w:t>We tailor investments rather than focusing only on driving investment volume. We closed less than 2% of approximately 3,900 investment opportunities our Investment Team reviewed since our inception through March 31, 2015.</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i w:val="1"/>
          <w:iCs w:val="1"/>
          <w:color w:val="auto"/>
        </w:rPr>
        <w:t>Carefully constructed, existing portfolio consisting of predominantly senior, floating rate loans across a broad range of industries and borrowers</w:t>
      </w:r>
      <w:r>
        <w:rPr>
          <w:rFonts w:ascii="Arial" w:cs="Arial" w:eastAsia="Arial" w:hAnsi="Arial"/>
          <w:sz w:val="16"/>
          <w:szCs w:val="16"/>
          <w:color w:val="auto"/>
        </w:rPr>
        <w:t>. Since</w:t>
      </w:r>
      <w:r>
        <w:rPr>
          <w:rFonts w:ascii="Arial" w:cs="Arial" w:eastAsia="Arial" w:hAnsi="Arial"/>
          <w:sz w:val="16"/>
          <w:szCs w:val="16"/>
          <w:i w:val="1"/>
          <w:iCs w:val="1"/>
          <w:color w:val="auto"/>
        </w:rPr>
        <w:t xml:space="preserve"> </w:t>
      </w:r>
      <w:r>
        <w:rPr>
          <w:rFonts w:ascii="Arial" w:cs="Arial" w:eastAsia="Arial" w:hAnsi="Arial"/>
          <w:sz w:val="16"/>
          <w:szCs w:val="16"/>
          <w:color w:val="auto"/>
        </w:rPr>
        <w:t>we began investing in 2011, we have invested approximately $2.5 billion. As of March 31, 2015, we had a portfolio of investments in 35 portfolio companies totaling $1,331.0 million that we believe exhibits strong credit quality and broad industry composition. As of March 31, 2015, approximately 96.5% of our debt investments bore interest at floating rates, subject to interest rate floors, and 90.1% of the fair value of our portfolio was invested in first-lien debt investments. We believe this portfolio will allow us to generate meaningful investment income, and consequently dividend income, for our stockholders.</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Experienced management team</w:t>
      </w:r>
      <w:r>
        <w:rPr>
          <w:rFonts w:ascii="Arial" w:cs="Arial" w:eastAsia="Arial" w:hAnsi="Arial"/>
          <w:sz w:val="16"/>
          <w:szCs w:val="16"/>
          <w:color w:val="auto"/>
        </w:rPr>
        <w:t>. The eight managing directors of TSSP on the Adviser’s team have deep experience identifying and executing</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66"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i w:val="1"/>
          <w:iCs w:val="1"/>
          <w:color w:val="auto"/>
        </w:rPr>
        <w:t>Aligned investment professionals</w:t>
      </w:r>
      <w:r>
        <w:rPr>
          <w:rFonts w:ascii="Arial" w:cs="Arial" w:eastAsia="Arial" w:hAnsi="Arial"/>
          <w:sz w:val="18"/>
          <w:szCs w:val="18"/>
          <w:color w:val="auto"/>
        </w:rPr>
        <w:t>. We believe our investment professionals are aligned with our investment objective. The compensation structure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investment professionals is based on our returns, as opposed to transaction volume, which we believe fosters a focus on credit quality when originating investments.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Criteria/Guidelines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investment approach involves, among other things:</w:t>
      </w:r>
    </w:p>
    <w:p>
      <w:pPr>
        <w:spacing w:after="0" w:line="131"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 assessment of the markets, overall macroeconomic environment and how the assessment may impact industry and investment selection;</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substantial company-specific research and analysis;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with respect to each individual company, an emphasis on capital preservation, low volatility and management of downside risk.</w:t>
      </w:r>
    </w:p>
    <w:p>
      <w:pPr>
        <w:spacing w:after="0" w:line="225" w:lineRule="exact"/>
        <w:rPr>
          <w:sz w:val="20"/>
          <w:szCs w:val="20"/>
          <w:color w:val="auto"/>
        </w:rPr>
      </w:pPr>
    </w:p>
    <w:p>
      <w:pPr>
        <w:jc w:val="both"/>
        <w:ind w:right="900" w:firstLine="456"/>
        <w:spacing w:after="0" w:line="342" w:lineRule="auto"/>
        <w:rPr>
          <w:sz w:val="20"/>
          <w:szCs w:val="20"/>
          <w:color w:val="auto"/>
        </w:rPr>
      </w:pPr>
      <w:r>
        <w:rPr>
          <w:rFonts w:ascii="Arial" w:cs="Arial" w:eastAsia="Arial" w:hAnsi="Arial"/>
          <w:sz w:val="16"/>
          <w:szCs w:val="16"/>
          <w:color w:val="auto"/>
        </w:rPr>
        <w:t>The foundation of our investment philosophy incorporates intensive analysis, a management discipline based on both market technicals and fundamental value-oriented research, and consideration of diversification within our portfolio. We follow a rigorous investment process based on:</w:t>
      </w:r>
    </w:p>
    <w:p>
      <w:pPr>
        <w:spacing w:after="0" w:line="29"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comprehensive analysis of issuer creditworthiness, including a quantitative and qualitative assessment of the issuer’s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evaluation of management and its economic incentives;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analysis of business strategy and industry trends;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in-depth examination of a prospective portfolio company’s capital structure, financial results and projections.</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seek to identify those companies exhibiting superior fundamental risk-reward profiles and strong defensible business franchises, while focusing on the absolute and relative value of the investment.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Process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Origination and Sourcing</w:t>
      </w:r>
    </w:p>
    <w:p>
      <w:pPr>
        <w:spacing w:after="0" w:line="117"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The substantial majority of our investments are not intermediated and are originated without the assistance of investment banks or other traditional Wall Street sources. 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The substantial majority of our deals are informed by our current sector views and are sourced directly by our Adviser through our network contacts. We also identify opportunities through our Adviser’s relationships with TSSP and TPG.</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 Process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process through which an investment decision is made involves extensive research into the company, its industry, its growth prospects and its ability to withstand adverse conditions. If the management group responsible for the transaction determines that an investment opportunity should be pursued, we will engage in an intensive due diligence process. Though each transaction will involve a somewhat different approach, our diligence of each opportunity may include:</w:t>
      </w:r>
    </w:p>
    <w:p>
      <w:pPr>
        <w:spacing w:after="0" w:line="92" w:lineRule="exact"/>
        <w:rPr>
          <w:sz w:val="20"/>
          <w:szCs w:val="20"/>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understanding the purpose of the loan, the key personnel and variables, as well as the sources and uses of the proceeds;</w:t>
      </w:r>
    </w:p>
    <w:p>
      <w:pPr>
        <w:spacing w:after="0" w:line="130" w:lineRule="exact"/>
        <w:rPr>
          <w:rFonts w:ascii="Arial" w:cs="Arial" w:eastAsia="Arial" w:hAnsi="Arial"/>
          <w:sz w:val="18"/>
          <w:szCs w:val="18"/>
          <w:color w:val="auto"/>
        </w:rPr>
      </w:pPr>
    </w:p>
    <w:p>
      <w:pPr>
        <w:ind w:left="900" w:right="660" w:hanging="325"/>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meeting the company’s management, including top and middle-level executives, to get an insider’s view of the business, and to probe for potential weaknesses in business prospects;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checking management’s backgrounds and references;</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performing a detailed review of historical financial performance, including performance through various economic cycles, and the quality of earnings;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contacting customers and vendors to assess both business prospects and standard practices;</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conducting a competitive analysis, and comparing the company to its main competitors on an operating, financial, market share and valuation basis;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researching the industry for historic growth trends and future prospects as well as to identify future exit alternatives;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assessing asset value and the ability of physical infrastructure and information systems to handle anticipated growth;</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leveraging TSSP and TPG internal resources with institutional knowledge of the company’s business;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investigating legal and regulatory risks and financial and accounting systems and practices.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Selective Investment Process</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After an investment has been identified and preliminary diligence has been completed, a credit research and analysis report is prepared. This report is reviewed by the senior investment professional in charge of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potential investment. If these senior and other investment professionals are in favor of the potential investment, then a more extensive due diligence process is employed. Additional due diligence with respect to any investment may be conducted on our behalf by attorneys, independent accountants, and other third-party consultants and research firms prior to the closing of the investment, as appropriate, on a case-by-case basis.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Formal Commitment</w:t>
      </w:r>
    </w:p>
    <w:p>
      <w:pPr>
        <w:spacing w:after="0" w:line="117"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Approval of an origination requires the approval of the Investment Review Committee or, depending on the size and nature of the investment, a portion thereof. Once we have determined that a prospective portfolio company is suitable for investment, we work with the management or sponsor of that company and its other capital providers, including senior, junior and equity capital providers, if any, to finalize the structure and terms of the investment.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Monitoring</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w:t>
      </w:r>
    </w:p>
    <w:p>
      <w:pPr>
        <w:spacing w:after="0" w:line="170"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The Adviser has a number of methods of evaluating and monitoring the performance and fair value of our investments, which may include the following:</w:t>
      </w:r>
    </w:p>
    <w:p>
      <w:pPr>
        <w:spacing w:after="0" w:line="76" w:lineRule="exact"/>
        <w:rPr>
          <w:sz w:val="20"/>
          <w:szCs w:val="20"/>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30"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87" w:lineRule="exact"/>
        <w:rPr>
          <w:sz w:val="20"/>
          <w:szCs w:val="20"/>
          <w:color w:val="auto"/>
        </w:rPr>
      </w:pPr>
    </w:p>
    <w:p>
      <w:pPr>
        <w:ind w:left="900" w:right="400" w:hanging="325"/>
        <w:spacing w:after="0" w:line="264"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loan performance and intensive quarterly asset reviews.</w:t>
      </w:r>
    </w:p>
    <w:p>
      <w:pPr>
        <w:spacing w:after="0" w:line="86" w:lineRule="exact"/>
        <w:rPr>
          <w:rFonts w:ascii="Arial" w:cs="Arial" w:eastAsia="Arial" w:hAnsi="Arial"/>
          <w:sz w:val="18"/>
          <w:szCs w:val="18"/>
          <w:color w:val="auto"/>
        </w:rPr>
      </w:pPr>
    </w:p>
    <w:p>
      <w:pPr>
        <w:ind w:left="900" w:right="260" w:hanging="325"/>
        <w:spacing w:after="0" w:line="264"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borrower.</w:t>
      </w:r>
    </w:p>
    <w:p>
      <w:pPr>
        <w:spacing w:after="0" w:line="86" w:lineRule="exact"/>
        <w:rPr>
          <w:rFonts w:ascii="Arial" w:cs="Arial" w:eastAsia="Arial" w:hAnsi="Arial"/>
          <w:sz w:val="18"/>
          <w:szCs w:val="18"/>
          <w:color w:val="auto"/>
        </w:rPr>
      </w:pPr>
    </w:p>
    <w:p>
      <w:pPr>
        <w:ind w:left="900" w:right="200" w:hanging="325"/>
        <w:spacing w:after="0" w:line="264"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covenant violation is expected. For these investments, in addition to monthly reports and quarterly asset reviews, the Adviser also adds the company to its “watch list” and researches any areas of concern with the objective of early intervention with the borrower.</w:t>
      </w:r>
    </w:p>
    <w:p>
      <w:pPr>
        <w:spacing w:after="0" w:line="86"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investment will be assigned a rating of 4 if a material covenant has been violated, but the company is making its scheduled payments. For these investments, the Adviser prepares a bi-monthly asset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0"/>
        <w:spacing w:after="0" w:line="259" w:lineRule="auto"/>
        <w:rPr>
          <w:sz w:val="20"/>
          <w:szCs w:val="20"/>
          <w:color w:val="auto"/>
        </w:rPr>
      </w:pPr>
      <w:r>
        <w:rPr>
          <w:rFonts w:ascii="Arial" w:cs="Arial" w:eastAsia="Arial" w:hAnsi="Arial"/>
          <w:sz w:val="18"/>
          <w:szCs w:val="18"/>
          <w:color w:val="auto"/>
        </w:rPr>
        <w:t>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loan terms or structure, or payment of amendment and waiver fees.</w:t>
      </w:r>
    </w:p>
    <w:p>
      <w:pPr>
        <w:spacing w:after="0" w:line="92" w:lineRule="exact"/>
        <w:rPr>
          <w:sz w:val="20"/>
          <w:szCs w:val="20"/>
          <w:color w:val="auto"/>
        </w:rPr>
      </w:pPr>
    </w:p>
    <w:p>
      <w:pPr>
        <w:ind w:left="900" w:right="60" w:hanging="325"/>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rating of 5 indicates an investment is in default on its interest or principal payments. For these investments, our Adviser reviews the loans on a bi-monthly basis and, where possible, pursues workouts that achieve an early resolution to avoid further deterioration. The Adviser retains legal counsel and takes actions to preserve our rights, which may include working with the borrower to have the default cured, to have the loan restructured or to have the loan repaid through a consensual workout.</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For more information on the investment performance ratings of our portfolio, see “Management’s Discussion and Analysis of Financial Condition and Results of Operations—Key Components of Our Results of Operations—Portfolio and Investment Activity.”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Review Committee</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Adviser manages our portfolio under the general oversight of the Investment Review Committee. The Investment Review Committee includes certain individuals who are senior personnel of the Adviser and TSSP, as well as certain other persons appointed by the Adviser from time to time. Our Investment Team and the Investment Review Committee are supported by and have access to the investment professionals, analytical capabilities and support personnel of TPG. See “Management” and “Related-Party Transactions and Certain Relationships.”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Investments</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Since beginning our investment activities in July 2011, we have sought to generate current income primarily in U.S.-domiciled middle market companies through direct originations of senior secured loans and, to a lesser extent, originations of mezzanine loans and investments in corporate bonds and equity and other investments.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Investments</w:t>
      </w:r>
    </w:p>
    <w:p>
      <w:pPr>
        <w:spacing w:after="0" w:line="117"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The terms of our debt investments are tailored to the facts and circumstances of each transaction and prospective portfolio company. We negotiate the structure of each investment to protect our rights and manage our risk while providing funding to help the portfolio company achieve its business plan. We invest in the following types of debt:</w:t>
      </w:r>
    </w:p>
    <w:p>
      <w:pPr>
        <w:spacing w:after="0" w:line="87" w:lineRule="exact"/>
        <w:rPr>
          <w:sz w:val="20"/>
          <w:szCs w:val="20"/>
          <w:color w:val="auto"/>
        </w:rPr>
      </w:pPr>
    </w:p>
    <w:p>
      <w:pPr>
        <w:ind w:left="900" w:hanging="325"/>
        <w:spacing w:after="0" w:line="259"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First-lien debt. </w:t>
      </w:r>
      <w:r>
        <w:rPr>
          <w:rFonts w:ascii="Arial" w:cs="Arial" w:eastAsia="Arial" w:hAnsi="Arial"/>
          <w:sz w:val="18"/>
          <w:szCs w:val="18"/>
          <w:color w:val="auto"/>
        </w:rPr>
        <w:t>First-lien debt is typically senior on a lien basis to other liabilities in the issuer’s capital structure and has the benefit of a first-priority security interest in assets of the issuer. The security interest ranks above the security interest of any second-lien lenders in those assets. Our first-lien debt may include stand-alone first-lien loans, “last out” first-lien loans, “unitranche” loans and secured corporate bonds with similar features to these categories of first-lien loans.</w:t>
      </w:r>
    </w:p>
    <w:p>
      <w:pPr>
        <w:spacing w:after="0" w:line="92" w:lineRule="exact"/>
        <w:rPr>
          <w:rFonts w:ascii="Arial" w:cs="Arial" w:eastAsia="Arial" w:hAnsi="Arial"/>
          <w:sz w:val="18"/>
          <w:szCs w:val="18"/>
          <w:color w:val="auto"/>
        </w:rPr>
      </w:pPr>
    </w:p>
    <w:p>
      <w:pPr>
        <w:ind w:left="1480" w:right="160" w:hanging="446"/>
        <w:spacing w:after="0" w:line="277" w:lineRule="auto"/>
        <w:tabs>
          <w:tab w:leader="none" w:pos="1480" w:val="left"/>
        </w:tabs>
        <w:numPr>
          <w:ilvl w:val="1"/>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Stand-alone first-lien loans. </w:t>
      </w:r>
      <w:r>
        <w:rPr>
          <w:rFonts w:ascii="Arial" w:cs="Arial" w:eastAsia="Arial" w:hAnsi="Arial"/>
          <w:sz w:val="18"/>
          <w:szCs w:val="18"/>
          <w:color w:val="auto"/>
        </w:rPr>
        <w:t>Stand-alone first-lien loans are traditional first-lien loans. All lenders in the facility have equal rights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that is subject to the first-priority security interest.</w:t>
      </w:r>
    </w:p>
    <w:p>
      <w:pPr>
        <w:spacing w:after="0" w:line="75" w:lineRule="exact"/>
        <w:rPr>
          <w:rFonts w:ascii="Arial" w:cs="Arial" w:eastAsia="Arial" w:hAnsi="Arial"/>
          <w:sz w:val="18"/>
          <w:szCs w:val="18"/>
          <w:color w:val="auto"/>
        </w:rPr>
      </w:pPr>
    </w:p>
    <w:p>
      <w:pPr>
        <w:ind w:left="1480" w:right="40" w:hanging="446"/>
        <w:spacing w:after="0" w:line="257" w:lineRule="auto"/>
        <w:tabs>
          <w:tab w:leader="none" w:pos="1480" w:val="left"/>
        </w:tabs>
        <w:numPr>
          <w:ilvl w:val="1"/>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“Last out” first-lien loans. </w:t>
      </w:r>
      <w:r>
        <w:rPr>
          <w:rFonts w:ascii="Arial" w:cs="Arial" w:eastAsia="Arial" w:hAnsi="Arial"/>
          <w:sz w:val="18"/>
          <w:szCs w:val="18"/>
          <w:color w:val="auto"/>
        </w:rPr>
        <w:t>“Last out” first-lien loans have a secondary priority behind super-senior “first out” first-lien loans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securing the loans in certain circumstances. The arrangements for a “last out” first-lien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20"/>
        <w:spacing w:after="0" w:line="259" w:lineRule="auto"/>
        <w:rPr>
          <w:sz w:val="20"/>
          <w:szCs w:val="20"/>
          <w:color w:val="auto"/>
        </w:rPr>
      </w:pPr>
      <w:r>
        <w:rPr>
          <w:rFonts w:ascii="Arial" w:cs="Arial" w:eastAsia="Arial" w:hAnsi="Arial"/>
          <w:sz w:val="18"/>
          <w:szCs w:val="18"/>
          <w:color w:val="auto"/>
        </w:rPr>
        <w:t>triggering events under intercreditor agreements or agreements among lenders, the “last out” lenders bear a greater risk and, in exchange, receive a higher effective interest rate, through arrangements among the lenders, than the “first out” lenders or lenders in stand-alone first-lien loans. Agreements among lenders also typically provide greater voting rights to the “last out” lenders than the intercreditor agreements to which second-lien lenders often are subject.</w:t>
      </w:r>
    </w:p>
    <w:p>
      <w:pPr>
        <w:spacing w:after="0" w:line="92" w:lineRule="exact"/>
        <w:rPr>
          <w:sz w:val="20"/>
          <w:szCs w:val="20"/>
          <w:color w:val="auto"/>
        </w:rPr>
      </w:pPr>
    </w:p>
    <w:p>
      <w:pPr>
        <w:ind w:left="1480" w:hanging="446"/>
        <w:spacing w:after="0" w:line="312" w:lineRule="auto"/>
        <w:tabs>
          <w:tab w:leader="none" w:pos="1480" w:val="left"/>
        </w:tabs>
        <w:numPr>
          <w:ilvl w:val="1"/>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“Unitranche” loans. </w:t>
      </w:r>
      <w:r>
        <w:rPr>
          <w:rFonts w:ascii="Arial" w:cs="Arial" w:eastAsia="Arial" w:hAnsi="Arial"/>
          <w:sz w:val="16"/>
          <w:szCs w:val="16"/>
          <w:color w:val="auto"/>
        </w:rPr>
        <w:t>Unitranche loans combine features of first-lien, second-lien and mezzanine debt, generally in a first-lien position. In</w:t>
      </w:r>
      <w:r>
        <w:rPr>
          <w:rFonts w:ascii="Arial" w:cs="Arial" w:eastAsia="Arial" w:hAnsi="Arial"/>
          <w:sz w:val="16"/>
          <w:szCs w:val="16"/>
          <w:i w:val="1"/>
          <w:iCs w:val="1"/>
          <w:color w:val="auto"/>
        </w:rPr>
        <w:t xml:space="preserve"> </w:t>
      </w:r>
      <w:r>
        <w:rPr>
          <w:rFonts w:ascii="Arial" w:cs="Arial" w:eastAsia="Arial" w:hAnsi="Arial"/>
          <w:sz w:val="16"/>
          <w:szCs w:val="16"/>
          <w:color w:val="auto"/>
        </w:rPr>
        <w:t>many cases, we may provide the borrower most, if not all, of the capital structure above the equity. The primary advantages to the borrower are the ability to negotiate the entire debt financing with one lender and the elimination of intercreditor issues.</w:t>
      </w:r>
    </w:p>
    <w:p>
      <w:pPr>
        <w:spacing w:after="0" w:line="52" w:lineRule="exact"/>
        <w:rPr>
          <w:rFonts w:ascii="Arial" w:cs="Arial" w:eastAsia="Arial" w:hAnsi="Arial"/>
          <w:sz w:val="16"/>
          <w:szCs w:val="16"/>
          <w:color w:val="auto"/>
        </w:rPr>
      </w:pPr>
    </w:p>
    <w:p>
      <w:pPr>
        <w:ind w:left="900" w:hanging="325"/>
        <w:spacing w:after="0" w:line="25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Second-lien debt. </w:t>
      </w:r>
      <w:r>
        <w:rPr>
          <w:rFonts w:ascii="Arial" w:cs="Arial" w:eastAsia="Arial" w:hAnsi="Arial"/>
          <w:sz w:val="18"/>
          <w:szCs w:val="18"/>
          <w:color w:val="auto"/>
        </w:rPr>
        <w:t>Our second-lien debt may include secured loans, and, to a lesser extent, secured corporate bonds, with a secondary priority</w:t>
      </w:r>
      <w:r>
        <w:rPr>
          <w:rFonts w:ascii="Arial" w:cs="Arial" w:eastAsia="Arial" w:hAnsi="Arial"/>
          <w:sz w:val="18"/>
          <w:szCs w:val="18"/>
          <w:i w:val="1"/>
          <w:iCs w:val="1"/>
          <w:color w:val="auto"/>
        </w:rPr>
        <w:t xml:space="preserve"> </w:t>
      </w:r>
      <w:r>
        <w:rPr>
          <w:rFonts w:ascii="Arial" w:cs="Arial" w:eastAsia="Arial" w:hAnsi="Arial"/>
          <w:sz w:val="18"/>
          <w:szCs w:val="18"/>
          <w:color w:val="auto"/>
        </w:rPr>
        <w:t>behind first-lien debt. Second-lien debt typically is senior on a lien basis to other liabilities in the issuer’s capital structure and has the benefit of a security interest over assets of the issuer, though ranking junior to first-lien debt secured by those assets. First-lien lenders and second-lien lenders typically have separate liens on the collateral, and an intercreditor agreement provides the first-lien lenders with priority over the second-lien lenders’ liens on the collateral.</w:t>
      </w:r>
    </w:p>
    <w:p>
      <w:pPr>
        <w:spacing w:after="0" w:line="93" w:lineRule="exact"/>
        <w:rPr>
          <w:rFonts w:ascii="Arial" w:cs="Arial" w:eastAsia="Arial" w:hAnsi="Arial"/>
          <w:sz w:val="18"/>
          <w:szCs w:val="18"/>
          <w:color w:val="auto"/>
        </w:rPr>
      </w:pPr>
    </w:p>
    <w:p>
      <w:pPr>
        <w:ind w:left="900" w:right="20" w:hanging="325"/>
        <w:spacing w:after="0" w:line="255"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“Mezzanine” debt. </w:t>
      </w:r>
      <w:r>
        <w:rPr>
          <w:rFonts w:ascii="Arial" w:cs="Arial" w:eastAsia="Arial" w:hAnsi="Arial"/>
          <w:sz w:val="18"/>
          <w:szCs w:val="18"/>
          <w:color w:val="auto"/>
        </w:rPr>
        <w:t>Structurally, mezzanine debt usually ranks subordinate in priority of payment to first-lien and second-lien debt, is often</w:t>
      </w:r>
      <w:r>
        <w:rPr>
          <w:rFonts w:ascii="Arial" w:cs="Arial" w:eastAsia="Arial" w:hAnsi="Arial"/>
          <w:sz w:val="18"/>
          <w:szCs w:val="18"/>
          <w:i w:val="1"/>
          <w:iCs w:val="1"/>
          <w:color w:val="auto"/>
        </w:rPr>
        <w:t xml:space="preserve"> </w:t>
      </w:r>
      <w:r>
        <w:rPr>
          <w:rFonts w:ascii="Arial" w:cs="Arial" w:eastAsia="Arial" w:hAnsi="Arial"/>
          <w:sz w:val="18"/>
          <w:szCs w:val="18"/>
          <w:color w:val="auto"/>
        </w:rPr>
        <w:t>unsecured and may not have the benefit of financial covenants common in first-lien and second-lien debt. However, mezzanine debt ranks senior to common and preferred equity in an issuer’s capital structure. Mezzanine debt investments generally offer lenders fixed returns in the form of interest payments and will often provide lenders an opportunity to participate in the capital appreciation, if any, of an issuer through an equity interest. This equity interest typically takes the form of an equity co-investment or warrants. Due to its higher risk profile and often less restrictive covenants compared to senior secured loans, mezzanine debt generally bears a higher stated interest rate than first-lien and second-lien debt.</w:t>
      </w:r>
    </w:p>
    <w:p>
      <w:pPr>
        <w:spacing w:after="0" w:line="189"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Our debt investments are typically structured with the maximum seniority and collateral that we can reasonably obtain while seeking to achieve our total return target. We seek to limit the downside potential of our investments by:</w:t>
      </w:r>
    </w:p>
    <w:p>
      <w:pPr>
        <w:spacing w:after="0" w:line="76" w:lineRule="exact"/>
        <w:rPr>
          <w:sz w:val="20"/>
          <w:szCs w:val="20"/>
          <w:color w:val="auto"/>
        </w:rPr>
      </w:pPr>
    </w:p>
    <w:p>
      <w:pPr>
        <w:ind w:left="900" w:hanging="325"/>
        <w:spacing w:after="0"/>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requiring a total return on our investments (including both interest and potential equity appreciation) that compensates us for credit risk; and</w:t>
      </w:r>
    </w:p>
    <w:p>
      <w:pPr>
        <w:spacing w:after="0" w:line="142" w:lineRule="exact"/>
        <w:rPr>
          <w:rFonts w:ascii="Arial" w:cs="Arial" w:eastAsia="Arial" w:hAnsi="Arial"/>
          <w:sz w:val="17"/>
          <w:szCs w:val="17"/>
          <w:color w:val="auto"/>
        </w:rPr>
      </w:pPr>
    </w:p>
    <w:p>
      <w:pPr>
        <w:ind w:left="900" w:right="20" w:hanging="325"/>
        <w:spacing w:after="0" w:line="259"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negotiating covenants in connection with our investments that afford our portfolio companies as much flexibility in managing their businesses as possible, consistent with preservation of our capital. Such restrictions may include affirmative covenants (including reporting requirements), negative covenants (including financial covenants), lien protection, change of control provisions and board rights, including either observation or rights to a seat on the board under some circumstances.</w:t>
      </w:r>
    </w:p>
    <w:p>
      <w:pPr>
        <w:spacing w:after="0" w:line="18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Among the types of first-lien debt in which we invest, we generally are able to obtain higher effective interest rates on our “last out” first-lien loans than on other types of first-lien loans, since our “last-out” first-lien loans generally are more junior in the capital structure. Within our portfolio, we aim to maintain the appropriate proportion among the various types of first-lien loans, as well as second-lien debt and mezzanine debt, which allows us to achieve our target returns while maintaining our targeted amount of credit risk.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Other Investments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Our loans may include an equity interest in the issuer, such as a warrant or profit participation right. In certain instances, we also will make direct equity investments, although those situations are generally limited to those cases where we are also making an investment in a more senior part of the capital structure of the issuer.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80"/>
          </w:cols>
          <w:pgMar w:left="240" w:top="459" w:right="2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As of March 31, 2015 and December 31, 2014, we had made investments with an aggregate fair value of $1,331.0 million and $1,263.5 million, respectively, in 35 and 34 portfolio companies, respectively. See “Portfolio Companies” for more information on these investments, including a list of companies and type and amount of investments.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consisted of the following at March 31, 2015 and December 31, 2014:</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left="34"/>
              <w:spacing w:after="0"/>
              <w:rPr>
                <w:sz w:val="20"/>
                <w:szCs w:val="20"/>
                <w:color w:val="auto"/>
              </w:rPr>
            </w:pPr>
            <w:r>
              <w:rPr>
                <w:rFonts w:ascii="Arial" w:cs="Arial" w:eastAsia="Arial" w:hAnsi="Arial"/>
                <w:sz w:val="14"/>
                <w:szCs w:val="14"/>
                <w:b w:val="1"/>
                <w:bCs w:val="1"/>
                <w:color w:val="auto"/>
                <w:w w:val="94"/>
              </w:rPr>
              <w:t>March 31, 2015</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0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9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Amortized</w:t>
            </w:r>
          </w:p>
        </w:tc>
        <w:tc>
          <w:tcPr>
            <w:tcW w:w="380" w:type="dxa"/>
            <w:vAlign w:val="bottom"/>
          </w:tcPr>
          <w:p>
            <w:pPr>
              <w:spacing w:after="0"/>
              <w:rPr>
                <w:sz w:val="10"/>
                <w:szCs w:val="10"/>
                <w:color w:val="auto"/>
              </w:rPr>
            </w:pPr>
          </w:p>
        </w:tc>
        <w:tc>
          <w:tcPr>
            <w:tcW w:w="116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r>
      <w:tr>
        <w:trPr>
          <w:trHeight w:val="171"/>
        </w:trPr>
        <w:tc>
          <w:tcPr>
            <w:tcW w:w="40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 in millions)</w:t>
            </w:r>
          </w:p>
        </w:tc>
        <w:tc>
          <w:tcPr>
            <w:tcW w:w="19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Cost</w:t>
            </w:r>
            <w:r>
              <w:rPr>
                <w:rFonts w:ascii="Arial" w:cs="Arial" w:eastAsia="Arial" w:hAnsi="Arial"/>
                <w:sz w:val="12"/>
                <w:szCs w:val="12"/>
                <w:b w:val="1"/>
                <w:bCs w:val="1"/>
                <w:color w:val="auto"/>
                <w:w w:val="96"/>
              </w:rPr>
              <w:t>(1)</w:t>
            </w:r>
          </w:p>
        </w:tc>
        <w:tc>
          <w:tcPr>
            <w:tcW w:w="26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5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0"/>
              </w:rPr>
              <w:t>Gain (Loss)</w:t>
            </w:r>
          </w:p>
        </w:tc>
        <w:tc>
          <w:tcPr>
            <w:tcW w:w="100" w:type="dxa"/>
            <w:vAlign w:val="bottom"/>
            <w:tcBorders>
              <w:bottom w:val="single" w:sz="8" w:color="CCEEFF"/>
            </w:tcBorders>
          </w:tcPr>
          <w:p>
            <w:pPr>
              <w:spacing w:after="0"/>
              <w:rPr>
                <w:sz w:val="14"/>
                <w:szCs w:val="14"/>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9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$ 1,206.4</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$1,199.2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840" w:type="dxa"/>
            <w:vAlign w:val="bottom"/>
            <w:gridSpan w:val="3"/>
          </w:tcPr>
          <w:p>
            <w:pPr>
              <w:jc w:val="right"/>
              <w:ind w:right="260"/>
              <w:spacing w:after="0"/>
              <w:rPr>
                <w:sz w:val="20"/>
                <w:szCs w:val="20"/>
                <w:color w:val="auto"/>
              </w:rPr>
            </w:pPr>
            <w:r>
              <w:rPr>
                <w:rFonts w:ascii="Arial" w:cs="Arial" w:eastAsia="Arial" w:hAnsi="Arial"/>
                <w:sz w:val="18"/>
                <w:szCs w:val="18"/>
                <w:color w:val="auto"/>
              </w:rPr>
              <w:t>104.7</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2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13.4</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9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21.5</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r>
      <w:tr>
        <w:trPr>
          <w:trHeight w:val="27"/>
        </w:trPr>
        <w:tc>
          <w:tcPr>
            <w:tcW w:w="40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19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$ 1,346.0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1,331.0</w:t>
            </w:r>
          </w:p>
        </w:tc>
        <w:tc>
          <w:tcPr>
            <w:tcW w:w="5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w:t>
            </w:r>
          </w:p>
        </w:tc>
      </w:tr>
      <w:tr>
        <w:trPr>
          <w:trHeight w:val="20"/>
        </w:trPr>
        <w:tc>
          <w:tcPr>
            <w:tcW w:w="4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40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left="54"/>
              <w:spacing w:after="0"/>
              <w:rPr>
                <w:sz w:val="20"/>
                <w:szCs w:val="20"/>
                <w:color w:val="auto"/>
              </w:rPr>
            </w:pPr>
            <w:r>
              <w:rPr>
                <w:rFonts w:ascii="Arial" w:cs="Arial" w:eastAsia="Arial" w:hAnsi="Arial"/>
                <w:sz w:val="14"/>
                <w:szCs w:val="14"/>
                <w:b w:val="1"/>
                <w:bCs w:val="1"/>
                <w:color w:val="auto"/>
                <w:w w:val="91"/>
              </w:rPr>
              <w:t>December 31, 2014</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9"/>
        </w:trPr>
        <w:tc>
          <w:tcPr>
            <w:tcW w:w="40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9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Amortized</w:t>
            </w:r>
          </w:p>
        </w:tc>
        <w:tc>
          <w:tcPr>
            <w:tcW w:w="380" w:type="dxa"/>
            <w:vAlign w:val="bottom"/>
          </w:tcPr>
          <w:p>
            <w:pPr>
              <w:spacing w:after="0"/>
              <w:rPr>
                <w:sz w:val="10"/>
                <w:szCs w:val="10"/>
                <w:color w:val="auto"/>
              </w:rPr>
            </w:pPr>
          </w:p>
        </w:tc>
        <w:tc>
          <w:tcPr>
            <w:tcW w:w="116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r>
      <w:tr>
        <w:trPr>
          <w:trHeight w:val="171"/>
        </w:trPr>
        <w:tc>
          <w:tcPr>
            <w:tcW w:w="40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 in millions)</w:t>
            </w:r>
          </w:p>
        </w:tc>
        <w:tc>
          <w:tcPr>
            <w:tcW w:w="19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Cost</w:t>
            </w:r>
            <w:r>
              <w:rPr>
                <w:rFonts w:ascii="Arial" w:cs="Arial" w:eastAsia="Arial" w:hAnsi="Arial"/>
                <w:sz w:val="12"/>
                <w:szCs w:val="12"/>
                <w:b w:val="1"/>
                <w:bCs w:val="1"/>
                <w:color w:val="auto"/>
                <w:w w:val="96"/>
              </w:rPr>
              <w:t>(1)</w:t>
            </w:r>
          </w:p>
        </w:tc>
        <w:tc>
          <w:tcPr>
            <w:tcW w:w="26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5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0"/>
              </w:rPr>
              <w:t>Gain (Loss)</w:t>
            </w:r>
          </w:p>
        </w:tc>
        <w:tc>
          <w:tcPr>
            <w:tcW w:w="100" w:type="dxa"/>
            <w:vAlign w:val="bottom"/>
            <w:tcBorders>
              <w:bottom w:val="single" w:sz="8" w:color="CCEEFF"/>
            </w:tcBorders>
          </w:tcPr>
          <w:p>
            <w:pPr>
              <w:spacing w:after="0"/>
              <w:rPr>
                <w:sz w:val="14"/>
                <w:szCs w:val="14"/>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9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$ 1,127.2</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$1,124.2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840" w:type="dxa"/>
            <w:vAlign w:val="bottom"/>
            <w:gridSpan w:val="3"/>
          </w:tcPr>
          <w:p>
            <w:pPr>
              <w:jc w:val="right"/>
              <w:ind w:right="260"/>
              <w:spacing w:after="0"/>
              <w:rPr>
                <w:sz w:val="20"/>
                <w:szCs w:val="20"/>
                <w:color w:val="auto"/>
              </w:rPr>
            </w:pPr>
            <w:r>
              <w:rPr>
                <w:rFonts w:ascii="Arial" w:cs="Arial" w:eastAsia="Arial" w:hAnsi="Arial"/>
                <w:sz w:val="18"/>
                <w:szCs w:val="18"/>
                <w:color w:val="auto"/>
              </w:rPr>
              <w:t>111.1</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111.4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2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13.4</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9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21.5</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r>
      <w:tr>
        <w:trPr>
          <w:trHeight w:val="27"/>
        </w:trPr>
        <w:tc>
          <w:tcPr>
            <w:tcW w:w="40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19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$ 1,273.2</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1,263.5</w:t>
            </w:r>
          </w:p>
        </w:tc>
        <w:tc>
          <w:tcPr>
            <w:tcW w:w="5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r>
      <w:tr>
        <w:trPr>
          <w:trHeight w:val="20"/>
        </w:trPr>
        <w:tc>
          <w:tcPr>
            <w:tcW w:w="4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40" w:hanging="452"/>
        <w:spacing w:after="0" w:line="277"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Amortized cost represents the original cost adjusted for the amortization of discounts or premiums, as applicable, on debt investments using the effective interest method.</w:t>
      </w:r>
    </w:p>
    <w:p>
      <w:pPr>
        <w:spacing w:after="0" w:line="10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840"/>
          </w:cols>
          <w:pgMar w:left="240" w:top="459" w:right="81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industry composition of investments at fair value at March 31, 2015 and December 31, 2014 was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4"/>
              </w:rPr>
              <w:t>March 31, 2015</w:t>
            </w:r>
          </w:p>
        </w:tc>
        <w:tc>
          <w:tcPr>
            <w:tcW w:w="660" w:type="dxa"/>
            <w:vAlign w:val="bottom"/>
          </w:tcPr>
          <w:p>
            <w:pPr>
              <w:spacing w:after="0"/>
              <w:rPr>
                <w:sz w:val="14"/>
                <w:szCs w:val="14"/>
                <w:color w:val="auto"/>
              </w:rPr>
            </w:pPr>
          </w:p>
        </w:tc>
        <w:tc>
          <w:tcPr>
            <w:tcW w:w="1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20"/>
        </w:trPr>
        <w:tc>
          <w:tcPr>
            <w:tcW w:w="37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Automotive</w:t>
            </w:r>
          </w:p>
        </w:tc>
        <w:tc>
          <w:tcPr>
            <w:tcW w:w="138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w:t>
            </w:r>
          </w:p>
        </w:tc>
        <w:tc>
          <w:tcPr>
            <w:tcW w:w="54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Beverage, food, and tobacco</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6.4%</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10.5%</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Chemicals</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1.4%</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1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Containers and packaging</w:t>
            </w:r>
          </w:p>
        </w:tc>
        <w:tc>
          <w:tcPr>
            <w:tcW w:w="1380" w:type="dxa"/>
            <w:vAlign w:val="bottom"/>
          </w:tcPr>
          <w:p>
            <w:pPr>
              <w:spacing w:after="0"/>
              <w:rPr>
                <w:sz w:val="18"/>
                <w:szCs w:val="18"/>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Education</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2.1%</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Electronics</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5.8%</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10.3%</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Healthcare and pharmaceuticals</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16.2%</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6.2%</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Human resource support services</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7.6%</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Internet services</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4.0%</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1.7%</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Metals and mining</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1.6%</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Office products</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2.8%</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Oil, gas and consumable fuels</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8.1%</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0.4%</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Retail</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3.1%</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1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5.2%</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w:t>
            </w:r>
          </w:p>
        </w:tc>
        <w:tc>
          <w:tcPr>
            <w:tcW w:w="138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8"/>
                <w:szCs w:val="18"/>
                <w:color w:val="auto"/>
              </w:rPr>
              <w:t>100.0%</w:t>
            </w:r>
          </w:p>
        </w:tc>
        <w:tc>
          <w:tcPr>
            <w:tcW w:w="54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77"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classify the industries of our portfolio companies by end-market (such as healthcare and pharmaceuticals, and business services) and not by the product or services (such as software) directed to those end-markets.</w:t>
      </w:r>
    </w:p>
    <w:p>
      <w:pPr>
        <w:spacing w:after="0" w:line="17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geographic composition of investments at fair value at March 31, 2015 and December 31, 2014 was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42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March 31, 2015</w:t>
            </w:r>
          </w:p>
        </w:tc>
        <w:tc>
          <w:tcPr>
            <w:tcW w:w="1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96"/>
        </w:trPr>
        <w:tc>
          <w:tcPr>
            <w:tcW w:w="2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25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180"/>
              <w:spacing w:after="0"/>
              <w:rPr>
                <w:sz w:val="20"/>
                <w:szCs w:val="20"/>
                <w:color w:val="auto"/>
              </w:rPr>
            </w:pPr>
            <w:r>
              <w:rPr>
                <w:rFonts w:ascii="Arial" w:cs="Arial" w:eastAsia="Arial" w:hAnsi="Arial"/>
                <w:sz w:val="18"/>
                <w:szCs w:val="18"/>
                <w:color w:val="auto"/>
              </w:rPr>
              <w:t>Midwest</w:t>
            </w:r>
          </w:p>
        </w:tc>
        <w:tc>
          <w:tcPr>
            <w:tcW w:w="4200" w:type="dxa"/>
            <w:vAlign w:val="bottom"/>
            <w:gridSpan w:val="3"/>
          </w:tcPr>
          <w:p>
            <w:pPr>
              <w:jc w:val="right"/>
              <w:ind w:right="520"/>
              <w:spacing w:after="0"/>
              <w:rPr>
                <w:sz w:val="20"/>
                <w:szCs w:val="20"/>
                <w:color w:val="auto"/>
              </w:rPr>
            </w:pPr>
            <w:r>
              <w:rPr>
                <w:rFonts w:ascii="Arial" w:cs="Arial" w:eastAsia="Arial" w:hAnsi="Arial"/>
                <w:sz w:val="18"/>
                <w:szCs w:val="18"/>
                <w:color w:val="auto"/>
              </w:rPr>
              <w:t>12.4%</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Northeast</w:t>
            </w:r>
          </w:p>
        </w:tc>
        <w:tc>
          <w:tcPr>
            <w:tcW w:w="42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21.6%</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580" w:type="dxa"/>
            <w:vAlign w:val="bottom"/>
          </w:tcPr>
          <w:p>
            <w:pPr>
              <w:ind w:left="180"/>
              <w:spacing w:after="0"/>
              <w:rPr>
                <w:sz w:val="20"/>
                <w:szCs w:val="20"/>
                <w:color w:val="auto"/>
              </w:rPr>
            </w:pPr>
            <w:r>
              <w:rPr>
                <w:rFonts w:ascii="Arial" w:cs="Arial" w:eastAsia="Arial" w:hAnsi="Arial"/>
                <w:sz w:val="18"/>
                <w:szCs w:val="18"/>
                <w:color w:val="auto"/>
              </w:rPr>
              <w:t>South</w:t>
            </w:r>
          </w:p>
        </w:tc>
        <w:tc>
          <w:tcPr>
            <w:tcW w:w="4200" w:type="dxa"/>
            <w:vAlign w:val="bottom"/>
            <w:gridSpan w:val="3"/>
          </w:tcPr>
          <w:p>
            <w:pPr>
              <w:jc w:val="right"/>
              <w:ind w:right="520"/>
              <w:spacing w:after="0"/>
              <w:rPr>
                <w:sz w:val="20"/>
                <w:szCs w:val="20"/>
                <w:color w:val="auto"/>
              </w:rPr>
            </w:pPr>
            <w:r>
              <w:rPr>
                <w:rFonts w:ascii="Arial" w:cs="Arial" w:eastAsia="Arial" w:hAnsi="Arial"/>
                <w:sz w:val="18"/>
                <w:szCs w:val="18"/>
                <w:color w:val="auto"/>
              </w:rPr>
              <w:t>23.8%</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West</w:t>
            </w:r>
          </w:p>
        </w:tc>
        <w:tc>
          <w:tcPr>
            <w:tcW w:w="42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29.0%</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Canada</w:t>
            </w:r>
          </w:p>
        </w:tc>
        <w:tc>
          <w:tcPr>
            <w:tcW w:w="4200" w:type="dxa"/>
            <w:vAlign w:val="bottom"/>
            <w:gridSpan w:val="3"/>
          </w:tcPr>
          <w:p>
            <w:pPr>
              <w:jc w:val="right"/>
              <w:ind w:right="520"/>
              <w:spacing w:after="0"/>
              <w:rPr>
                <w:sz w:val="20"/>
                <w:szCs w:val="20"/>
                <w:color w:val="auto"/>
              </w:rPr>
            </w:pPr>
            <w:r>
              <w:rPr>
                <w:rFonts w:ascii="Arial" w:cs="Arial" w:eastAsia="Arial" w:hAnsi="Arial"/>
                <w:sz w:val="18"/>
                <w:szCs w:val="18"/>
                <w:color w:val="auto"/>
              </w:rPr>
              <w:t>2.2%</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5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11.0%</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258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w:t>
            </w:r>
          </w:p>
        </w:tc>
        <w:tc>
          <w:tcPr>
            <w:tcW w:w="258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80" w:type="dxa"/>
            <w:vAlign w:val="bottom"/>
            <w:vMerge w:val="continue"/>
          </w:tcPr>
          <w:p>
            <w:pPr>
              <w:spacing w:after="0"/>
              <w:rPr>
                <w:sz w:val="19"/>
                <w:szCs w:val="19"/>
                <w:color w:val="auto"/>
              </w:rPr>
            </w:pPr>
          </w:p>
        </w:tc>
        <w:tc>
          <w:tcPr>
            <w:tcW w:w="2580" w:type="dxa"/>
            <w:vAlign w:val="bottom"/>
            <w:vMerge w:val="continue"/>
          </w:tcPr>
          <w:p>
            <w:pPr>
              <w:spacing w:after="0"/>
              <w:rPr>
                <w:sz w:val="19"/>
                <w:szCs w:val="19"/>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8"/>
                <w:szCs w:val="18"/>
                <w:color w:val="auto"/>
              </w:rPr>
              <w:t>100.0%</w:t>
            </w:r>
          </w:p>
        </w:tc>
        <w:tc>
          <w:tcPr>
            <w:tcW w:w="54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580" w:type="dxa"/>
            <w:vAlign w:val="bottom"/>
            <w:vMerge w:val="restart"/>
          </w:tcPr>
          <w:p>
            <w:pPr>
              <w:jc w:val="right"/>
              <w:ind w:right="613"/>
              <w:spacing w:after="0"/>
              <w:rPr>
                <w:sz w:val="20"/>
                <w:szCs w:val="20"/>
                <w:color w:val="auto"/>
              </w:rPr>
            </w:pPr>
            <w:r>
              <w:rPr>
                <w:rFonts w:ascii="Arial" w:cs="Arial" w:eastAsia="Arial" w:hAnsi="Arial"/>
                <w:sz w:val="18"/>
                <w:szCs w:val="18"/>
                <w:color w:val="auto"/>
              </w:rPr>
              <w:t>102</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58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459" w:right="6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Commitments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2015 and December 31, 2014, we had the following commitments to fund investments: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320" w:type="dxa"/>
            <w:vAlign w:val="bottom"/>
          </w:tcPr>
          <w:p>
            <w:pPr>
              <w:spacing w:after="0"/>
              <w:rPr>
                <w:sz w:val="20"/>
                <w:szCs w:val="20"/>
                <w:color w:val="auto"/>
              </w:rPr>
            </w:pPr>
            <w:r>
              <w:rPr>
                <w:rFonts w:ascii="Arial" w:cs="Arial" w:eastAsia="Arial" w:hAnsi="Arial"/>
                <w:sz w:val="14"/>
                <w:szCs w:val="14"/>
                <w:color w:val="auto"/>
              </w:rPr>
              <w:t>($ in millions)</w:t>
            </w:r>
          </w:p>
        </w:tc>
        <w:tc>
          <w:tcPr>
            <w:tcW w:w="1880" w:type="dxa"/>
            <w:vAlign w:val="bottom"/>
            <w:gridSpan w:val="3"/>
          </w:tcPr>
          <w:p>
            <w:pPr>
              <w:ind w:left="920"/>
              <w:spacing w:after="0"/>
              <w:rPr>
                <w:sz w:val="20"/>
                <w:szCs w:val="20"/>
                <w:color w:val="auto"/>
              </w:rPr>
            </w:pPr>
            <w:r>
              <w:rPr>
                <w:rFonts w:ascii="Arial" w:cs="Arial" w:eastAsia="Arial" w:hAnsi="Arial"/>
                <w:sz w:val="14"/>
                <w:szCs w:val="14"/>
                <w:b w:val="1"/>
                <w:bCs w:val="1"/>
                <w:color w:val="auto"/>
                <w:w w:val="94"/>
              </w:rPr>
              <w:t>March 31, 2015</w:t>
            </w:r>
          </w:p>
        </w:tc>
        <w:tc>
          <w:tcPr>
            <w:tcW w:w="24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2014</w:t>
            </w: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revolving loan commitments</w:t>
            </w:r>
          </w:p>
        </w:tc>
        <w:tc>
          <w:tcPr>
            <w:tcW w:w="9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9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2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Portfolio Company Commitments</w:t>
            </w: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68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121"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As a BDC, we must offer significant managerial assistance to our portfolio companies. This assistance can involve monitoring the operations of our portfolio companies, participating in board and management meetings, consulting with and advising officers of portfolio companies and providing other organizational and financial guidance. We may receive fees for these services and reimburse the Adviser for its allocated costs in providing this assistance, subject to the review and approval by our Board, including our Independent Directors. See “Regulation.”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compete for investments with a number of BDCs and other investment funds (including private equity funds and venture capital funds), special purpose acquisition company sponsors, investment banks with underwriting activities, hedge funds that invest in private investments in public equities, traditional financial services companies such as commercial banks, and other sources of financing. Many of these entities have greater financial and managerial resources than we do. In addition, many of our competitors are not subject to the regulatory restrictions that the 1940 Act imposes on us as a BDC. For additional information concerning the competitive risks we expect to face, see “Risk Factors—Risks Related to Our Business and Structure—We operate in a highly competitive market for investment opportunities.”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Each of our executive officers is an employee of our Adviser or its affiliates. We do not currently have any employees and do not expect to have any employees. Individuals who are employees of our Adviser or its affiliates provide services necessary for our business under the terms of the Investment Advisory Agreement and the Administration Agreement. Our day-to-day investment operations are managed by our Adviser and the services necessary for the origination and administration of our investment portfolio are provided by investment professionals employed by our Adviser or its affiliates. Our Investment Team focuses on origination and transaction development and the ongoing monitoring of our investments. In addition, we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maintain our principal executive office at 301 Commerce Street, Suite 3300, Fort Worth, TX 76102. We do not own any real estate.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and the Adviser are not currently subject to any material legal proceedings, and, to our knowledge, no material legal proceeding is threatened against 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229"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table set forth below contains certain information as of March 31, 2015 for each portfolio company in which we had an investment. Other than these investments, our only formal relationships with our portfolio companies are the managerial assistance that we may provide upon request and any board observer or participation rights we may receive in connection with our investment. In this table, we have further specified our descriptions of certain investments to indicate whether they are first-lien or second-lien. We either originated or purchased in the secondary market the loans and securities in our current portfolio.</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Investments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Automotive</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Heartland Automotive Holdings, LLC</w:t>
      </w:r>
      <w:r>
        <w:rPr>
          <w:rFonts w:ascii="Arial" w:cs="Arial" w:eastAsia="Arial" w:hAnsi="Arial"/>
          <w:sz w:val="14"/>
          <w:szCs w:val="14"/>
          <w:color w:val="auto"/>
        </w:rPr>
        <w:t>(3)</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Beverage, food and tobacco</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0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Investment</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Initial</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Amortized</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Fair</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08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1"/>
              </w:rPr>
              <w:t>Cost</w:t>
            </w:r>
            <w:r>
              <w:rPr>
                <w:rFonts w:ascii="Arial" w:cs="Arial" w:eastAsia="Arial" w:hAnsi="Arial"/>
                <w:sz w:val="12"/>
                <w:szCs w:val="12"/>
                <w:b w:val="1"/>
                <w:bCs w:val="1"/>
                <w:color w:val="auto"/>
                <w:w w:val="91"/>
              </w:rPr>
              <w:t>(2)</w:t>
            </w:r>
          </w:p>
        </w:tc>
        <w:tc>
          <w:tcPr>
            <w:tcW w:w="11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0"/>
              </w:rPr>
              <w:t>Value</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3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(Par amounts in</w:t>
            </w:r>
          </w:p>
        </w:tc>
        <w:tc>
          <w:tcPr>
            <w:tcW w:w="6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Interest</w:t>
            </w:r>
          </w:p>
        </w:tc>
        <w:tc>
          <w:tcPr>
            <w:tcW w:w="260" w:type="dxa"/>
            <w:vAlign w:val="bottom"/>
            <w:vMerge w:val="restart"/>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 amounts in</w:t>
            </w: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 amounts in</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thousands)</w:t>
            </w:r>
          </w:p>
        </w:tc>
        <w:tc>
          <w:tcPr>
            <w:tcW w:w="140" w:type="dxa"/>
            <w:vAlign w:val="bottom"/>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26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thousands)</w:t>
            </w:r>
          </w:p>
        </w:tc>
        <w:tc>
          <w:tcPr>
            <w:tcW w:w="24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thousands)</w:t>
            </w:r>
          </w:p>
        </w:tc>
        <w:tc>
          <w:tcPr>
            <w:tcW w:w="24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 Net Assets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274320</wp:posOffset>
            </wp:positionV>
            <wp:extent cx="7246620" cy="2400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24003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-8255</wp:posOffset>
            </wp:positionV>
            <wp:extent cx="7246620" cy="146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r>
              <w:rPr>
                <w:rFonts w:ascii="Arial" w:cs="Arial" w:eastAsia="Arial" w:hAnsi="Arial"/>
                <w:sz w:val="18"/>
                <w:szCs w:val="18"/>
                <w:color w:val="auto"/>
                <w:w w:val="94"/>
              </w:rPr>
              <w:t>First-lien loan ($32,826 par, due 6/2017)</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9.75%</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8/28/2012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32,383</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29,872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First-lien revolving loan</w:t>
            </w: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040" w:type="dxa"/>
            <w:vAlign w:val="bottom"/>
          </w:tcPr>
          <w:p>
            <w:pPr>
              <w:spacing w:after="0"/>
              <w:rPr>
                <w:sz w:val="20"/>
                <w:szCs w:val="20"/>
                <w:color w:val="auto"/>
              </w:rPr>
            </w:pPr>
            <w:r>
              <w:rPr>
                <w:rFonts w:ascii="Arial" w:cs="Arial" w:eastAsia="Arial" w:hAnsi="Arial"/>
                <w:sz w:val="18"/>
                <w:szCs w:val="18"/>
                <w:color w:val="auto"/>
              </w:rPr>
              <w:t>($4,278 par, due 6/2017)</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10.75%</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8/28/2012</w:t>
            </w: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4,207</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3,778</w:t>
            </w:r>
          </w:p>
        </w:tc>
        <w:tc>
          <w:tcPr>
            <w:tcW w:w="24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36,590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33,650</w:t>
            </w:r>
          </w:p>
        </w:tc>
        <w:tc>
          <w:tcPr>
            <w:tcW w:w="240" w:type="dxa"/>
            <w:vAlign w:val="bottom"/>
            <w:vMerge w:val="continue"/>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-145415</wp:posOffset>
            </wp:positionV>
            <wp:extent cx="724662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8" w:lineRule="exact"/>
        <w:rPr>
          <w:sz w:val="20"/>
          <w:szCs w:val="20"/>
          <w:color w:val="auto"/>
        </w:rPr>
      </w:pPr>
    </w:p>
    <w:p>
      <w:pPr>
        <w:sectPr>
          <w:pgSz w:w="11900" w:h="16838" w:orient="portrait"/>
          <w:cols w:equalWidth="0" w:num="2">
            <w:col w:w="2940" w:space="220"/>
            <w:col w:w="826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AFS Technologies, Inc.</w:t>
            </w:r>
            <w:r>
              <w:rPr>
                <w:rFonts w:ascii="Arial" w:cs="Arial" w:eastAsia="Arial" w:hAnsi="Arial"/>
                <w:sz w:val="15"/>
                <w:szCs w:val="15"/>
                <w:color w:val="auto"/>
              </w:rPr>
              <w:t>(3)(4)(6)</w:t>
            </w:r>
          </w:p>
        </w:tc>
        <w:tc>
          <w:tcPr>
            <w:tcW w:w="31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First-lien loan ($64,098 par, due 3/2020)</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6.25%</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3/3/2014</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62,856</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62,816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3"/>
        </w:trPr>
        <w:tc>
          <w:tcPr>
            <w:tcW w:w="3020" w:type="dxa"/>
            <w:vAlign w:val="bottom"/>
          </w:tcPr>
          <w:p>
            <w:pPr>
              <w:spacing w:after="0" w:line="203" w:lineRule="exact"/>
              <w:rPr>
                <w:sz w:val="20"/>
                <w:szCs w:val="20"/>
                <w:color w:val="auto"/>
              </w:rPr>
            </w:pPr>
            <w:r>
              <w:rPr>
                <w:rFonts w:ascii="Arial" w:cs="Arial" w:eastAsia="Arial" w:hAnsi="Arial"/>
                <w:sz w:val="18"/>
                <w:szCs w:val="18"/>
                <w:color w:val="auto"/>
                <w:w w:val="98"/>
              </w:rPr>
              <w:t>Great Atlantic &amp; Pacific Tea Co. Inc.</w:t>
            </w:r>
            <w:r>
              <w:rPr>
                <w:rFonts w:ascii="Arial" w:cs="Arial" w:eastAsia="Arial" w:hAnsi="Arial"/>
                <w:sz w:val="15"/>
                <w:szCs w:val="15"/>
                <w:color w:val="auto"/>
                <w:w w:val="98"/>
              </w:rPr>
              <w:t>(3)</w:t>
            </w:r>
          </w:p>
        </w:tc>
        <w:tc>
          <w:tcPr>
            <w:tcW w:w="3180" w:type="dxa"/>
            <w:vAlign w:val="bottom"/>
            <w:vMerge w:val="restart"/>
          </w:tcPr>
          <w:p>
            <w:pPr>
              <w:ind w:left="140"/>
              <w:spacing w:after="0"/>
              <w:rPr>
                <w:sz w:val="20"/>
                <w:szCs w:val="20"/>
                <w:color w:val="auto"/>
              </w:rPr>
            </w:pPr>
            <w:r>
              <w:rPr>
                <w:rFonts w:ascii="Arial" w:cs="Arial" w:eastAsia="Arial" w:hAnsi="Arial"/>
                <w:sz w:val="18"/>
                <w:szCs w:val="18"/>
                <w:color w:val="auto"/>
                <w:w w:val="94"/>
              </w:rPr>
              <w:t>First-lien loan ($22,574 par, due 9/2019)</w:t>
            </w:r>
          </w:p>
        </w:tc>
        <w:tc>
          <w:tcPr>
            <w:tcW w:w="820" w:type="dxa"/>
            <w:vAlign w:val="bottom"/>
            <w:vMerge w:val="restart"/>
          </w:tcPr>
          <w:p>
            <w:pPr>
              <w:jc w:val="right"/>
              <w:ind w:right="70"/>
              <w:spacing w:after="0"/>
              <w:rPr>
                <w:sz w:val="20"/>
                <w:szCs w:val="20"/>
                <w:color w:val="auto"/>
              </w:rPr>
            </w:pPr>
            <w:r>
              <w:rPr>
                <w:rFonts w:ascii="Arial" w:cs="Arial" w:eastAsia="Arial" w:hAnsi="Arial"/>
                <w:sz w:val="18"/>
                <w:szCs w:val="18"/>
                <w:color w:val="auto"/>
              </w:rPr>
              <w:t>9.85%</w:t>
            </w:r>
          </w:p>
        </w:tc>
        <w:tc>
          <w:tcPr>
            <w:tcW w:w="1220" w:type="dxa"/>
            <w:vAlign w:val="bottom"/>
            <w:vMerge w:val="restart"/>
          </w:tcPr>
          <w:p>
            <w:pPr>
              <w:jc w:val="right"/>
              <w:ind w:right="170"/>
              <w:spacing w:after="0"/>
              <w:rPr>
                <w:sz w:val="20"/>
                <w:szCs w:val="20"/>
                <w:color w:val="auto"/>
              </w:rPr>
            </w:pPr>
            <w:r>
              <w:rPr>
                <w:rFonts w:ascii="Arial" w:cs="Arial" w:eastAsia="Arial" w:hAnsi="Arial"/>
                <w:sz w:val="18"/>
                <w:szCs w:val="18"/>
                <w:color w:val="auto"/>
              </w:rPr>
              <w:t>9/17/2014</w:t>
            </w:r>
          </w:p>
        </w:tc>
        <w:tc>
          <w:tcPr>
            <w:tcW w:w="10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22,231</w:t>
            </w: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22,405</w:t>
            </w:r>
          </w:p>
        </w:tc>
        <w:tc>
          <w:tcPr>
            <w:tcW w:w="10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75"/>
        </w:trPr>
        <w:tc>
          <w:tcPr>
            <w:tcW w:w="3020" w:type="dxa"/>
            <w:vAlign w:val="bottom"/>
          </w:tcPr>
          <w:p>
            <w:pPr>
              <w:ind w:left="180"/>
              <w:spacing w:after="0"/>
              <w:rPr>
                <w:sz w:val="20"/>
                <w:szCs w:val="20"/>
                <w:color w:val="auto"/>
              </w:rPr>
            </w:pPr>
            <w:r>
              <w:rPr>
                <w:rFonts w:ascii="Arial" w:cs="Arial" w:eastAsia="Arial" w:hAnsi="Arial"/>
                <w:sz w:val="15"/>
                <w:szCs w:val="15"/>
                <w:color w:val="auto"/>
              </w:rPr>
              <w:t>(4)</w:t>
            </w:r>
          </w:p>
        </w:tc>
        <w:tc>
          <w:tcPr>
            <w:tcW w:w="31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85,087</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85,221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3020" w:type="dxa"/>
            <w:vAlign w:val="bottom"/>
          </w:tcPr>
          <w:p>
            <w:pPr>
              <w:ind w:left="360"/>
              <w:spacing w:after="0"/>
              <w:rPr>
                <w:sz w:val="20"/>
                <w:szCs w:val="20"/>
                <w:color w:val="auto"/>
              </w:rPr>
            </w:pPr>
            <w:r>
              <w:rPr>
                <w:rFonts w:ascii="Arial" w:cs="Arial" w:eastAsia="Arial" w:hAnsi="Arial"/>
                <w:sz w:val="18"/>
                <w:szCs w:val="18"/>
                <w:b w:val="1"/>
                <w:bCs w:val="1"/>
                <w:color w:val="auto"/>
              </w:rPr>
              <w:t>Business services</w:t>
            </w:r>
          </w:p>
        </w:tc>
        <w:tc>
          <w:tcPr>
            <w:tcW w:w="3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Actian Corporation</w:t>
            </w:r>
            <w:r>
              <w:rPr>
                <w:rFonts w:ascii="Arial" w:cs="Arial" w:eastAsia="Arial" w:hAnsi="Arial"/>
                <w:sz w:val="15"/>
                <w:szCs w:val="15"/>
                <w:color w:val="auto"/>
              </w:rPr>
              <w:t>(3)(4)(6)</w:t>
            </w:r>
          </w:p>
        </w:tc>
        <w:tc>
          <w:tcPr>
            <w:tcW w:w="31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First-lien loan ($62,915 par, due 4/2018)</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7.50%</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4/11/2013</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61,394</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63,387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Leaf US Holdings, Inc.</w:t>
            </w:r>
            <w:r>
              <w:rPr>
                <w:rFonts w:ascii="Arial" w:cs="Arial" w:eastAsia="Arial" w:hAnsi="Arial"/>
                <w:sz w:val="15"/>
                <w:szCs w:val="15"/>
                <w:color w:val="auto"/>
              </w:rPr>
              <w:t>(3)(4)(5)</w:t>
            </w:r>
          </w:p>
        </w:tc>
        <w:tc>
          <w:tcPr>
            <w:tcW w:w="3180" w:type="dxa"/>
            <w:vAlign w:val="bottom"/>
          </w:tcPr>
          <w:p>
            <w:pPr>
              <w:ind w:left="140"/>
              <w:spacing w:after="0"/>
              <w:rPr>
                <w:sz w:val="20"/>
                <w:szCs w:val="20"/>
                <w:color w:val="auto"/>
              </w:rPr>
            </w:pPr>
            <w:r>
              <w:rPr>
                <w:rFonts w:ascii="Arial" w:cs="Arial" w:eastAsia="Arial" w:hAnsi="Arial"/>
                <w:sz w:val="18"/>
                <w:szCs w:val="18"/>
                <w:color w:val="auto"/>
                <w:w w:val="94"/>
              </w:rPr>
              <w:t>First-lien loan ($29,376 par, due 6/2019)</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7.50%</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6/30/2014</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28,793</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28,984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Network Merchants, Inc</w:t>
            </w:r>
            <w:r>
              <w:rPr>
                <w:rFonts w:ascii="Arial" w:cs="Arial" w:eastAsia="Arial" w:hAnsi="Arial"/>
                <w:sz w:val="15"/>
                <w:szCs w:val="15"/>
                <w:color w:val="auto"/>
              </w:rPr>
              <w:t>(3)(4)</w:t>
            </w:r>
          </w:p>
        </w:tc>
        <w:tc>
          <w:tcPr>
            <w:tcW w:w="31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First-lien loan ($29,659 par, due 9/2018)</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8.75%</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9/12/2013</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29,230</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29,582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2"/>
        </w:trPr>
        <w:tc>
          <w:tcPr>
            <w:tcW w:w="3020" w:type="dxa"/>
            <w:vAlign w:val="bottom"/>
          </w:tcPr>
          <w:p>
            <w:pPr>
              <w:spacing w:after="0" w:line="201" w:lineRule="exact"/>
              <w:rPr>
                <w:sz w:val="20"/>
                <w:szCs w:val="20"/>
                <w:color w:val="auto"/>
              </w:rPr>
            </w:pPr>
            <w:r>
              <w:rPr>
                <w:rFonts w:ascii="Arial" w:cs="Arial" w:eastAsia="Arial" w:hAnsi="Arial"/>
                <w:sz w:val="18"/>
                <w:szCs w:val="18"/>
                <w:color w:val="auto"/>
              </w:rPr>
              <w:t>ScentAir Technologies, Inc</w:t>
            </w:r>
            <w:r>
              <w:rPr>
                <w:rFonts w:ascii="Arial" w:cs="Arial" w:eastAsia="Arial" w:hAnsi="Arial"/>
                <w:sz w:val="15"/>
                <w:szCs w:val="15"/>
                <w:color w:val="auto"/>
              </w:rPr>
              <w:t>(3)(4)</w:t>
            </w:r>
          </w:p>
        </w:tc>
        <w:tc>
          <w:tcPr>
            <w:tcW w:w="3180" w:type="dxa"/>
            <w:vAlign w:val="bottom"/>
          </w:tcPr>
          <w:p>
            <w:pPr>
              <w:ind w:left="140"/>
              <w:spacing w:after="0" w:line="201" w:lineRule="exact"/>
              <w:rPr>
                <w:sz w:val="20"/>
                <w:szCs w:val="20"/>
                <w:color w:val="auto"/>
              </w:rPr>
            </w:pPr>
            <w:r>
              <w:rPr>
                <w:rFonts w:ascii="Arial" w:cs="Arial" w:eastAsia="Arial" w:hAnsi="Arial"/>
                <w:sz w:val="18"/>
                <w:szCs w:val="18"/>
                <w:color w:val="auto"/>
              </w:rPr>
              <w:t>First-lien loan ($17,143 par,</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3180" w:type="dxa"/>
            <w:vAlign w:val="bottom"/>
          </w:tcPr>
          <w:p>
            <w:pPr>
              <w:ind w:left="140"/>
              <w:spacing w:after="0"/>
              <w:rPr>
                <w:sz w:val="20"/>
                <w:szCs w:val="20"/>
                <w:color w:val="auto"/>
              </w:rPr>
            </w:pPr>
            <w:r>
              <w:rPr>
                <w:rFonts w:ascii="Arial" w:cs="Arial" w:eastAsia="Arial" w:hAnsi="Arial"/>
                <w:sz w:val="18"/>
                <w:szCs w:val="18"/>
                <w:color w:val="auto"/>
              </w:rPr>
              <w:t>due 12/2019)</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7.50%</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12/30/2014</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16,737</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16,862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136,154</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138,815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3"/>
        </w:trPr>
        <w:tc>
          <w:tcPr>
            <w:tcW w:w="3020" w:type="dxa"/>
            <w:vAlign w:val="bottom"/>
          </w:tcPr>
          <w:p>
            <w:pPr>
              <w:ind w:left="360"/>
              <w:spacing w:after="0"/>
              <w:rPr>
                <w:sz w:val="20"/>
                <w:szCs w:val="20"/>
                <w:color w:val="auto"/>
              </w:rPr>
            </w:pPr>
            <w:r>
              <w:rPr>
                <w:rFonts w:ascii="Arial" w:cs="Arial" w:eastAsia="Arial" w:hAnsi="Arial"/>
                <w:sz w:val="18"/>
                <w:szCs w:val="18"/>
                <w:b w:val="1"/>
                <w:bCs w:val="1"/>
                <w:color w:val="auto"/>
              </w:rPr>
              <w:t>Chemicals</w:t>
            </w:r>
          </w:p>
        </w:tc>
        <w:tc>
          <w:tcPr>
            <w:tcW w:w="3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Vertellus Specialties, Inc.</w:t>
            </w:r>
            <w:r>
              <w:rPr>
                <w:rFonts w:ascii="Arial" w:cs="Arial" w:eastAsia="Arial" w:hAnsi="Arial"/>
                <w:sz w:val="15"/>
                <w:szCs w:val="15"/>
                <w:color w:val="auto"/>
              </w:rPr>
              <w:t>(3)(4)</w:t>
            </w:r>
          </w:p>
        </w:tc>
        <w:tc>
          <w:tcPr>
            <w:tcW w:w="31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First-lien loan ($19,900 par,</w:t>
            </w:r>
          </w:p>
        </w:tc>
        <w:tc>
          <w:tcPr>
            <w:tcW w:w="8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spacing w:after="0"/>
              <w:rPr>
                <w:sz w:val="20"/>
                <w:szCs w:val="20"/>
                <w:color w:val="auto"/>
              </w:rPr>
            </w:pPr>
          </w:p>
        </w:tc>
        <w:tc>
          <w:tcPr>
            <w:tcW w:w="3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due 10/2019)</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10.50%</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10/31/2014</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19,246</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17,562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65"/>
        </w:trPr>
        <w:tc>
          <w:tcPr>
            <w:tcW w:w="3020" w:type="dxa"/>
            <w:vAlign w:val="bottom"/>
          </w:tcPr>
          <w:p>
            <w:pPr>
              <w:spacing w:after="0"/>
              <w:rPr>
                <w:sz w:val="24"/>
                <w:szCs w:val="24"/>
                <w:color w:val="auto"/>
              </w:rPr>
            </w:pPr>
          </w:p>
        </w:tc>
        <w:tc>
          <w:tcPr>
            <w:tcW w:w="3180" w:type="dxa"/>
            <w:vAlign w:val="bottom"/>
          </w:tcPr>
          <w:p>
            <w:pPr>
              <w:ind w:left="2560"/>
              <w:spacing w:after="0"/>
              <w:rPr>
                <w:sz w:val="20"/>
                <w:szCs w:val="20"/>
                <w:color w:val="auto"/>
              </w:rPr>
            </w:pPr>
            <w:r>
              <w:rPr>
                <w:rFonts w:ascii="Arial" w:cs="Arial" w:eastAsia="Arial" w:hAnsi="Arial"/>
                <w:sz w:val="18"/>
                <w:szCs w:val="18"/>
                <w:color w:val="auto"/>
              </w:rPr>
              <w:t>104</w:t>
            </w: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Investment</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Initial</w:t>
            </w:r>
          </w:p>
        </w:tc>
        <w:tc>
          <w:tcPr>
            <w:tcW w:w="14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1"/>
              </w:rPr>
              <w:t>Cost</w:t>
            </w:r>
            <w:r>
              <w:rPr>
                <w:rFonts w:ascii="Arial" w:cs="Arial" w:eastAsia="Arial" w:hAnsi="Arial"/>
                <w:sz w:val="12"/>
                <w:szCs w:val="12"/>
                <w:b w:val="1"/>
                <w:bCs w:val="1"/>
                <w:color w:val="auto"/>
                <w:w w:val="91"/>
              </w:rPr>
              <w:t>(2)</w:t>
            </w:r>
          </w:p>
        </w:tc>
        <w:tc>
          <w:tcPr>
            <w:tcW w:w="160" w:type="dxa"/>
            <w:vAlign w:val="bottom"/>
          </w:tcPr>
          <w:p>
            <w:pPr>
              <w:spacing w:after="0"/>
              <w:rPr>
                <w:sz w:val="12"/>
                <w:szCs w:val="12"/>
                <w:color w:val="auto"/>
              </w:rPr>
            </w:pPr>
          </w:p>
        </w:tc>
        <w:tc>
          <w:tcPr>
            <w:tcW w:w="114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6"/>
              </w:rPr>
              <w:t>Value</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3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1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(Par amounts in</w:t>
            </w:r>
          </w:p>
        </w:tc>
        <w:tc>
          <w:tcPr>
            <w:tcW w:w="12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Interest</w:t>
            </w: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4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 amounts in</w:t>
            </w:r>
          </w:p>
        </w:tc>
        <w:tc>
          <w:tcPr>
            <w:tcW w:w="16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 amounts in</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740" w:type="dxa"/>
            <w:vAlign w:val="bottom"/>
            <w:gridSpan w:val="2"/>
            <w:vMerge w:val="continue"/>
          </w:tcPr>
          <w:p>
            <w:pPr>
              <w:spacing w:after="0"/>
              <w:rPr>
                <w:sz w:val="15"/>
                <w:szCs w:val="15"/>
                <w:color w:val="auto"/>
              </w:rPr>
            </w:pPr>
          </w:p>
        </w:tc>
        <w:tc>
          <w:tcPr>
            <w:tcW w:w="1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thousands)</w:t>
            </w:r>
          </w:p>
        </w:tc>
        <w:tc>
          <w:tcPr>
            <w:tcW w:w="1240" w:type="dxa"/>
            <w:vAlign w:val="bottom"/>
            <w:gridSpan w:val="2"/>
            <w:vMerge w:val="continue"/>
          </w:tcPr>
          <w:p>
            <w:pPr>
              <w:spacing w:after="0"/>
              <w:rPr>
                <w:sz w:val="15"/>
                <w:szCs w:val="15"/>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Date</w:t>
            </w:r>
          </w:p>
        </w:tc>
        <w:tc>
          <w:tcPr>
            <w:tcW w:w="140" w:type="dxa"/>
            <w:vAlign w:val="bottom"/>
          </w:tcPr>
          <w:p>
            <w:pPr>
              <w:spacing w:after="0"/>
              <w:rPr>
                <w:sz w:val="15"/>
                <w:szCs w:val="15"/>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thousands)</w:t>
            </w:r>
          </w:p>
        </w:tc>
        <w:tc>
          <w:tcPr>
            <w:tcW w:w="16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thousands)</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10"/>
        </w:trPr>
        <w:tc>
          <w:tcPr>
            <w:tcW w:w="35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Education</w:t>
            </w:r>
          </w:p>
        </w:tc>
        <w:tc>
          <w:tcPr>
            <w:tcW w:w="2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40" w:type="dxa"/>
            <w:vAlign w:val="bottom"/>
            <w:gridSpan w:val="2"/>
          </w:tcPr>
          <w:p>
            <w:pPr>
              <w:spacing w:after="0" w:line="201" w:lineRule="exact"/>
              <w:rPr>
                <w:sz w:val="20"/>
                <w:szCs w:val="20"/>
                <w:color w:val="auto"/>
              </w:rPr>
            </w:pPr>
            <w:r>
              <w:rPr>
                <w:rFonts w:ascii="Arial" w:cs="Arial" w:eastAsia="Arial" w:hAnsi="Arial"/>
                <w:sz w:val="18"/>
                <w:szCs w:val="18"/>
                <w:color w:val="auto"/>
              </w:rPr>
              <w:t>Campus Management, Inc.</w:t>
            </w:r>
            <w:r>
              <w:rPr>
                <w:rFonts w:ascii="Arial" w:cs="Arial" w:eastAsia="Arial" w:hAnsi="Arial"/>
                <w:sz w:val="15"/>
                <w:szCs w:val="15"/>
                <w:color w:val="auto"/>
              </w:rPr>
              <w:t>(3)(4)(6)</w:t>
            </w:r>
          </w:p>
        </w:tc>
        <w:tc>
          <w:tcPr>
            <w:tcW w:w="196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($27,590</w:t>
            </w: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par, due 9/2018)</w:t>
            </w:r>
          </w:p>
        </w:tc>
        <w:tc>
          <w:tcPr>
            <w:tcW w:w="960" w:type="dxa"/>
            <w:vAlign w:val="bottom"/>
          </w:tcPr>
          <w:p>
            <w:pPr>
              <w:jc w:val="right"/>
              <w:spacing w:after="0"/>
              <w:rPr>
                <w:sz w:val="20"/>
                <w:szCs w:val="20"/>
                <w:color w:val="auto"/>
              </w:rPr>
            </w:pPr>
            <w:r>
              <w:rPr>
                <w:rFonts w:ascii="Arial" w:cs="Arial" w:eastAsia="Arial" w:hAnsi="Arial"/>
                <w:sz w:val="18"/>
                <w:szCs w:val="18"/>
                <w:color w:val="auto"/>
              </w:rPr>
              <w:t>8.75%</w:t>
            </w:r>
          </w:p>
        </w:tc>
        <w:tc>
          <w:tcPr>
            <w:tcW w:w="2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9/30/2013</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   27,080</w:t>
            </w: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   27,590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Electronics</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40" w:type="dxa"/>
            <w:vAlign w:val="bottom"/>
            <w:gridSpan w:val="2"/>
          </w:tcPr>
          <w:p>
            <w:pPr>
              <w:spacing w:after="0" w:line="201" w:lineRule="exact"/>
              <w:rPr>
                <w:sz w:val="20"/>
                <w:szCs w:val="20"/>
                <w:color w:val="auto"/>
              </w:rPr>
            </w:pPr>
            <w:r>
              <w:rPr>
                <w:rFonts w:ascii="Arial" w:cs="Arial" w:eastAsia="Arial" w:hAnsi="Arial"/>
                <w:sz w:val="18"/>
                <w:szCs w:val="18"/>
                <w:color w:val="auto"/>
              </w:rPr>
              <w:t>MyAlarm Center,</w:t>
            </w:r>
          </w:p>
        </w:tc>
        <w:tc>
          <w:tcPr>
            <w:tcW w:w="196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w:t>
            </w: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LLC</w:t>
            </w:r>
            <w:r>
              <w:rPr>
                <w:rFonts w:ascii="Arial" w:cs="Arial" w:eastAsia="Arial" w:hAnsi="Arial"/>
                <w:sz w:val="15"/>
                <w:szCs w:val="15"/>
                <w:color w:val="auto"/>
              </w:rPr>
              <w:t>(3)(4)</w:t>
            </w:r>
          </w:p>
        </w:tc>
        <w:tc>
          <w:tcPr>
            <w:tcW w:w="1960" w:type="dxa"/>
            <w:vAlign w:val="bottom"/>
            <w:gridSpan w:val="2"/>
          </w:tcPr>
          <w:p>
            <w:pPr>
              <w:spacing w:after="0"/>
              <w:rPr>
                <w:sz w:val="20"/>
                <w:szCs w:val="20"/>
                <w:color w:val="auto"/>
              </w:rPr>
            </w:pPr>
            <w:r>
              <w:rPr>
                <w:rFonts w:ascii="Arial" w:cs="Arial" w:eastAsia="Arial" w:hAnsi="Arial"/>
                <w:sz w:val="18"/>
                <w:szCs w:val="18"/>
                <w:color w:val="auto"/>
              </w:rPr>
              <w:t>($63,859 par,</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due 1/2018)</w:t>
            </w:r>
          </w:p>
        </w:tc>
        <w:tc>
          <w:tcPr>
            <w:tcW w:w="960" w:type="dxa"/>
            <w:vAlign w:val="bottom"/>
          </w:tcPr>
          <w:p>
            <w:pPr>
              <w:jc w:val="right"/>
              <w:spacing w:after="0"/>
              <w:rPr>
                <w:sz w:val="20"/>
                <w:szCs w:val="20"/>
                <w:color w:val="auto"/>
              </w:rPr>
            </w:pPr>
            <w:r>
              <w:rPr>
                <w:rFonts w:ascii="Arial" w:cs="Arial" w:eastAsia="Arial" w:hAnsi="Arial"/>
                <w:sz w:val="18"/>
                <w:szCs w:val="18"/>
                <w:color w:val="auto"/>
              </w:rPr>
              <w:t>8.50%</w:t>
            </w:r>
          </w:p>
        </w:tc>
        <w:tc>
          <w:tcPr>
            <w:tcW w:w="2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1/9/2014</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63,074</w:t>
            </w: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63,375</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2"/>
        </w:trPr>
        <w:tc>
          <w:tcPr>
            <w:tcW w:w="3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MyAlarm Center, LLC</w:t>
            </w:r>
          </w:p>
        </w:tc>
        <w:tc>
          <w:tcPr>
            <w:tcW w:w="1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16.25%</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Mezzanine loan ($4,887</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(incl. 4.25%</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5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7/2018)</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PIK)</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1/9/2014</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4,851</w:t>
            </w: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4,862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2"/>
        </w:trPr>
        <w:tc>
          <w:tcPr>
            <w:tcW w:w="3740" w:type="dxa"/>
            <w:vAlign w:val="bottom"/>
            <w:gridSpan w:val="2"/>
          </w:tcPr>
          <w:p>
            <w:pPr>
              <w:spacing w:after="0" w:line="201" w:lineRule="exact"/>
              <w:rPr>
                <w:sz w:val="20"/>
                <w:szCs w:val="20"/>
                <w:color w:val="auto"/>
              </w:rPr>
            </w:pPr>
            <w:r>
              <w:rPr>
                <w:rFonts w:ascii="Arial" w:cs="Arial" w:eastAsia="Arial" w:hAnsi="Arial"/>
                <w:sz w:val="18"/>
                <w:szCs w:val="18"/>
                <w:color w:val="auto"/>
              </w:rPr>
              <w:t>APX Group Inc.</w:t>
            </w:r>
          </w:p>
        </w:tc>
        <w:tc>
          <w:tcPr>
            <w:tcW w:w="1960" w:type="dxa"/>
            <w:vAlign w:val="bottom"/>
            <w:gridSpan w:val="2"/>
          </w:tcPr>
          <w:p>
            <w:pPr>
              <w:spacing w:after="0" w:line="201" w:lineRule="exact"/>
              <w:rPr>
                <w:sz w:val="20"/>
                <w:szCs w:val="20"/>
                <w:color w:val="auto"/>
              </w:rPr>
            </w:pPr>
            <w:r>
              <w:rPr>
                <w:rFonts w:ascii="Arial" w:cs="Arial" w:eastAsia="Arial" w:hAnsi="Arial"/>
                <w:sz w:val="18"/>
                <w:szCs w:val="18"/>
                <w:color w:val="auto"/>
              </w:rPr>
              <w:t>Senior notes 8.75%</w:t>
            </w: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($10,000 par,</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due 12/2020)</w:t>
            </w:r>
          </w:p>
        </w:tc>
        <w:tc>
          <w:tcPr>
            <w:tcW w:w="960" w:type="dxa"/>
            <w:vAlign w:val="bottom"/>
          </w:tcPr>
          <w:p>
            <w:pPr>
              <w:jc w:val="right"/>
              <w:spacing w:after="0"/>
              <w:rPr>
                <w:sz w:val="20"/>
                <w:szCs w:val="20"/>
                <w:color w:val="auto"/>
              </w:rPr>
            </w:pPr>
            <w:r>
              <w:rPr>
                <w:rFonts w:ascii="Arial" w:cs="Arial" w:eastAsia="Arial" w:hAnsi="Arial"/>
                <w:sz w:val="18"/>
                <w:szCs w:val="18"/>
                <w:color w:val="auto"/>
              </w:rPr>
              <w:t>8.75%</w:t>
            </w:r>
          </w:p>
        </w:tc>
        <w:tc>
          <w:tcPr>
            <w:tcW w:w="2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12/11/2014</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8,608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9,225</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76,533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77,462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2"/>
        </w:trPr>
        <w:tc>
          <w:tcPr>
            <w:tcW w:w="3740" w:type="dxa"/>
            <w:vAlign w:val="bottom"/>
            <w:gridSpan w:val="2"/>
          </w:tcPr>
          <w:p>
            <w:pPr>
              <w:ind w:left="360"/>
              <w:spacing w:after="0"/>
              <w:rPr>
                <w:sz w:val="20"/>
                <w:szCs w:val="20"/>
                <w:color w:val="auto"/>
              </w:rPr>
            </w:pPr>
            <w:r>
              <w:rPr>
                <w:rFonts w:ascii="Arial" w:cs="Arial" w:eastAsia="Arial" w:hAnsi="Arial"/>
                <w:sz w:val="18"/>
                <w:szCs w:val="18"/>
                <w:b w:val="1"/>
                <w:bCs w:val="1"/>
                <w:color w:val="auto"/>
              </w:rPr>
              <w:t>Financial services</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03"/>
        </w:trPr>
        <w:tc>
          <w:tcPr>
            <w:tcW w:w="3300" w:type="dxa"/>
            <w:vAlign w:val="bottom"/>
          </w:tcPr>
          <w:p>
            <w:pPr>
              <w:spacing w:after="0" w:line="203" w:lineRule="exact"/>
              <w:rPr>
                <w:sz w:val="20"/>
                <w:szCs w:val="20"/>
                <w:color w:val="auto"/>
              </w:rPr>
            </w:pPr>
            <w:r>
              <w:rPr>
                <w:rFonts w:ascii="Arial" w:cs="Arial" w:eastAsia="Arial" w:hAnsi="Arial"/>
                <w:sz w:val="18"/>
                <w:szCs w:val="18"/>
                <w:color w:val="auto"/>
              </w:rPr>
              <w:t>Embarcadero Technologies, Inc.</w:t>
            </w:r>
            <w:r>
              <w:rPr>
                <w:rFonts w:ascii="Arial" w:cs="Arial" w:eastAsia="Arial" w:hAnsi="Arial"/>
                <w:sz w:val="15"/>
                <w:szCs w:val="15"/>
                <w:color w:val="auto"/>
              </w:rPr>
              <w:t>(3)(4)(6)</w:t>
            </w:r>
          </w:p>
        </w:tc>
        <w:tc>
          <w:tcPr>
            <w:tcW w:w="1460" w:type="dxa"/>
            <w:vAlign w:val="bottom"/>
          </w:tcPr>
          <w:p>
            <w:pPr>
              <w:ind w:left="440"/>
              <w:spacing w:after="0" w:line="203" w:lineRule="exact"/>
              <w:rPr>
                <w:sz w:val="20"/>
                <w:szCs w:val="20"/>
                <w:color w:val="auto"/>
              </w:rPr>
            </w:pPr>
            <w:r>
              <w:rPr>
                <w:rFonts w:ascii="Arial" w:cs="Arial" w:eastAsia="Arial" w:hAnsi="Arial"/>
                <w:sz w:val="18"/>
                <w:szCs w:val="18"/>
                <w:color w:val="auto"/>
                <w:w w:val="92"/>
              </w:rPr>
              <w:t>First-lien loan</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460" w:type="dxa"/>
            <w:vAlign w:val="bottom"/>
          </w:tcPr>
          <w:p>
            <w:pPr>
              <w:ind w:left="440"/>
              <w:spacing w:after="0"/>
              <w:rPr>
                <w:sz w:val="20"/>
                <w:szCs w:val="20"/>
                <w:color w:val="auto"/>
              </w:rPr>
            </w:pPr>
            <w:r>
              <w:rPr>
                <w:rFonts w:ascii="Arial" w:cs="Arial" w:eastAsia="Arial" w:hAnsi="Arial"/>
                <w:sz w:val="18"/>
                <w:szCs w:val="18"/>
                <w:color w:val="auto"/>
                <w:w w:val="93"/>
              </w:rPr>
              <w:t>($39,684 par,</w:t>
            </w:r>
          </w:p>
        </w:tc>
        <w:tc>
          <w:tcPr>
            <w:tcW w:w="0" w:type="dxa"/>
            <w:vAlign w:val="bottom"/>
          </w:tcPr>
          <w:p>
            <w:pPr>
              <w:spacing w:after="0"/>
              <w:rPr>
                <w:sz w:val="1"/>
                <w:szCs w:val="1"/>
                <w:color w:val="auto"/>
              </w:rPr>
            </w:pPr>
          </w:p>
        </w:tc>
      </w:tr>
      <w:tr>
        <w:trPr>
          <w:trHeight w:val="230"/>
        </w:trPr>
        <w:tc>
          <w:tcPr>
            <w:tcW w:w="3300" w:type="dxa"/>
            <w:vAlign w:val="bottom"/>
            <w:vMerge w:val="restart"/>
          </w:tcPr>
          <w:p>
            <w:pPr>
              <w:spacing w:after="0"/>
              <w:rPr>
                <w:sz w:val="20"/>
                <w:szCs w:val="20"/>
                <w:color w:val="auto"/>
              </w:rPr>
            </w:pPr>
            <w:r>
              <w:rPr>
                <w:rFonts w:ascii="Arial" w:cs="Arial" w:eastAsia="Arial" w:hAnsi="Arial"/>
                <w:sz w:val="18"/>
                <w:szCs w:val="18"/>
                <w:color w:val="auto"/>
              </w:rPr>
              <w:t>PayLease, LLC</w:t>
            </w:r>
            <w:r>
              <w:rPr>
                <w:rFonts w:ascii="Arial" w:cs="Arial" w:eastAsia="Arial" w:hAnsi="Arial"/>
                <w:sz w:val="15"/>
                <w:szCs w:val="15"/>
                <w:color w:val="auto"/>
              </w:rPr>
              <w:t>(3)</w:t>
            </w:r>
          </w:p>
        </w:tc>
        <w:tc>
          <w:tcPr>
            <w:tcW w:w="1460" w:type="dxa"/>
            <w:vAlign w:val="bottom"/>
          </w:tcPr>
          <w:p>
            <w:pPr>
              <w:ind w:left="440"/>
              <w:spacing w:after="0"/>
              <w:rPr>
                <w:sz w:val="20"/>
                <w:szCs w:val="20"/>
                <w:color w:val="auto"/>
              </w:rPr>
            </w:pPr>
            <w:r>
              <w:rPr>
                <w:rFonts w:ascii="Arial" w:cs="Arial" w:eastAsia="Arial" w:hAnsi="Arial"/>
                <w:sz w:val="18"/>
                <w:szCs w:val="18"/>
                <w:color w:val="auto"/>
                <w:w w:val="94"/>
              </w:rPr>
              <w:t>due 12/2017)</w:t>
            </w:r>
          </w:p>
        </w:tc>
        <w:tc>
          <w:tcPr>
            <w:tcW w:w="0" w:type="dxa"/>
            <w:vAlign w:val="bottom"/>
          </w:tcPr>
          <w:p>
            <w:pPr>
              <w:spacing w:after="0"/>
              <w:rPr>
                <w:sz w:val="1"/>
                <w:szCs w:val="1"/>
                <w:color w:val="auto"/>
              </w:rPr>
            </w:pPr>
          </w:p>
        </w:tc>
      </w:tr>
      <w:tr>
        <w:trPr>
          <w:trHeight w:val="229"/>
        </w:trPr>
        <w:tc>
          <w:tcPr>
            <w:tcW w:w="3300" w:type="dxa"/>
            <w:vAlign w:val="bottom"/>
            <w:vMerge w:val="continue"/>
          </w:tcPr>
          <w:p>
            <w:pPr>
              <w:spacing w:after="0"/>
              <w:rPr>
                <w:sz w:val="19"/>
                <w:szCs w:val="19"/>
                <w:color w:val="auto"/>
              </w:rPr>
            </w:pPr>
          </w:p>
        </w:tc>
        <w:tc>
          <w:tcPr>
            <w:tcW w:w="1460" w:type="dxa"/>
            <w:vAlign w:val="bottom"/>
          </w:tcPr>
          <w:p>
            <w:pPr>
              <w:ind w:left="440"/>
              <w:spacing w:after="0"/>
              <w:rPr>
                <w:sz w:val="20"/>
                <w:szCs w:val="20"/>
                <w:color w:val="auto"/>
              </w:rPr>
            </w:pPr>
            <w:r>
              <w:rPr>
                <w:rFonts w:ascii="Arial" w:cs="Arial" w:eastAsia="Arial" w:hAnsi="Arial"/>
                <w:sz w:val="18"/>
                <w:szCs w:val="18"/>
                <w:color w:val="auto"/>
                <w:w w:val="92"/>
              </w:rPr>
              <w:t>First-lien loan</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460" w:type="dxa"/>
            <w:vAlign w:val="bottom"/>
          </w:tcPr>
          <w:p>
            <w:pPr>
              <w:ind w:left="440"/>
              <w:spacing w:after="0"/>
              <w:rPr>
                <w:sz w:val="20"/>
                <w:szCs w:val="20"/>
                <w:color w:val="auto"/>
              </w:rPr>
            </w:pPr>
            <w:r>
              <w:rPr>
                <w:rFonts w:ascii="Arial" w:cs="Arial" w:eastAsia="Arial" w:hAnsi="Arial"/>
                <w:sz w:val="18"/>
                <w:szCs w:val="18"/>
                <w:color w:val="auto"/>
                <w:w w:val="93"/>
              </w:rPr>
              <w:t>($33,000 par,</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460" w:type="dxa"/>
            <w:vAlign w:val="bottom"/>
          </w:tcPr>
          <w:p>
            <w:pPr>
              <w:ind w:left="440"/>
              <w:spacing w:after="0"/>
              <w:rPr>
                <w:sz w:val="20"/>
                <w:szCs w:val="20"/>
                <w:color w:val="auto"/>
              </w:rPr>
            </w:pPr>
            <w:r>
              <w:rPr>
                <w:rFonts w:ascii="Arial" w:cs="Arial" w:eastAsia="Arial" w:hAnsi="Arial"/>
                <w:sz w:val="18"/>
                <w:szCs w:val="18"/>
                <w:color w:val="auto"/>
              </w:rPr>
              <w:t>due 3/2020)</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Rogue Wave Holdings,</w:t>
            </w:r>
          </w:p>
        </w:tc>
        <w:tc>
          <w:tcPr>
            <w:tcW w:w="1460" w:type="dxa"/>
            <w:vAlign w:val="bottom"/>
          </w:tcPr>
          <w:p>
            <w:pPr>
              <w:ind w:left="440"/>
              <w:spacing w:after="0"/>
              <w:rPr>
                <w:sz w:val="20"/>
                <w:szCs w:val="20"/>
                <w:color w:val="auto"/>
              </w:rPr>
            </w:pPr>
            <w:r>
              <w:rPr>
                <w:rFonts w:ascii="Arial" w:cs="Arial" w:eastAsia="Arial" w:hAnsi="Arial"/>
                <w:sz w:val="18"/>
                <w:szCs w:val="18"/>
                <w:color w:val="auto"/>
                <w:w w:val="92"/>
              </w:rPr>
              <w:t>First-lien loan</w:t>
            </w:r>
          </w:p>
        </w:tc>
        <w:tc>
          <w:tcPr>
            <w:tcW w:w="0" w:type="dxa"/>
            <w:vAlign w:val="bottom"/>
          </w:tcPr>
          <w:p>
            <w:pPr>
              <w:spacing w:after="0"/>
              <w:rPr>
                <w:sz w:val="1"/>
                <w:szCs w:val="1"/>
                <w:color w:val="auto"/>
              </w:rPr>
            </w:pPr>
          </w:p>
        </w:tc>
      </w:tr>
      <w:tr>
        <w:trPr>
          <w:trHeight w:val="216"/>
        </w:trPr>
        <w:tc>
          <w:tcPr>
            <w:tcW w:w="3300" w:type="dxa"/>
            <w:vAlign w:val="bottom"/>
          </w:tcPr>
          <w:p>
            <w:pPr>
              <w:ind w:left="180"/>
              <w:spacing w:after="0"/>
              <w:rPr>
                <w:sz w:val="20"/>
                <w:szCs w:val="20"/>
                <w:color w:val="auto"/>
              </w:rPr>
            </w:pPr>
            <w:r>
              <w:rPr>
                <w:rFonts w:ascii="Arial" w:cs="Arial" w:eastAsia="Arial" w:hAnsi="Arial"/>
                <w:sz w:val="18"/>
                <w:szCs w:val="18"/>
                <w:color w:val="auto"/>
              </w:rPr>
              <w:t>Inc.</w:t>
            </w:r>
            <w:r>
              <w:rPr>
                <w:rFonts w:ascii="Arial" w:cs="Arial" w:eastAsia="Arial" w:hAnsi="Arial"/>
                <w:sz w:val="15"/>
                <w:szCs w:val="15"/>
                <w:color w:val="auto"/>
              </w:rPr>
              <w:t>(3)(4)(6)</w:t>
            </w:r>
          </w:p>
        </w:tc>
        <w:tc>
          <w:tcPr>
            <w:tcW w:w="1460" w:type="dxa"/>
            <w:vAlign w:val="bottom"/>
          </w:tcPr>
          <w:p>
            <w:pPr>
              <w:ind w:left="440"/>
              <w:spacing w:after="0"/>
              <w:rPr>
                <w:sz w:val="20"/>
                <w:szCs w:val="20"/>
                <w:color w:val="auto"/>
              </w:rPr>
            </w:pPr>
            <w:r>
              <w:rPr>
                <w:rFonts w:ascii="Arial" w:cs="Arial" w:eastAsia="Arial" w:hAnsi="Arial"/>
                <w:sz w:val="18"/>
                <w:szCs w:val="18"/>
                <w:color w:val="auto"/>
                <w:w w:val="93"/>
              </w:rPr>
              <w:t>($65,628 par,</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1460" w:type="dxa"/>
            <w:vAlign w:val="bottom"/>
          </w:tcPr>
          <w:p>
            <w:pPr>
              <w:ind w:left="440"/>
              <w:spacing w:after="0"/>
              <w:rPr>
                <w:sz w:val="20"/>
                <w:szCs w:val="20"/>
                <w:color w:val="auto"/>
              </w:rPr>
            </w:pPr>
            <w:r>
              <w:rPr>
                <w:rFonts w:ascii="Arial" w:cs="Arial" w:eastAsia="Arial" w:hAnsi="Arial"/>
                <w:sz w:val="18"/>
                <w:szCs w:val="18"/>
                <w:color w:val="auto"/>
                <w:w w:val="94"/>
              </w:rPr>
              <w:t>due 12/2018)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180" w:type="dxa"/>
        <w:tblCellMar>
          <w:top w:w="0" w:type="dxa"/>
          <w:left w:w="0" w:type="dxa"/>
          <w:bottom w:w="0" w:type="dxa"/>
          <w:right w:w="0" w:type="dxa"/>
        </w:tblCellMar>
      </w:tblPr>
      <w:tr>
        <w:trPr>
          <w:trHeight w:val="216"/>
        </w:trPr>
        <w:tc>
          <w:tcPr>
            <w:tcW w:w="1080" w:type="dxa"/>
            <w:vAlign w:val="bottom"/>
          </w:tcPr>
          <w:p>
            <w:pPr>
              <w:jc w:val="right"/>
              <w:ind w:right="90"/>
              <w:spacing w:after="0"/>
              <w:rPr>
                <w:sz w:val="20"/>
                <w:szCs w:val="20"/>
                <w:color w:val="auto"/>
              </w:rPr>
            </w:pPr>
            <w:r>
              <w:rPr>
                <w:rFonts w:ascii="Arial" w:cs="Arial" w:eastAsia="Arial" w:hAnsi="Arial"/>
                <w:sz w:val="18"/>
                <w:szCs w:val="18"/>
                <w:color w:val="auto"/>
              </w:rPr>
              <w:t>8.00%</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12/28/2012</w:t>
            </w:r>
          </w:p>
        </w:tc>
        <w:tc>
          <w:tcPr>
            <w:tcW w:w="860" w:type="dxa"/>
            <w:vAlign w:val="bottom"/>
          </w:tcPr>
          <w:p>
            <w:pPr>
              <w:jc w:val="right"/>
              <w:spacing w:after="0"/>
              <w:rPr>
                <w:sz w:val="20"/>
                <w:szCs w:val="20"/>
                <w:color w:val="auto"/>
              </w:rPr>
            </w:pPr>
            <w:r>
              <w:rPr>
                <w:rFonts w:ascii="Arial" w:cs="Arial" w:eastAsia="Arial" w:hAnsi="Arial"/>
                <w:sz w:val="18"/>
                <w:szCs w:val="18"/>
                <w:color w:val="auto"/>
              </w:rPr>
              <w:t>39,082</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40,080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080" w:type="dxa"/>
            <w:vAlign w:val="bottom"/>
          </w:tcPr>
          <w:p>
            <w:pPr>
              <w:jc w:val="right"/>
              <w:ind w:right="90"/>
              <w:spacing w:after="0"/>
              <w:rPr>
                <w:sz w:val="20"/>
                <w:szCs w:val="20"/>
                <w:color w:val="auto"/>
              </w:rPr>
            </w:pPr>
            <w:r>
              <w:rPr>
                <w:rFonts w:ascii="Arial" w:cs="Arial" w:eastAsia="Arial" w:hAnsi="Arial"/>
                <w:sz w:val="18"/>
                <w:szCs w:val="18"/>
                <w:color w:val="auto"/>
              </w:rPr>
              <w:t>10.00%</w:t>
            </w: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jc w:val="right"/>
              <w:ind w:right="90"/>
              <w:spacing w:after="0"/>
              <w:rPr>
                <w:sz w:val="20"/>
                <w:szCs w:val="20"/>
                <w:color w:val="auto"/>
              </w:rPr>
            </w:pPr>
            <w:r>
              <w:rPr>
                <w:rFonts w:ascii="Arial" w:cs="Arial" w:eastAsia="Arial" w:hAnsi="Arial"/>
                <w:sz w:val="18"/>
                <w:szCs w:val="18"/>
                <w:color w:val="auto"/>
                <w:w w:val="93"/>
              </w:rPr>
              <w:t>(incl. 2.50%</w:t>
            </w: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080" w:type="dxa"/>
            <w:vAlign w:val="bottom"/>
          </w:tcPr>
          <w:p>
            <w:pPr>
              <w:jc w:val="right"/>
              <w:ind w:right="90"/>
              <w:spacing w:after="0"/>
              <w:rPr>
                <w:sz w:val="20"/>
                <w:szCs w:val="20"/>
                <w:color w:val="auto"/>
              </w:rPr>
            </w:pPr>
            <w:r>
              <w:rPr>
                <w:rFonts w:ascii="Arial" w:cs="Arial" w:eastAsia="Arial" w:hAnsi="Arial"/>
                <w:sz w:val="18"/>
                <w:szCs w:val="18"/>
                <w:color w:val="auto"/>
              </w:rPr>
              <w:t>PIK)</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3/6/2015</w:t>
            </w:r>
          </w:p>
        </w:tc>
        <w:tc>
          <w:tcPr>
            <w:tcW w:w="860" w:type="dxa"/>
            <w:vAlign w:val="bottom"/>
          </w:tcPr>
          <w:p>
            <w:pPr>
              <w:jc w:val="right"/>
              <w:spacing w:after="0"/>
              <w:rPr>
                <w:sz w:val="20"/>
                <w:szCs w:val="20"/>
                <w:color w:val="auto"/>
              </w:rPr>
            </w:pPr>
            <w:r>
              <w:rPr>
                <w:rFonts w:ascii="Arial" w:cs="Arial" w:eastAsia="Arial" w:hAnsi="Arial"/>
                <w:sz w:val="18"/>
                <w:szCs w:val="18"/>
                <w:color w:val="auto"/>
              </w:rPr>
              <w:t>32,247</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32,240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662"/>
        </w:trPr>
        <w:tc>
          <w:tcPr>
            <w:tcW w:w="1080" w:type="dxa"/>
            <w:vAlign w:val="bottom"/>
          </w:tcPr>
          <w:p>
            <w:pPr>
              <w:jc w:val="right"/>
              <w:ind w:right="90"/>
              <w:spacing w:after="0"/>
              <w:rPr>
                <w:sz w:val="20"/>
                <w:szCs w:val="20"/>
                <w:color w:val="auto"/>
              </w:rPr>
            </w:pPr>
            <w:r>
              <w:rPr>
                <w:rFonts w:ascii="Arial" w:cs="Arial" w:eastAsia="Arial" w:hAnsi="Arial"/>
                <w:sz w:val="18"/>
                <w:szCs w:val="18"/>
                <w:color w:val="auto"/>
              </w:rPr>
              <w:t>7.50%</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11/21/2012</w:t>
            </w:r>
          </w:p>
        </w:tc>
        <w:tc>
          <w:tcPr>
            <w:tcW w:w="860" w:type="dxa"/>
            <w:vAlign w:val="bottom"/>
          </w:tcPr>
          <w:p>
            <w:pPr>
              <w:jc w:val="right"/>
              <w:spacing w:after="0"/>
              <w:rPr>
                <w:sz w:val="20"/>
                <w:szCs w:val="20"/>
                <w:color w:val="auto"/>
              </w:rPr>
            </w:pPr>
            <w:r>
              <w:rPr>
                <w:rFonts w:ascii="Arial" w:cs="Arial" w:eastAsia="Arial" w:hAnsi="Arial"/>
                <w:sz w:val="18"/>
                <w:szCs w:val="18"/>
                <w:color w:val="auto"/>
              </w:rPr>
              <w:t>64,573</w:t>
            </w:r>
          </w:p>
        </w:tc>
        <w:tc>
          <w:tcPr>
            <w:tcW w:w="300" w:type="dxa"/>
            <w:vAlign w:val="bottom"/>
          </w:tcPr>
          <w:p>
            <w:pPr>
              <w:spacing w:after="0"/>
              <w:rPr>
                <w:sz w:val="24"/>
                <w:szCs w:val="2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64,972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135,902</w:t>
            </w:r>
          </w:p>
        </w:tc>
        <w:tc>
          <w:tcPr>
            <w:tcW w:w="300" w:type="dxa"/>
            <w:vAlign w:val="bottom"/>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137,292</w:t>
            </w:r>
          </w:p>
        </w:tc>
        <w:tc>
          <w:tcPr>
            <w:tcW w:w="300" w:type="dxa"/>
            <w:vAlign w:val="bottom"/>
            <w:vMerge w:val="continue"/>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-1423035</wp:posOffset>
            </wp:positionV>
            <wp:extent cx="7246620" cy="4203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-582295</wp:posOffset>
            </wp:positionV>
            <wp:extent cx="7246620" cy="4203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105</w:t>
      </w:r>
    </w:p>
    <w:p>
      <w:pPr>
        <w:sectPr>
          <w:pgSz w:w="11900" w:h="16838" w:orient="portrait"/>
          <w:cols w:equalWidth="0" w:num="2">
            <w:col w:w="4860" w:space="720"/>
            <w:col w:w="5840"/>
          </w:cols>
          <w:pgMar w:left="240" w:top="459" w:right="239" w:bottom="1440" w:gutter="0" w:footer="0" w:header="0"/>
          <w:type w:val="continuous"/>
        </w:sectPr>
      </w:pPr>
    </w:p>
    <w:bookmarkStart w:id="111" w:name="page112"/>
    <w:bookmarkEnd w:id="1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0" w:type="dxa"/>
            <w:vAlign w:val="bottom"/>
          </w:tcPr>
          <w:p>
            <w:pPr>
              <w:spacing w:after="0"/>
              <w:rPr>
                <w:sz w:val="1"/>
                <w:szCs w:val="1"/>
                <w:color w:val="auto"/>
              </w:rPr>
            </w:pPr>
          </w:p>
        </w:tc>
      </w:tr>
      <w:tr>
        <w:trPr>
          <w:trHeight w:val="149"/>
        </w:trPr>
        <w:tc>
          <w:tcPr>
            <w:tcW w:w="3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(Par amounts in</w:t>
            </w:r>
          </w:p>
        </w:tc>
        <w:tc>
          <w:tcPr>
            <w:tcW w:w="0" w:type="dxa"/>
            <w:vAlign w:val="bottom"/>
          </w:tcPr>
          <w:p>
            <w:pPr>
              <w:spacing w:after="0"/>
              <w:rPr>
                <w:sz w:val="1"/>
                <w:szCs w:val="1"/>
                <w:color w:val="auto"/>
              </w:rPr>
            </w:pPr>
          </w:p>
        </w:tc>
      </w:tr>
      <w:tr>
        <w:trPr>
          <w:trHeight w:val="185"/>
        </w:trPr>
        <w:tc>
          <w:tcPr>
            <w:tcW w:w="3740" w:type="dxa"/>
            <w:vAlign w:val="bottom"/>
            <w:gridSpan w:val="3"/>
            <w:vMerge w:val="continue"/>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b w:val="1"/>
                <w:bCs w:val="1"/>
                <w:color w:val="auto"/>
              </w:rPr>
              <w:t>Healthcare and pharmaceuticals</w:t>
            </w:r>
          </w:p>
        </w:tc>
        <w:tc>
          <w:tcPr>
            <w:tcW w:w="200" w:type="dxa"/>
            <w:vAlign w:val="bottom"/>
          </w:tcPr>
          <w:p>
            <w:pPr>
              <w:spacing w:after="0"/>
              <w:rPr>
                <w:sz w:val="16"/>
                <w:szCs w:val="16"/>
                <w:color w:val="auto"/>
              </w:rPr>
            </w:pPr>
          </w:p>
        </w:tc>
        <w:tc>
          <w:tcPr>
            <w:tcW w:w="1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rPr>
              <w:t>Aesynt Incorporated</w:t>
            </w:r>
            <w:r>
              <w:rPr>
                <w:rFonts w:ascii="Arial" w:cs="Arial" w:eastAsia="Arial" w:hAnsi="Arial"/>
                <w:sz w:val="15"/>
                <w:szCs w:val="15"/>
                <w:color w:val="auto"/>
              </w:rPr>
              <w:t>(3)(4)(6)</w:t>
            </w:r>
          </w:p>
        </w:tc>
        <w:tc>
          <w:tcPr>
            <w:tcW w:w="1760" w:type="dxa"/>
            <w:vAlign w:val="bottom"/>
          </w:tcPr>
          <w:p>
            <w:pPr>
              <w:spacing w:after="0"/>
              <w:rPr>
                <w:sz w:val="20"/>
                <w:szCs w:val="20"/>
                <w:color w:val="auto"/>
              </w:rPr>
            </w:pPr>
            <w:r>
              <w:rPr>
                <w:rFonts w:ascii="Arial" w:cs="Arial" w:eastAsia="Arial" w:hAnsi="Arial"/>
                <w:sz w:val="18"/>
                <w:szCs w:val="18"/>
                <w:color w:val="auto"/>
              </w:rPr>
              <w:t>First-lien loan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($34,344 par,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due 5/2019)</w:t>
            </w: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rPr>
              <w:t>Global Healthcare Exchange,</w:t>
            </w:r>
          </w:p>
        </w:tc>
        <w:tc>
          <w:tcPr>
            <w:tcW w:w="1760" w:type="dxa"/>
            <w:vAlign w:val="bottom"/>
          </w:tcPr>
          <w:p>
            <w:pPr>
              <w:spacing w:after="0"/>
              <w:rPr>
                <w:sz w:val="20"/>
                <w:szCs w:val="20"/>
                <w:color w:val="auto"/>
              </w:rPr>
            </w:pPr>
            <w:r>
              <w:rPr>
                <w:rFonts w:ascii="Arial" w:cs="Arial" w:eastAsia="Arial" w:hAnsi="Arial"/>
                <w:sz w:val="18"/>
                <w:szCs w:val="18"/>
                <w:color w:val="auto"/>
              </w:rPr>
              <w:t>First-lien loan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160"/>
              <w:spacing w:after="0"/>
              <w:rPr>
                <w:sz w:val="20"/>
                <w:szCs w:val="20"/>
                <w:color w:val="auto"/>
              </w:rPr>
            </w:pPr>
            <w:r>
              <w:rPr>
                <w:rFonts w:ascii="Arial" w:cs="Arial" w:eastAsia="Arial" w:hAnsi="Arial"/>
                <w:sz w:val="18"/>
                <w:szCs w:val="18"/>
                <w:color w:val="auto"/>
              </w:rPr>
              <w:t>Inc.</w:t>
            </w:r>
            <w:r>
              <w:rPr>
                <w:rFonts w:ascii="Arial" w:cs="Arial" w:eastAsia="Arial" w:hAnsi="Arial"/>
                <w:sz w:val="15"/>
                <w:szCs w:val="15"/>
                <w:color w:val="auto"/>
              </w:rPr>
              <w:t>(3)(4)</w:t>
            </w:r>
          </w:p>
        </w:tc>
        <w:tc>
          <w:tcPr>
            <w:tcW w:w="1760" w:type="dxa"/>
            <w:vAlign w:val="bottom"/>
          </w:tcPr>
          <w:p>
            <w:pPr>
              <w:spacing w:after="0"/>
              <w:rPr>
                <w:sz w:val="20"/>
                <w:szCs w:val="20"/>
                <w:color w:val="auto"/>
              </w:rPr>
            </w:pPr>
            <w:r>
              <w:rPr>
                <w:rFonts w:ascii="Arial" w:cs="Arial" w:eastAsia="Arial" w:hAnsi="Arial"/>
                <w:sz w:val="18"/>
                <w:szCs w:val="18"/>
                <w:color w:val="auto"/>
              </w:rPr>
              <w:t>($46,134 par,</w:t>
            </w:r>
          </w:p>
        </w:tc>
        <w:tc>
          <w:tcPr>
            <w:tcW w:w="0" w:type="dxa"/>
            <w:vAlign w:val="bottom"/>
          </w:tcPr>
          <w:p>
            <w:pPr>
              <w:spacing w:after="0"/>
              <w:rPr>
                <w:sz w:val="1"/>
                <w:szCs w:val="1"/>
                <w:color w:val="auto"/>
              </w:rPr>
            </w:pPr>
          </w:p>
        </w:tc>
      </w:tr>
      <w:tr>
        <w:trPr>
          <w:trHeight w:val="230"/>
        </w:trPr>
        <w:tc>
          <w:tcPr>
            <w:tcW w:w="3740" w:type="dxa"/>
            <w:vAlign w:val="bottom"/>
            <w:gridSpan w:val="3"/>
            <w:vMerge w:val="restart"/>
          </w:tcPr>
          <w:p>
            <w:pPr>
              <w:spacing w:after="0"/>
              <w:rPr>
                <w:sz w:val="20"/>
                <w:szCs w:val="20"/>
                <w:color w:val="auto"/>
              </w:rPr>
            </w:pPr>
            <w:r>
              <w:rPr>
                <w:rFonts w:ascii="Arial" w:cs="Arial" w:eastAsia="Arial" w:hAnsi="Arial"/>
                <w:sz w:val="18"/>
                <w:szCs w:val="18"/>
                <w:color w:val="auto"/>
              </w:rPr>
              <w:t>Helix Health, Ltd.</w:t>
            </w:r>
            <w:r>
              <w:rPr>
                <w:rFonts w:ascii="Arial" w:cs="Arial" w:eastAsia="Arial" w:hAnsi="Arial"/>
                <w:sz w:val="15"/>
                <w:szCs w:val="15"/>
                <w:color w:val="auto"/>
              </w:rPr>
              <w:t>(3)(5)</w:t>
            </w:r>
          </w:p>
        </w:tc>
        <w:tc>
          <w:tcPr>
            <w:tcW w:w="1760" w:type="dxa"/>
            <w:vAlign w:val="bottom"/>
          </w:tcPr>
          <w:p>
            <w:pPr>
              <w:spacing w:after="0"/>
              <w:rPr>
                <w:sz w:val="20"/>
                <w:szCs w:val="20"/>
                <w:color w:val="auto"/>
              </w:rPr>
            </w:pPr>
            <w:r>
              <w:rPr>
                <w:rFonts w:ascii="Arial" w:cs="Arial" w:eastAsia="Arial" w:hAnsi="Arial"/>
                <w:sz w:val="18"/>
                <w:szCs w:val="18"/>
                <w:color w:val="auto"/>
              </w:rPr>
              <w:t>due 3/2020)</w:t>
            </w:r>
          </w:p>
        </w:tc>
        <w:tc>
          <w:tcPr>
            <w:tcW w:w="0" w:type="dxa"/>
            <w:vAlign w:val="bottom"/>
          </w:tcPr>
          <w:p>
            <w:pPr>
              <w:spacing w:after="0"/>
              <w:rPr>
                <w:sz w:val="1"/>
                <w:szCs w:val="1"/>
                <w:color w:val="auto"/>
              </w:rPr>
            </w:pPr>
          </w:p>
        </w:tc>
      </w:tr>
      <w:tr>
        <w:trPr>
          <w:trHeight w:val="229"/>
        </w:trPr>
        <w:tc>
          <w:tcPr>
            <w:tcW w:w="3740" w:type="dxa"/>
            <w:vAlign w:val="bottom"/>
            <w:gridSpan w:val="3"/>
            <w:vMerge w:val="continue"/>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First-lien loan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(EUR 28,224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par, due 9/2019)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w w:val="94"/>
              </w:rPr>
              <w:t>First-lien revolving loan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(EUR 300 par,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due 9/2019)</w:t>
            </w: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rPr>
              <w:t>Mediware Information Systems, Inc.</w:t>
            </w:r>
            <w:r>
              <w:rPr>
                <w:rFonts w:ascii="Arial" w:cs="Arial" w:eastAsia="Arial" w:hAnsi="Arial"/>
                <w:sz w:val="15"/>
                <w:szCs w:val="15"/>
                <w:color w:val="auto"/>
              </w:rPr>
              <w:t>(3)(4)(6)</w:t>
            </w:r>
          </w:p>
        </w:tc>
        <w:tc>
          <w:tcPr>
            <w:tcW w:w="1760" w:type="dxa"/>
            <w:vAlign w:val="bottom"/>
          </w:tcPr>
          <w:p>
            <w:pPr>
              <w:spacing w:after="0"/>
              <w:rPr>
                <w:sz w:val="20"/>
                <w:szCs w:val="20"/>
                <w:color w:val="auto"/>
              </w:rPr>
            </w:pPr>
            <w:r>
              <w:rPr>
                <w:rFonts w:ascii="Arial" w:cs="Arial" w:eastAsia="Arial" w:hAnsi="Arial"/>
                <w:sz w:val="18"/>
                <w:szCs w:val="18"/>
                <w:color w:val="auto"/>
              </w:rPr>
              <w:t>First-lien loan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($68,948 par,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due 5/2018)</w:t>
            </w: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rPr>
              <w:t>SRS Software, LLC</w:t>
            </w:r>
            <w:r>
              <w:rPr>
                <w:rFonts w:ascii="Arial" w:cs="Arial" w:eastAsia="Arial" w:hAnsi="Arial"/>
                <w:sz w:val="15"/>
                <w:szCs w:val="15"/>
                <w:color w:val="auto"/>
              </w:rPr>
              <w:t>(3)(4)</w:t>
            </w:r>
          </w:p>
        </w:tc>
        <w:tc>
          <w:tcPr>
            <w:tcW w:w="1760" w:type="dxa"/>
            <w:vAlign w:val="bottom"/>
          </w:tcPr>
          <w:p>
            <w:pPr>
              <w:spacing w:after="0"/>
              <w:rPr>
                <w:sz w:val="20"/>
                <w:szCs w:val="20"/>
                <w:color w:val="auto"/>
              </w:rPr>
            </w:pPr>
            <w:r>
              <w:rPr>
                <w:rFonts w:ascii="Arial" w:cs="Arial" w:eastAsia="Arial" w:hAnsi="Arial"/>
                <w:sz w:val="18"/>
                <w:szCs w:val="18"/>
                <w:color w:val="auto"/>
              </w:rPr>
              <w:t>First-lien loan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($33,281 par, due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12/2017)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First-lien revolving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loan ($2,000 par,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due 12/2017)</w:t>
            </w:r>
          </w:p>
        </w:tc>
        <w:tc>
          <w:tcPr>
            <w:tcW w:w="0" w:type="dxa"/>
            <w:vAlign w:val="bottom"/>
          </w:tcPr>
          <w:p>
            <w:pPr>
              <w:spacing w:after="0"/>
              <w:rPr>
                <w:sz w:val="1"/>
                <w:szCs w:val="1"/>
                <w:color w:val="auto"/>
              </w:rPr>
            </w:pPr>
          </w:p>
        </w:tc>
      </w:tr>
      <w:tr>
        <w:trPr>
          <w:trHeight w:val="485"/>
        </w:trPr>
        <w:tc>
          <w:tcPr>
            <w:tcW w:w="20" w:type="dxa"/>
            <w:vAlign w:val="bottom"/>
          </w:tcPr>
          <w:p>
            <w:pPr>
              <w:spacing w:after="0"/>
              <w:rPr>
                <w:sz w:val="24"/>
                <w:szCs w:val="24"/>
                <w:color w:val="auto"/>
              </w:rPr>
            </w:pPr>
          </w:p>
        </w:tc>
        <w:tc>
          <w:tcPr>
            <w:tcW w:w="3720" w:type="dxa"/>
            <w:vAlign w:val="bottom"/>
            <w:gridSpan w:val="2"/>
          </w:tcPr>
          <w:p>
            <w:pPr>
              <w:ind w:left="340"/>
              <w:spacing w:after="0"/>
              <w:rPr>
                <w:sz w:val="20"/>
                <w:szCs w:val="20"/>
                <w:color w:val="auto"/>
              </w:rPr>
            </w:pPr>
            <w:r>
              <w:rPr>
                <w:rFonts w:ascii="Arial" w:cs="Arial" w:eastAsia="Arial" w:hAnsi="Arial"/>
                <w:sz w:val="18"/>
                <w:szCs w:val="18"/>
                <w:b w:val="1"/>
                <w:bCs w:val="1"/>
                <w:color w:val="auto"/>
              </w:rPr>
              <w:t>Hotel, gaming, and leisure</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Initial</w:t>
            </w: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Cost</w:t>
            </w:r>
            <w:r>
              <w:rPr>
                <w:rFonts w:ascii="Arial" w:cs="Arial" w:eastAsia="Arial" w:hAnsi="Arial"/>
                <w:sz w:val="12"/>
                <w:szCs w:val="12"/>
                <w:b w:val="1"/>
                <w:bCs w:val="1"/>
                <w:color w:val="auto"/>
                <w:w w:val="91"/>
              </w:rPr>
              <w:t>(2)</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Value</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9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Interest</w:t>
            </w:r>
          </w:p>
        </w:tc>
        <w:tc>
          <w:tcPr>
            <w:tcW w:w="280" w:type="dxa"/>
            <w:vAlign w:val="bottom"/>
            <w:vMerge w:val="restart"/>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 amounts in</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 amounts in</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6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3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thousands)</w:t>
            </w:r>
          </w:p>
        </w:tc>
        <w:tc>
          <w:tcPr>
            <w:tcW w:w="3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thousands)</w:t>
            </w:r>
          </w:p>
        </w:tc>
        <w:tc>
          <w:tcPr>
            <w:tcW w:w="3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 Net Assets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-8255</wp:posOffset>
            </wp:positionV>
            <wp:extent cx="7246620" cy="146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080" w:type="dxa"/>
            <w:vAlign w:val="bottom"/>
          </w:tcPr>
          <w:p>
            <w:pPr>
              <w:jc w:val="right"/>
              <w:ind w:right="90"/>
              <w:spacing w:after="0"/>
              <w:rPr>
                <w:sz w:val="20"/>
                <w:szCs w:val="20"/>
                <w:color w:val="auto"/>
              </w:rPr>
            </w:pPr>
            <w:r>
              <w:rPr>
                <w:rFonts w:ascii="Arial" w:cs="Arial" w:eastAsia="Arial" w:hAnsi="Arial"/>
                <w:sz w:val="18"/>
                <w:szCs w:val="18"/>
                <w:color w:val="auto"/>
              </w:rPr>
              <w:t>7.00%</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5/8/2014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33,542</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   33,485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647"/>
        </w:trPr>
        <w:tc>
          <w:tcPr>
            <w:tcW w:w="1080" w:type="dxa"/>
            <w:vAlign w:val="bottom"/>
          </w:tcPr>
          <w:p>
            <w:pPr>
              <w:jc w:val="right"/>
              <w:ind w:right="90"/>
              <w:spacing w:after="0"/>
              <w:rPr>
                <w:sz w:val="20"/>
                <w:szCs w:val="20"/>
                <w:color w:val="auto"/>
              </w:rPr>
            </w:pPr>
            <w:r>
              <w:rPr>
                <w:rFonts w:ascii="Arial" w:cs="Arial" w:eastAsia="Arial" w:hAnsi="Arial"/>
                <w:sz w:val="18"/>
                <w:szCs w:val="18"/>
                <w:color w:val="auto"/>
              </w:rPr>
              <w:t>8.50%</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3/11/2014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45,076</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45,272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080" w:type="dxa"/>
            <w:vAlign w:val="bottom"/>
          </w:tcPr>
          <w:p>
            <w:pPr>
              <w:jc w:val="right"/>
              <w:ind w:right="90"/>
              <w:spacing w:after="0"/>
              <w:rPr>
                <w:sz w:val="20"/>
                <w:szCs w:val="20"/>
                <w:color w:val="auto"/>
              </w:rPr>
            </w:pPr>
            <w:r>
              <w:rPr>
                <w:rFonts w:ascii="Arial" w:cs="Arial" w:eastAsia="Arial" w:hAnsi="Arial"/>
                <w:sz w:val="18"/>
                <w:szCs w:val="18"/>
                <w:color w:val="auto"/>
              </w:rPr>
              <w:t>11.50%</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jc w:val="right"/>
              <w:ind w:right="90"/>
              <w:spacing w:after="0"/>
              <w:rPr>
                <w:sz w:val="20"/>
                <w:szCs w:val="20"/>
                <w:color w:val="auto"/>
              </w:rPr>
            </w:pPr>
            <w:r>
              <w:rPr>
                <w:rFonts w:ascii="Arial" w:cs="Arial" w:eastAsia="Arial" w:hAnsi="Arial"/>
                <w:sz w:val="18"/>
                <w:szCs w:val="18"/>
                <w:color w:val="auto"/>
                <w:w w:val="93"/>
              </w:rPr>
              <w:t>(incl. 3.00%</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080" w:type="dxa"/>
            <w:vAlign w:val="bottom"/>
          </w:tcPr>
          <w:p>
            <w:pPr>
              <w:jc w:val="right"/>
              <w:ind w:right="90"/>
              <w:spacing w:after="0"/>
              <w:rPr>
                <w:sz w:val="20"/>
                <w:szCs w:val="20"/>
                <w:color w:val="auto"/>
              </w:rPr>
            </w:pPr>
            <w:r>
              <w:rPr>
                <w:rFonts w:ascii="Arial" w:cs="Arial" w:eastAsia="Arial" w:hAnsi="Arial"/>
                <w:sz w:val="18"/>
                <w:szCs w:val="18"/>
                <w:color w:val="auto"/>
              </w:rPr>
              <w:t>PIK)</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9/30/2014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34,051</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29,252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662"/>
        </w:trPr>
        <w:tc>
          <w:tcPr>
            <w:tcW w:w="1080" w:type="dxa"/>
            <w:vAlign w:val="bottom"/>
          </w:tcPr>
          <w:p>
            <w:pPr>
              <w:jc w:val="right"/>
              <w:ind w:right="90"/>
              <w:spacing w:after="0"/>
              <w:rPr>
                <w:sz w:val="20"/>
                <w:szCs w:val="20"/>
                <w:color w:val="auto"/>
              </w:rPr>
            </w:pPr>
            <w:r>
              <w:rPr>
                <w:rFonts w:ascii="Arial" w:cs="Arial" w:eastAsia="Arial" w:hAnsi="Arial"/>
                <w:sz w:val="18"/>
                <w:szCs w:val="18"/>
                <w:color w:val="auto"/>
              </w:rPr>
              <w:t>11.50%</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9/30/2014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228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662"/>
        </w:trPr>
        <w:tc>
          <w:tcPr>
            <w:tcW w:w="1080" w:type="dxa"/>
            <w:vAlign w:val="bottom"/>
          </w:tcPr>
          <w:p>
            <w:pPr>
              <w:jc w:val="right"/>
              <w:ind w:right="90"/>
              <w:spacing w:after="0"/>
              <w:rPr>
                <w:sz w:val="20"/>
                <w:szCs w:val="20"/>
                <w:color w:val="auto"/>
              </w:rPr>
            </w:pPr>
            <w:r>
              <w:rPr>
                <w:rFonts w:ascii="Arial" w:cs="Arial" w:eastAsia="Arial" w:hAnsi="Arial"/>
                <w:sz w:val="18"/>
                <w:szCs w:val="18"/>
                <w:color w:val="auto"/>
              </w:rPr>
              <w:t>7.00%</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11/9/2012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67,846</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69,637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648"/>
        </w:trPr>
        <w:tc>
          <w:tcPr>
            <w:tcW w:w="1080" w:type="dxa"/>
            <w:vAlign w:val="bottom"/>
          </w:tcPr>
          <w:p>
            <w:pPr>
              <w:jc w:val="right"/>
              <w:ind w:right="90"/>
              <w:spacing w:after="0"/>
              <w:rPr>
                <w:sz w:val="20"/>
                <w:szCs w:val="20"/>
                <w:color w:val="auto"/>
              </w:rPr>
            </w:pPr>
            <w:r>
              <w:rPr>
                <w:rFonts w:ascii="Arial" w:cs="Arial" w:eastAsia="Arial" w:hAnsi="Arial"/>
                <w:sz w:val="18"/>
                <w:szCs w:val="18"/>
                <w:color w:val="auto"/>
              </w:rPr>
              <w:t>8.75%</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12/28/2012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32,771</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33,448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648"/>
        </w:trPr>
        <w:tc>
          <w:tcPr>
            <w:tcW w:w="1080" w:type="dxa"/>
            <w:vAlign w:val="bottom"/>
          </w:tcPr>
          <w:p>
            <w:pPr>
              <w:jc w:val="right"/>
              <w:ind w:right="90"/>
              <w:spacing w:after="0"/>
              <w:rPr>
                <w:sz w:val="20"/>
                <w:szCs w:val="20"/>
                <w:color w:val="auto"/>
              </w:rPr>
            </w:pPr>
            <w:r>
              <w:rPr>
                <w:rFonts w:ascii="Arial" w:cs="Arial" w:eastAsia="Arial" w:hAnsi="Arial"/>
                <w:sz w:val="18"/>
                <w:szCs w:val="18"/>
                <w:color w:val="auto"/>
              </w:rPr>
              <w:t>8.75%</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12/28/2012</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1,938</w:t>
            </w:r>
          </w:p>
        </w:tc>
        <w:tc>
          <w:tcPr>
            <w:tcW w:w="300" w:type="dxa"/>
            <w:vAlign w:val="bottom"/>
          </w:tcPr>
          <w:p>
            <w:pPr>
              <w:spacing w:after="0"/>
              <w:rPr>
                <w:sz w:val="24"/>
                <w:szCs w:val="2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2,010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215,466</w:t>
            </w:r>
          </w:p>
        </w:tc>
        <w:tc>
          <w:tcPr>
            <w:tcW w:w="300" w:type="dxa"/>
            <w:vAlign w:val="bottom"/>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213,332</w:t>
            </w:r>
          </w:p>
        </w:tc>
        <w:tc>
          <w:tcPr>
            <w:tcW w:w="300" w:type="dxa"/>
            <w:vAlign w:val="bottom"/>
            <w:vMerge w:val="continue"/>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-2666365</wp:posOffset>
            </wp:positionV>
            <wp:extent cx="7246620" cy="4203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-1826260</wp:posOffset>
            </wp:positionV>
            <wp:extent cx="7246620" cy="4203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-985520</wp:posOffset>
            </wp:positionV>
            <wp:extent cx="7246620" cy="4114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-145415</wp:posOffset>
            </wp:positionV>
            <wp:extent cx="724662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9" w:lineRule="exact"/>
        <w:rPr>
          <w:sz w:val="20"/>
          <w:szCs w:val="20"/>
          <w:color w:val="auto"/>
        </w:rPr>
      </w:pPr>
    </w:p>
    <w:p>
      <w:pPr>
        <w:sectPr>
          <w:pgSz w:w="11900" w:h="16838" w:orient="portrait"/>
          <w:cols w:equalWidth="0" w:num="2">
            <w:col w:w="5500" w:space="200"/>
            <w:col w:w="57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34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Centaur, LLC</w:t>
            </w:r>
            <w:r>
              <w:rPr>
                <w:rFonts w:ascii="Arial" w:cs="Arial" w:eastAsia="Arial" w:hAnsi="Arial"/>
                <w:sz w:val="15"/>
                <w:szCs w:val="15"/>
                <w:color w:val="auto"/>
              </w:rPr>
              <w:t>(3)(4)</w:t>
            </w:r>
          </w:p>
        </w:tc>
        <w:tc>
          <w:tcPr>
            <w:tcW w:w="212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Second-lien loan</w:t>
            </w:r>
          </w:p>
        </w:tc>
        <w:tc>
          <w:tcPr>
            <w:tcW w:w="1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18"/>
                <w:szCs w:val="18"/>
                <w:color w:val="auto"/>
              </w:rPr>
            </w:pPr>
          </w:p>
        </w:tc>
        <w:tc>
          <w:tcPr>
            <w:tcW w:w="2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($10,000 par, due</w:t>
            </w:r>
          </w:p>
        </w:tc>
        <w:tc>
          <w:tcPr>
            <w:tcW w:w="1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spacing w:after="0"/>
              <w:rPr>
                <w:sz w:val="20"/>
                <w:szCs w:val="20"/>
                <w:color w:val="auto"/>
              </w:rPr>
            </w:pPr>
          </w:p>
        </w:tc>
        <w:tc>
          <w:tcPr>
            <w:tcW w:w="2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2/2020)</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8.75%</w:t>
            </w:r>
          </w:p>
        </w:tc>
        <w:tc>
          <w:tcPr>
            <w:tcW w:w="12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2/15/2013</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9,934</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10,075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2"/>
        </w:trPr>
        <w:tc>
          <w:tcPr>
            <w:tcW w:w="3400" w:type="dxa"/>
            <w:vAlign w:val="bottom"/>
          </w:tcPr>
          <w:p>
            <w:pPr>
              <w:spacing w:after="0" w:line="201" w:lineRule="exact"/>
              <w:rPr>
                <w:sz w:val="20"/>
                <w:szCs w:val="20"/>
                <w:color w:val="auto"/>
              </w:rPr>
            </w:pPr>
            <w:r>
              <w:rPr>
                <w:rFonts w:ascii="Arial" w:cs="Arial" w:eastAsia="Arial" w:hAnsi="Arial"/>
                <w:sz w:val="18"/>
                <w:szCs w:val="18"/>
                <w:color w:val="auto"/>
              </w:rPr>
              <w:t>IRG Sports &amp; Entertainment, LLC</w:t>
            </w:r>
            <w:r>
              <w:rPr>
                <w:rFonts w:ascii="Arial" w:cs="Arial" w:eastAsia="Arial" w:hAnsi="Arial"/>
                <w:sz w:val="15"/>
                <w:szCs w:val="15"/>
                <w:color w:val="auto"/>
              </w:rPr>
              <w:t>(3)(4)</w:t>
            </w:r>
          </w:p>
        </w:tc>
        <w:tc>
          <w:tcPr>
            <w:tcW w:w="2120" w:type="dxa"/>
            <w:vAlign w:val="bottom"/>
          </w:tcPr>
          <w:p>
            <w:pPr>
              <w:spacing w:after="0"/>
              <w:rPr>
                <w:sz w:val="17"/>
                <w:szCs w:val="17"/>
                <w:color w:val="auto"/>
              </w:rPr>
            </w:pPr>
          </w:p>
        </w:tc>
        <w:tc>
          <w:tcPr>
            <w:tcW w:w="136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12.00%</w:t>
            </w:r>
          </w:p>
        </w:tc>
        <w:tc>
          <w:tcPr>
            <w:tcW w:w="1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2120" w:type="dxa"/>
            <w:vAlign w:val="bottom"/>
          </w:tcPr>
          <w:p>
            <w:pPr>
              <w:ind w:left="340"/>
              <w:spacing w:after="0"/>
              <w:rPr>
                <w:sz w:val="20"/>
                <w:szCs w:val="20"/>
                <w:color w:val="auto"/>
              </w:rPr>
            </w:pPr>
            <w:r>
              <w:rPr>
                <w:rFonts w:ascii="Arial" w:cs="Arial" w:eastAsia="Arial" w:hAnsi="Arial"/>
                <w:sz w:val="18"/>
                <w:szCs w:val="18"/>
                <w:color w:val="auto"/>
                <w:w w:val="95"/>
              </w:rPr>
              <w:t>First-lien loan ($44,201</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(incl. 5.00%</w:t>
            </w: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400" w:type="dxa"/>
            <w:vAlign w:val="bottom"/>
          </w:tcPr>
          <w:p>
            <w:pPr>
              <w:spacing w:after="0"/>
              <w:rPr>
                <w:sz w:val="21"/>
                <w:szCs w:val="21"/>
                <w:color w:val="auto"/>
              </w:rPr>
            </w:pPr>
          </w:p>
        </w:tc>
        <w:tc>
          <w:tcPr>
            <w:tcW w:w="2120" w:type="dxa"/>
            <w:vAlign w:val="bottom"/>
          </w:tcPr>
          <w:p>
            <w:pPr>
              <w:ind w:left="340"/>
              <w:spacing w:after="0"/>
              <w:rPr>
                <w:sz w:val="20"/>
                <w:szCs w:val="20"/>
                <w:color w:val="auto"/>
              </w:rPr>
            </w:pPr>
            <w:r>
              <w:rPr>
                <w:rFonts w:ascii="Arial" w:cs="Arial" w:eastAsia="Arial" w:hAnsi="Arial"/>
                <w:sz w:val="18"/>
                <w:szCs w:val="18"/>
                <w:color w:val="auto"/>
              </w:rPr>
              <w:t>par, due 9/2019)</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PIK)</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9/30/2014</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41,720</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40,444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2"/>
        </w:trPr>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Soho House</w:t>
            </w:r>
            <w:r>
              <w:rPr>
                <w:rFonts w:ascii="Arial" w:cs="Arial" w:eastAsia="Arial" w:hAnsi="Arial"/>
                <w:sz w:val="15"/>
                <w:szCs w:val="15"/>
                <w:color w:val="auto"/>
              </w:rPr>
              <w:t>(5)</w:t>
            </w:r>
          </w:p>
        </w:tc>
        <w:tc>
          <w:tcPr>
            <w:tcW w:w="21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Second-lien bond (GBP</w:t>
            </w:r>
          </w:p>
        </w:tc>
        <w:tc>
          <w:tcPr>
            <w:tcW w:w="1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18"/>
                <w:szCs w:val="18"/>
                <w:color w:val="auto"/>
              </w:rPr>
            </w:pPr>
          </w:p>
        </w:tc>
        <w:tc>
          <w:tcPr>
            <w:tcW w:w="2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20,375 par,</w:t>
            </w:r>
          </w:p>
        </w:tc>
        <w:tc>
          <w:tcPr>
            <w:tcW w:w="1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spacing w:after="0"/>
              <w:rPr>
                <w:sz w:val="20"/>
                <w:szCs w:val="20"/>
                <w:color w:val="auto"/>
              </w:rPr>
            </w:pPr>
          </w:p>
        </w:tc>
        <w:tc>
          <w:tcPr>
            <w:tcW w:w="2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due 10/2018)</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9.13%</w:t>
            </w:r>
          </w:p>
        </w:tc>
        <w:tc>
          <w:tcPr>
            <w:tcW w:w="12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9/20/2013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33,252</w:t>
            </w:r>
          </w:p>
        </w:tc>
        <w:tc>
          <w:tcPr>
            <w:tcW w:w="3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31,759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84,906</w:t>
            </w:r>
          </w:p>
        </w:tc>
        <w:tc>
          <w:tcPr>
            <w:tcW w:w="300" w:type="dxa"/>
            <w:vAlign w:val="bottom"/>
            <w:vMerge w:val="continue"/>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82,278</w:t>
            </w:r>
          </w:p>
        </w:tc>
        <w:tc>
          <w:tcPr>
            <w:tcW w:w="30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Human Resource Support Services</w:t>
            </w:r>
          </w:p>
        </w:tc>
        <w:tc>
          <w:tcPr>
            <w:tcW w:w="2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0" w:type="dxa"/>
            <w:vAlign w:val="bottom"/>
          </w:tcPr>
          <w:p>
            <w:pPr>
              <w:spacing w:after="0" w:line="201" w:lineRule="exact"/>
              <w:rPr>
                <w:sz w:val="20"/>
                <w:szCs w:val="20"/>
                <w:color w:val="auto"/>
              </w:rPr>
            </w:pPr>
            <w:r>
              <w:rPr>
                <w:rFonts w:ascii="Arial" w:cs="Arial" w:eastAsia="Arial" w:hAnsi="Arial"/>
                <w:sz w:val="18"/>
                <w:szCs w:val="18"/>
                <w:color w:val="auto"/>
              </w:rPr>
              <w:t>Saba Software, Inc.</w:t>
            </w:r>
            <w:r>
              <w:rPr>
                <w:rFonts w:ascii="Arial" w:cs="Arial" w:eastAsia="Arial" w:hAnsi="Arial"/>
                <w:sz w:val="15"/>
                <w:szCs w:val="15"/>
                <w:color w:val="auto"/>
              </w:rPr>
              <w:t>(3)(6)</w:t>
            </w:r>
          </w:p>
        </w:tc>
        <w:tc>
          <w:tcPr>
            <w:tcW w:w="2120" w:type="dxa"/>
            <w:vAlign w:val="bottom"/>
          </w:tcPr>
          <w:p>
            <w:pPr>
              <w:ind w:left="340"/>
              <w:spacing w:after="0" w:line="201" w:lineRule="exact"/>
              <w:rPr>
                <w:sz w:val="20"/>
                <w:szCs w:val="20"/>
                <w:color w:val="auto"/>
              </w:rPr>
            </w:pPr>
            <w:r>
              <w:rPr>
                <w:rFonts w:ascii="Arial" w:cs="Arial" w:eastAsia="Arial" w:hAnsi="Arial"/>
                <w:sz w:val="18"/>
                <w:szCs w:val="18"/>
                <w:color w:val="auto"/>
                <w:w w:val="95"/>
              </w:rPr>
              <w:t>First-lien loan ($55,000</w:t>
            </w:r>
          </w:p>
        </w:tc>
        <w:tc>
          <w:tcPr>
            <w:tcW w:w="1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p>
        </w:tc>
        <w:tc>
          <w:tcPr>
            <w:tcW w:w="2120" w:type="dxa"/>
            <w:vAlign w:val="bottom"/>
          </w:tcPr>
          <w:p>
            <w:pPr>
              <w:ind w:left="340"/>
              <w:spacing w:after="0"/>
              <w:rPr>
                <w:sz w:val="20"/>
                <w:szCs w:val="20"/>
                <w:color w:val="auto"/>
              </w:rPr>
            </w:pPr>
            <w:r>
              <w:rPr>
                <w:rFonts w:ascii="Arial" w:cs="Arial" w:eastAsia="Arial" w:hAnsi="Arial"/>
                <w:sz w:val="18"/>
                <w:szCs w:val="18"/>
                <w:color w:val="auto"/>
              </w:rPr>
              <w:t>par, due 3/2021)</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9.75%</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3/30/2015</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54,354</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54,175</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65"/>
        </w:trPr>
        <w:tc>
          <w:tcPr>
            <w:tcW w:w="3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360" w:type="dxa"/>
            <w:vAlign w:val="bottom"/>
          </w:tcPr>
          <w:p>
            <w:pPr>
              <w:jc w:val="right"/>
              <w:ind w:right="950"/>
              <w:spacing w:after="0"/>
              <w:rPr>
                <w:sz w:val="20"/>
                <w:szCs w:val="20"/>
                <w:color w:val="auto"/>
              </w:rPr>
            </w:pPr>
            <w:r>
              <w:rPr>
                <w:rFonts w:ascii="Arial" w:cs="Arial" w:eastAsia="Arial" w:hAnsi="Arial"/>
                <w:sz w:val="18"/>
                <w:szCs w:val="18"/>
                <w:color w:val="auto"/>
                <w:w w:val="99"/>
              </w:rPr>
              <w:t>106</w:t>
            </w: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Investment</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Initial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1"/>
              </w:rPr>
              <w:t>Cost</w:t>
            </w:r>
            <w:r>
              <w:rPr>
                <w:rFonts w:ascii="Arial" w:cs="Arial" w:eastAsia="Arial" w:hAnsi="Arial"/>
                <w:sz w:val="12"/>
                <w:szCs w:val="12"/>
                <w:b w:val="1"/>
                <w:bCs w:val="1"/>
                <w:color w:val="auto"/>
                <w:w w:val="91"/>
              </w:rPr>
              <w:t>(2)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6"/>
              </w:rPr>
              <w:t>Value</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3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1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(Par amounts in</w:t>
            </w:r>
          </w:p>
        </w:tc>
        <w:tc>
          <w:tcPr>
            <w:tcW w:w="12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Interest</w:t>
            </w: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40" w:type="dxa"/>
            <w:vAlign w:val="bottom"/>
          </w:tcPr>
          <w:p>
            <w:pPr>
              <w:spacing w:after="0"/>
              <w:rPr>
                <w:sz w:val="12"/>
                <w:szCs w:val="12"/>
                <w:color w:val="auto"/>
              </w:rPr>
            </w:pPr>
          </w:p>
        </w:tc>
        <w:tc>
          <w:tcPr>
            <w:tcW w:w="10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 amounts in</w:t>
            </w:r>
          </w:p>
        </w:tc>
        <w:tc>
          <w:tcPr>
            <w:tcW w:w="160" w:type="dxa"/>
            <w:vAlign w:val="bottom"/>
          </w:tcPr>
          <w:p>
            <w:pPr>
              <w:spacing w:after="0"/>
              <w:rPr>
                <w:sz w:val="12"/>
                <w:szCs w:val="12"/>
                <w:color w:val="auto"/>
              </w:rPr>
            </w:pPr>
          </w:p>
        </w:tc>
        <w:tc>
          <w:tcPr>
            <w:tcW w:w="11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 amounts in</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740" w:type="dxa"/>
            <w:vAlign w:val="bottom"/>
            <w:gridSpan w:val="2"/>
            <w:vMerge w:val="continue"/>
          </w:tcPr>
          <w:p>
            <w:pPr>
              <w:spacing w:after="0"/>
              <w:rPr>
                <w:sz w:val="15"/>
                <w:szCs w:val="15"/>
                <w:color w:val="auto"/>
              </w:rPr>
            </w:pPr>
          </w:p>
        </w:tc>
        <w:tc>
          <w:tcPr>
            <w:tcW w:w="1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thousands)</w:t>
            </w:r>
          </w:p>
        </w:tc>
        <w:tc>
          <w:tcPr>
            <w:tcW w:w="1240" w:type="dxa"/>
            <w:vAlign w:val="bottom"/>
            <w:gridSpan w:val="2"/>
            <w:vMerge w:val="continue"/>
          </w:tcPr>
          <w:p>
            <w:pPr>
              <w:spacing w:after="0"/>
              <w:rPr>
                <w:sz w:val="15"/>
                <w:szCs w:val="15"/>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Date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thousands)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thousands)</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10"/>
        </w:trPr>
        <w:tc>
          <w:tcPr>
            <w:tcW w:w="35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Insurance</w:t>
            </w:r>
          </w:p>
        </w:tc>
        <w:tc>
          <w:tcPr>
            <w:tcW w:w="2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40" w:type="dxa"/>
            <w:vAlign w:val="bottom"/>
            <w:gridSpan w:val="2"/>
          </w:tcPr>
          <w:p>
            <w:pPr>
              <w:spacing w:after="0" w:line="201" w:lineRule="exact"/>
              <w:rPr>
                <w:sz w:val="20"/>
                <w:szCs w:val="20"/>
                <w:color w:val="auto"/>
              </w:rPr>
            </w:pPr>
            <w:r>
              <w:rPr>
                <w:rFonts w:ascii="Arial" w:cs="Arial" w:eastAsia="Arial" w:hAnsi="Arial"/>
                <w:sz w:val="18"/>
                <w:szCs w:val="18"/>
                <w:color w:val="auto"/>
              </w:rPr>
              <w:t>Infogix, Inc.</w:t>
            </w:r>
            <w:r>
              <w:rPr>
                <w:rFonts w:ascii="Arial" w:cs="Arial" w:eastAsia="Arial" w:hAnsi="Arial"/>
                <w:sz w:val="15"/>
                <w:szCs w:val="15"/>
                <w:color w:val="auto"/>
              </w:rPr>
              <w:t>(3)(4)</w:t>
            </w:r>
          </w:p>
        </w:tc>
        <w:tc>
          <w:tcPr>
            <w:tcW w:w="196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($34,950</w:t>
            </w: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par, due 6/2017)</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6/1/2012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34,588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34,775</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2"/>
        </w:trPr>
        <w:tc>
          <w:tcPr>
            <w:tcW w:w="3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revolving loan</w:t>
            </w: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($2,202 par,</w:t>
            </w: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6/2017)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2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6/1/2012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2,159</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2,177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2"/>
        </w:trPr>
        <w:tc>
          <w:tcPr>
            <w:tcW w:w="3740" w:type="dxa"/>
            <w:vAlign w:val="bottom"/>
            <w:gridSpan w:val="2"/>
          </w:tcPr>
          <w:p>
            <w:pPr>
              <w:spacing w:after="0" w:line="201" w:lineRule="exact"/>
              <w:rPr>
                <w:sz w:val="20"/>
                <w:szCs w:val="20"/>
                <w:color w:val="auto"/>
              </w:rPr>
            </w:pPr>
            <w:r>
              <w:rPr>
                <w:rFonts w:ascii="Arial" w:cs="Arial" w:eastAsia="Arial" w:hAnsi="Arial"/>
                <w:sz w:val="18"/>
                <w:szCs w:val="18"/>
                <w:color w:val="auto"/>
              </w:rPr>
              <w:t>Insurity, Inc.</w:t>
            </w:r>
            <w:r>
              <w:rPr>
                <w:rFonts w:ascii="Arial" w:cs="Arial" w:eastAsia="Arial" w:hAnsi="Arial"/>
                <w:sz w:val="15"/>
                <w:szCs w:val="15"/>
                <w:color w:val="auto"/>
              </w:rPr>
              <w:t>(3)(4)(6)</w:t>
            </w:r>
          </w:p>
        </w:tc>
        <w:tc>
          <w:tcPr>
            <w:tcW w:w="196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($64,838</w:t>
            </w: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par, due 10/2020)</w:t>
            </w:r>
          </w:p>
        </w:tc>
        <w:tc>
          <w:tcPr>
            <w:tcW w:w="960" w:type="dxa"/>
            <w:vAlign w:val="bottom"/>
          </w:tcPr>
          <w:p>
            <w:pPr>
              <w:jc w:val="right"/>
              <w:spacing w:after="0"/>
              <w:rPr>
                <w:sz w:val="20"/>
                <w:szCs w:val="20"/>
                <w:color w:val="auto"/>
              </w:rPr>
            </w:pPr>
            <w:r>
              <w:rPr>
                <w:rFonts w:ascii="Arial" w:cs="Arial" w:eastAsia="Arial" w:hAnsi="Arial"/>
                <w:sz w:val="18"/>
                <w:szCs w:val="18"/>
                <w:color w:val="auto"/>
              </w:rPr>
              <w:t>7.50%</w:t>
            </w:r>
          </w:p>
        </w:tc>
        <w:tc>
          <w:tcPr>
            <w:tcW w:w="2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10/31/2014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64,222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64,189</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100,969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101,141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3740" w:type="dxa"/>
            <w:vAlign w:val="bottom"/>
            <w:gridSpan w:val="2"/>
          </w:tcPr>
          <w:p>
            <w:pPr>
              <w:ind w:left="360"/>
              <w:spacing w:after="0"/>
              <w:rPr>
                <w:sz w:val="20"/>
                <w:szCs w:val="20"/>
                <w:color w:val="auto"/>
              </w:rPr>
            </w:pPr>
            <w:r>
              <w:rPr>
                <w:rFonts w:ascii="Arial" w:cs="Arial" w:eastAsia="Arial" w:hAnsi="Arial"/>
                <w:sz w:val="18"/>
                <w:szCs w:val="18"/>
                <w:b w:val="1"/>
                <w:bCs w:val="1"/>
                <w:color w:val="auto"/>
              </w:rPr>
              <w:t>Internet Services</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02"/>
        </w:trPr>
        <w:tc>
          <w:tcPr>
            <w:tcW w:w="3300" w:type="dxa"/>
            <w:vAlign w:val="bottom"/>
          </w:tcPr>
          <w:p>
            <w:pPr>
              <w:spacing w:after="0" w:line="201" w:lineRule="exact"/>
              <w:rPr>
                <w:sz w:val="20"/>
                <w:szCs w:val="20"/>
                <w:color w:val="auto"/>
              </w:rPr>
            </w:pPr>
            <w:r>
              <w:rPr>
                <w:rFonts w:ascii="Arial" w:cs="Arial" w:eastAsia="Arial" w:hAnsi="Arial"/>
                <w:sz w:val="18"/>
                <w:szCs w:val="18"/>
                <w:color w:val="auto"/>
              </w:rPr>
              <w:t>Highwinds Capital,</w:t>
            </w:r>
          </w:p>
        </w:tc>
        <w:tc>
          <w:tcPr>
            <w:tcW w:w="2160" w:type="dxa"/>
            <w:vAlign w:val="bottom"/>
          </w:tcPr>
          <w:p>
            <w:pPr>
              <w:ind w:left="440"/>
              <w:spacing w:after="0" w:line="201" w:lineRule="exact"/>
              <w:rPr>
                <w:sz w:val="20"/>
                <w:szCs w:val="20"/>
                <w:color w:val="auto"/>
              </w:rPr>
            </w:pPr>
            <w:r>
              <w:rPr>
                <w:rFonts w:ascii="Arial" w:cs="Arial" w:eastAsia="Arial" w:hAnsi="Arial"/>
                <w:sz w:val="18"/>
                <w:szCs w:val="18"/>
                <w:color w:val="auto"/>
                <w:w w:val="92"/>
              </w:rPr>
              <w:t>First-lien loan ($54,038</w:t>
            </w:r>
          </w:p>
        </w:tc>
        <w:tc>
          <w:tcPr>
            <w:tcW w:w="0" w:type="dxa"/>
            <w:vAlign w:val="bottom"/>
          </w:tcPr>
          <w:p>
            <w:pPr>
              <w:spacing w:after="0"/>
              <w:rPr>
                <w:sz w:val="1"/>
                <w:szCs w:val="1"/>
                <w:color w:val="auto"/>
              </w:rPr>
            </w:pPr>
          </w:p>
        </w:tc>
      </w:tr>
      <w:tr>
        <w:trPr>
          <w:trHeight w:val="226"/>
        </w:trPr>
        <w:tc>
          <w:tcPr>
            <w:tcW w:w="3300" w:type="dxa"/>
            <w:vAlign w:val="bottom"/>
          </w:tcPr>
          <w:p>
            <w:pPr>
              <w:ind w:left="180"/>
              <w:spacing w:after="0"/>
              <w:rPr>
                <w:sz w:val="20"/>
                <w:szCs w:val="20"/>
                <w:color w:val="auto"/>
              </w:rPr>
            </w:pPr>
            <w:r>
              <w:rPr>
                <w:rFonts w:ascii="Arial" w:cs="Arial" w:eastAsia="Arial" w:hAnsi="Arial"/>
                <w:sz w:val="18"/>
                <w:szCs w:val="18"/>
                <w:color w:val="auto"/>
              </w:rPr>
              <w:t>Inc.</w:t>
            </w:r>
            <w:r>
              <w:rPr>
                <w:rFonts w:ascii="Arial" w:cs="Arial" w:eastAsia="Arial" w:hAnsi="Arial"/>
                <w:sz w:val="15"/>
                <w:szCs w:val="15"/>
                <w:color w:val="auto"/>
              </w:rPr>
              <w:t>(3)(4)</w:t>
            </w:r>
          </w:p>
        </w:tc>
        <w:tc>
          <w:tcPr>
            <w:tcW w:w="2160" w:type="dxa"/>
            <w:vAlign w:val="bottom"/>
          </w:tcPr>
          <w:p>
            <w:pPr>
              <w:ind w:left="440"/>
              <w:spacing w:after="0"/>
              <w:rPr>
                <w:sz w:val="20"/>
                <w:szCs w:val="20"/>
                <w:color w:val="auto"/>
              </w:rPr>
            </w:pPr>
            <w:r>
              <w:rPr>
                <w:rFonts w:ascii="Arial" w:cs="Arial" w:eastAsia="Arial" w:hAnsi="Arial"/>
                <w:sz w:val="18"/>
                <w:szCs w:val="18"/>
                <w:color w:val="auto"/>
              </w:rPr>
              <w:t>par, due 7/2018)</w:t>
            </w:r>
          </w:p>
        </w:tc>
        <w:tc>
          <w:tcPr>
            <w:tcW w:w="0" w:type="dxa"/>
            <w:vAlign w:val="bottom"/>
          </w:tcPr>
          <w:p>
            <w:pPr>
              <w:spacing w:after="0"/>
              <w:rPr>
                <w:sz w:val="1"/>
                <w:szCs w:val="1"/>
                <w:color w:val="auto"/>
              </w:rPr>
            </w:pPr>
          </w:p>
        </w:tc>
      </w:tr>
      <w:tr>
        <w:trPr>
          <w:trHeight w:val="220"/>
        </w:trPr>
        <w:tc>
          <w:tcPr>
            <w:tcW w:w="3300" w:type="dxa"/>
            <w:vAlign w:val="bottom"/>
          </w:tcPr>
          <w:p>
            <w:pPr>
              <w:ind w:left="360"/>
              <w:spacing w:after="0"/>
              <w:rPr>
                <w:sz w:val="20"/>
                <w:szCs w:val="20"/>
                <w:color w:val="auto"/>
              </w:rPr>
            </w:pPr>
            <w:r>
              <w:rPr>
                <w:rFonts w:ascii="Arial" w:cs="Arial" w:eastAsia="Arial" w:hAnsi="Arial"/>
                <w:sz w:val="18"/>
                <w:szCs w:val="18"/>
                <w:b w:val="1"/>
                <w:bCs w:val="1"/>
                <w:color w:val="auto"/>
              </w:rPr>
              <w:t>Manufacturing</w:t>
            </w: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Jeeves Information Systems AB</w:t>
            </w:r>
            <w:r>
              <w:rPr>
                <w:rFonts w:ascii="Arial" w:cs="Arial" w:eastAsia="Arial" w:hAnsi="Arial"/>
                <w:sz w:val="15"/>
                <w:szCs w:val="15"/>
                <w:color w:val="auto"/>
              </w:rPr>
              <w:t>(3)(5)(6)</w:t>
            </w:r>
          </w:p>
        </w:tc>
        <w:tc>
          <w:tcPr>
            <w:tcW w:w="2160" w:type="dxa"/>
            <w:vAlign w:val="bottom"/>
          </w:tcPr>
          <w:p>
            <w:pPr>
              <w:ind w:left="440"/>
              <w:spacing w:after="0"/>
              <w:rPr>
                <w:sz w:val="20"/>
                <w:szCs w:val="20"/>
                <w:color w:val="auto"/>
              </w:rPr>
            </w:pPr>
            <w:r>
              <w:rPr>
                <w:rFonts w:ascii="Arial" w:cs="Arial" w:eastAsia="Arial" w:hAnsi="Arial"/>
                <w:sz w:val="18"/>
                <w:szCs w:val="18"/>
                <w:color w:val="auto"/>
              </w:rPr>
              <w:t>First-lien loan (SEK</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2160" w:type="dxa"/>
            <w:vAlign w:val="bottom"/>
          </w:tcPr>
          <w:p>
            <w:pPr>
              <w:ind w:left="440"/>
              <w:spacing w:after="0"/>
              <w:rPr>
                <w:sz w:val="20"/>
                <w:szCs w:val="20"/>
                <w:color w:val="auto"/>
              </w:rPr>
            </w:pPr>
            <w:r>
              <w:rPr>
                <w:rFonts w:ascii="Arial" w:cs="Arial" w:eastAsia="Arial" w:hAnsi="Arial"/>
                <w:sz w:val="18"/>
                <w:szCs w:val="18"/>
                <w:color w:val="auto"/>
              </w:rPr>
              <w:t>200,499 par, due</w:t>
            </w:r>
          </w:p>
        </w:tc>
        <w:tc>
          <w:tcPr>
            <w:tcW w:w="0" w:type="dxa"/>
            <w:vAlign w:val="bottom"/>
          </w:tcPr>
          <w:p>
            <w:pPr>
              <w:spacing w:after="0"/>
              <w:rPr>
                <w:sz w:val="1"/>
                <w:szCs w:val="1"/>
                <w:color w:val="auto"/>
              </w:rPr>
            </w:pPr>
          </w:p>
        </w:tc>
      </w:tr>
      <w:tr>
        <w:trPr>
          <w:trHeight w:val="230"/>
        </w:trPr>
        <w:tc>
          <w:tcPr>
            <w:tcW w:w="330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Metals and mining</w:t>
            </w:r>
          </w:p>
        </w:tc>
        <w:tc>
          <w:tcPr>
            <w:tcW w:w="2160" w:type="dxa"/>
            <w:vAlign w:val="bottom"/>
          </w:tcPr>
          <w:p>
            <w:pPr>
              <w:ind w:left="440"/>
              <w:spacing w:after="0"/>
              <w:rPr>
                <w:sz w:val="20"/>
                <w:szCs w:val="20"/>
                <w:color w:val="auto"/>
              </w:rPr>
            </w:pPr>
            <w:r>
              <w:rPr>
                <w:rFonts w:ascii="Arial" w:cs="Arial" w:eastAsia="Arial" w:hAnsi="Arial"/>
                <w:sz w:val="18"/>
                <w:szCs w:val="18"/>
                <w:color w:val="auto"/>
              </w:rPr>
              <w:t>3/2019)</w:t>
            </w:r>
          </w:p>
        </w:tc>
        <w:tc>
          <w:tcPr>
            <w:tcW w:w="0" w:type="dxa"/>
            <w:vAlign w:val="bottom"/>
          </w:tcPr>
          <w:p>
            <w:pPr>
              <w:spacing w:after="0"/>
              <w:rPr>
                <w:sz w:val="1"/>
                <w:szCs w:val="1"/>
                <w:color w:val="auto"/>
              </w:rPr>
            </w:pPr>
          </w:p>
        </w:tc>
      </w:tr>
      <w:tr>
        <w:trPr>
          <w:trHeight w:val="215"/>
        </w:trPr>
        <w:tc>
          <w:tcPr>
            <w:tcW w:w="3300" w:type="dxa"/>
            <w:vAlign w:val="bottom"/>
            <w:vMerge w:val="continue"/>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Metalico, Inc.</w:t>
            </w:r>
            <w:r>
              <w:rPr>
                <w:rFonts w:ascii="Arial" w:cs="Arial" w:eastAsia="Arial" w:hAnsi="Arial"/>
                <w:sz w:val="15"/>
                <w:szCs w:val="15"/>
                <w:color w:val="auto"/>
              </w:rPr>
              <w:t>(3)(4)(6)</w:t>
            </w:r>
          </w:p>
        </w:tc>
        <w:tc>
          <w:tcPr>
            <w:tcW w:w="2160" w:type="dxa"/>
            <w:vAlign w:val="bottom"/>
          </w:tcPr>
          <w:p>
            <w:pPr>
              <w:ind w:left="440"/>
              <w:spacing w:after="0"/>
              <w:rPr>
                <w:sz w:val="20"/>
                <w:szCs w:val="20"/>
                <w:color w:val="auto"/>
              </w:rPr>
            </w:pPr>
            <w:r>
              <w:rPr>
                <w:rFonts w:ascii="Arial" w:cs="Arial" w:eastAsia="Arial" w:hAnsi="Arial"/>
                <w:sz w:val="18"/>
                <w:szCs w:val="18"/>
                <w:color w:val="auto"/>
                <w:w w:val="92"/>
              </w:rPr>
              <w:t>First-lien loan ($19,773</w:t>
            </w:r>
          </w:p>
        </w:tc>
        <w:tc>
          <w:tcPr>
            <w:tcW w:w="0" w:type="dxa"/>
            <w:vAlign w:val="bottom"/>
          </w:tcPr>
          <w:p>
            <w:pPr>
              <w:spacing w:after="0"/>
              <w:rPr>
                <w:sz w:val="1"/>
                <w:szCs w:val="1"/>
                <w:color w:val="auto"/>
              </w:rPr>
            </w:pPr>
          </w:p>
        </w:tc>
      </w:tr>
      <w:tr>
        <w:trPr>
          <w:trHeight w:val="230"/>
        </w:trPr>
        <w:tc>
          <w:tcPr>
            <w:tcW w:w="330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Office products</w:t>
            </w:r>
          </w:p>
        </w:tc>
        <w:tc>
          <w:tcPr>
            <w:tcW w:w="2160" w:type="dxa"/>
            <w:vAlign w:val="bottom"/>
          </w:tcPr>
          <w:p>
            <w:pPr>
              <w:ind w:left="440"/>
              <w:spacing w:after="0"/>
              <w:rPr>
                <w:sz w:val="20"/>
                <w:szCs w:val="20"/>
                <w:color w:val="auto"/>
              </w:rPr>
            </w:pPr>
            <w:r>
              <w:rPr>
                <w:rFonts w:ascii="Arial" w:cs="Arial" w:eastAsia="Arial" w:hAnsi="Arial"/>
                <w:sz w:val="18"/>
                <w:szCs w:val="18"/>
                <w:color w:val="auto"/>
              </w:rPr>
              <w:t>par, due 11/2019)</w:t>
            </w:r>
          </w:p>
        </w:tc>
        <w:tc>
          <w:tcPr>
            <w:tcW w:w="0" w:type="dxa"/>
            <w:vAlign w:val="bottom"/>
          </w:tcPr>
          <w:p>
            <w:pPr>
              <w:spacing w:after="0"/>
              <w:rPr>
                <w:sz w:val="1"/>
                <w:szCs w:val="1"/>
                <w:color w:val="auto"/>
              </w:rPr>
            </w:pPr>
          </w:p>
        </w:tc>
      </w:tr>
      <w:tr>
        <w:trPr>
          <w:trHeight w:val="216"/>
        </w:trPr>
        <w:tc>
          <w:tcPr>
            <w:tcW w:w="3300" w:type="dxa"/>
            <w:vAlign w:val="bottom"/>
            <w:vMerge w:val="continue"/>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-1388745</wp:posOffset>
            </wp:positionV>
            <wp:extent cx="7246620" cy="2832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-968375</wp:posOffset>
            </wp:positionV>
            <wp:extent cx="7246620" cy="4203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2743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jc w:val="right"/>
              <w:ind w:right="90"/>
              <w:spacing w:after="0"/>
              <w:rPr>
                <w:sz w:val="20"/>
                <w:szCs w:val="20"/>
                <w:color w:val="auto"/>
              </w:rPr>
            </w:pPr>
            <w:r>
              <w:rPr>
                <w:rFonts w:ascii="Arial" w:cs="Arial" w:eastAsia="Arial" w:hAnsi="Arial"/>
                <w:sz w:val="18"/>
                <w:szCs w:val="18"/>
                <w:color w:val="auto"/>
              </w:rPr>
              <w:t>9.00%</w:t>
            </w: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3/7/2014</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53,332</w:t>
            </w: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53,468</w:t>
            </w:r>
          </w:p>
        </w:tc>
        <w:tc>
          <w:tcPr>
            <w:tcW w:w="8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878"/>
        </w:trPr>
        <w:tc>
          <w:tcPr>
            <w:tcW w:w="740" w:type="dxa"/>
            <w:vAlign w:val="bottom"/>
          </w:tcPr>
          <w:p>
            <w:pPr>
              <w:jc w:val="right"/>
              <w:ind w:right="90"/>
              <w:spacing w:after="0"/>
              <w:rPr>
                <w:sz w:val="20"/>
                <w:szCs w:val="20"/>
                <w:color w:val="auto"/>
              </w:rPr>
            </w:pPr>
            <w:r>
              <w:rPr>
                <w:rFonts w:ascii="Arial" w:cs="Arial" w:eastAsia="Arial" w:hAnsi="Arial"/>
                <w:sz w:val="18"/>
                <w:szCs w:val="18"/>
                <w:color w:val="auto"/>
              </w:rPr>
              <w:t>8.75%</w:t>
            </w: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6/5/2013</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30,495</w:t>
            </w: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23,074</w:t>
            </w: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648"/>
        </w:trPr>
        <w:tc>
          <w:tcPr>
            <w:tcW w:w="740" w:type="dxa"/>
            <w:vAlign w:val="bottom"/>
          </w:tcPr>
          <w:p>
            <w:pPr>
              <w:jc w:val="right"/>
              <w:ind w:right="90"/>
              <w:spacing w:after="0"/>
              <w:rPr>
                <w:sz w:val="20"/>
                <w:szCs w:val="20"/>
                <w:color w:val="auto"/>
              </w:rPr>
            </w:pPr>
            <w:r>
              <w:rPr>
                <w:rFonts w:ascii="Arial" w:cs="Arial" w:eastAsia="Arial" w:hAnsi="Arial"/>
                <w:sz w:val="18"/>
                <w:szCs w:val="18"/>
                <w:color w:val="auto"/>
                <w:w w:val="88"/>
              </w:rPr>
              <w:t>10.50%</w:t>
            </w: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11/21/2013</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17,604</w:t>
            </w: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21,009</w:t>
            </w: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217" w:lineRule="exact"/>
        <w:rPr>
          <w:sz w:val="20"/>
          <w:szCs w:val="20"/>
          <w:color w:val="auto"/>
        </w:rPr>
      </w:pPr>
    </w:p>
    <w:p>
      <w:pPr>
        <w:sectPr>
          <w:pgSz w:w="11900" w:h="16838" w:orient="portrait"/>
          <w:cols w:equalWidth="0" w:num="2">
            <w:col w:w="5460" w:space="640"/>
            <w:col w:w="53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Ecommerce Industries,</w:t>
            </w:r>
          </w:p>
        </w:tc>
        <w:tc>
          <w:tcPr>
            <w:tcW w:w="232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w w:val="95"/>
              </w:rPr>
              <w:t>First-lien loan ($37,358</w:t>
            </w:r>
          </w:p>
        </w:tc>
        <w:tc>
          <w:tcPr>
            <w:tcW w:w="1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44"/>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w:t>
            </w:r>
            <w:r>
              <w:rPr>
                <w:rFonts w:ascii="Arial" w:cs="Arial" w:eastAsia="Arial" w:hAnsi="Arial"/>
                <w:sz w:val="15"/>
                <w:szCs w:val="15"/>
                <w:color w:val="auto"/>
              </w:rPr>
              <w:t>(3)(4)(6)</w:t>
            </w:r>
          </w:p>
        </w:tc>
        <w:tc>
          <w:tcPr>
            <w:tcW w:w="2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par, due 3/2019)</w:t>
            </w: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7.25%</w:t>
            </w: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3/11/2014</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37,074</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37,122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r>
      <w:tr>
        <w:trPr>
          <w:trHeight w:val="216"/>
        </w:trPr>
        <w:tc>
          <w:tcPr>
            <w:tcW w:w="3200" w:type="dxa"/>
            <w:vAlign w:val="bottom"/>
          </w:tcPr>
          <w:p>
            <w:pPr>
              <w:ind w:left="360"/>
              <w:spacing w:after="0"/>
              <w:rPr>
                <w:sz w:val="20"/>
                <w:szCs w:val="20"/>
                <w:color w:val="auto"/>
              </w:rPr>
            </w:pPr>
            <w:r>
              <w:rPr>
                <w:rFonts w:ascii="Arial" w:cs="Arial" w:eastAsia="Arial" w:hAnsi="Arial"/>
                <w:sz w:val="18"/>
                <w:szCs w:val="18"/>
                <w:b w:val="1"/>
                <w:bCs w:val="1"/>
                <w:color w:val="auto"/>
              </w:rPr>
              <w:t>Oil, gas and consumable fuels</w:t>
            </w:r>
          </w:p>
        </w:tc>
        <w:tc>
          <w:tcPr>
            <w:tcW w:w="2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2"/>
        </w:trPr>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Milagro Exploration, LLC</w:t>
            </w:r>
            <w:r>
              <w:rPr>
                <w:rFonts w:ascii="Arial" w:cs="Arial" w:eastAsia="Arial" w:hAnsi="Arial"/>
                <w:sz w:val="15"/>
                <w:szCs w:val="15"/>
                <w:color w:val="auto"/>
              </w:rPr>
              <w:t>(3)(4)</w:t>
            </w:r>
          </w:p>
        </w:tc>
        <w:tc>
          <w:tcPr>
            <w:tcW w:w="232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w w:val="95"/>
              </w:rPr>
              <w:t>First-lien loan ($62,464</w:t>
            </w:r>
          </w:p>
        </w:tc>
        <w:tc>
          <w:tcPr>
            <w:tcW w:w="1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44"/>
        </w:trPr>
        <w:tc>
          <w:tcPr>
            <w:tcW w:w="3200" w:type="dxa"/>
            <w:vAlign w:val="bottom"/>
            <w:shd w:val="clear" w:color="auto" w:fill="CCEEFF"/>
          </w:tcPr>
          <w:p>
            <w:pPr>
              <w:spacing w:after="0"/>
              <w:rPr>
                <w:sz w:val="21"/>
                <w:szCs w:val="21"/>
                <w:color w:val="auto"/>
              </w:rPr>
            </w:pPr>
          </w:p>
        </w:tc>
        <w:tc>
          <w:tcPr>
            <w:tcW w:w="2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par, due 9/2017)</w:t>
            </w: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9.50%</w:t>
            </w: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9/4/2014</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61,802</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61,993</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r>
      <w:tr>
        <w:trPr>
          <w:trHeight w:val="202"/>
        </w:trPr>
        <w:tc>
          <w:tcPr>
            <w:tcW w:w="3200" w:type="dxa"/>
            <w:vAlign w:val="bottom"/>
          </w:tcPr>
          <w:p>
            <w:pPr>
              <w:spacing w:after="0" w:line="201" w:lineRule="exact"/>
              <w:rPr>
                <w:sz w:val="20"/>
                <w:szCs w:val="20"/>
                <w:color w:val="auto"/>
              </w:rPr>
            </w:pPr>
            <w:r>
              <w:rPr>
                <w:rFonts w:ascii="Arial" w:cs="Arial" w:eastAsia="Arial" w:hAnsi="Arial"/>
                <w:sz w:val="18"/>
                <w:szCs w:val="18"/>
                <w:color w:val="auto"/>
              </w:rPr>
              <w:t>Mississippi Resources, LLC</w:t>
            </w:r>
            <w:r>
              <w:rPr>
                <w:rFonts w:ascii="Arial" w:cs="Arial" w:eastAsia="Arial" w:hAnsi="Arial"/>
                <w:sz w:val="15"/>
                <w:szCs w:val="15"/>
                <w:color w:val="auto"/>
              </w:rPr>
              <w:t>(3)(4)(8)</w:t>
            </w:r>
          </w:p>
        </w:tc>
        <w:tc>
          <w:tcPr>
            <w:tcW w:w="2320" w:type="dxa"/>
            <w:vAlign w:val="bottom"/>
          </w:tcPr>
          <w:p>
            <w:pPr>
              <w:spacing w:after="0"/>
              <w:rPr>
                <w:sz w:val="17"/>
                <w:szCs w:val="17"/>
                <w:color w:val="auto"/>
              </w:rPr>
            </w:pPr>
          </w:p>
        </w:tc>
        <w:tc>
          <w:tcPr>
            <w:tcW w:w="1320" w:type="dxa"/>
            <w:vAlign w:val="bottom"/>
          </w:tcPr>
          <w:p>
            <w:pPr>
              <w:jc w:val="right"/>
              <w:ind w:right="90"/>
              <w:spacing w:after="0" w:line="201" w:lineRule="exact"/>
              <w:rPr>
                <w:sz w:val="20"/>
                <w:szCs w:val="20"/>
                <w:color w:val="auto"/>
              </w:rPr>
            </w:pPr>
            <w:r>
              <w:rPr>
                <w:rFonts w:ascii="Arial" w:cs="Arial" w:eastAsia="Arial" w:hAnsi="Arial"/>
                <w:sz w:val="18"/>
                <w:szCs w:val="18"/>
                <w:color w:val="auto"/>
              </w:rPr>
              <w:t>13.00%</w:t>
            </w: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3200" w:type="dxa"/>
            <w:vAlign w:val="bottom"/>
          </w:tcPr>
          <w:p>
            <w:pPr>
              <w:spacing w:after="0"/>
              <w:rPr>
                <w:sz w:val="18"/>
                <w:szCs w:val="18"/>
                <w:color w:val="auto"/>
              </w:rPr>
            </w:pPr>
          </w:p>
        </w:tc>
        <w:tc>
          <w:tcPr>
            <w:tcW w:w="2320" w:type="dxa"/>
            <w:vAlign w:val="bottom"/>
          </w:tcPr>
          <w:p>
            <w:pPr>
              <w:ind w:left="540"/>
              <w:spacing w:after="0"/>
              <w:rPr>
                <w:sz w:val="20"/>
                <w:szCs w:val="20"/>
                <w:color w:val="auto"/>
              </w:rPr>
            </w:pPr>
            <w:r>
              <w:rPr>
                <w:rFonts w:ascii="Arial" w:cs="Arial" w:eastAsia="Arial" w:hAnsi="Arial"/>
                <w:sz w:val="18"/>
                <w:szCs w:val="18"/>
                <w:color w:val="auto"/>
                <w:w w:val="95"/>
              </w:rPr>
              <w:t>First-lien loan ($42,568</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(incl. 1.50%</w:t>
            </w: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4"/>
        </w:trPr>
        <w:tc>
          <w:tcPr>
            <w:tcW w:w="3200" w:type="dxa"/>
            <w:vAlign w:val="bottom"/>
          </w:tcPr>
          <w:p>
            <w:pPr>
              <w:spacing w:after="0"/>
              <w:rPr>
                <w:sz w:val="21"/>
                <w:szCs w:val="21"/>
                <w:color w:val="auto"/>
              </w:rPr>
            </w:pPr>
          </w:p>
        </w:tc>
        <w:tc>
          <w:tcPr>
            <w:tcW w:w="2320" w:type="dxa"/>
            <w:vAlign w:val="bottom"/>
          </w:tcPr>
          <w:p>
            <w:pPr>
              <w:ind w:left="540"/>
              <w:spacing w:after="0"/>
              <w:rPr>
                <w:sz w:val="20"/>
                <w:szCs w:val="20"/>
                <w:color w:val="auto"/>
              </w:rPr>
            </w:pPr>
            <w:r>
              <w:rPr>
                <w:rFonts w:ascii="Arial" w:cs="Arial" w:eastAsia="Arial" w:hAnsi="Arial"/>
                <w:sz w:val="18"/>
                <w:szCs w:val="18"/>
                <w:color w:val="auto"/>
              </w:rPr>
              <w:t>par, due 6/2018)</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PIK)</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6/4/2014</w:t>
            </w:r>
          </w:p>
        </w:tc>
        <w:tc>
          <w:tcPr>
            <w:tcW w:w="860" w:type="dxa"/>
            <w:vAlign w:val="bottom"/>
          </w:tcPr>
          <w:p>
            <w:pPr>
              <w:jc w:val="right"/>
              <w:spacing w:after="0"/>
              <w:rPr>
                <w:sz w:val="20"/>
                <w:szCs w:val="20"/>
                <w:color w:val="auto"/>
              </w:rPr>
            </w:pPr>
            <w:r>
              <w:rPr>
                <w:rFonts w:ascii="Arial" w:cs="Arial" w:eastAsia="Arial" w:hAnsi="Arial"/>
                <w:sz w:val="18"/>
                <w:szCs w:val="18"/>
                <w:color w:val="auto"/>
              </w:rPr>
              <w:t>41,835</w:t>
            </w:r>
          </w:p>
        </w:tc>
        <w:tc>
          <w:tcPr>
            <w:tcW w:w="300" w:type="dxa"/>
            <w:vAlign w:val="bottom"/>
          </w:tcPr>
          <w:p>
            <w:pPr>
              <w:spacing w:after="0"/>
              <w:rPr>
                <w:sz w:val="21"/>
                <w:szCs w:val="21"/>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40,865</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r>
      <w:tr>
        <w:trPr>
          <w:trHeight w:val="27"/>
        </w:trPr>
        <w:tc>
          <w:tcPr>
            <w:tcW w:w="3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2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103,637</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102,858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w:t>
            </w:r>
          </w:p>
        </w:tc>
      </w:tr>
      <w:tr>
        <w:trPr>
          <w:trHeight w:val="223"/>
        </w:trPr>
        <w:tc>
          <w:tcPr>
            <w:tcW w:w="3200" w:type="dxa"/>
            <w:vAlign w:val="bottom"/>
          </w:tcPr>
          <w:p>
            <w:pPr>
              <w:ind w:left="360"/>
              <w:spacing w:after="0"/>
              <w:rPr>
                <w:sz w:val="20"/>
                <w:szCs w:val="20"/>
                <w:color w:val="auto"/>
              </w:rPr>
            </w:pPr>
            <w:r>
              <w:rPr>
                <w:rFonts w:ascii="Arial" w:cs="Arial" w:eastAsia="Arial" w:hAnsi="Arial"/>
                <w:sz w:val="18"/>
                <w:szCs w:val="18"/>
                <w:b w:val="1"/>
                <w:bCs w:val="1"/>
                <w:color w:val="auto"/>
              </w:rPr>
              <w:t>Retail</w:t>
            </w:r>
          </w:p>
        </w:tc>
        <w:tc>
          <w:tcPr>
            <w:tcW w:w="2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02"/>
        </w:trPr>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Toys ‘R’ Us-Delaware, Inc.</w:t>
            </w:r>
            <w:r>
              <w:rPr>
                <w:rFonts w:ascii="Arial" w:cs="Arial" w:eastAsia="Arial" w:hAnsi="Arial"/>
                <w:sz w:val="15"/>
                <w:szCs w:val="15"/>
                <w:color w:val="auto"/>
              </w:rPr>
              <w:t>(3)(4)</w:t>
            </w:r>
          </w:p>
        </w:tc>
        <w:tc>
          <w:tcPr>
            <w:tcW w:w="232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w w:val="95"/>
              </w:rPr>
              <w:t>First-lien loan ($42,000</w:t>
            </w:r>
          </w:p>
        </w:tc>
        <w:tc>
          <w:tcPr>
            <w:tcW w:w="1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3200" w:type="dxa"/>
            <w:vAlign w:val="bottom"/>
            <w:shd w:val="clear" w:color="auto" w:fill="CCEEFF"/>
          </w:tcPr>
          <w:p>
            <w:pPr>
              <w:spacing w:after="0"/>
              <w:rPr>
                <w:sz w:val="20"/>
                <w:szCs w:val="20"/>
                <w:color w:val="auto"/>
              </w:rPr>
            </w:pPr>
          </w:p>
        </w:tc>
        <w:tc>
          <w:tcPr>
            <w:tcW w:w="2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par, due 10/2019)</w:t>
            </w: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8.25%</w:t>
            </w: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10/10/2014</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41,179</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41,685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r>
      <w:tr>
        <w:trPr>
          <w:trHeight w:val="365"/>
        </w:trPr>
        <w:tc>
          <w:tcPr>
            <w:tcW w:w="32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320" w:type="dxa"/>
            <w:vAlign w:val="bottom"/>
          </w:tcPr>
          <w:p>
            <w:pPr>
              <w:jc w:val="right"/>
              <w:ind w:right="910"/>
              <w:spacing w:after="0"/>
              <w:rPr>
                <w:sz w:val="20"/>
                <w:szCs w:val="20"/>
                <w:color w:val="auto"/>
              </w:rPr>
            </w:pPr>
            <w:r>
              <w:rPr>
                <w:rFonts w:ascii="Arial" w:cs="Arial" w:eastAsia="Arial" w:hAnsi="Arial"/>
                <w:sz w:val="18"/>
                <w:szCs w:val="18"/>
                <w:color w:val="auto"/>
                <w:w w:val="99"/>
              </w:rPr>
              <w:t>107</w:t>
            </w: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Investment</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Initial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1"/>
              </w:rPr>
              <w:t>Cost</w:t>
            </w:r>
            <w:r>
              <w:rPr>
                <w:rFonts w:ascii="Arial" w:cs="Arial" w:eastAsia="Arial" w:hAnsi="Arial"/>
                <w:sz w:val="12"/>
                <w:szCs w:val="12"/>
                <w:b w:val="1"/>
                <w:bCs w:val="1"/>
                <w:color w:val="auto"/>
                <w:w w:val="91"/>
              </w:rPr>
              <w:t>(2)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6"/>
              </w:rPr>
              <w:t>Value</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1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(Par amounts in</w:t>
            </w: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4"/>
              </w:rPr>
              <w:t>Interest</w:t>
            </w: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40" w:type="dxa"/>
            <w:vAlign w:val="bottom"/>
          </w:tcPr>
          <w:p>
            <w:pPr>
              <w:spacing w:after="0"/>
              <w:rPr>
                <w:sz w:val="12"/>
                <w:szCs w:val="12"/>
                <w:color w:val="auto"/>
              </w:rPr>
            </w:pPr>
          </w:p>
        </w:tc>
        <w:tc>
          <w:tcPr>
            <w:tcW w:w="10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 amounts in</w:t>
            </w:r>
          </w:p>
        </w:tc>
        <w:tc>
          <w:tcPr>
            <w:tcW w:w="160" w:type="dxa"/>
            <w:vAlign w:val="bottom"/>
          </w:tcPr>
          <w:p>
            <w:pPr>
              <w:spacing w:after="0"/>
              <w:rPr>
                <w:sz w:val="12"/>
                <w:szCs w:val="12"/>
                <w:color w:val="auto"/>
              </w:rPr>
            </w:pPr>
          </w:p>
        </w:tc>
        <w:tc>
          <w:tcPr>
            <w:tcW w:w="11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 amounts in</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100" w:type="dxa"/>
            <w:vAlign w:val="bottom"/>
            <w:gridSpan w:val="3"/>
            <w:vMerge w:val="continue"/>
          </w:tcPr>
          <w:p>
            <w:pPr>
              <w:spacing w:after="0"/>
              <w:rPr>
                <w:sz w:val="15"/>
                <w:szCs w:val="15"/>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thousands)</w:t>
            </w:r>
          </w:p>
        </w:tc>
        <w:tc>
          <w:tcPr>
            <w:tcW w:w="920" w:type="dxa"/>
            <w:vAlign w:val="bottom"/>
            <w:gridSpan w:val="2"/>
            <w:vMerge w:val="continue"/>
          </w:tcPr>
          <w:p>
            <w:pPr>
              <w:spacing w:after="0"/>
              <w:rPr>
                <w:sz w:val="15"/>
                <w:szCs w:val="15"/>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Date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thousands)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thousands)</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Transportation</w:t>
            </w:r>
          </w:p>
        </w:tc>
        <w:tc>
          <w:tcPr>
            <w:tcW w:w="1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gridSpan w:val="2"/>
          </w:tcPr>
          <w:p>
            <w:pPr>
              <w:spacing w:after="0" w:line="201" w:lineRule="exact"/>
              <w:rPr>
                <w:sz w:val="20"/>
                <w:szCs w:val="20"/>
                <w:color w:val="auto"/>
              </w:rPr>
            </w:pPr>
            <w:r>
              <w:rPr>
                <w:rFonts w:ascii="Arial" w:cs="Arial" w:eastAsia="Arial" w:hAnsi="Arial"/>
                <w:sz w:val="18"/>
                <w:szCs w:val="18"/>
                <w:color w:val="auto"/>
              </w:rPr>
              <w:t>Carrix, Inc.</w:t>
            </w:r>
            <w:r>
              <w:rPr>
                <w:rFonts w:ascii="Arial" w:cs="Arial" w:eastAsia="Arial" w:hAnsi="Arial"/>
                <w:sz w:val="15"/>
                <w:szCs w:val="15"/>
                <w:color w:val="auto"/>
              </w:rPr>
              <w:t>(3)</w:t>
            </w:r>
          </w:p>
        </w:tc>
        <w:tc>
          <w:tcPr>
            <w:tcW w:w="192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($8,000</w:t>
            </w: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par, due 1/2019)</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4.50%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3/17/2015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7,440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7,387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Kewill, Ltd.</w:t>
            </w:r>
            <w:r>
              <w:rPr>
                <w:rFonts w:ascii="Arial" w:cs="Arial" w:eastAsia="Arial" w:hAnsi="Arial"/>
                <w:sz w:val="15"/>
                <w:szCs w:val="15"/>
                <w:color w:val="auto"/>
              </w:rPr>
              <w:t>(3)(5)</w:t>
            </w:r>
          </w:p>
        </w:tc>
        <w:tc>
          <w:tcPr>
            <w:tcW w:w="1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Second-lien loan</w:t>
            </w: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($62,500 par,</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10/2019)</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9.50%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10/2/2013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61,473</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61,406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Total Debt Investments</w:t>
            </w: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gridSpan w:val="2"/>
            <w:vMerge w:val="continue"/>
          </w:tcPr>
          <w:p>
            <w:pPr>
              <w:spacing w:after="0"/>
              <w:rPr>
                <w:sz w:val="20"/>
                <w:szCs w:val="20"/>
                <w:color w:val="auto"/>
              </w:rPr>
            </w:pP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1,324,521</w:t>
            </w:r>
          </w:p>
        </w:tc>
        <w:tc>
          <w:tcPr>
            <w:tcW w:w="1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1,316,527</w:t>
            </w:r>
          </w:p>
        </w:tc>
        <w:tc>
          <w:tcPr>
            <w:tcW w:w="30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7"/>
              </w:rPr>
              <w:t>Equity and Other Investments Business services</w:t>
            </w: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gridSpan w:val="2"/>
          </w:tcPr>
          <w:p>
            <w:pPr>
              <w:spacing w:after="0" w:line="201" w:lineRule="exact"/>
              <w:rPr>
                <w:sz w:val="20"/>
                <w:szCs w:val="20"/>
                <w:color w:val="auto"/>
              </w:rPr>
            </w:pPr>
            <w:r>
              <w:rPr>
                <w:rFonts w:ascii="Arial" w:cs="Arial" w:eastAsia="Arial" w:hAnsi="Arial"/>
                <w:sz w:val="18"/>
                <w:szCs w:val="18"/>
                <w:color w:val="auto"/>
              </w:rPr>
              <w:t>Network Merchants, Inc</w:t>
            </w:r>
          </w:p>
        </w:tc>
        <w:tc>
          <w:tcPr>
            <w:tcW w:w="1920" w:type="dxa"/>
            <w:vAlign w:val="bottom"/>
            <w:gridSpan w:val="2"/>
          </w:tcPr>
          <w:p>
            <w:pPr>
              <w:spacing w:after="0" w:line="201" w:lineRule="exact"/>
              <w:rPr>
                <w:sz w:val="20"/>
                <w:szCs w:val="20"/>
                <w:color w:val="auto"/>
              </w:rPr>
            </w:pPr>
            <w:r>
              <w:rPr>
                <w:rFonts w:ascii="Arial" w:cs="Arial" w:eastAsia="Arial" w:hAnsi="Arial"/>
                <w:sz w:val="18"/>
                <w:szCs w:val="18"/>
                <w:color w:val="auto"/>
              </w:rPr>
              <w:t>Non-Voting Preferred</w:t>
            </w: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Units (774,099 units)</w:t>
            </w: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9/12/2013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780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942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Healthcare and pharmaceuticals</w:t>
            </w: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gridSpan w:val="2"/>
          </w:tcPr>
          <w:p>
            <w:pPr>
              <w:spacing w:after="0" w:line="201" w:lineRule="exact"/>
              <w:rPr>
                <w:sz w:val="20"/>
                <w:szCs w:val="20"/>
                <w:color w:val="auto"/>
              </w:rPr>
            </w:pPr>
            <w:r>
              <w:rPr>
                <w:rFonts w:ascii="Arial" w:cs="Arial" w:eastAsia="Arial" w:hAnsi="Arial"/>
                <w:sz w:val="18"/>
                <w:szCs w:val="18"/>
                <w:color w:val="auto"/>
              </w:rPr>
              <w:t>Global Healthcare Exchange, LLC</w:t>
            </w:r>
          </w:p>
        </w:tc>
        <w:tc>
          <w:tcPr>
            <w:tcW w:w="1920" w:type="dxa"/>
            <w:vAlign w:val="bottom"/>
            <w:gridSpan w:val="2"/>
          </w:tcPr>
          <w:p>
            <w:pPr>
              <w:spacing w:after="0" w:line="201" w:lineRule="exact"/>
              <w:rPr>
                <w:sz w:val="20"/>
                <w:szCs w:val="20"/>
                <w:color w:val="auto"/>
              </w:rPr>
            </w:pPr>
            <w:r>
              <w:rPr>
                <w:rFonts w:ascii="Arial" w:cs="Arial" w:eastAsia="Arial" w:hAnsi="Arial"/>
                <w:sz w:val="18"/>
                <w:szCs w:val="18"/>
                <w:color w:val="auto"/>
              </w:rPr>
              <w:t>Common Shares Class</w:t>
            </w: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A (598 shares)</w:t>
            </w: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3/11/2014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467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515</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Shares Class</w:t>
            </w: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 (196 shares)</w:t>
            </w:r>
          </w:p>
        </w:tc>
        <w:tc>
          <w:tcPr>
            <w:tcW w:w="5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3/11/2014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Helix Health, Ltd.</w:t>
            </w:r>
            <w:r>
              <w:rPr>
                <w:rFonts w:ascii="Arial" w:cs="Arial" w:eastAsia="Arial" w:hAnsi="Arial"/>
                <w:sz w:val="15"/>
                <w:szCs w:val="15"/>
                <w:color w:val="auto"/>
              </w:rPr>
              <w:t>(5)</w:t>
            </w:r>
          </w:p>
        </w:tc>
        <w:tc>
          <w:tcPr>
            <w:tcW w:w="192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9/30/2014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877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745</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SRS Parent Corp.</w:t>
            </w:r>
          </w:p>
        </w:tc>
        <w:tc>
          <w:tcPr>
            <w:tcW w:w="1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Shares</w:t>
            </w: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(1,980 shares)</w:t>
            </w:r>
          </w:p>
        </w:tc>
        <w:tc>
          <w:tcPr>
            <w:tcW w:w="5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12/28/2012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1,980</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gridSpan w:val="2"/>
          </w:tcPr>
          <w:p>
            <w:pPr>
              <w:spacing w:after="0" w:line="201" w:lineRule="exact"/>
              <w:rPr>
                <w:sz w:val="20"/>
                <w:szCs w:val="20"/>
                <w:color w:val="auto"/>
              </w:rPr>
            </w:pPr>
            <w:r>
              <w:rPr>
                <w:rFonts w:ascii="Arial" w:cs="Arial" w:eastAsia="Arial" w:hAnsi="Arial"/>
                <w:sz w:val="18"/>
                <w:szCs w:val="18"/>
                <w:color w:val="auto"/>
              </w:rPr>
              <w:t>Common Shares</w:t>
            </w: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Class B (2,953,020</w:t>
            </w: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shares)</w:t>
            </w: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12/28/2012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2,556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tcPr>
          <w:p>
            <w:pPr>
              <w:ind w:left="340"/>
              <w:spacing w:after="0"/>
              <w:rPr>
                <w:sz w:val="20"/>
                <w:szCs w:val="20"/>
                <w:color w:val="auto"/>
              </w:rPr>
            </w:pPr>
            <w:r>
              <w:rPr>
                <w:rFonts w:ascii="Arial" w:cs="Arial" w:eastAsia="Arial" w:hAnsi="Arial"/>
                <w:sz w:val="18"/>
                <w:szCs w:val="18"/>
                <w:b w:val="1"/>
                <w:bCs w:val="1"/>
                <w:color w:val="auto"/>
              </w:rPr>
              <w:t>Hotel, gaming, and leisure</w:t>
            </w: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IRG Sports &amp; Entertainment, LLC</w:t>
            </w: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9/30/2014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340"/>
              <w:spacing w:after="0"/>
              <w:rPr>
                <w:sz w:val="20"/>
                <w:szCs w:val="20"/>
                <w:color w:val="auto"/>
              </w:rPr>
            </w:pPr>
            <w:r>
              <w:rPr>
                <w:rFonts w:ascii="Arial" w:cs="Arial" w:eastAsia="Arial" w:hAnsi="Arial"/>
                <w:sz w:val="18"/>
                <w:szCs w:val="18"/>
                <w:b w:val="1"/>
                <w:bCs w:val="1"/>
                <w:color w:val="auto"/>
              </w:rPr>
              <w:t>Metals and mining</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Metalico, Inc.</w:t>
            </w: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11/21/2013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340"/>
              <w:spacing w:after="0"/>
              <w:rPr>
                <w:sz w:val="20"/>
                <w:szCs w:val="20"/>
                <w:color w:val="auto"/>
              </w:rPr>
            </w:pPr>
            <w:r>
              <w:rPr>
                <w:rFonts w:ascii="Arial" w:cs="Arial" w:eastAsia="Arial" w:hAnsi="Arial"/>
                <w:sz w:val="18"/>
                <w:szCs w:val="18"/>
                <w:b w:val="1"/>
                <w:bCs w:val="1"/>
                <w:color w:val="auto"/>
              </w:rPr>
              <w:t>Oil, gas and consumable fuels</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Mississippi Resources,</w:t>
            </w:r>
          </w:p>
        </w:tc>
        <w:tc>
          <w:tcPr>
            <w:tcW w:w="1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Class A Member Units</w:t>
            </w: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(8)</w:t>
            </w: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(933 units)</w:t>
            </w:r>
          </w:p>
        </w:tc>
        <w:tc>
          <w:tcPr>
            <w:tcW w:w="5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6/4/2014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8,874</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4,505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340"/>
              <w:spacing w:after="0"/>
              <w:rPr>
                <w:sz w:val="20"/>
                <w:szCs w:val="20"/>
                <w:color w:val="auto"/>
              </w:rPr>
            </w:pPr>
            <w:r>
              <w:rPr>
                <w:rFonts w:ascii="Arial" w:cs="Arial" w:eastAsia="Arial" w:hAnsi="Arial"/>
                <w:sz w:val="18"/>
                <w:szCs w:val="18"/>
                <w:b w:val="1"/>
                <w:bCs w:val="1"/>
                <w:color w:val="auto"/>
              </w:rPr>
              <w:t>Other</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Symphony</w:t>
            </w:r>
            <w:r>
              <w:rPr>
                <w:rFonts w:ascii="Arial" w:cs="Arial" w:eastAsia="Arial" w:hAnsi="Arial"/>
                <w:sz w:val="15"/>
                <w:szCs w:val="15"/>
                <w:color w:val="auto"/>
              </w:rPr>
              <w:t>(5)(7)</w:t>
            </w: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Structured Product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5.98%</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11/17/2014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5,552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Total Equity and Other Investments</w:t>
            </w: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vMerge w:val="continue"/>
          </w:tcPr>
          <w:p>
            <w:pPr>
              <w:spacing w:after="0"/>
              <w:rPr>
                <w:sz w:val="19"/>
                <w:szCs w:val="19"/>
                <w:color w:val="auto"/>
              </w:rPr>
            </w:pP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21,516</w:t>
            </w:r>
          </w:p>
        </w:tc>
        <w:tc>
          <w:tcPr>
            <w:tcW w:w="1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14,466</w:t>
            </w:r>
          </w:p>
        </w:tc>
        <w:tc>
          <w:tcPr>
            <w:tcW w:w="300" w:type="dxa"/>
            <w:vAlign w:val="bottom"/>
            <w:vMerge w:val="continue"/>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$ 1,346,037</w:t>
            </w: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$ 1,330,993</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gridSpan w:val="2"/>
            <w:vMerge w:val="restart"/>
          </w:tcPr>
          <w:p>
            <w:pPr>
              <w:ind w:left="1480"/>
              <w:spacing w:after="0"/>
              <w:rPr>
                <w:sz w:val="20"/>
                <w:szCs w:val="20"/>
                <w:color w:val="auto"/>
              </w:rPr>
            </w:pPr>
            <w:r>
              <w:rPr>
                <w:rFonts w:ascii="Arial" w:cs="Arial" w:eastAsia="Arial" w:hAnsi="Arial"/>
                <w:sz w:val="18"/>
                <w:szCs w:val="18"/>
                <w:color w:val="auto"/>
              </w:rPr>
              <w:t>108</w:t>
            </w: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00" w:hanging="452"/>
        <w:spacing w:after="0" w:line="258"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Unless otherwise indicated, our portfolio companies are domiciled in the United States. Certain portfolio company investments are subject to contractual restrictions on sales.</w:t>
      </w:r>
    </w:p>
    <w:p>
      <w:pPr>
        <w:spacing w:after="0" w:line="1"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460" w:right="60" w:hanging="452"/>
        <w:spacing w:after="0" w:line="250"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we have provided the interest rate in effect on the date presented.</w:t>
      </w:r>
    </w:p>
    <w:p>
      <w:pPr>
        <w:spacing w:after="0" w:line="1" w:lineRule="exact"/>
        <w:rPr>
          <w:rFonts w:ascii="Arial" w:cs="Arial" w:eastAsia="Arial" w:hAnsi="Arial"/>
          <w:sz w:val="18"/>
          <w:szCs w:val="18"/>
          <w:color w:val="auto"/>
        </w:rPr>
      </w:pPr>
    </w:p>
    <w:p>
      <w:pPr>
        <w:ind w:left="460" w:right="580" w:hanging="452"/>
        <w:spacing w:after="0" w:line="265" w:lineRule="auto"/>
        <w:tabs>
          <w:tab w:leader="none" w:pos="4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investment, or a portion thereof, is held within TPG SL SPV, LLC, our wholly owned subsidiary, and is pledged as collateral supporting the amounts outstanding under the SPV Asset Facility. See Note 7 to our unaudited interim consolidated financial statements.</w:t>
      </w:r>
    </w:p>
    <w:p>
      <w:pPr>
        <w:ind w:left="460" w:right="60" w:hanging="452"/>
        <w:spacing w:after="0" w:line="281" w:lineRule="auto"/>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This portfolio company is a non-U.S. corporation and, as a result, is not a qualifying asset under Section 55(a) of the 1940 Act. Under the 1940 Act, we may not acquire any non-qualifying asset unless, at the time such acquisition is made, qualifying assets represent at least 70% of total assets.</w:t>
      </w:r>
    </w:p>
    <w:p>
      <w:pPr>
        <w:spacing w:after="0" w:line="1" w:lineRule="exact"/>
        <w:rPr>
          <w:rFonts w:ascii="Arial" w:cs="Arial" w:eastAsia="Arial" w:hAnsi="Arial"/>
          <w:sz w:val="16"/>
          <w:szCs w:val="16"/>
          <w:color w:val="auto"/>
        </w:rPr>
      </w:pPr>
    </w:p>
    <w:p>
      <w:pPr>
        <w:ind w:left="460" w:right="460" w:hanging="452"/>
        <w:spacing w:after="0" w:line="250"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we may be entitled to receive additional interest as a result of our arrangement with other lenders in the syndication.</w:t>
      </w: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9" w:lineRule="exact"/>
        <w:rPr>
          <w:rFonts w:ascii="Arial" w:cs="Arial" w:eastAsia="Arial" w:hAnsi="Arial"/>
          <w:sz w:val="18"/>
          <w:szCs w:val="18"/>
          <w:color w:val="auto"/>
        </w:rPr>
      </w:pPr>
    </w:p>
    <w:p>
      <w:pPr>
        <w:ind w:left="460" w:right="20" w:hanging="452"/>
        <w:spacing w:after="0" w:line="273" w:lineRule="auto"/>
        <w:tabs>
          <w:tab w:leader="none" w:pos="4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Under the 1940 Act, we are deemed to be both an “Affiliated Person” of and “Control,” as such terms are defined in the 1940 Act, this portfolio company, as we own more than 25% of the portfolio company’s outstanding voting securities or have the power to exercise control over management or policies of such portfolio company (including through a management agreement). Transactions during the three months ended March 31, 2015 in which the issuer was an Affiliated Person of and was deemed to Control a portfolio company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96"/>
              </w:rPr>
              <w:t>Fair Value at</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8"/>
              </w:rPr>
              <w:t>Gross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4"/>
                <w:szCs w:val="14"/>
                <w:color w:val="auto"/>
              </w:rPr>
            </w:pPr>
          </w:p>
        </w:tc>
        <w:tc>
          <w:tcPr>
            <w:tcW w:w="8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Net</w:t>
            </w: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Realized</w:t>
            </w:r>
          </w:p>
        </w:tc>
        <w:tc>
          <w:tcPr>
            <w:tcW w:w="3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Fair Value at</w:t>
            </w:r>
          </w:p>
        </w:tc>
        <w:tc>
          <w:tcPr>
            <w:tcW w:w="100" w:type="dxa"/>
            <w:vAlign w:val="bottom"/>
          </w:tcPr>
          <w:p>
            <w:pPr>
              <w:spacing w:after="0"/>
              <w:rPr>
                <w:sz w:val="14"/>
                <w:szCs w:val="14"/>
                <w:color w:val="auto"/>
              </w:rPr>
            </w:pPr>
          </w:p>
        </w:tc>
        <w:tc>
          <w:tcPr>
            <w:tcW w:w="6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3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Reductions</w:t>
            </w:r>
          </w:p>
        </w:tc>
        <w:tc>
          <w:tcPr>
            <w:tcW w:w="10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52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6"/>
              </w:rPr>
              <w:t>Gain/</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91"/>
              </w:rPr>
              <w:t>Additions (a)</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(b)</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Gain/(Loss)</w:t>
            </w: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(Losses)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79"/>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28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Mississippi Resources, LLC</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41,636</w:t>
            </w:r>
          </w:p>
        </w:tc>
        <w:tc>
          <w:tcPr>
            <w:tcW w:w="28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30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20" w:type="dxa"/>
            <w:vAlign w:val="bottom"/>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30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8"/>
              </w:rPr>
              <w:t>—</w:t>
            </w:r>
          </w:p>
        </w:tc>
        <w:tc>
          <w:tcPr>
            <w:tcW w:w="300" w:type="dxa"/>
            <w:vAlign w:val="bottom"/>
            <w:vMerge w:val="continue"/>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45,370</w:t>
            </w:r>
          </w:p>
        </w:tc>
        <w:tc>
          <w:tcPr>
            <w:tcW w:w="30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41,636</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3,220</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605</w:t>
            </w:r>
          </w:p>
        </w:tc>
        <w:tc>
          <w:tcPr>
            <w:tcW w:w="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w w:val="88"/>
              </w:rPr>
              <w:t>—</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45,370</w:t>
            </w:r>
          </w:p>
        </w:tc>
        <w:tc>
          <w:tcPr>
            <w:tcW w:w="3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840" w:hanging="452"/>
        <w:spacing w:after="0" w:line="258"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460" w:right="200" w:hanging="452"/>
        <w:spacing w:after="0" w:line="261"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discounts on debt investments, as applicable.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business and affairs are managed under the direction of our Board. Our Board consists of five members, three of whom are not “interested persons” of us, our Adviser or our or its respective affiliates as defined in Section 2(a)(19) of the 1940 Act and who are considered to be independent under the applicable NYSE listing standards. We refer to these individuals as our Independent Directors. Our Board elects our officers and our officers serve until their resignation or termination or until their successors are duly elected and qualified. The responsibilities of our Board include, among other things, oversight of our investment activities, quarterly valuation of our assets, oversight of our financing arrangements and corporate governance activities. Our Board has an audit committee, a compensation committee and a nominating and corporate governance committee and may establish additional committees from time to time as necessary.</w:t>
      </w:r>
    </w:p>
    <w:p>
      <w:pPr>
        <w:spacing w:after="0" w:line="189"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Pursuant to our certificate of incorporation and bylaws, our Board consists of five members. The Board is divided into three classes, with the members of each class each serving staggered, three-year terms. The terms of our Class I directors will expire at the 2015 annual meeting of stockholders; the term of our Class II director will expire at the 2016 annual meeting of stockholders; and the terms of our Class III directors will expire at the 2017 annual meeting of stockholders.</w:t>
      </w:r>
    </w:p>
    <w:p>
      <w:pPr>
        <w:spacing w:after="0" w:line="18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Messrs. Higginbotham and Tanemura serve as Class I directors (with a term expiring in 2018). Mr. Ross serves as a Class II director (with a term expiring in 2016). Messrs. Easterly and Fishman serve as Class III directors (with a term expiring in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Set forth below are brief biographies of the members of the Board. Also included below following each biography is a brief discussion of the specific experience, qualifications, attributes or skills that led our Board to conclude that the applicable director should serve on our Board at this time. In addition, set forth further below is a biography of each of our executive officers who is not a director.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4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4"/>
                <w:szCs w:val="14"/>
                <w:color w:val="auto"/>
              </w:rPr>
            </w:pPr>
          </w:p>
        </w:tc>
        <w:tc>
          <w:tcPr>
            <w:tcW w:w="5380" w:type="dxa"/>
            <w:vAlign w:val="bottom"/>
            <w:gridSpan w:val="2"/>
            <w:vMerge w:val="restart"/>
          </w:tcPr>
          <w:p>
            <w:pPr>
              <w:ind w:left="2280"/>
              <w:spacing w:after="0"/>
              <w:rPr>
                <w:sz w:val="20"/>
                <w:szCs w:val="20"/>
                <w:color w:val="auto"/>
              </w:rPr>
            </w:pPr>
            <w:r>
              <w:rPr>
                <w:rFonts w:ascii="Arial" w:cs="Arial" w:eastAsia="Arial" w:hAnsi="Arial"/>
                <w:sz w:val="14"/>
                <w:szCs w:val="14"/>
                <w:b w:val="1"/>
                <w:bCs w:val="1"/>
                <w:color w:val="auto"/>
              </w:rPr>
              <w:t>Position</w:t>
            </w: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Expiration</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3"/>
              </w:rPr>
              <w:t>Director</w:t>
            </w:r>
          </w:p>
        </w:tc>
        <w:tc>
          <w:tcPr>
            <w:tcW w:w="0" w:type="dxa"/>
            <w:vAlign w:val="bottom"/>
          </w:tcPr>
          <w:p>
            <w:pPr>
              <w:spacing w:after="0"/>
              <w:rPr>
                <w:sz w:val="1"/>
                <w:szCs w:val="1"/>
                <w:color w:val="auto"/>
              </w:rPr>
            </w:pPr>
          </w:p>
        </w:tc>
      </w:tr>
      <w:tr>
        <w:trPr>
          <w:trHeight w:val="171"/>
        </w:trPr>
        <w:tc>
          <w:tcPr>
            <w:tcW w:w="3660" w:type="dxa"/>
            <w:vAlign w:val="bottom"/>
            <w:gridSpan w:val="3"/>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gridSpan w:val="2"/>
            <w:vMerge w:val="continue"/>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of Term</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Since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Independent Directors</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Richard Higginbotham</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67</w:t>
            </w:r>
          </w:p>
        </w:tc>
        <w:tc>
          <w:tcPr>
            <w:tcW w:w="56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680" w:type="dxa"/>
            <w:vAlign w:val="bottom"/>
          </w:tcPr>
          <w:p>
            <w:pPr>
              <w:jc w:val="right"/>
              <w:spacing w:after="0"/>
              <w:rPr>
                <w:sz w:val="20"/>
                <w:szCs w:val="20"/>
                <w:color w:val="auto"/>
              </w:rPr>
            </w:pPr>
            <w:r>
              <w:rPr>
                <w:rFonts w:ascii="Arial" w:cs="Arial" w:eastAsia="Arial" w:hAnsi="Arial"/>
                <w:sz w:val="18"/>
                <w:szCs w:val="18"/>
                <w:color w:val="auto"/>
              </w:rPr>
              <w:t>2018</w:t>
            </w:r>
          </w:p>
        </w:tc>
        <w:tc>
          <w:tcPr>
            <w:tcW w:w="4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Tanemura</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56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Director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John Ross</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70</w:t>
            </w:r>
          </w:p>
        </w:tc>
        <w:tc>
          <w:tcPr>
            <w:tcW w:w="56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680" w:type="dxa"/>
            <w:vAlign w:val="bottom"/>
          </w:tcPr>
          <w:p>
            <w:pPr>
              <w:jc w:val="right"/>
              <w:spacing w:after="0"/>
              <w:rPr>
                <w:sz w:val="20"/>
                <w:szCs w:val="20"/>
                <w:color w:val="auto"/>
              </w:rPr>
            </w:pPr>
            <w:r>
              <w:rPr>
                <w:rFonts w:ascii="Arial" w:cs="Arial" w:eastAsia="Arial" w:hAnsi="Arial"/>
                <w:sz w:val="18"/>
                <w:szCs w:val="18"/>
                <w:color w:val="auto"/>
              </w:rPr>
              <w:t>2016</w:t>
            </w:r>
          </w:p>
        </w:tc>
        <w:tc>
          <w:tcPr>
            <w:tcW w:w="42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Interested Directors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Joshua Easterly</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5600" w:type="dxa"/>
            <w:vAlign w:val="bottom"/>
            <w:gridSpan w:val="3"/>
          </w:tcPr>
          <w:p>
            <w:pPr>
              <w:ind w:left="220"/>
              <w:spacing w:after="0"/>
              <w:rPr>
                <w:sz w:val="20"/>
                <w:szCs w:val="20"/>
                <w:color w:val="auto"/>
              </w:rPr>
            </w:pPr>
            <w:r>
              <w:rPr>
                <w:rFonts w:ascii="Arial" w:cs="Arial" w:eastAsia="Arial" w:hAnsi="Arial"/>
                <w:sz w:val="18"/>
                <w:szCs w:val="18"/>
                <w:color w:val="auto"/>
              </w:rPr>
              <w:t>Chairman, Director and Co-Chief Executive Officer</w:t>
            </w:r>
          </w:p>
        </w:tc>
        <w:tc>
          <w:tcPr>
            <w:tcW w:w="680" w:type="dxa"/>
            <w:vAlign w:val="bottom"/>
          </w:tcPr>
          <w:p>
            <w:pPr>
              <w:jc w:val="right"/>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Fishman</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56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Director and Co-Chief Executive Officer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Richard Higginbotham </w:t>
      </w:r>
      <w:r>
        <w:rPr>
          <w:rFonts w:ascii="Arial" w:cs="Arial" w:eastAsia="Arial" w:hAnsi="Arial"/>
          <w:sz w:val="16"/>
          <w:szCs w:val="16"/>
          <w:color w:val="auto"/>
        </w:rPr>
        <w:t>was elected a director of TSLX in March 2011. From 2010 to 2013, he was a director of Healthcare Finance Group LLC.</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2008 and 2010, Mr. Higginbotham was a director and then chairman of Tygris Commercial Finance Group, Inc., a TPG portfolio company, where he also served on the risk committee. From 2004 to 2005, Mr. Higginbotham was the President of Asset Based Lending and Leasing at Bank of America. Prior to that, he worked for 35 years, including in various senior executive positions, at Fleet Bank, Fleet Financial Group, Inc. and FleetBoston Financial, Inc.</w:t>
      </w:r>
    </w:p>
    <w:p>
      <w:pPr>
        <w:spacing w:after="0" w:line="3"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Mr. Higginbotham holds a B.A. in Political Science from Brown University. Mr. Higginbotham’s depth of experience in senior executive positions in the financial sector provides the Board with valuable experience, insight and perspective in the credit sector.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b w:val="1"/>
          <w:bCs w:val="1"/>
          <w:color w:val="auto"/>
        </w:rPr>
        <w:t xml:space="preserve">Ronald Tanemura </w:t>
      </w:r>
      <w:r>
        <w:rPr>
          <w:rFonts w:ascii="Arial" w:cs="Arial" w:eastAsia="Arial" w:hAnsi="Arial"/>
          <w:sz w:val="17"/>
          <w:szCs w:val="17"/>
          <w:color w:val="auto"/>
        </w:rPr>
        <w:t>was elected a director of TSLX in March 2011. Since 2012, Mr. Tanemura has served as a director of post-reorganization Lehman</w:t>
      </w:r>
      <w:r>
        <w:rPr>
          <w:rFonts w:ascii="Arial" w:cs="Arial" w:eastAsia="Arial" w:hAnsi="Arial"/>
          <w:sz w:val="17"/>
          <w:szCs w:val="17"/>
          <w:b w:val="1"/>
          <w:bCs w:val="1"/>
          <w:color w:val="auto"/>
        </w:rPr>
        <w:t xml:space="preserve"> </w:t>
      </w:r>
      <w:r>
        <w:rPr>
          <w:rFonts w:ascii="Arial" w:cs="Arial" w:eastAsia="Arial" w:hAnsi="Arial"/>
          <w:sz w:val="17"/>
          <w:szCs w:val="17"/>
          <w:color w:val="auto"/>
        </w:rPr>
        <w:t>Brothers Holdings Inc. in New York. Also, since November 2012, he has served as a non-executive director of ICE Clear Credit in Chicago and, since 2009, he has served as a non-executive director of ICE Clear Europe in London, both wholly owned subsidiaries of IntercontinentalExchange, Inc. Prior to that, Mr. Tanemura was an Advisory Director and Partner at Goldman, Sachs &amp; Co. from 2000 to 2006 where he was the Global Co-Head of Credit Derivatives and a member of the Fixed Income, Currency and Commodities Risk Committee and Firmwide Credit Policy Committee. In addition, Mr. Tanemura has led a variety of fixed income businesses, working at Deutsche Bank from 1996 to 2000 and at Salomon Brothers from 1985 to 1996. Mr. Tanemura holds an A.B. in Computer Science from the University of California, Berkeley. Mr. Tanemura’s extensive experience in the financial markets provides the Board with valuable industry-specific knowledge.</w:t>
      </w:r>
    </w:p>
    <w:p>
      <w:pPr>
        <w:spacing w:after="0" w:line="17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John Ross </w:t>
      </w:r>
      <w:r>
        <w:rPr>
          <w:rFonts w:ascii="Arial" w:cs="Arial" w:eastAsia="Arial" w:hAnsi="Arial"/>
          <w:sz w:val="18"/>
          <w:szCs w:val="18"/>
          <w:color w:val="auto"/>
        </w:rPr>
        <w:t>was elected a director of TSLX in March 2011. From 2003 to 2011, Mr. Ross was a director and member of the board risk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of DBS Bank Ltd., Singapore, as well as Chairman of its Nominating Committee between 2008 and 2011. In addition, between 2009 and 2011, he was Non-Executive Chairman of DBS Bank China Ltd., a wholly owned subsidiary of DBS Bank Ltd. where he also served as Chairman of its Audit Committee from 2009 to 2010. From 1992 to 2002, Mr. Ross worked at Deutsche Bank Group, where he served as Corporate Chief Operating Officer from 2001 to 2002. Mr. Ross holds a B.A. in American History from Hobart &amp; William Smith Colleges and an M.B.A. from The Wharton School of the University of Pennsylvania. Mr. Ross’s experience serving as a director of a regulated bank, as well as his past experience as a chief operating officer, provides the Board and, specifically, the Audit Committee, which he chairs, with valuable knowledge and insight in the financial services sector, as well as experience in financial and accounting matters.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11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color w:val="auto"/>
        </w:rPr>
        <w:t xml:space="preserve">Joshua Easterly </w:t>
      </w:r>
      <w:r>
        <w:rPr>
          <w:rFonts w:ascii="Arial" w:cs="Arial" w:eastAsia="Arial" w:hAnsi="Arial"/>
          <w:sz w:val="16"/>
          <w:szCs w:val="16"/>
          <w:color w:val="auto"/>
        </w:rPr>
        <w:t>was appointed Co-Chief Executive Officer in December 2013 and elected a director and Chairman of TSLX in March 2011.</w:t>
      </w:r>
      <w:r>
        <w:rPr>
          <w:rFonts w:ascii="Arial" w:cs="Arial" w:eastAsia="Arial" w:hAnsi="Arial"/>
          <w:sz w:val="16"/>
          <w:szCs w:val="16"/>
          <w:b w:val="1"/>
          <w:bCs w:val="1"/>
          <w:color w:val="auto"/>
        </w:rPr>
        <w:t xml:space="preserve"> </w:t>
      </w:r>
      <w:r>
        <w:rPr>
          <w:rFonts w:ascii="Arial" w:cs="Arial" w:eastAsia="Arial" w:hAnsi="Arial"/>
          <w:sz w:val="16"/>
          <w:szCs w:val="16"/>
          <w:color w:val="auto"/>
        </w:rPr>
        <w:t>Mr. Easterly is a TPG and TSSP Partner and the Co-Chief Investment Officer of the Adviser. Between 2008 and 2010, he was a Managing Director at Goldman, Sachs &amp; Co. in the Americas Special Situations Group, which invested Goldman’s capital in both the public markets and private transactions in distressed and special situations. Between 2006 and 2008, he served as a Director, Management Committee Member and Co-Head of the Goldman Sachs Specialty Lending Group. Prior to joining Goldman, Sachs &amp; Co. in March 2006, Mr. Easterly was Senior Vice President, Northeast Regional Originations Manager at Wells Fargo Capital Finance, or WFCF, formerly known as Wells Fargo Foothill and Foothill Capital Corporation, the $8 billion commercial finance company of Wells Fargo and Company. Mr. Easterly graduated from California State University, Fresno with a Bachelor of Science degree in Business Administration, magna cum laude. Mr. Easterly’s depth of experience investing in a variety of distressed and special situations transactions, as well as his extensive knowledge of the business and operations of TSSP, provides the Board with valuable insight and expertise.</w:t>
      </w:r>
    </w:p>
    <w:p>
      <w:pPr>
        <w:spacing w:after="0" w:line="16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color w:val="auto"/>
        </w:rPr>
        <w:t xml:space="preserve">Michael Fishman </w:t>
      </w:r>
      <w:r>
        <w:rPr>
          <w:rFonts w:ascii="Arial" w:cs="Arial" w:eastAsia="Arial" w:hAnsi="Arial"/>
          <w:sz w:val="16"/>
          <w:szCs w:val="16"/>
          <w:color w:val="auto"/>
        </w:rPr>
        <w:t>was appointed director and Chief Executive Officer of TSLX in April 2011 and became Co-Chief Executive Officer in December</w:t>
      </w:r>
      <w:r>
        <w:rPr>
          <w:rFonts w:ascii="Arial" w:cs="Arial" w:eastAsia="Arial" w:hAnsi="Arial"/>
          <w:sz w:val="16"/>
          <w:szCs w:val="16"/>
          <w:b w:val="1"/>
          <w:bCs w:val="1"/>
          <w:color w:val="auto"/>
        </w:rPr>
        <w:t xml:space="preserve"> </w:t>
      </w:r>
      <w:r>
        <w:rPr>
          <w:rFonts w:ascii="Arial" w:cs="Arial" w:eastAsia="Arial" w:hAnsi="Arial"/>
          <w:sz w:val="16"/>
          <w:szCs w:val="16"/>
          <w:color w:val="auto"/>
        </w:rPr>
        <w:t>2013. Mr. Fishman has been an executive in corporate lending for more than 20 years with senior management experience in credit, portfolio management and primary loan originations. Prior to joining TSLX, Mr. Fishman was the Executive Vice President and National Director of Loan Originations for WFCF, formerly known as Wells Fargo Foothill and Foothill Capital Corporation. In this role, Mr. Fishman sat on the senior investment committee and was responsible for primary and secondary lending, loan distribution and syndications, strategic transactions and new lending products. From 2000 to 2007, he built the team that grew WFCF’s assets under management from approximately $2 billion to over $10 billion. Mr. Fishman has also contributed to various industry publications and panel discussions, and has sat on the board of the American Bankruptcy Institute. He holds a degree in Finance from Rochester Institute of Technology. Mr. Fishman’s extensive experience in the credit markets provides the Board with valuable industry-specific knowledge.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Regarding Executive Officers Who Are Not Directors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320" w:type="dxa"/>
            <w:vAlign w:val="bottom"/>
            <w:vMerge w:val="restart"/>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Age</w:t>
            </w:r>
          </w:p>
        </w:tc>
        <w:tc>
          <w:tcPr>
            <w:tcW w:w="300" w:type="dxa"/>
            <w:vAlign w:val="bottom"/>
            <w:vMerge w:val="restart"/>
          </w:tcPr>
          <w:p>
            <w:pPr>
              <w:spacing w:after="0"/>
              <w:rPr>
                <w:sz w:val="14"/>
                <w:szCs w:val="14"/>
                <w:color w:val="auto"/>
              </w:rPr>
            </w:pPr>
          </w:p>
        </w:tc>
        <w:tc>
          <w:tcPr>
            <w:tcW w:w="6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Position</w:t>
            </w:r>
          </w:p>
        </w:tc>
        <w:tc>
          <w:tcPr>
            <w:tcW w:w="220" w:type="dxa"/>
            <w:vAlign w:val="bottom"/>
            <w:vMerge w:val="restart"/>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Officer</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332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64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Since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Jennifer Gordon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8"/>
                <w:szCs w:val="18"/>
                <w:color w:val="auto"/>
              </w:rPr>
            </w:pPr>
          </w:p>
        </w:tc>
        <w:tc>
          <w:tcPr>
            <w:tcW w:w="6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Vice President and Chief Compliance Officer</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Alan Kirshenbaum</w:t>
            </w:r>
          </w:p>
        </w:tc>
        <w:tc>
          <w:tcPr>
            <w:tcW w:w="240" w:type="dxa"/>
            <w:vAlign w:val="bottom"/>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8"/>
                <w:szCs w:val="18"/>
                <w:color w:val="auto"/>
              </w:rPr>
            </w:pPr>
          </w:p>
        </w:tc>
        <w:tc>
          <w:tcPr>
            <w:tcW w:w="66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Chief Financial Officer</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Jennifer Mello</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Vice President and Secretary</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Robert Ollwerther</w:t>
            </w:r>
          </w:p>
        </w:tc>
        <w:tc>
          <w:tcPr>
            <w:tcW w:w="240" w:type="dxa"/>
            <w:vAlign w:val="bottom"/>
          </w:tcPr>
          <w:p>
            <w:pPr>
              <w:jc w:val="right"/>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18"/>
                <w:szCs w:val="18"/>
                <w:color w:val="auto"/>
              </w:rPr>
            </w:pPr>
          </w:p>
        </w:tc>
        <w:tc>
          <w:tcPr>
            <w:tcW w:w="66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Chief Operating Officer</w:t>
            </w:r>
          </w:p>
        </w:tc>
        <w:tc>
          <w:tcPr>
            <w:tcW w:w="440" w:type="dxa"/>
            <w:vAlign w:val="bottom"/>
          </w:tcPr>
          <w:p>
            <w:pPr>
              <w:jc w:val="right"/>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Pluss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Vice President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David Stiepleman</w:t>
            </w:r>
          </w:p>
        </w:tc>
        <w:tc>
          <w:tcPr>
            <w:tcW w:w="240" w:type="dxa"/>
            <w:vAlign w:val="bottom"/>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8"/>
                <w:szCs w:val="18"/>
                <w:color w:val="auto"/>
              </w:rPr>
            </w:pPr>
          </w:p>
        </w:tc>
        <w:tc>
          <w:tcPr>
            <w:tcW w:w="66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Vice President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Waxman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Vice President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address for each of our executive officers is c/o TPG Specialty Lending, 301 Commerce Street, Suite 3300, Fort Worth, TX 76102.</w:t>
      </w:r>
    </w:p>
    <w:p>
      <w:pPr>
        <w:spacing w:after="0" w:line="221"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 xml:space="preserve">Jennifer Gordon </w:t>
      </w:r>
      <w:r>
        <w:rPr>
          <w:rFonts w:ascii="Arial" w:cs="Arial" w:eastAsia="Arial" w:hAnsi="Arial"/>
          <w:sz w:val="18"/>
          <w:szCs w:val="18"/>
          <w:color w:val="auto"/>
        </w:rPr>
        <w:t>is a Vice President and Chief Compliance Officer of TSLX. Since 2014, Ms. Gordon has been a Managing Director and the Chief</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Officer and Deputy Chief Operating Officer of TSSP. Prior to joining TSSP, from 2004 to 2014, she held various positions at Goldman, Sachs &amp; Co., including most recently as Co-Head of Americas Securities Division Compliance. Ms. Gordon received her J.D. from Fordham University School of Law and B.A. from the University of Michigan.</w:t>
      </w:r>
    </w:p>
    <w:p>
      <w:pPr>
        <w:spacing w:after="0" w:line="180"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b w:val="1"/>
          <w:bCs w:val="1"/>
          <w:color w:val="auto"/>
        </w:rPr>
        <w:t xml:space="preserve">Alan Kirshenbaum </w:t>
      </w:r>
      <w:r>
        <w:rPr>
          <w:rFonts w:ascii="Arial" w:cs="Arial" w:eastAsia="Arial" w:hAnsi="Arial"/>
          <w:sz w:val="17"/>
          <w:szCs w:val="17"/>
          <w:color w:val="auto"/>
        </w:rPr>
        <w:t>is Chief Financial Officer of TSLX. Prior to being named Chief Financial Officer, Mr. Kirshenbaum was a Vice President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since 2011. From 2011 to 2013, Mr. Kirshenbaum was Chief Financial Officer and Executive Director of TSSP. From 2007 to 2011,</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Mr. Kirshenbaum was the Chief Financial Officer of Natsource, a private investment firm. Mr. Kirshenbaum was a Managing Director, Chief Operating Officer and Chief Financial Officer of MainStay Investments from 2006 to 2007. Mr. Kirshenbaum joined Bear Stearns Asset Management, or BSAM, in 1999 and was BSAM’s Chief Financial Officer from 2003 to 2006. Prior to working at BSAM, Mr. Kirshenbaum worked in public accounting at KPMG from 1996 to 1999 and J.H. Cohn from 1994 to 1996. Mr. Kirshenbaum received a B.S. from Rutgers University and an M.B.A. from New York University’s Stern School of Business.</w:t>
      </w:r>
    </w:p>
    <w:p>
      <w:pPr>
        <w:spacing w:after="0" w:line="187"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 xml:space="preserve">Jennifer Mello </w:t>
      </w:r>
      <w:r>
        <w:rPr>
          <w:rFonts w:ascii="Arial" w:cs="Arial" w:eastAsia="Arial" w:hAnsi="Arial"/>
          <w:sz w:val="18"/>
          <w:szCs w:val="18"/>
          <w:color w:val="auto"/>
        </w:rPr>
        <w:t>is a Vice President and Secretary of TSLX. Previously, Ms. Mello also served as Chief Compliance Officer of TSLX. Since 2012,</w:t>
      </w:r>
      <w:r>
        <w:rPr>
          <w:rFonts w:ascii="Arial" w:cs="Arial" w:eastAsia="Arial" w:hAnsi="Arial"/>
          <w:sz w:val="18"/>
          <w:szCs w:val="18"/>
          <w:b w:val="1"/>
          <w:bCs w:val="1"/>
          <w:color w:val="auto"/>
        </w:rPr>
        <w:t xml:space="preserve"> </w:t>
      </w:r>
      <w:r>
        <w:rPr>
          <w:rFonts w:ascii="Arial" w:cs="Arial" w:eastAsia="Arial" w:hAnsi="Arial"/>
          <w:sz w:val="18"/>
          <w:szCs w:val="18"/>
          <w:color w:val="auto"/>
        </w:rPr>
        <w:t>Ms. Mello has been the General Counsel and a Principal of TSSP and, prior to joining TSSP, she was Deputy General Counsel of TPG. Prior to joining TPG, she was a senior attorney at the law firm of Cleary Gottlieb Steen &amp; Hamilton LLP. Ms. Mello received her J.D. from Northwestern University School of Law and her B.S. from the Edmund A. Walsh School of Foreign Service at Georgetown University.</w:t>
      </w:r>
    </w:p>
    <w:p>
      <w:pPr>
        <w:spacing w:after="0" w:line="180" w:lineRule="exact"/>
        <w:rPr>
          <w:sz w:val="20"/>
          <w:szCs w:val="20"/>
          <w:color w:val="auto"/>
        </w:rPr>
      </w:pPr>
    </w:p>
    <w:p>
      <w:pPr>
        <w:ind w:right="240" w:firstLine="456"/>
        <w:spacing w:after="0" w:line="258" w:lineRule="auto"/>
        <w:rPr>
          <w:sz w:val="20"/>
          <w:szCs w:val="20"/>
          <w:color w:val="auto"/>
        </w:rPr>
      </w:pPr>
      <w:r>
        <w:rPr>
          <w:rFonts w:ascii="Arial" w:cs="Arial" w:eastAsia="Arial" w:hAnsi="Arial"/>
          <w:sz w:val="18"/>
          <w:szCs w:val="18"/>
          <w:b w:val="1"/>
          <w:bCs w:val="1"/>
          <w:color w:val="auto"/>
        </w:rPr>
        <w:t xml:space="preserve">Robert Ollwerther </w:t>
      </w:r>
      <w:r>
        <w:rPr>
          <w:rFonts w:ascii="Arial" w:cs="Arial" w:eastAsia="Arial" w:hAnsi="Arial"/>
          <w:sz w:val="18"/>
          <w:szCs w:val="18"/>
          <w:color w:val="auto"/>
        </w:rPr>
        <w:t>is Chief Operating Officer of TSLX. Since 2014, he has served as a Managing Director for TSSP. From 2013 to 2014, he was a</w:t>
      </w:r>
      <w:r>
        <w:rPr>
          <w:rFonts w:ascii="Arial" w:cs="Arial" w:eastAsia="Arial" w:hAnsi="Arial"/>
          <w:sz w:val="18"/>
          <w:szCs w:val="18"/>
          <w:b w:val="1"/>
          <w:bCs w:val="1"/>
          <w:color w:val="auto"/>
        </w:rPr>
        <w:t xml:space="preserve"> </w:t>
      </w:r>
      <w:r>
        <w:rPr>
          <w:rFonts w:ascii="Arial" w:cs="Arial" w:eastAsia="Arial" w:hAnsi="Arial"/>
          <w:sz w:val="18"/>
          <w:szCs w:val="18"/>
          <w:color w:val="auto"/>
        </w:rPr>
        <w:t>senior advisor to TSSP. From 2008 to 2012, he was Chief Operating Officer of Avenue Capital Group, a global firm with over $13 billion in assets under management. Prior to that, Mr. Ollwerther spent over 25 years at Merrill Lynch in various senior leadership roles, most recently as Managing Director and Chief Operating Officer of the Hedge Fund Management &amp; Development Group. He is a Certified Public Accountant with a B.S. from Fairfield University and an M.B.A. from New York University’s Stern School of Business.</w:t>
      </w:r>
    </w:p>
    <w:p>
      <w:pPr>
        <w:spacing w:after="0" w:line="184"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Steven Pluss </w:t>
      </w:r>
      <w:r>
        <w:rPr>
          <w:rFonts w:ascii="Arial" w:cs="Arial" w:eastAsia="Arial" w:hAnsi="Arial"/>
          <w:sz w:val="18"/>
          <w:szCs w:val="18"/>
          <w:color w:val="auto"/>
        </w:rPr>
        <w:t>is a Vice President of TSLX. He is also a TPG and TSSP Partner and has been the Chief Financial Officer and Chief Risk Officer of TSSP</w:t>
      </w:r>
      <w:r>
        <w:rPr>
          <w:rFonts w:ascii="Arial" w:cs="Arial" w:eastAsia="Arial" w:hAnsi="Arial"/>
          <w:sz w:val="18"/>
          <w:szCs w:val="18"/>
          <w:b w:val="1"/>
          <w:bCs w:val="1"/>
          <w:color w:val="auto"/>
        </w:rPr>
        <w:t xml:space="preserve"> </w:t>
      </w:r>
      <w:r>
        <w:rPr>
          <w:rFonts w:ascii="Arial" w:cs="Arial" w:eastAsia="Arial" w:hAnsi="Arial"/>
          <w:sz w:val="18"/>
          <w:szCs w:val="18"/>
          <w:color w:val="auto"/>
        </w:rPr>
        <w:t>since 2013. Prior to joining TSSP, Mr. Pluss was a Managing Director and co-head of the Goldman Sachs Specialty Lending Group at Goldman, Sachs &amp; Co., where he worked from 2004 to 2013. From 1999 to 2004, Mr. Pluss was a Partner, Founder and Managing Member of RTV Ventures, a special situations lending joint venture with Goldman, Sachs &amp; Co. Mr. Pluss received a B.B.A from Texas A&amp;M University and an M.B.A from Southern Methodist University.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David Stiepleman </w:t>
      </w:r>
      <w:r>
        <w:rPr>
          <w:rFonts w:ascii="Arial" w:cs="Arial" w:eastAsia="Arial" w:hAnsi="Arial"/>
          <w:sz w:val="18"/>
          <w:szCs w:val="18"/>
          <w:color w:val="auto"/>
        </w:rPr>
        <w:t>is a Vice President of TSLX. He is also a TPG and TSSP Partner and has served as TSSP’s Chief Operating Officer since 2010.</w:t>
      </w:r>
      <w:r>
        <w:rPr>
          <w:rFonts w:ascii="Arial" w:cs="Arial" w:eastAsia="Arial" w:hAnsi="Arial"/>
          <w:sz w:val="18"/>
          <w:szCs w:val="18"/>
          <w:b w:val="1"/>
          <w:bCs w:val="1"/>
          <w:color w:val="auto"/>
        </w:rPr>
        <w:t xml:space="preserve"> </w:t>
      </w:r>
      <w:r>
        <w:rPr>
          <w:rFonts w:ascii="Arial" w:cs="Arial" w:eastAsia="Arial" w:hAnsi="Arial"/>
          <w:sz w:val="18"/>
          <w:szCs w:val="18"/>
          <w:color w:val="auto"/>
        </w:rPr>
        <w:t>From 2007 to 2010, Mr. Stiepleman was a Managing Director and the Deputy General Counsel of Fortress Investment Group LLC, where he was the lead lawyer responsible for that firm’s new business initiatives. Prior to that, from 2003 to 2007, he was lead counsel to the Americas Special Situations Group and the Mortgages Department at Goldman, Sachs &amp; Co. Mr. Stiepleman received a B.A. in French and Political Science from Amherst College and a J.D. from Columbia University.</w:t>
      </w:r>
    </w:p>
    <w:p>
      <w:pPr>
        <w:spacing w:after="0" w:line="18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color w:val="auto"/>
        </w:rPr>
        <w:t xml:space="preserve">Alan Waxman </w:t>
      </w:r>
      <w:r>
        <w:rPr>
          <w:rFonts w:ascii="Arial" w:cs="Arial" w:eastAsia="Arial" w:hAnsi="Arial"/>
          <w:sz w:val="18"/>
          <w:szCs w:val="18"/>
          <w:color w:val="auto"/>
        </w:rPr>
        <w:t>is a Vice President of TSLX. Mr. Waxman is a TPG Partner and is a member of the TPG’s Executive Committee. He has been the Chief</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Officer and TSSP Partner and Co-Chief Investment Officer of the Adviser from inception. Prior to joining TPG in 2009, Mr. Waxman was a Partner at Goldman, Sachs &amp; Co. During his career at Goldman, Sachs &amp; Co., he co-headed the Americas Special Situations Group, which invested Goldman’s capital in both the public markets and private transactions in distressed and special situations. Mr. Waxman began his career at Goldman, Sachs &amp; Co. in 1998. He holds a B.A. in International Relations from the University of Pennsylvania, where he currently serves on their board of the School of Arts and Sciences.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Pursuant to our certificate of incorporation and our bylaws, our Board consists of five members. Pursuant to our bylaws, the Board may increase or decrease the number of directors to no fewer than four and no greater than nine. The Board is divided into three classes, with the members of each class each serving staggered, three-year terms.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Pursuant to our certificate of incorporation, a majority of the Board will at all times consist of directors who are not “interested persons” of us, of the Adviser, or of any of our or its respective affiliates, as defined in the 1940 Act. Under Section 303A.00 of the NYSE Listed Company Manual, a director of a BDC is considered to be independent if he or she is not an “interested person” of ours, as defined in Section 2(a)(19) of the 1940 Act.</w:t>
      </w:r>
    </w:p>
    <w:p>
      <w:pPr>
        <w:spacing w:after="0" w:line="16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Consistent with these considerations, after review of all relevant transactions and relationships between each director, or any of his or her family members, and us, the Adviser, or of any of our or its respective affiliates, the Board has determined that Messrs. Higginbotham, Ross and Tanemura qualify as Independent Directors. Each director who serves on the Audit Committee is an independent director under the applicable NYSE listing standards and for purposes of Rule 10A-3 under the Exchange Act. Each director who serves on the Compensation Committee and Nominating and Corporate Governance Committee is an independent director under the applicable NYSE listing standards.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Messrs. Easterly and Fishman are considered “interested persons” (as defined in the 1940 Act) since both of them are employed by the Adviser. See “— Biographical Information—Interested Directors.”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and Attendance</w:t>
      </w:r>
    </w:p>
    <w:p>
      <w:pPr>
        <w:spacing w:after="0" w:line="11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Our Board has met three times in 2015, four times in 2014 and acted on various occasions by written consent. No incumbent director attended fewer than 75% of the aggregate of the total number of meetings of the Board (held during the period for which he has been a director) and the total number of meetings held by all committees of the Board on which he served (during the periods that he served).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Attendance at the Meeting</w:t>
      </w:r>
    </w:p>
    <w:p>
      <w:pPr>
        <w:spacing w:after="0" w:line="11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Our policy is to encourage our directors to attend each annual meeting of stockholders; however, attendance is not required. Messrs. Easterly and Fishman attended last year’s annual meeting of stockholders in person.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Board monitors and performs an oversight role with respect to our business and affairs, including with respect to investment practices and performance, compliance with regulatory requirements and the services, expenses and performance of service providers to us. Among other things, our Board approves the appointment of our Adviser and our officers, reviews and monitors the services and activities performed by our investment adviser and our executive officers.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designates a chairman to preside over the meetings of the Board and to perform other duties as may be assigned to him by the Board. We do not have a fixed policy as to whether the chairman of the Board should be an Independent Director and believe that we should maintain the flexibility to select the chairman and reorganize the leadership structure, from time to time, based on the criteria that is in our best interests and the best interests of our stockholders at such times.</w:t>
      </w:r>
    </w:p>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Presently, Mr. Easterly serves as the chairman of our Board. We believe that Mr. Easterly’s familiarity with our investment platform and extensive knowledge of the financial services industry qualifies him to serve as the chairman of our Board.</w:t>
      </w:r>
    </w:p>
    <w:p>
      <w:pPr>
        <w:spacing w:after="0" w:line="17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Our Board does not currently have a designated lead Independent Director. We are aware of the potential conflicts that may arise when a non-Independent Director is chairman of the Board, but believe these potential conflicts are offset by our strong corporate governance practices. Our corporate governance practices include regular meetings of the Independent Directors in executive session without the presence of interested directors and management, as well as the establishment of a Nominating and Corporate Governance Committee, a Compensation Committee and an Audit Committee, each consisting solely of Independent Directors for the purposes of the NYSE corporate governance rules and, in the case of the Audit Committee, Rule 10A-3 under the Exchange Act. During executive sessions, the chairman of the Audit Committee or his designee acts as presiding director. In addition, our corporate governance practices include the appointment of our Chief Compliance Officer, with whom the Independent Directors meet in executive session without the presence of interested directors and other members of management for administering our compliance policies and procedures. While certain non-management members of our Board currently participate on the boards of directors of other companies, we do not view their participation as excessive or as interfering with their duties on our Board.</w:t>
      </w:r>
    </w:p>
    <w:p>
      <w:pPr>
        <w:spacing w:after="0" w:line="17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Our Board performs its risk oversight function primarily through its committees and monitoring by our Chief Compliance Officer in accordance with its compliance policies and procedures.</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As described below in more detail under “—Board Committees—Audit Committee,” the Audit Committee assists the Board in fulfilling its risk oversight responsibilities. The Audit Committee’s risk oversight responsibilities include overseeing our accounting and financial reporting processes, our systems of internal controls regarding finance and accounting, and audits of our financial statements. The Audit Committee also discusses with management our major financial risk exposures and the steps management has taken to monitor and control such exposures, including our risk assessment and risk management policies.</w:t>
      </w:r>
    </w:p>
    <w:p>
      <w:pPr>
        <w:spacing w:after="0" w:line="188"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Our Board also performs its risk oversight responsibilities with the assistance of the Chief Compliance Officer. Our Chief Compliance Officer prepares a written report annually discussing the adequacy and effectiveness of our compliance policies and procedures. The Chief Compliance Officer’s report, which is reviewed by the Board, addresses:</w:t>
      </w:r>
    </w:p>
    <w:p>
      <w:pPr>
        <w:spacing w:after="0" w:line="87" w:lineRule="exact"/>
        <w:rPr>
          <w:sz w:val="20"/>
          <w:szCs w:val="20"/>
          <w:color w:val="auto"/>
        </w:rPr>
      </w:pPr>
    </w:p>
    <w:p>
      <w:pPr>
        <w:ind w:left="5580" w:right="2380" w:hanging="5005"/>
        <w:spacing w:after="0" w:line="449" w:lineRule="auto"/>
        <w:tabs>
          <w:tab w:leader="none" w:pos="897"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adequacy of our compliance policies and procedures and certain of our service providers since the last report; 114</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material changes to these policies and procedures or recommended changes;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any compliance matter that has occurred about which the Board would reasonably need to know to oversee our compliance activities and risks.</w:t>
      </w:r>
    </w:p>
    <w:p>
      <w:pPr>
        <w:spacing w:after="0" w:line="24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addition, the Chief Compliance Officer meets separately in executive session with the Independent Directors periodically, typically every quarter, but in no event less than once each year.</w:t>
      </w:r>
    </w:p>
    <w:p>
      <w:pPr>
        <w:spacing w:after="0" w:line="17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believe that the Board’s role in risk oversight is effective and appropriate given the extensive regulation to which we are already subject as a BDC. Specifically, as a BDC, we must comply with numerous regulatory requirements that control the levels of risk in its business and operations. The 1940 Act limits our ability to incur borrowings, issue debt securities or issue preferred stock unless after any borrowing or issuance the ratio of total assets (less total liabilities other than indebtedness) to total indebtedness plus preferred stock is at least 200%. In addition, we generally have to invest at least 70% of our total assets in “qualifying assets” and, subject to certain exceptions, we generally are not permitted to invest in any portfolio company in which our affiliates currently has an investment. In addition, we have elected to be treated as a RIC under Subchapter M of the Code. As a RIC, we must, among other things, meet certain source of income, asset diversification and distribution requirements.</w:t>
      </w:r>
    </w:p>
    <w:p>
      <w:pPr>
        <w:spacing w:after="0" w:line="178"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Further, we believe that the Board’s structure and practices enhance its risk oversight because our Independent Directors separately meet in executive sessions with the Chief Compliance Officer and independent registered public accounting firm without any conflict that could be perceived to discourage critical review.</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the Board’s role in risk oversight must be evaluated on a case-by-case basis and that its existing role in risk oversight is appropriate.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 with Directors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Our Board has established procedures whereby our stockholders and other interested parties may communicate with any member of our Board, the chairman of any of our Board committees or with our non-management directors as a group by mail addressed to the applicable directors or director group, in the care of the Chief Compliance Officer, Jennifer Gordon, TPG Specialty Lending, Inc., 301 Commerce Street, Suite 3300, Fort Worth, TX 76102. Such communications should specify the intended recipient or recipients. All such communications, other than unsolicited commercial solicitations, will be forwarded to the appropriate director, or directors, for review.</w:t>
      </w:r>
    </w:p>
    <w:p>
      <w:pPr>
        <w:spacing w:after="0" w:line="18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addition, information on how to report issues related to financial statement disclosures, accounting, internal accounting controls or auditing matters to our Board or the non-management directors via email is available on our website at http://www.tpgspecialtylending.com.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currently have three standing committees: the Audit Committee, the Nominating and Corporate Governance Committee and the Compensation Committee.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Audit Committee operates pursuant to the Audit Committee Charter. The Audit Committee Charter sets forth the responsibilities of the Audit Committee. The primary function of the Audit Committee is to serve as an independent and objective party to assist the Board in fulfilling its responsibilities for our accounting and reporting processes and the audits of its financial statements by overseeing and monitoring:</w:t>
      </w:r>
    </w:p>
    <w:p>
      <w:pPr>
        <w:spacing w:after="0" w:line="87" w:lineRule="exact"/>
        <w:rPr>
          <w:sz w:val="20"/>
          <w:szCs w:val="20"/>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quality and integrity of our financial statements;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adequacy of our system of internal controls;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80" w:hanging="325"/>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financial reporting process, including the valuation of investments, the review of the independence and performance of, as well as communicate openly with, our independent registered public accounting firm;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Audit Committee has the sole authority to approve the engagement, and review the performance of, our independent registered public accounting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firm.</w:t>
      </w:r>
    </w:p>
    <w:p>
      <w:pPr>
        <w:spacing w:after="0" w:line="21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Board has designated Mr. Ross as an “audit committee financial expert” pursuant to the provisions of Item 407(d)(5) of Regulation S-K, and, pursuant to the Audit Committee Charter, our Audit Committee consists solely of members who are independent directors for the purposes of the applicable NYSE corporate governance rules and Rule 10A-3 under the Exchange Act.</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Messrs. Ross, Higginbotham and Tanemura are members of the Audit Committee and Mr. Ross serves as Chairman. The Audit Committee has met four times in 2015, held nine meetings in 2014 and acted on various occasions by written consent.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color w:val="auto"/>
        </w:rPr>
        <w:t>The Nominating and Corporate Governance Committee operates pursuant to the Nominating and Corporate Governance Committee Charter. The Nominating and Corporate Governance Committee Charter sets forth the responsibilities of the Nominating and Corporate Governance Committee. The Nominating and Corporate Governance Committee is responsible for:</w:t>
      </w:r>
    </w:p>
    <w:p>
      <w:pPr>
        <w:spacing w:after="0" w:line="87" w:lineRule="exact"/>
        <w:rPr>
          <w:sz w:val="20"/>
          <w:szCs w:val="20"/>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selecting, researching and nominating directors for election by our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selecting nominees to fill vacancies on the Board or a committee of the Board;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developing and recommending to the Board a set of corporate governance principles;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overseeing the evaluation of the Board and our management.</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Nominating and Corporate Governance Committee considers nominees to the Board recommended by a stockholder, if that stockholder complies with the advance notice provisions of our bylaws, as described below.</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members of the Nominating and Corporate Governance Committee are Messrs. Ross, Higginbotham and Tanemura, each of whom is independent for purposes of the NYSE corporate governance rules. Mr. Higginbotham serves as Chairman. The Nominating and Corporate Governance Committee has held one meeting in 2015. The Nominating and Corporate Governance Committee was formed in connection with our IPO in March 2014 and did not hold a meeting in 2014.</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The Compensation Committee operates pursuant to the Compensation Committee Charter. The Compensation Committee Charter sets forth the responsibilities of the Compensation Committee. The Compensation Committee is responsible for:</w:t>
      </w:r>
    </w:p>
    <w:p>
      <w:pPr>
        <w:spacing w:after="0" w:line="76" w:lineRule="exact"/>
        <w:rPr>
          <w:sz w:val="20"/>
          <w:szCs w:val="20"/>
          <w:color w:val="auto"/>
        </w:rPr>
      </w:pPr>
    </w:p>
    <w:p>
      <w:pPr>
        <w:ind w:left="900" w:right="240" w:hanging="325"/>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reviewing and approving the reimbursement by us of compensation paid by the Adviser or its affiliates pursuant to the terms of the Investment Advisory Agreement and the Administration Agreement;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overseeing and setting compensation for our directors;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along with the Board, approving or renewing the Investment Advisory Agreement and Administration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“—Compensation and Insider Participation—Compensation of Executive Officers.”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members of the Compensation Committee are Messrs. Ross, Higginbotham and Tanemura, each of whom is independent for purposes of the NYSE corporate governance rules. Mr. Ross serves as Chairman. The Compensation Committee was formed in connection with our IPO in March 2014 and did not hold a meeting in 2014. The Compensation Committee will meet one time each year and at additional times as necessary to carry out its responsibilities.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 Committee</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IPO Committee, which was dissolved after our IPO, held one meeting in 2014. Messrs. Easterly, Fishman and Tanemura were members of the IPO Committee. Mr. Easterly served as Chairman.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 Charters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maintain a corporate governance section on our website, which contains copies of the charters for the committees of our Board. The corporate governance section may be found at http://www.tpgspecialtylending.com in the “Investor Resources” section of our website. Information on our website is not incorporated into this prospectus. The corporate governance section contains the following documents, which are available in print to any stockholder who requests a copy in writing at 345 California Street, Suite 3300, San Francisco, CA 94104, Attention: TSLX Investor Relations, or by emailing us at IRTSL@tpg.com:</w:t>
      </w:r>
    </w:p>
    <w:p>
      <w:pPr>
        <w:spacing w:after="0" w:line="94" w:lineRule="exact"/>
        <w:rPr>
          <w:sz w:val="20"/>
          <w:szCs w:val="20"/>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Nominating and Corporate Governance Committee Charter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Compensation Committee Charter</w:t>
      </w:r>
    </w:p>
    <w:p>
      <w:pPr>
        <w:spacing w:after="0" w:line="225"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In addition, our Code of Business Conduct and Ethics and our Corporate Governance Guidelines may be found at http://www.tpgspecialtylending.com in the “Investor Resources” section of our website and are available in print to any stockholder who requests a copy in writing.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Nomination for election as a director may be made by, or at the direction of, the Nominating and Corporate Governance Committee or by stockholders in compliance with the procedures set forth in our bylaws.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bylaws provide the procedures to be followed by a stockholder desiring to make a director nomination. For a stockholder to properly bring any item of business before a meeting of stockholders, including nominations to serve as a director, the stockholder must give timely notice thereof in writing to our Secretary in compliance with the requirements of our bylaws. Stockholder notices or nominations for director should be made in writing to the Secretary of the Company, Jennifer Mello, TPG Specialty Lending, Inc., 301 Commerce Street, Suite 3300, Fort Worth, TX 76102. Please refer to the text of our bylaws (including Article II, paragraph (K)), which are on file with the SEC.</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evaluating director nominees, the Nominating and Corporate Governance Committee considers, among others, the following factors:</w:t>
      </w:r>
    </w:p>
    <w:p>
      <w:pPr>
        <w:spacing w:after="0" w:line="131"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appropriate size and composition of our Board;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whether or not the person is an “interested person” of TSLX as defined in Section 2(a)(19) of the 1940 Act;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needs of TSLX with respect to the particular talents and experience of its directors;</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knowledge, skills and experience of nominees in light of prevailing business conditions and the knowledge, skills and experience already possessed by other members of the Board;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character and integrity;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familiarity with national and international business matters;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experience with accounting rules and practices;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desire to balance the considerable benefit of continuity with the periodic injection of the fresh perspective provided by new members;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applicable laws, rules, regulations, and listing standards.</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Nominating and Corporate Governance Committee’s goal is to assemble a board that brings to TSLX a variety of perspectives and skills derived from high-quality business and professional experience.</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Other than the foregoing, there are no stated minimum criteria for director nominees, although the Nominating and Corporate Governance Committee may also consider other factors as they may deem are in the best interests of TSLX and its stockholders. The Board also believes it appropriate for certain key members of our management to participate as members of the Board.</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Nominating and Corporate Governance Committee identifies nominees by first evaluating the current members of the Board willing to continue in service. Current members of the Board with skills and experience that are relevant to our business and who are willing to continue in service are considered for re-nomination. If any member of the Board does not wish to continue in service or if the Nominating and Corporate Governance Committee decides not to re-nominate a member for re-election, the Nominating and Corporate Governance Committee identifies the desired skills and experience of a new nominee in light of the criteria above. The members of the Board are polled for suggestions as to individuals meeting the aforementioned criteria. Research may also be performed to identify qualified individuals. To date, we have not engaged third parties to identify or evaluate or assist in identifying potential nominees, although we reserve the right in the future to retain a third-party search firm, if necessary.</w:t>
      </w:r>
    </w:p>
    <w:p>
      <w:pPr>
        <w:spacing w:after="0" w:line="178"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The Board has not adopted a formal policy with regard to the consideration of diversity in identifying director nominees. In determining whether to recommend a director nominee, the Nominating and Corporate Governance Committee considers and discusses diversity, among other factors, with a view toward the needs of the Board as a whole. The Board generally conceptualizes diversity expansively to include, without limitation, concepts such as race, gender, national origin, differences of viewpoint, professional experience, education, skill and other qualities that contribute to the Board when identifying and recommending director nominees. The Board believes that the inclusion of diversity as one of many factors considered in selecting director nominees is consistent with the Board’s goal of creating a Board that best serves the needs of TSLX and the interests of our stockholders.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Insider Participation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Independent Directors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pay each Independent Director the following amounts for serving as a director:</w:t>
      </w:r>
    </w:p>
    <w:p>
      <w:pPr>
        <w:spacing w:after="0" w:line="131" w:lineRule="exact"/>
        <w:rPr>
          <w:sz w:val="20"/>
          <w:szCs w:val="20"/>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$100,000 annual retainer (which was $75,000 prior to the IPO);</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$2,500 for each meeting of the Board attended;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$1,000 for each committee meeting of ours attended;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additional fee of $7,500 per year for the chairman of the Audit Committee.</w:t>
      </w:r>
    </w:p>
    <w:p>
      <w:pPr>
        <w:spacing w:after="0" w:line="225"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During the year ended December 31, 2014, we also reimbursed directors for certain out-of-pocket expenses each Independent Director incurred in connection with the fulfillment of his duties as an Independent Director.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following table sets forth information concerning total compensation earned by or paid to each of our Independent Directors during the fiscal year ended December 31, 2014:</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34"/>
              <w:spacing w:after="0"/>
              <w:rPr>
                <w:sz w:val="20"/>
                <w:szCs w:val="20"/>
                <w:color w:val="auto"/>
              </w:rPr>
            </w:pPr>
            <w:r>
              <w:rPr>
                <w:rFonts w:ascii="Arial" w:cs="Arial" w:eastAsia="Arial" w:hAnsi="Arial"/>
                <w:sz w:val="14"/>
                <w:szCs w:val="14"/>
                <w:b w:val="1"/>
                <w:bCs w:val="1"/>
                <w:color w:val="auto"/>
                <w:w w:val="88"/>
              </w:rPr>
              <w:t>Fees Earned</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or Paid in Cash</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Richard Higginbotham</w:t>
            </w:r>
          </w:p>
        </w:tc>
        <w:tc>
          <w:tcPr>
            <w:tcW w:w="2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112,750</w:t>
            </w:r>
          </w:p>
        </w:tc>
        <w:tc>
          <w:tcPr>
            <w:tcW w:w="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112,750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John Ross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119,625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119,625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Ronald Tanemura</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110,250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110,250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Executive Officers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do not currently have any employees and do not expect to have any employees. Services necessary for our business are provided by individuals who are employees of the Adviser or its affiliates or by subcontractors, pursuant to the terms of the Investment Advisory Agreement and the Administration Agreement. Each of our executive officers is an employee of the Adviser or its affiliates. Our day-to-day investment operations are managed by the Adviser. Most of the services necessary for the origination and administration of our investment portfolio are provided by investment professionals employed by the Adviser or its affiliates or by subcontractors.</w:t>
      </w:r>
    </w:p>
    <w:p>
      <w:pPr>
        <w:spacing w:after="0" w:line="1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None of our executive officers receives direct compensation from us. We reimburse the Adviser or its affiliates for an allocable portion of the compensation paid by the Adviser or its affiliates to our Chief Compliance Officer, Chief Financial Officer, and other professionals who spend time on such related activities (based on the percentage of time those individuals devote, on an estimated basis, to our business and affairs). Certain of our executive officers and other members of our investment team, through their ownership interest in or management positions with the Adviser or its affiliates, are entitled to a portion of any profits earned by the Adviser, which includes any fees payable to the Adviser under the terms of our Investment Advisory Agreement, less expenses incurred by the Adviser in performing its services under our Investment Advisory Agreement. The Adviser or its affiliates may pay additional salaries, bonuses, and individual performance awards or individual performance bonuses to our executive officers in addition to their ownership interest.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TSL Advisers, LLC is our external manager. Our Adviser is a Delaware limited liability company. Our Adviser acts as our investment adviser and administrator and is a registered investment adviser with the SEC under the Advisers Act.</w:t>
      </w:r>
    </w:p>
    <w:p>
      <w:pPr>
        <w:spacing w:after="0" w:line="170"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Our Adviser sources and manages our portfolio through our Investment Team, a dedicated team of investment professionals predominately focused on us. Our Investment Team is led by our Chairman and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our Adviser and TSSP. The members of the Investment Review Committee are Joshua Easterly, Michael Fishman, Alan Waxman and David Stiepleman.</w:t>
      </w:r>
    </w:p>
    <w:p>
      <w:pPr>
        <w:spacing w:after="0" w:line="15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See “The Company—About TSLX—Our Investment Adviser” for a further description of TSSP and TPG.</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Adviser’s address is 301 Commerce Street, Suite 3300, Fort Worth, TX 76102.</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60"/>
          </w:cols>
          <w:pgMar w:left="240" w:top="459" w:right="2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 AND OTHER AGREEMENTS</w:t>
      </w:r>
    </w:p>
    <w:p>
      <w:pPr>
        <w:spacing w:after="0" w:line="229" w:lineRule="exact"/>
        <w:rPr>
          <w:sz w:val="20"/>
          <w:szCs w:val="20"/>
          <w:color w:val="auto"/>
        </w:rPr>
      </w:pPr>
    </w:p>
    <w:p>
      <w:pPr>
        <w:ind w:right="560" w:firstLine="456"/>
        <w:spacing w:after="0" w:line="264" w:lineRule="auto"/>
        <w:rPr>
          <w:sz w:val="20"/>
          <w:szCs w:val="20"/>
          <w:color w:val="auto"/>
        </w:rPr>
      </w:pPr>
      <w:r>
        <w:rPr>
          <w:rFonts w:ascii="Arial" w:cs="Arial" w:eastAsia="Arial" w:hAnsi="Arial"/>
          <w:sz w:val="18"/>
          <w:szCs w:val="18"/>
          <w:color w:val="auto"/>
        </w:rPr>
        <w:t>The following description is a summary of the material terms of the Investment Advisory Agreement, Administration Agreement and License Agreement. This summary is not necessarily complete, and we refer you to these agreements as filed as exhibits to our SEC filings for a more detailed description of the provisions summarized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Advisory Agreement; Administration Agreement; License Agreement</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On April 15, 2011, we entered into the Investment Advisory Agreement with our Adviser. The Investment Advisory Agreement was subsequently amended on December 12, 2011.</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Investment Advisory Agreement, the Adviser:</w:t>
      </w:r>
    </w:p>
    <w:p>
      <w:pPr>
        <w:spacing w:after="0" w:line="131" w:lineRule="exact"/>
        <w:rPr>
          <w:sz w:val="20"/>
          <w:szCs w:val="20"/>
          <w:color w:val="auto"/>
        </w:rPr>
      </w:pPr>
    </w:p>
    <w:p>
      <w:pPr>
        <w:ind w:left="900" w:hanging="325"/>
        <w:spacing w:after="0"/>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those changes;</w:t>
      </w:r>
    </w:p>
    <w:p>
      <w:pPr>
        <w:spacing w:after="0" w:line="153" w:lineRule="exact"/>
        <w:rPr>
          <w:rFonts w:ascii="Arial" w:cs="Arial" w:eastAsia="Arial" w:hAnsi="Arial"/>
          <w:sz w:val="16"/>
          <w:szCs w:val="16"/>
          <w:color w:val="auto"/>
        </w:rPr>
      </w:pPr>
    </w:p>
    <w:p>
      <w:pPr>
        <w:ind w:left="900" w:right="280" w:hanging="325"/>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determines the assets we will originate, purchase, retain or sell;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closes, monitors and administers the investments we make, including the exercise of any rights in our capacity as a lender or equity holder; and</w:t>
      </w:r>
    </w:p>
    <w:p>
      <w:pPr>
        <w:spacing w:after="0" w:line="153" w:lineRule="exact"/>
        <w:rPr>
          <w:rFonts w:ascii="Arial" w:cs="Arial" w:eastAsia="Arial" w:hAnsi="Arial"/>
          <w:sz w:val="16"/>
          <w:szCs w:val="16"/>
          <w:color w:val="auto"/>
        </w:rPr>
      </w:pPr>
    </w:p>
    <w:p>
      <w:pPr>
        <w:ind w:left="900" w:right="220" w:hanging="325"/>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Adviser’s services under the Investment Advisory Agreement are not exclusive, and the Adviser is free to furnish similar or other services to others so long as its services to us are not impaired.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terms of the Investment Advisory Agreement, we pay the Adviser the Management Fee and may also pay the Incentive Fees.</w:t>
      </w:r>
    </w:p>
    <w:p>
      <w:pPr>
        <w:spacing w:after="0" w:line="225"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81"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For the year ended December 31, 2014, Management Fees were $18.3 million, of which $2.5 million were waived. For the three months ended March 31, 2015, Management Fees were $5.0 million.</w:t>
      </w:r>
    </w:p>
    <w:p>
      <w:pPr>
        <w:spacing w:after="0" w:line="170"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Until our IPO in March 2014, the Adviser had waived its right to receive the Management Fee in excess of the sum of (i) 0.25% of aggregate committed but undrawn capital and (ii) 0.75% of aggregate drawn capital (including capital drawn to pay our expenses) as determined as of the end of any calendar quarter. Any waived Management Fees were not subject to recoupment by the Adviser. Following the IPO, the Adviser has not waived its right to receive the full Management Fee and accordingly, we will be required to continue to pay the full amount of the Management Fee.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131" w:lineRule="exact"/>
        <w:rPr>
          <w:sz w:val="20"/>
          <w:szCs w:val="20"/>
          <w:color w:val="auto"/>
        </w:rPr>
      </w:pPr>
    </w:p>
    <w:p>
      <w:pPr>
        <w:ind w:left="900" w:right="100" w:hanging="446"/>
        <w:spacing w:after="0" w:line="286" w:lineRule="auto"/>
        <w:tabs>
          <w:tab w:leader="none" w:pos="9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Through March 31, 2014, the quarter in which we completed our IPO, the first component, payable at the end of each quarter in arrears, equaled 100% of the pre-Incentive Fee net investment income in excess of a 1.5% quarterly “hurdle rate,” the calculation of which is further explained below, until the Adviser had received 15% of the total pre-Incentive Fee net investment income for that quarter and, for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0"/>
        <w:spacing w:after="0" w:line="276" w:lineRule="auto"/>
        <w:rPr>
          <w:sz w:val="20"/>
          <w:szCs w:val="20"/>
          <w:color w:val="auto"/>
        </w:rPr>
      </w:pPr>
      <w:r>
        <w:rPr>
          <w:rFonts w:ascii="Arial" w:cs="Arial" w:eastAsia="Arial" w:hAnsi="Arial"/>
          <w:sz w:val="17"/>
          <w:szCs w:val="17"/>
          <w:color w:val="auto"/>
        </w:rPr>
        <w:t>pre-Incentive Fee net investment income in excess of 1.76% quarterly, 15% of all remaining pre-Incentive Fee net investment income for that quarter. The 100% “catch-up” provision for pre-Incentive Fee net investment income in excess of the 1.5% “hurdle rate” is intended to provide the Adviser with an incentive fee of 15% on all pre-Incentive Fee net investment income when that amount equals 1.76% in a quarter (7.04% annualized), which was the rate at which catch-up was achieved. Once the “hurdle rate” was reached and catch-up was achieved, 15% of any pre-Incentive Fee net investment income in excess of 1.76% in any quarter was payable to the Adviser.</w:t>
      </w:r>
    </w:p>
    <w:p>
      <w:pPr>
        <w:spacing w:after="0" w:line="64" w:lineRule="exact"/>
        <w:rPr>
          <w:sz w:val="20"/>
          <w:szCs w:val="20"/>
          <w:color w:val="auto"/>
        </w:rPr>
      </w:pPr>
    </w:p>
    <w:p>
      <w:pPr>
        <w:ind w:left="920"/>
        <w:spacing w:after="0" w:line="271" w:lineRule="auto"/>
        <w:rPr>
          <w:sz w:val="20"/>
          <w:szCs w:val="20"/>
          <w:color w:val="auto"/>
        </w:rPr>
      </w:pPr>
      <w:r>
        <w:rPr>
          <w:rFonts w:ascii="Arial" w:cs="Arial" w:eastAsia="Arial" w:hAnsi="Arial"/>
          <w:sz w:val="17"/>
          <w:szCs w:val="17"/>
          <w:color w:val="auto"/>
        </w:rPr>
        <w:t>Beginning April 1, 2014, the first quarter after our IPO, 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71" w:lineRule="exact"/>
        <w:rPr>
          <w:sz w:val="20"/>
          <w:szCs w:val="20"/>
          <w:color w:val="auto"/>
        </w:rPr>
      </w:pPr>
    </w:p>
    <w:p>
      <w:pPr>
        <w:ind w:left="920" w:right="160"/>
        <w:spacing w:after="0" w:line="255" w:lineRule="auto"/>
        <w:rPr>
          <w:sz w:val="20"/>
          <w:szCs w:val="20"/>
          <w:color w:val="auto"/>
        </w:rPr>
      </w:pPr>
      <w:r>
        <w:rPr>
          <w:rFonts w:ascii="Arial" w:cs="Arial" w:eastAsia="Arial" w:hAnsi="Arial"/>
          <w:sz w:val="18"/>
          <w:szCs w:val="18"/>
          <w:color w:val="auto"/>
        </w:rPr>
        <w:t>Pre-Incentive Fee net investment income means dividends (including reinvested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95" w:lineRule="exact"/>
        <w:rPr>
          <w:sz w:val="20"/>
          <w:szCs w:val="20"/>
          <w:color w:val="auto"/>
        </w:rPr>
      </w:pPr>
    </w:p>
    <w:p>
      <w:pPr>
        <w:ind w:left="900" w:hanging="446"/>
        <w:spacing w:after="0" w:line="270" w:lineRule="auto"/>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second component, payable at the end of each fiscal year in arrears, equaled 15% through March 31, 2014, and beginning April 1, 2014, equals a weighted percentage of cumulative realized capital gains from our inception to the end of that fiscal year, less cumulative realized capital losses and unrealized capital depreciation. We refer to this component of the Incentive Fee as the Capital Gains Fee. Each year, the fee paid for this component of the Incentive Fee is net of the aggregate amount of any previously paid Capital Gains Fee for prior periods. For capital gains that accrue following March 31, 2014, the Incentive Fee rate is 17.5%. We accrue, but do not pay, a Capital Gains Incentive Fee with respect to unrealized appreciation because a Capital Gains Incentive Fee would be owed to the Adviser if we were to sell the relevant investment and realize a capital gain. The weighted percentage is intended to ensure that for each fiscal year following the completion of the IPO, the portion of our realized capital gains that accrued prior to March 31, 2014 is subject to an Incentive Fee rate of 15% and the portion of our realized capital gains that accrued beginning April 1, 2014 is subject to an Incentive Fee rate of 17.5%.</w:t>
      </w:r>
    </w:p>
    <w:p>
      <w:pPr>
        <w:spacing w:after="0" w:line="182"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w:t>
      </w:r>
    </w:p>
    <w:p>
      <w:pPr>
        <w:spacing w:after="0" w:line="29" w:lineRule="exact"/>
        <w:rPr>
          <w:sz w:val="20"/>
          <w:szCs w:val="20"/>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our net assets as of the end of the calendar quarter immediately preceding the day; plus</w:t>
      </w:r>
    </w:p>
    <w:p>
      <w:pPr>
        <w:spacing w:after="0" w:line="130"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aggregate amount of capital drawn from investors (or reinvested pursuant to our dividend reinvestment plan) from the beginning of the current quarter to the day; minus</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aggregate amount of distributions (including share repurchases) made by us from the beginning of the current quarter to the day (but only to the extent the distributions were not declared and accounted for on our books and records in a previous quarter).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Following the IPO, 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124"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Pre-Incentive Fee net investment income does not include any realized capital gains, realized capital losses or unrealized capital appreciation or depreciation.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7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accrue the Incentive Fee taking into account unrealized gains and losses; however, Section 205(b)(3) of the Advisers Act, as amended, prohibits the Adviser from receiving the payment of fees until those gains are realized, if ever. There can be no assurance that such unrealized gains will be realized in the future. For the year ended December 31, 2014, Incentive Fees were $17.8 million, comprised of fees related to pre-incentive fee net investment income of $20.8 million offset by ($2.9) million of incentive fees related to capital gains and losses attributable to unrealized losses on investments and realized losses on foreign exchange transactions. For the three months ended March 31, 2015, Incentive Fees were $5.0 million, of which $4.5 million were realized and payable to the Adviser.</w:t>
      </w:r>
    </w:p>
    <w:p>
      <w:pPr>
        <w:spacing w:after="0" w:line="193"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On November 3, 2014, the Board renewed the Investment Advisory Agreement. Unless earlier terminated as described below, the Investment Advisory Agreement will remain in effect until November 3, 2015, and may be extended subject to required approvals. The Investment Advisory Agreement will automatically terminate in the event of an assignment and may be terminated by either party without penalty on 60 days’ written notice to the other party.</w:t>
      </w:r>
    </w:p>
    <w:p>
      <w:pPr>
        <w:spacing w:after="0" w:line="147"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The December 12, 2011 amendment to the Investment Advisory Agreement revised the base against which the 1.5% hurdle rate is measured when calculating the Adviser’s entitlement to receive a portion of our pre-Incentive Fee net investment income in any given calendar quarter. The amendment applied retroactively to October 1, 2011. Since the completion of our IPO, the base against which the hurdle rate is calculated is determined as described above in this section.</w:t>
      </w:r>
    </w:p>
    <w:p>
      <w:pPr>
        <w:spacing w:after="0" w:line="18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Board monitors the mix and performance of our investments over time and seeks to satisfy itself that the Adviser is acting in our interests and that our fee structure appropriately incentivizes the Adviser to do so.</w:t>
      </w:r>
    </w:p>
    <w:p>
      <w:pPr>
        <w:spacing w:after="0" w:line="17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On March 15, 2011, we entered into the Administration Agreement with our Adviser. Under the terms of the Administration Agreement, the Adviser provides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See “—Payment of Our Expenses” below. In addition, the Adviser is permitted to delegate its duties under the Administration Agreement to affiliates or third parties and we pay or reimburse the Adviser expenses incurred by any such affiliates or third parties for work done on our behalf. For the year ended December 31, 2014, we incurred expenses of $2.7 million for administrative services payable under the terms of the Administration Agreement. For the three months ended March 31, 2015, we incurred expenses of $0.9 million for administrative services payable under the terms of the Administration Agreement.</w:t>
      </w:r>
    </w:p>
    <w:p>
      <w:pPr>
        <w:spacing w:after="0" w:line="166"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On November 3, 2014, the Board renewed the Administration Agreement. Unless earlier terminated as described below, the Administration Agreement will remain in effect until November 3, 2015, and may be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80"/>
          </w:cols>
          <w:pgMar w:left="240" w:top="459" w:right="2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extended subject to required approvals. The Administration Agreement may be terminated by either party without penalty on 60 days’ written notice to the other party. See “Risk Factors—Risks Related to Our Business and Structure—We are dependent upon management personnel of the Adviser, TSSP, TPG and their affiliates for our future success.”</w:t>
      </w:r>
    </w:p>
    <w:p>
      <w:pPr>
        <w:spacing w:after="0" w:line="18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No person who is an officer, director or employee of the Adviser or its affiliates and who serves as our director receives any compensation from us for his or her services as a director. However, we reimburse the Adviser or its affiliates for an allocable portion of the compensation paid by the Adviser or its affiliates to our Chief Compliance Officer, Chief Financial Officer, and other professionals who spend time on such related activities (based on the percentage of time those individuals devote, on an estimated basis, to our business and affairs). Directors who are not affiliated with the Adviser receive compensation for their services and reimbursement of expenses incurred to attend meetings.</w:t>
      </w:r>
    </w:p>
    <w:p>
      <w:pPr>
        <w:spacing w:after="0" w:line="17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Adviser does not assume any responsibility to us other than to render the services described in, and on the terms of, the Investment Advisory Agreement and the Administration Agreement, and is not responsible for any action of our Board in declining to follow the advice or recommendations of the Adviser. Under the terms of the Investment Advisory Agreement and the Administration Agreement,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of the Adviser or any other person or entity affiliated with the Adviser, or is or was a member of the Adviser’s Investment Review Committee, on the same general terms set forth in Article VIII of our certificate of incorporation.</w:t>
      </w:r>
    </w:p>
    <w:p>
      <w:pPr>
        <w:spacing w:after="0" w:line="180"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124"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We also have a license agreement with an affiliate of TPG, pursuant to which we have been granted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graphical representation of the calculation of the income-related portion of the Incentive Fee: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Incentive Fee Based on Net Investment Income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Pre-Incentive Fee Net Investment Income (expressed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169545</wp:posOffset>
            </wp:positionV>
            <wp:extent cx="5145405" cy="9436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5405"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Percentage of pre-Incentive Fee net investment income allocated to income-related portion of Incentive Fee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1.425%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Pre-Incentive Fee net investment income does not exceed hurdle rate, therefore there is no Incentive Fee.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2.375%</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1.8%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100% × pre-Incentive Fee net investment income, subject to the “catch-up” (4)</w:t>
      </w:r>
    </w:p>
    <w:p>
      <w:pPr>
        <w:spacing w:after="0" w:line="9" w:lineRule="exact"/>
        <w:rPr>
          <w:sz w:val="20"/>
          <w:szCs w:val="20"/>
          <w:color w:val="auto"/>
        </w:rPr>
      </w:pPr>
    </w:p>
    <w:p>
      <w:pPr>
        <w:ind w:left="1060" w:hanging="139"/>
        <w:spacing w:after="0"/>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100% × (1.8% – 1.5%)</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0.3%</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3.5%</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2.925%</w:t>
      </w:r>
    </w:p>
    <w:p>
      <w:pPr>
        <w:spacing w:after="0" w:line="9" w:lineRule="exact"/>
        <w:rPr>
          <w:sz w:val="20"/>
          <w:szCs w:val="20"/>
          <w:color w:val="auto"/>
        </w:rPr>
      </w:pPr>
    </w:p>
    <w:p>
      <w:pPr>
        <w:ind w:left="460" w:right="3640"/>
        <w:spacing w:after="0" w:line="250" w:lineRule="auto"/>
        <w:rPr>
          <w:sz w:val="20"/>
          <w:szCs w:val="20"/>
          <w:color w:val="auto"/>
        </w:rPr>
      </w:pPr>
      <w:r>
        <w:rPr>
          <w:rFonts w:ascii="Arial" w:cs="Arial" w:eastAsia="Arial" w:hAnsi="Arial"/>
          <w:sz w:val="18"/>
          <w:szCs w:val="18"/>
          <w:color w:val="auto"/>
        </w:rPr>
        <w:t>Incentive Fee = 17.5% × pre-Incentive Fee net investment income, subject to “catch-up” (4) Incentive Fee = 100% × “catch-up” + (17.5% × (pre-Incentive Fee net investment income – 1.82%)) Catch-up = 1.82% – 1.5% = 0.32%</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(100% × 0.32%) + (17.5% × (2.925% – 1.82%))</w:t>
      </w:r>
    </w:p>
    <w:p>
      <w:pPr>
        <w:spacing w:after="0" w:line="9" w:lineRule="exact"/>
        <w:rPr>
          <w:sz w:val="20"/>
          <w:szCs w:val="20"/>
          <w:color w:val="auto"/>
        </w:rPr>
      </w:pPr>
    </w:p>
    <w:p>
      <w:pPr>
        <w:ind w:left="1060" w:hanging="139"/>
        <w:spacing w:after="0"/>
        <w:tabs>
          <w:tab w:leader="none" w:pos="10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0.32% + (17.5% × 1.105%)</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0.32% + 0.193%</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0.513%</w:t>
      </w:r>
    </w:p>
    <w:p>
      <w:pPr>
        <w:spacing w:after="0" w:line="237" w:lineRule="exact"/>
        <w:rPr>
          <w:rFonts w:ascii="Arial" w:cs="Arial" w:eastAsia="Arial" w:hAnsi="Arial"/>
          <w:sz w:val="18"/>
          <w:szCs w:val="18"/>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Represents 6.0% annualized hurdle rate.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Represents 1.5% annualized management fee.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9"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“catch-up” provision is intended to provide the Adviser with an Incentive Fee of 17.5% on all of our pre-Incentive Fee net investment income as if a hurdle rate did not apply when our net investment income exceeds 17.5% in any calendar quarter and is not applied once the Adviser has received 17.5% of</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40"/>
          </w:cols>
          <w:pgMar w:left="240" w:top="459" w:right="31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spacing w:after="0" w:line="258" w:lineRule="auto"/>
        <w:rPr>
          <w:sz w:val="20"/>
          <w:szCs w:val="20"/>
          <w:color w:val="auto"/>
        </w:rPr>
      </w:pPr>
      <w:r>
        <w:rPr>
          <w:rFonts w:ascii="Arial" w:cs="Arial" w:eastAsia="Arial" w:hAnsi="Arial"/>
          <w:sz w:val="18"/>
          <w:szCs w:val="18"/>
          <w:color w:val="auto"/>
        </w:rPr>
        <w:t>investment income in a quarter. The “catch-up” portion of our pre-Incentive Fee Net Investment Income is the portion that exceeds the 1.5% hurdle rate but is less than or equal to approximately 1.82% (that is, 1.5% divided by (1 – 0.175)) in any fiscal quarter.</w:t>
      </w:r>
    </w:p>
    <w:p>
      <w:pPr>
        <w:spacing w:after="0" w:line="1"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31" w:lineRule="exact"/>
        <w:rPr>
          <w:sz w:val="20"/>
          <w:szCs w:val="20"/>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Year 1: $10 million investment made in Company A (“Investment A”), $10 million investment made in Company B (“Investment B”),</w:t>
      </w:r>
    </w:p>
    <w:p>
      <w:pPr>
        <w:spacing w:after="0" w:line="23" w:lineRule="exact"/>
        <w:rPr>
          <w:rFonts w:ascii="Arial" w:cs="Arial" w:eastAsia="Arial" w:hAnsi="Arial"/>
          <w:sz w:val="18"/>
          <w:szCs w:val="18"/>
          <w:color w:val="auto"/>
        </w:rPr>
      </w:pPr>
    </w:p>
    <w:p>
      <w:pPr>
        <w:ind w:left="900" w:right="240"/>
        <w:spacing w:after="0" w:line="261" w:lineRule="auto"/>
        <w:rPr>
          <w:rFonts w:ascii="Arial" w:cs="Arial" w:eastAsia="Arial" w:hAnsi="Arial"/>
          <w:sz w:val="18"/>
          <w:szCs w:val="18"/>
          <w:color w:val="auto"/>
        </w:rPr>
      </w:pPr>
      <w:r>
        <w:rPr>
          <w:rFonts w:ascii="Arial" w:cs="Arial" w:eastAsia="Arial" w:hAnsi="Arial"/>
          <w:sz w:val="18"/>
          <w:szCs w:val="18"/>
          <w:color w:val="auto"/>
        </w:rPr>
        <w:t>$10 million investment made in Company C (“Investment C”), $10 million investment made in Company D (“Investment D”) and $10 million investment made in Company E (“Investment E”).</w:t>
      </w:r>
    </w:p>
    <w:p>
      <w:pPr>
        <w:spacing w:after="0" w:line="89"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Year 2: Investment A sold for $20 million, fair market value (“FMV”) of Investment B determined to be $8 million, FMV of Investment C determined to be $12 million, and FMV of Investments D and E each determined to be $10 million.</w:t>
      </w:r>
    </w:p>
    <w:p>
      <w:pPr>
        <w:spacing w:after="0" w:line="75" w:lineRule="exact"/>
        <w:rPr>
          <w:rFonts w:ascii="Arial" w:cs="Arial" w:eastAsia="Arial" w:hAnsi="Arial"/>
          <w:sz w:val="18"/>
          <w:szCs w:val="18"/>
          <w:color w:val="auto"/>
        </w:rPr>
      </w:pPr>
    </w:p>
    <w:p>
      <w:pPr>
        <w:ind w:left="900" w:right="480" w:hanging="325"/>
        <w:spacing w:after="0" w:line="308" w:lineRule="auto"/>
        <w:tabs>
          <w:tab w:leader="none" w:pos="9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Year 3: IPO of the Company occurs. At IPO, FMV of Investment of B determined to be $8 million, FMV of Investment C determined to be $14 million, FMV of Investment D determined to be $14 million and FMV of Investment E determined to be $16 million.</w:t>
      </w:r>
    </w:p>
    <w:p>
      <w:pPr>
        <w:spacing w:after="0" w:line="51" w:lineRule="exact"/>
        <w:rPr>
          <w:rFonts w:ascii="Arial" w:cs="Arial" w:eastAsia="Arial" w:hAnsi="Arial"/>
          <w:sz w:val="17"/>
          <w:szCs w:val="17"/>
          <w:color w:val="auto"/>
        </w:rPr>
      </w:pPr>
    </w:p>
    <w:p>
      <w:pPr>
        <w:ind w:left="900" w:right="20" w:hanging="325"/>
        <w:spacing w:after="0" w:line="308" w:lineRule="auto"/>
        <w:tabs>
          <w:tab w:leader="none" w:pos="9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Year 4: $10 million investment made in Company F (“Investment F”), Investment D sold for $12 million, FMV of Investment B determined to be $10 million, FMV of Investment C determined to be $16 million and FMV of Investment E determined to be $14 million.</w:t>
      </w:r>
    </w:p>
    <w:p>
      <w:pPr>
        <w:spacing w:after="0" w:line="51" w:lineRule="exact"/>
        <w:rPr>
          <w:rFonts w:ascii="Arial" w:cs="Arial" w:eastAsia="Arial" w:hAnsi="Arial"/>
          <w:sz w:val="17"/>
          <w:szCs w:val="17"/>
          <w:color w:val="auto"/>
        </w:rPr>
      </w:pPr>
    </w:p>
    <w:p>
      <w:pPr>
        <w:ind w:left="900" w:right="760" w:hanging="325"/>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Year 5: Investment C sold for $20 million, FMV of Investment B determined to be $14 million, FMV of Investment E determined to be $10 million and FMV of Investment F determined to $12 million.</w:t>
      </w:r>
    </w:p>
    <w:p>
      <w:pPr>
        <w:spacing w:after="0" w:line="75" w:lineRule="exact"/>
        <w:rPr>
          <w:rFonts w:ascii="Arial" w:cs="Arial" w:eastAsia="Arial" w:hAnsi="Arial"/>
          <w:sz w:val="18"/>
          <w:szCs w:val="18"/>
          <w:color w:val="auto"/>
        </w:rPr>
      </w:pPr>
    </w:p>
    <w:p>
      <w:pPr>
        <w:ind w:left="900" w:right="620" w:hanging="325"/>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Year 6: Investment B sold for $16 million, FMV of Investment E determined to be $8 million and FMV of Investment F determined to be $15 million.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Year 7: Investment E sold for $8 million and FMV of Investment F determined to be $17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Year 8: Investment F sold for $18 million.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assumptions are summarized in the following chart: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8"/>
              </w:rPr>
              <w:t>Cumulative</w:t>
            </w:r>
          </w:p>
        </w:tc>
        <w:tc>
          <w:tcPr>
            <w:tcW w:w="120" w:type="dxa"/>
            <w:vAlign w:val="bottom"/>
          </w:tcPr>
          <w:p>
            <w:pPr>
              <w:spacing w:after="0"/>
              <w:rPr>
                <w:sz w:val="12"/>
                <w:szCs w:val="12"/>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Cumulative</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8"/>
              </w:rPr>
              <w:t>Cumulative</w:t>
            </w:r>
          </w:p>
        </w:tc>
      </w:tr>
      <w:tr>
        <w:trPr>
          <w:trHeight w:val="135"/>
        </w:trPr>
        <w:tc>
          <w:tcPr>
            <w:tcW w:w="1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Unrealized</w:t>
            </w: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Realized</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Realized</w:t>
            </w:r>
          </w:p>
        </w:tc>
      </w:tr>
      <w:tr>
        <w:trPr>
          <w:trHeight w:val="135"/>
        </w:trPr>
        <w:tc>
          <w:tcPr>
            <w:tcW w:w="1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Investment</w:t>
            </w:r>
          </w:p>
        </w:tc>
        <w:tc>
          <w:tcPr>
            <w:tcW w:w="920" w:type="dxa"/>
            <w:vAlign w:val="bottom"/>
          </w:tcPr>
          <w:p>
            <w:pPr>
              <w:ind w:left="160"/>
              <w:spacing w:after="0" w:line="135" w:lineRule="exact"/>
              <w:rPr>
                <w:sz w:val="20"/>
                <w:szCs w:val="20"/>
                <w:color w:val="auto"/>
              </w:rPr>
            </w:pPr>
            <w:r>
              <w:rPr>
                <w:rFonts w:ascii="Arial" w:cs="Arial" w:eastAsia="Arial" w:hAnsi="Arial"/>
                <w:sz w:val="13"/>
                <w:szCs w:val="13"/>
                <w:b w:val="1"/>
                <w:bCs w:val="1"/>
                <w:color w:val="auto"/>
              </w:rPr>
              <w:t>Investment</w:t>
            </w:r>
          </w:p>
        </w:tc>
        <w:tc>
          <w:tcPr>
            <w:tcW w:w="120" w:type="dxa"/>
            <w:vAlign w:val="bottom"/>
          </w:tcPr>
          <w:p>
            <w:pPr>
              <w:spacing w:after="0"/>
              <w:rPr>
                <w:sz w:val="11"/>
                <w:szCs w:val="11"/>
                <w:color w:val="auto"/>
              </w:rPr>
            </w:pPr>
          </w:p>
        </w:tc>
        <w:tc>
          <w:tcPr>
            <w:tcW w:w="104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Investment</w:t>
            </w:r>
          </w:p>
        </w:tc>
        <w:tc>
          <w:tcPr>
            <w:tcW w:w="104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Investment</w:t>
            </w:r>
          </w:p>
        </w:tc>
        <w:tc>
          <w:tcPr>
            <w:tcW w:w="900" w:type="dxa"/>
            <w:vAlign w:val="bottom"/>
          </w:tcPr>
          <w:p>
            <w:pPr>
              <w:ind w:left="140"/>
              <w:spacing w:after="0" w:line="135" w:lineRule="exact"/>
              <w:rPr>
                <w:sz w:val="20"/>
                <w:szCs w:val="20"/>
                <w:color w:val="auto"/>
              </w:rPr>
            </w:pPr>
            <w:r>
              <w:rPr>
                <w:rFonts w:ascii="Arial" w:cs="Arial" w:eastAsia="Arial" w:hAnsi="Arial"/>
                <w:sz w:val="13"/>
                <w:szCs w:val="13"/>
                <w:b w:val="1"/>
                <w:bCs w:val="1"/>
                <w:color w:val="auto"/>
              </w:rPr>
              <w:t>Investment</w:t>
            </w:r>
          </w:p>
        </w:tc>
        <w:tc>
          <w:tcPr>
            <w:tcW w:w="100" w:type="dxa"/>
            <w:vAlign w:val="bottom"/>
          </w:tcPr>
          <w:p>
            <w:pPr>
              <w:spacing w:after="0"/>
              <w:rPr>
                <w:sz w:val="11"/>
                <w:szCs w:val="11"/>
                <w:color w:val="auto"/>
              </w:rPr>
            </w:pP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Investment</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Capital</w:t>
            </w:r>
          </w:p>
        </w:tc>
        <w:tc>
          <w:tcPr>
            <w:tcW w:w="120" w:type="dxa"/>
            <w:vAlign w:val="bottom"/>
          </w:tcPr>
          <w:p>
            <w:pPr>
              <w:spacing w:after="0"/>
              <w:rPr>
                <w:sz w:val="11"/>
                <w:szCs w:val="11"/>
                <w:color w:val="auto"/>
              </w:rPr>
            </w:pP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Capital</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r>
      <w:tr>
        <w:trPr>
          <w:trHeight w:val="164"/>
        </w:trPr>
        <w:tc>
          <w:tcPr>
            <w:tcW w:w="1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gridSpan w:val="2"/>
          </w:tcPr>
          <w:p>
            <w:pPr>
              <w:ind w:left="420"/>
              <w:spacing w:after="0"/>
              <w:rPr>
                <w:sz w:val="20"/>
                <w:szCs w:val="20"/>
                <w:color w:val="auto"/>
              </w:rPr>
            </w:pPr>
            <w:r>
              <w:rPr>
                <w:rFonts w:ascii="Arial" w:cs="Arial" w:eastAsia="Arial" w:hAnsi="Arial"/>
                <w:sz w:val="13"/>
                <w:szCs w:val="13"/>
                <w:b w:val="1"/>
                <w:bCs w:val="1"/>
                <w:color w:val="auto"/>
              </w:rPr>
              <w:t>A</w:t>
            </w:r>
          </w:p>
        </w:tc>
        <w:tc>
          <w:tcPr>
            <w:tcW w:w="920" w:type="dxa"/>
            <w:vAlign w:val="bottom"/>
          </w:tcPr>
          <w:p>
            <w:pPr>
              <w:ind w:left="420"/>
              <w:spacing w:after="0"/>
              <w:rPr>
                <w:sz w:val="20"/>
                <w:szCs w:val="20"/>
                <w:color w:val="auto"/>
              </w:rPr>
            </w:pPr>
            <w:r>
              <w:rPr>
                <w:rFonts w:ascii="Arial" w:cs="Arial" w:eastAsia="Arial" w:hAnsi="Arial"/>
                <w:sz w:val="13"/>
                <w:szCs w:val="13"/>
                <w:b w:val="1"/>
                <w:bCs w:val="1"/>
                <w:color w:val="auto"/>
              </w:rPr>
              <w:t>B</w:t>
            </w:r>
          </w:p>
        </w:tc>
        <w:tc>
          <w:tcPr>
            <w:tcW w:w="120" w:type="dxa"/>
            <w:vAlign w:val="bottom"/>
          </w:tcPr>
          <w:p>
            <w:pPr>
              <w:spacing w:after="0"/>
              <w:rPr>
                <w:sz w:val="14"/>
                <w:szCs w:val="14"/>
                <w:color w:val="auto"/>
              </w:rPr>
            </w:pPr>
          </w:p>
        </w:tc>
        <w:tc>
          <w:tcPr>
            <w:tcW w:w="1040" w:type="dxa"/>
            <w:vAlign w:val="bottom"/>
            <w:gridSpan w:val="2"/>
          </w:tcPr>
          <w:p>
            <w:pPr>
              <w:ind w:left="420"/>
              <w:spacing w:after="0"/>
              <w:rPr>
                <w:sz w:val="20"/>
                <w:szCs w:val="20"/>
                <w:color w:val="auto"/>
              </w:rPr>
            </w:pPr>
            <w:r>
              <w:rPr>
                <w:rFonts w:ascii="Arial" w:cs="Arial" w:eastAsia="Arial" w:hAnsi="Arial"/>
                <w:sz w:val="13"/>
                <w:szCs w:val="13"/>
                <w:b w:val="1"/>
                <w:bCs w:val="1"/>
                <w:color w:val="auto"/>
              </w:rPr>
              <w:t>C</w:t>
            </w:r>
          </w:p>
        </w:tc>
        <w:tc>
          <w:tcPr>
            <w:tcW w:w="1040" w:type="dxa"/>
            <w:vAlign w:val="bottom"/>
            <w:gridSpan w:val="2"/>
          </w:tcPr>
          <w:p>
            <w:pPr>
              <w:ind w:left="420"/>
              <w:spacing w:after="0"/>
              <w:rPr>
                <w:sz w:val="20"/>
                <w:szCs w:val="20"/>
                <w:color w:val="auto"/>
              </w:rPr>
            </w:pPr>
            <w:r>
              <w:rPr>
                <w:rFonts w:ascii="Arial" w:cs="Arial" w:eastAsia="Arial" w:hAnsi="Arial"/>
                <w:sz w:val="13"/>
                <w:szCs w:val="13"/>
                <w:b w:val="1"/>
                <w:bCs w:val="1"/>
                <w:color w:val="auto"/>
              </w:rPr>
              <w:t>D</w:t>
            </w:r>
          </w:p>
        </w:tc>
        <w:tc>
          <w:tcPr>
            <w:tcW w:w="900" w:type="dxa"/>
            <w:vAlign w:val="bottom"/>
          </w:tcPr>
          <w:p>
            <w:pPr>
              <w:ind w:left="400"/>
              <w:spacing w:after="0"/>
              <w:rPr>
                <w:sz w:val="20"/>
                <w:szCs w:val="20"/>
                <w:color w:val="auto"/>
              </w:rPr>
            </w:pPr>
            <w:r>
              <w:rPr>
                <w:rFonts w:ascii="Arial" w:cs="Arial" w:eastAsia="Arial" w:hAnsi="Arial"/>
                <w:sz w:val="13"/>
                <w:szCs w:val="13"/>
                <w:b w:val="1"/>
                <w:bCs w:val="1"/>
                <w:color w:val="auto"/>
              </w:rPr>
              <w:t>E</w:t>
            </w: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F</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8"/>
              </w:rPr>
              <w:t>Depreciation</w:t>
            </w:r>
          </w:p>
        </w:tc>
        <w:tc>
          <w:tcPr>
            <w:tcW w:w="12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75"/>
              </w:rPr>
              <w:t>Losses</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2"/>
              </w:rPr>
              <w:t>Gains</w:t>
            </w:r>
          </w:p>
        </w:tc>
      </w:tr>
      <w:tr>
        <w:trPr>
          <w:trHeight w:val="126"/>
        </w:trPr>
        <w:tc>
          <w:tcPr>
            <w:tcW w:w="1580" w:type="dxa"/>
            <w:vAlign w:val="bottom"/>
            <w:tcBorders>
              <w:top w:val="single" w:sz="8" w:color="CCEEFF"/>
            </w:tcBorders>
            <w:shd w:val="clear" w:color="auto" w:fill="CCEEFF"/>
          </w:tcPr>
          <w:p>
            <w:pPr>
              <w:spacing w:after="0" w:line="126" w:lineRule="exact"/>
              <w:rPr>
                <w:sz w:val="20"/>
                <w:szCs w:val="20"/>
                <w:color w:val="auto"/>
              </w:rPr>
            </w:pPr>
            <w:r>
              <w:rPr>
                <w:rFonts w:ascii="Arial" w:cs="Arial" w:eastAsia="Arial" w:hAnsi="Arial"/>
                <w:sz w:val="14"/>
                <w:szCs w:val="14"/>
                <w:color w:val="auto"/>
              </w:rPr>
              <w:t>Year 1</w:t>
            </w:r>
          </w:p>
        </w:tc>
        <w:tc>
          <w:tcPr>
            <w:tcW w:w="84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0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ind w:left="700"/>
              <w:spacing w:after="0" w:line="12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ind w:left="680"/>
              <w:spacing w:after="0" w:line="12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ind w:left="580"/>
              <w:spacing w:after="0" w:line="12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ind w:left="680"/>
              <w:spacing w:after="0" w:line="126" w:lineRule="exact"/>
              <w:rPr>
                <w:sz w:val="20"/>
                <w:szCs w:val="20"/>
                <w:color w:val="auto"/>
              </w:rPr>
            </w:pPr>
            <w:r>
              <w:rPr>
                <w:rFonts w:ascii="Arial" w:cs="Arial" w:eastAsia="Arial" w:hAnsi="Arial"/>
                <w:sz w:val="14"/>
                <w:szCs w:val="14"/>
                <w:color w:val="auto"/>
              </w:rPr>
              <w:t>—</w:t>
            </w:r>
          </w:p>
        </w:tc>
      </w:tr>
      <w:tr>
        <w:trPr>
          <w:trHeight w:val="167"/>
        </w:trPr>
        <w:tc>
          <w:tcPr>
            <w:tcW w:w="1580" w:type="dxa"/>
            <w:vAlign w:val="bottom"/>
            <w:shd w:val="clear" w:color="auto" w:fill="CCEEFF"/>
          </w:tcPr>
          <w:p>
            <w:pPr>
              <w:spacing w:after="0"/>
              <w:rPr>
                <w:sz w:val="14"/>
                <w:szCs w:val="14"/>
                <w:color w:val="auto"/>
              </w:rPr>
            </w:pPr>
          </w:p>
        </w:tc>
        <w:tc>
          <w:tcPr>
            <w:tcW w:w="188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(cost basis)</w:t>
            </w: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(cost basis)</w:t>
            </w:r>
          </w:p>
        </w:tc>
        <w:tc>
          <w:tcPr>
            <w:tcW w:w="11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(cost basis)</w:t>
            </w:r>
          </w:p>
        </w:tc>
        <w:tc>
          <w:tcPr>
            <w:tcW w:w="1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(cost basis)</w:t>
            </w: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(cost basis)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rPr>
              <w:t>Year 2</w:t>
            </w:r>
          </w:p>
        </w:tc>
        <w:tc>
          <w:tcPr>
            <w:tcW w:w="1880" w:type="dxa"/>
            <w:vAlign w:val="bottom"/>
            <w:gridSpan w:val="3"/>
          </w:tcPr>
          <w:p>
            <w:pPr>
              <w:ind w:left="840"/>
              <w:spacing w:after="0" w:line="130" w:lineRule="exact"/>
              <w:rPr>
                <w:sz w:val="20"/>
                <w:szCs w:val="20"/>
                <w:color w:val="auto"/>
              </w:rPr>
            </w:pPr>
            <w:r>
              <w:rPr>
                <w:rFonts w:ascii="Arial" w:cs="Arial" w:eastAsia="Arial" w:hAnsi="Arial"/>
                <w:sz w:val="14"/>
                <w:szCs w:val="14"/>
                <w:color w:val="auto"/>
              </w:rPr>
              <w:t>$20 million</w:t>
            </w:r>
          </w:p>
        </w:tc>
        <w:tc>
          <w:tcPr>
            <w:tcW w:w="920" w:type="dxa"/>
            <w:vAlign w:val="bottom"/>
          </w:tcPr>
          <w:p>
            <w:pPr>
              <w:spacing w:after="0" w:line="130" w:lineRule="exact"/>
              <w:rPr>
                <w:sz w:val="20"/>
                <w:szCs w:val="20"/>
                <w:color w:val="auto"/>
              </w:rPr>
            </w:pPr>
            <w:r>
              <w:rPr>
                <w:rFonts w:ascii="Arial" w:cs="Arial" w:eastAsia="Arial" w:hAnsi="Arial"/>
                <w:sz w:val="14"/>
                <w:szCs w:val="14"/>
                <w:color w:val="auto"/>
              </w:rPr>
              <w:t>$8 million</w:t>
            </w:r>
          </w:p>
        </w:tc>
        <w:tc>
          <w:tcPr>
            <w:tcW w:w="11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$12 million</w:t>
            </w:r>
          </w:p>
        </w:tc>
        <w:tc>
          <w:tcPr>
            <w:tcW w:w="1040" w:type="dxa"/>
            <w:vAlign w:val="bottom"/>
            <w:gridSpan w:val="2"/>
          </w:tcPr>
          <w:p>
            <w:pPr>
              <w:spacing w:after="0" w:line="130" w:lineRule="exact"/>
              <w:rPr>
                <w:sz w:val="20"/>
                <w:szCs w:val="20"/>
                <w:color w:val="auto"/>
              </w:rPr>
            </w:pPr>
            <w:r>
              <w:rPr>
                <w:rFonts w:ascii="Arial" w:cs="Arial" w:eastAsia="Arial" w:hAnsi="Arial"/>
                <w:sz w:val="14"/>
                <w:szCs w:val="14"/>
                <w:color w:val="auto"/>
              </w:rPr>
              <w:t>$10 million</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$10 million</w:t>
            </w:r>
          </w:p>
        </w:tc>
        <w:tc>
          <w:tcPr>
            <w:tcW w:w="100" w:type="dxa"/>
            <w:vAlign w:val="bottom"/>
          </w:tcPr>
          <w:p>
            <w:pPr>
              <w:spacing w:after="0"/>
              <w:rPr>
                <w:sz w:val="11"/>
                <w:szCs w:val="11"/>
                <w:color w:val="auto"/>
              </w:rPr>
            </w:pPr>
          </w:p>
        </w:tc>
        <w:tc>
          <w:tcPr>
            <w:tcW w:w="102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$2 million</w:t>
            </w:r>
          </w:p>
        </w:tc>
        <w:tc>
          <w:tcPr>
            <w:tcW w:w="120" w:type="dxa"/>
            <w:vAlign w:val="bottom"/>
          </w:tcPr>
          <w:p>
            <w:pPr>
              <w:spacing w:after="0"/>
              <w:rPr>
                <w:sz w:val="11"/>
                <w:szCs w:val="11"/>
                <w:color w:val="auto"/>
              </w:rPr>
            </w:pPr>
          </w:p>
        </w:tc>
        <w:tc>
          <w:tcPr>
            <w:tcW w:w="900" w:type="dxa"/>
            <w:vAlign w:val="bottom"/>
            <w:gridSpan w:val="2"/>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$10 million</w:t>
            </w:r>
          </w:p>
        </w:tc>
      </w:tr>
      <w:tr>
        <w:trPr>
          <w:trHeight w:val="167"/>
        </w:trPr>
        <w:tc>
          <w:tcPr>
            <w:tcW w:w="1580" w:type="dxa"/>
            <w:vAlign w:val="bottom"/>
          </w:tcPr>
          <w:p>
            <w:pPr>
              <w:spacing w:after="0"/>
              <w:rPr>
                <w:sz w:val="14"/>
                <w:szCs w:val="14"/>
                <w:color w:val="auto"/>
              </w:rPr>
            </w:pPr>
          </w:p>
        </w:tc>
        <w:tc>
          <w:tcPr>
            <w:tcW w:w="1880" w:type="dxa"/>
            <w:vAlign w:val="bottom"/>
            <w:gridSpan w:val="3"/>
          </w:tcPr>
          <w:p>
            <w:pPr>
              <w:ind w:left="840"/>
              <w:spacing w:after="0"/>
              <w:rPr>
                <w:sz w:val="20"/>
                <w:szCs w:val="20"/>
                <w:color w:val="auto"/>
              </w:rPr>
            </w:pPr>
            <w:r>
              <w:rPr>
                <w:rFonts w:ascii="Arial" w:cs="Arial" w:eastAsia="Arial" w:hAnsi="Arial"/>
                <w:sz w:val="14"/>
                <w:szCs w:val="14"/>
                <w:color w:val="auto"/>
              </w:rPr>
              <w:t>(sale price)</w:t>
            </w:r>
          </w:p>
        </w:tc>
        <w:tc>
          <w:tcPr>
            <w:tcW w:w="920" w:type="dxa"/>
            <w:vAlign w:val="bottom"/>
          </w:tcPr>
          <w:p>
            <w:pPr>
              <w:spacing w:after="0"/>
              <w:rPr>
                <w:sz w:val="20"/>
                <w:szCs w:val="20"/>
                <w:color w:val="auto"/>
              </w:rPr>
            </w:pPr>
            <w:r>
              <w:rPr>
                <w:rFonts w:ascii="Arial" w:cs="Arial" w:eastAsia="Arial" w:hAnsi="Arial"/>
                <w:sz w:val="14"/>
                <w:szCs w:val="14"/>
                <w:color w:val="auto"/>
              </w:rPr>
              <w:t>FMV</w:t>
            </w:r>
          </w:p>
        </w:tc>
        <w:tc>
          <w:tcPr>
            <w:tcW w:w="1160" w:type="dxa"/>
            <w:vAlign w:val="bottom"/>
            <w:gridSpan w:val="3"/>
          </w:tcPr>
          <w:p>
            <w:pPr>
              <w:ind w:left="120"/>
              <w:spacing w:after="0"/>
              <w:rPr>
                <w:sz w:val="20"/>
                <w:szCs w:val="20"/>
                <w:color w:val="auto"/>
              </w:rPr>
            </w:pPr>
            <w:r>
              <w:rPr>
                <w:rFonts w:ascii="Arial" w:cs="Arial" w:eastAsia="Arial" w:hAnsi="Arial"/>
                <w:sz w:val="14"/>
                <w:szCs w:val="14"/>
                <w:color w:val="auto"/>
              </w:rPr>
              <w:t>FMV</w:t>
            </w:r>
          </w:p>
        </w:tc>
        <w:tc>
          <w:tcPr>
            <w:tcW w:w="1040" w:type="dxa"/>
            <w:vAlign w:val="bottom"/>
            <w:gridSpan w:val="2"/>
          </w:tcPr>
          <w:p>
            <w:pPr>
              <w:spacing w:after="0"/>
              <w:rPr>
                <w:sz w:val="20"/>
                <w:szCs w:val="20"/>
                <w:color w:val="auto"/>
              </w:rPr>
            </w:pPr>
            <w:r>
              <w:rPr>
                <w:rFonts w:ascii="Arial" w:cs="Arial" w:eastAsia="Arial" w:hAnsi="Arial"/>
                <w:sz w:val="14"/>
                <w:szCs w:val="14"/>
                <w:color w:val="auto"/>
              </w:rPr>
              <w:t>FMV</w:t>
            </w:r>
          </w:p>
        </w:tc>
        <w:tc>
          <w:tcPr>
            <w:tcW w:w="900" w:type="dxa"/>
            <w:vAlign w:val="bottom"/>
          </w:tcPr>
          <w:p>
            <w:pPr>
              <w:spacing w:after="0"/>
              <w:rPr>
                <w:sz w:val="20"/>
                <w:szCs w:val="20"/>
                <w:color w:val="auto"/>
              </w:rPr>
            </w:pPr>
            <w:r>
              <w:rPr>
                <w:rFonts w:ascii="Arial" w:cs="Arial" w:eastAsia="Arial" w:hAnsi="Arial"/>
                <w:sz w:val="14"/>
                <w:szCs w:val="14"/>
                <w:color w:val="auto"/>
              </w:rPr>
              <w:t>FMV</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30"/>
        </w:trPr>
        <w:tc>
          <w:tcPr>
            <w:tcW w:w="1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Year 3 (IPO)</w:t>
            </w:r>
          </w:p>
        </w:tc>
        <w:tc>
          <w:tcPr>
            <w:tcW w:w="8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$8 million</w:t>
            </w:r>
          </w:p>
        </w:tc>
        <w:tc>
          <w:tcPr>
            <w:tcW w:w="11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$14 million</w:t>
            </w:r>
          </w:p>
        </w:tc>
        <w:tc>
          <w:tcPr>
            <w:tcW w:w="10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$14 million</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$16 million</w:t>
            </w: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 million</w:t>
            </w: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$10 million</w:t>
            </w:r>
          </w:p>
        </w:tc>
      </w:tr>
      <w:tr>
        <w:trPr>
          <w:trHeight w:val="167"/>
        </w:trPr>
        <w:tc>
          <w:tcPr>
            <w:tcW w:w="1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FMV at IPO</w:t>
            </w:r>
          </w:p>
        </w:tc>
        <w:tc>
          <w:tcPr>
            <w:tcW w:w="11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FMV at IPO</w:t>
            </w:r>
          </w:p>
        </w:tc>
        <w:tc>
          <w:tcPr>
            <w:tcW w:w="1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FMV at IPO</w:t>
            </w: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FMV at IPO</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rPr>
              <w:t>Year 4</w:t>
            </w:r>
          </w:p>
        </w:tc>
        <w:tc>
          <w:tcPr>
            <w:tcW w:w="840" w:type="dxa"/>
            <w:vAlign w:val="bottom"/>
          </w:tcPr>
          <w:p>
            <w:pPr>
              <w:spacing w:after="0"/>
              <w:rPr>
                <w:sz w:val="11"/>
                <w:szCs w:val="11"/>
                <w:color w:val="auto"/>
              </w:rPr>
            </w:pP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tcPr>
          <w:p>
            <w:pPr>
              <w:spacing w:after="0" w:line="130" w:lineRule="exact"/>
              <w:rPr>
                <w:sz w:val="20"/>
                <w:szCs w:val="20"/>
                <w:color w:val="auto"/>
              </w:rPr>
            </w:pPr>
            <w:r>
              <w:rPr>
                <w:rFonts w:ascii="Arial" w:cs="Arial" w:eastAsia="Arial" w:hAnsi="Arial"/>
                <w:sz w:val="14"/>
                <w:szCs w:val="14"/>
                <w:color w:val="auto"/>
              </w:rPr>
              <w:t>$10 million</w:t>
            </w:r>
          </w:p>
        </w:tc>
        <w:tc>
          <w:tcPr>
            <w:tcW w:w="11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$16 million</w:t>
            </w:r>
          </w:p>
        </w:tc>
        <w:tc>
          <w:tcPr>
            <w:tcW w:w="1040" w:type="dxa"/>
            <w:vAlign w:val="bottom"/>
            <w:gridSpan w:val="2"/>
          </w:tcPr>
          <w:p>
            <w:pPr>
              <w:spacing w:after="0" w:line="130" w:lineRule="exact"/>
              <w:rPr>
                <w:sz w:val="20"/>
                <w:szCs w:val="20"/>
                <w:color w:val="auto"/>
              </w:rPr>
            </w:pPr>
            <w:r>
              <w:rPr>
                <w:rFonts w:ascii="Arial" w:cs="Arial" w:eastAsia="Arial" w:hAnsi="Arial"/>
                <w:sz w:val="14"/>
                <w:szCs w:val="14"/>
                <w:color w:val="auto"/>
              </w:rPr>
              <w:t>$12 million</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$14 million</w:t>
            </w:r>
          </w:p>
        </w:tc>
        <w:tc>
          <w:tcPr>
            <w:tcW w:w="112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$10 million</w:t>
            </w:r>
          </w:p>
        </w:tc>
        <w:tc>
          <w:tcPr>
            <w:tcW w:w="900" w:type="dxa"/>
            <w:vAlign w:val="bottom"/>
          </w:tcPr>
          <w:p>
            <w:pPr>
              <w:ind w:left="680"/>
              <w:spacing w:after="0" w:line="13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00" w:type="dxa"/>
            <w:vAlign w:val="bottom"/>
            <w:gridSpan w:val="2"/>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$12 million</w:t>
            </w:r>
          </w:p>
        </w:tc>
      </w:tr>
      <w:tr>
        <w:trPr>
          <w:trHeight w:val="167"/>
        </w:trPr>
        <w:tc>
          <w:tcPr>
            <w:tcW w:w="1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FMV</w:t>
            </w:r>
          </w:p>
        </w:tc>
        <w:tc>
          <w:tcPr>
            <w:tcW w:w="1160" w:type="dxa"/>
            <w:vAlign w:val="bottom"/>
            <w:gridSpan w:val="3"/>
          </w:tcPr>
          <w:p>
            <w:pPr>
              <w:ind w:left="120"/>
              <w:spacing w:after="0"/>
              <w:rPr>
                <w:sz w:val="20"/>
                <w:szCs w:val="20"/>
                <w:color w:val="auto"/>
              </w:rPr>
            </w:pPr>
            <w:r>
              <w:rPr>
                <w:rFonts w:ascii="Arial" w:cs="Arial" w:eastAsia="Arial" w:hAnsi="Arial"/>
                <w:sz w:val="14"/>
                <w:szCs w:val="14"/>
                <w:color w:val="auto"/>
              </w:rPr>
              <w:t>FMV</w:t>
            </w:r>
          </w:p>
        </w:tc>
        <w:tc>
          <w:tcPr>
            <w:tcW w:w="1040" w:type="dxa"/>
            <w:vAlign w:val="bottom"/>
            <w:gridSpan w:val="2"/>
          </w:tcPr>
          <w:p>
            <w:pPr>
              <w:spacing w:after="0"/>
              <w:rPr>
                <w:sz w:val="20"/>
                <w:szCs w:val="20"/>
                <w:color w:val="auto"/>
              </w:rPr>
            </w:pPr>
            <w:r>
              <w:rPr>
                <w:rFonts w:ascii="Arial" w:cs="Arial" w:eastAsia="Arial" w:hAnsi="Arial"/>
                <w:sz w:val="14"/>
                <w:szCs w:val="14"/>
                <w:color w:val="auto"/>
              </w:rPr>
              <w:t>(sale price)</w:t>
            </w:r>
          </w:p>
        </w:tc>
        <w:tc>
          <w:tcPr>
            <w:tcW w:w="900" w:type="dxa"/>
            <w:vAlign w:val="bottom"/>
          </w:tcPr>
          <w:p>
            <w:pPr>
              <w:spacing w:after="0"/>
              <w:rPr>
                <w:sz w:val="20"/>
                <w:szCs w:val="20"/>
                <w:color w:val="auto"/>
              </w:rPr>
            </w:pPr>
            <w:r>
              <w:rPr>
                <w:rFonts w:ascii="Arial" w:cs="Arial" w:eastAsia="Arial" w:hAnsi="Arial"/>
                <w:sz w:val="14"/>
                <w:szCs w:val="14"/>
                <w:color w:val="auto"/>
              </w:rPr>
              <w:t>FMV</w:t>
            </w:r>
          </w:p>
        </w:tc>
        <w:tc>
          <w:tcPr>
            <w:tcW w:w="1120" w:type="dxa"/>
            <w:vAlign w:val="bottom"/>
            <w:gridSpan w:val="3"/>
          </w:tcPr>
          <w:p>
            <w:pPr>
              <w:ind w:left="100"/>
              <w:spacing w:after="0"/>
              <w:rPr>
                <w:sz w:val="20"/>
                <w:szCs w:val="20"/>
                <w:color w:val="auto"/>
              </w:rPr>
            </w:pPr>
            <w:r>
              <w:rPr>
                <w:rFonts w:ascii="Arial" w:cs="Arial" w:eastAsia="Arial" w:hAnsi="Arial"/>
                <w:sz w:val="14"/>
                <w:szCs w:val="14"/>
                <w:color w:val="auto"/>
              </w:rPr>
              <w:t>(cost basis)</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30"/>
        </w:trPr>
        <w:tc>
          <w:tcPr>
            <w:tcW w:w="1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Year 5</w:t>
            </w:r>
          </w:p>
        </w:tc>
        <w:tc>
          <w:tcPr>
            <w:tcW w:w="8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$14 million</w:t>
            </w:r>
          </w:p>
        </w:tc>
        <w:tc>
          <w:tcPr>
            <w:tcW w:w="11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$20 million</w:t>
            </w: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$10 million</w:t>
            </w:r>
          </w:p>
        </w:tc>
        <w:tc>
          <w:tcPr>
            <w:tcW w:w="112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$12 million</w:t>
            </w:r>
          </w:p>
        </w:tc>
        <w:tc>
          <w:tcPr>
            <w:tcW w:w="900" w:type="dxa"/>
            <w:vAlign w:val="bottom"/>
            <w:shd w:val="clear" w:color="auto" w:fill="CCEEFF"/>
          </w:tcPr>
          <w:p>
            <w:pPr>
              <w:ind w:left="680"/>
              <w:spacing w:after="0" w:line="13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$22 million</w:t>
            </w:r>
          </w:p>
        </w:tc>
      </w:tr>
      <w:tr>
        <w:trPr>
          <w:trHeight w:val="167"/>
        </w:trPr>
        <w:tc>
          <w:tcPr>
            <w:tcW w:w="1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FMV</w:t>
            </w:r>
          </w:p>
        </w:tc>
        <w:tc>
          <w:tcPr>
            <w:tcW w:w="11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(sale price)</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FMV</w:t>
            </w:r>
          </w:p>
        </w:tc>
        <w:tc>
          <w:tcPr>
            <w:tcW w:w="11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FMV</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rPr>
              <w:t>Year 6</w:t>
            </w:r>
          </w:p>
        </w:tc>
        <w:tc>
          <w:tcPr>
            <w:tcW w:w="840" w:type="dxa"/>
            <w:vAlign w:val="bottom"/>
          </w:tcPr>
          <w:p>
            <w:pPr>
              <w:spacing w:after="0"/>
              <w:rPr>
                <w:sz w:val="11"/>
                <w:szCs w:val="11"/>
                <w:color w:val="auto"/>
              </w:rPr>
            </w:pP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tcPr>
          <w:p>
            <w:pPr>
              <w:spacing w:after="0" w:line="130" w:lineRule="exact"/>
              <w:rPr>
                <w:sz w:val="20"/>
                <w:szCs w:val="20"/>
                <w:color w:val="auto"/>
              </w:rPr>
            </w:pPr>
            <w:r>
              <w:rPr>
                <w:rFonts w:ascii="Arial" w:cs="Arial" w:eastAsia="Arial" w:hAnsi="Arial"/>
                <w:sz w:val="14"/>
                <w:szCs w:val="14"/>
                <w:color w:val="auto"/>
              </w:rPr>
              <w:t>$16 million</w:t>
            </w:r>
          </w:p>
        </w:tc>
        <w:tc>
          <w:tcPr>
            <w:tcW w:w="120" w:type="dxa"/>
            <w:vAlign w:val="bottom"/>
          </w:tcPr>
          <w:p>
            <w:pPr>
              <w:spacing w:after="0"/>
              <w:rPr>
                <w:sz w:val="11"/>
                <w:szCs w:val="11"/>
                <w:color w:val="auto"/>
              </w:rPr>
            </w:pP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$8 million</w:t>
            </w:r>
          </w:p>
        </w:tc>
        <w:tc>
          <w:tcPr>
            <w:tcW w:w="112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$15 million</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$2 million</w:t>
            </w:r>
          </w:p>
        </w:tc>
        <w:tc>
          <w:tcPr>
            <w:tcW w:w="120" w:type="dxa"/>
            <w:vAlign w:val="bottom"/>
          </w:tcPr>
          <w:p>
            <w:pPr>
              <w:spacing w:after="0"/>
              <w:rPr>
                <w:sz w:val="11"/>
                <w:szCs w:val="11"/>
                <w:color w:val="auto"/>
              </w:rPr>
            </w:pPr>
          </w:p>
        </w:tc>
        <w:tc>
          <w:tcPr>
            <w:tcW w:w="900" w:type="dxa"/>
            <w:vAlign w:val="bottom"/>
            <w:gridSpan w:val="2"/>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$28 million</w:t>
            </w:r>
          </w:p>
        </w:tc>
      </w:tr>
      <w:tr>
        <w:trPr>
          <w:trHeight w:val="167"/>
        </w:trPr>
        <w:tc>
          <w:tcPr>
            <w:tcW w:w="1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(sale price)</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4"/>
                <w:szCs w:val="14"/>
                <w:color w:val="auto"/>
              </w:rPr>
              <w:t>FMV</w:t>
            </w:r>
          </w:p>
        </w:tc>
        <w:tc>
          <w:tcPr>
            <w:tcW w:w="1120" w:type="dxa"/>
            <w:vAlign w:val="bottom"/>
            <w:gridSpan w:val="3"/>
          </w:tcPr>
          <w:p>
            <w:pPr>
              <w:ind w:left="100"/>
              <w:spacing w:after="0"/>
              <w:rPr>
                <w:sz w:val="20"/>
                <w:szCs w:val="20"/>
                <w:color w:val="auto"/>
              </w:rPr>
            </w:pPr>
            <w:r>
              <w:rPr>
                <w:rFonts w:ascii="Arial" w:cs="Arial" w:eastAsia="Arial" w:hAnsi="Arial"/>
                <w:sz w:val="14"/>
                <w:szCs w:val="14"/>
                <w:color w:val="auto"/>
              </w:rPr>
              <w:t>FMV</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30"/>
        </w:trPr>
        <w:tc>
          <w:tcPr>
            <w:tcW w:w="1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Year 7</w:t>
            </w:r>
          </w:p>
        </w:tc>
        <w:tc>
          <w:tcPr>
            <w:tcW w:w="8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$8 million (sale</w:t>
            </w:r>
          </w:p>
        </w:tc>
        <w:tc>
          <w:tcPr>
            <w:tcW w:w="112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$17 million</w:t>
            </w:r>
          </w:p>
        </w:tc>
        <w:tc>
          <w:tcPr>
            <w:tcW w:w="900" w:type="dxa"/>
            <w:vAlign w:val="bottom"/>
            <w:shd w:val="clear" w:color="auto" w:fill="CCEEFF"/>
          </w:tcPr>
          <w:p>
            <w:pPr>
              <w:ind w:left="6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$2 million</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$28 million</w:t>
            </w:r>
          </w:p>
        </w:tc>
      </w:tr>
      <w:tr>
        <w:trPr>
          <w:trHeight w:val="167"/>
        </w:trPr>
        <w:tc>
          <w:tcPr>
            <w:tcW w:w="1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price)</w:t>
            </w:r>
          </w:p>
        </w:tc>
        <w:tc>
          <w:tcPr>
            <w:tcW w:w="11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FMV</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rPr>
              <w:t>Year 8</w:t>
            </w:r>
          </w:p>
        </w:tc>
        <w:tc>
          <w:tcPr>
            <w:tcW w:w="840" w:type="dxa"/>
            <w:vAlign w:val="bottom"/>
          </w:tcPr>
          <w:p>
            <w:pPr>
              <w:spacing w:after="0"/>
              <w:rPr>
                <w:sz w:val="11"/>
                <w:szCs w:val="11"/>
                <w:color w:val="auto"/>
              </w:rPr>
            </w:pP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tcPr>
          <w:p>
            <w:pPr>
              <w:ind w:left="700"/>
              <w:spacing w:after="0" w:line="13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ind w:left="680"/>
              <w:spacing w:after="0" w:line="130" w:lineRule="exact"/>
              <w:rPr>
                <w:sz w:val="20"/>
                <w:szCs w:val="20"/>
                <w:color w:val="auto"/>
              </w:rPr>
            </w:pPr>
            <w:r>
              <w:rPr>
                <w:rFonts w:ascii="Arial" w:cs="Arial" w:eastAsia="Arial" w:hAnsi="Arial"/>
                <w:sz w:val="14"/>
                <w:szCs w:val="14"/>
                <w:color w:val="auto"/>
              </w:rPr>
              <w:t>—</w:t>
            </w:r>
          </w:p>
        </w:tc>
        <w:tc>
          <w:tcPr>
            <w:tcW w:w="112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$18 million</w:t>
            </w:r>
          </w:p>
        </w:tc>
        <w:tc>
          <w:tcPr>
            <w:tcW w:w="900" w:type="dxa"/>
            <w:vAlign w:val="bottom"/>
          </w:tcPr>
          <w:p>
            <w:pPr>
              <w:ind w:left="6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$2 million</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$36 million</w:t>
            </w:r>
          </w:p>
        </w:tc>
      </w:tr>
      <w:tr>
        <w:trPr>
          <w:trHeight w:val="182"/>
        </w:trPr>
        <w:tc>
          <w:tcPr>
            <w:tcW w:w="1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gridSpan w:val="3"/>
          </w:tcPr>
          <w:p>
            <w:pPr>
              <w:ind w:left="100"/>
              <w:spacing w:after="0"/>
              <w:rPr>
                <w:sz w:val="20"/>
                <w:szCs w:val="20"/>
                <w:color w:val="auto"/>
              </w:rPr>
            </w:pPr>
            <w:r>
              <w:rPr>
                <w:rFonts w:ascii="Arial" w:cs="Arial" w:eastAsia="Arial" w:hAnsi="Arial"/>
                <w:sz w:val="14"/>
                <w:szCs w:val="14"/>
                <w:color w:val="auto"/>
              </w:rPr>
              <w:t>(sale price)</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capital gains portion of the Incentive Fee would be:</w:t>
      </w:r>
    </w:p>
    <w:p>
      <w:pPr>
        <w:spacing w:after="0" w:line="131" w:lineRule="exact"/>
        <w:rPr>
          <w:sz w:val="20"/>
          <w:szCs w:val="20"/>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Year 2:</w:t>
      </w:r>
    </w:p>
    <w:p>
      <w:pPr>
        <w:spacing w:after="0" w:line="117" w:lineRule="exact"/>
        <w:rPr>
          <w:sz w:val="20"/>
          <w:szCs w:val="20"/>
          <w:color w:val="auto"/>
        </w:rPr>
      </w:pPr>
    </w:p>
    <w:p>
      <w:pPr>
        <w:ind w:left="920" w:right="640"/>
        <w:spacing w:after="0" w:line="277" w:lineRule="auto"/>
        <w:rPr>
          <w:sz w:val="20"/>
          <w:szCs w:val="20"/>
          <w:color w:val="auto"/>
        </w:rPr>
      </w:pPr>
      <w:r>
        <w:rPr>
          <w:rFonts w:ascii="Arial" w:cs="Arial" w:eastAsia="Arial" w:hAnsi="Arial"/>
          <w:sz w:val="18"/>
          <w:szCs w:val="18"/>
          <w:color w:val="auto"/>
        </w:rPr>
        <w:t xml:space="preserve">Capital Gains Fee = 15% multiplied by ($10 million realized capital gains on sale of Investment A less $2 million cumulative capital depreciation) = </w:t>
      </w:r>
      <w:r>
        <w:rPr>
          <w:rFonts w:ascii="Arial" w:cs="Arial" w:eastAsia="Arial" w:hAnsi="Arial"/>
          <w:sz w:val="18"/>
          <w:szCs w:val="18"/>
          <w:b w:val="1"/>
          <w:bCs w:val="1"/>
          <w:color w:val="auto"/>
        </w:rPr>
        <w:t>$1.2 million</w:t>
      </w:r>
    </w:p>
    <w:p>
      <w:pPr>
        <w:spacing w:after="0" w:line="76" w:lineRule="exact"/>
        <w:rPr>
          <w:sz w:val="20"/>
          <w:szCs w:val="20"/>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Year 3:</w:t>
      </w:r>
    </w:p>
    <w:p>
      <w:pPr>
        <w:spacing w:after="0" w:line="117" w:lineRule="exact"/>
        <w:rPr>
          <w:sz w:val="20"/>
          <w:szCs w:val="20"/>
          <w:color w:val="auto"/>
        </w:rPr>
      </w:pPr>
    </w:p>
    <w:p>
      <w:pPr>
        <w:ind w:left="920" w:right="300"/>
        <w:spacing w:after="0" w:line="308" w:lineRule="auto"/>
        <w:rPr>
          <w:sz w:val="20"/>
          <w:szCs w:val="20"/>
          <w:color w:val="auto"/>
        </w:rPr>
      </w:pPr>
      <w:r>
        <w:rPr>
          <w:rFonts w:ascii="Arial" w:cs="Arial" w:eastAsia="Arial" w:hAnsi="Arial"/>
          <w:sz w:val="17"/>
          <w:szCs w:val="17"/>
          <w:color w:val="auto"/>
        </w:rPr>
        <w:t xml:space="preserve">Capital Gains Fee = (Weighted Percentage multiplied by ($10 million cumulative realized capital gains less $2 million cumulative capital depreciation)) less $1.2 million cumulative Capital Gains Fee previously paid = $1.2 million less $1.2 million = </w:t>
      </w:r>
      <w:r>
        <w:rPr>
          <w:rFonts w:ascii="Arial" w:cs="Arial" w:eastAsia="Arial" w:hAnsi="Arial"/>
          <w:sz w:val="17"/>
          <w:szCs w:val="17"/>
          <w:b w:val="1"/>
          <w:bCs w:val="1"/>
          <w:color w:val="auto"/>
        </w:rPr>
        <w:t>$0.00</w:t>
      </w:r>
    </w:p>
    <w:p>
      <w:pPr>
        <w:spacing w:after="0" w:line="38" w:lineRule="exact"/>
        <w:rPr>
          <w:sz w:val="20"/>
          <w:szCs w:val="20"/>
          <w:color w:val="auto"/>
        </w:rPr>
      </w:pPr>
    </w:p>
    <w:p>
      <w:pPr>
        <w:ind w:left="920" w:right="280"/>
        <w:spacing w:after="0" w:line="277" w:lineRule="auto"/>
        <w:rPr>
          <w:sz w:val="20"/>
          <w:szCs w:val="20"/>
          <w:color w:val="auto"/>
        </w:rPr>
      </w:pPr>
      <w:r>
        <w:rPr>
          <w:rFonts w:ascii="Arial" w:cs="Arial" w:eastAsia="Arial" w:hAnsi="Arial"/>
          <w:sz w:val="18"/>
          <w:szCs w:val="18"/>
          <w:color w:val="auto"/>
        </w:rPr>
        <w:t xml:space="preserve">Weighted Percentage = (15% multiplied by ($10 million Pre-IPO Gain Amount divided by $10 million Total Gain Amount )) plus (17.5% multiplied by ($0 Post-IPO Gain Amount divided by $10 million Total Gain Amount)) = </w:t>
      </w:r>
      <w:r>
        <w:rPr>
          <w:rFonts w:ascii="Arial" w:cs="Arial" w:eastAsia="Arial" w:hAnsi="Arial"/>
          <w:sz w:val="18"/>
          <w:szCs w:val="18"/>
          <w:b w:val="1"/>
          <w:bCs w:val="1"/>
          <w:color w:val="auto"/>
        </w:rPr>
        <w:t>15%</w:t>
      </w:r>
    </w:p>
    <w:p>
      <w:pPr>
        <w:spacing w:after="0" w:line="76" w:lineRule="exact"/>
        <w:rPr>
          <w:sz w:val="20"/>
          <w:szCs w:val="20"/>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Year 4:</w:t>
      </w:r>
    </w:p>
    <w:p>
      <w:pPr>
        <w:spacing w:after="0" w:line="117"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 xml:space="preserve">Capital Gains Fee = (Weighted Percentage multiplied by ($12 million cumulative realized capital gains)) less $1.2 million cumulative Capital Gains Fee previously paid = $1.8 million less $1.2 million = </w:t>
      </w:r>
      <w:r>
        <w:rPr>
          <w:rFonts w:ascii="Arial" w:cs="Arial" w:eastAsia="Arial" w:hAnsi="Arial"/>
          <w:sz w:val="18"/>
          <w:szCs w:val="18"/>
          <w:b w:val="1"/>
          <w:bCs w:val="1"/>
          <w:color w:val="auto"/>
        </w:rPr>
        <w:t>$0.6 million</w:t>
      </w:r>
    </w:p>
    <w:p>
      <w:pPr>
        <w:spacing w:after="0" w:line="62" w:lineRule="exact"/>
        <w:rPr>
          <w:sz w:val="20"/>
          <w:szCs w:val="20"/>
          <w:color w:val="auto"/>
        </w:rPr>
      </w:pPr>
    </w:p>
    <w:p>
      <w:pPr>
        <w:ind w:left="920" w:right="320"/>
        <w:spacing w:after="0" w:line="277" w:lineRule="auto"/>
        <w:rPr>
          <w:sz w:val="20"/>
          <w:szCs w:val="20"/>
          <w:color w:val="auto"/>
        </w:rPr>
      </w:pPr>
      <w:r>
        <w:rPr>
          <w:rFonts w:ascii="Arial" w:cs="Arial" w:eastAsia="Arial" w:hAnsi="Arial"/>
          <w:sz w:val="18"/>
          <w:szCs w:val="18"/>
          <w:color w:val="auto"/>
        </w:rPr>
        <w:t xml:space="preserve">Weighted Percentage = (15% multiplied by ($12 million Pre-IPO Gain Amount divided by $12 million Total Gain Amount)) plus (17.5% multiplied by ($0 Post-IPO Gain Amount divided by $10 million Total Gain Amount)) = </w:t>
      </w:r>
      <w:r>
        <w:rPr>
          <w:rFonts w:ascii="Arial" w:cs="Arial" w:eastAsia="Arial" w:hAnsi="Arial"/>
          <w:sz w:val="18"/>
          <w:szCs w:val="18"/>
          <w:b w:val="1"/>
          <w:bCs w:val="1"/>
          <w:color w:val="auto"/>
        </w:rPr>
        <w:t>15%</w:t>
      </w:r>
    </w:p>
    <w:p>
      <w:pPr>
        <w:spacing w:after="0" w:line="76" w:lineRule="exact"/>
        <w:rPr>
          <w:sz w:val="20"/>
          <w:szCs w:val="20"/>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Year 5:</w:t>
      </w:r>
    </w:p>
    <w:p>
      <w:pPr>
        <w:spacing w:after="0" w:line="117"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 xml:space="preserve">Capital Gains Fee = (Weighted Percentage multiplied by ($22 million cumulative realized capital gains)) less $1.8 million cumulative Capital Gains Fee previously paid = $3.45 million less $1.8 million = </w:t>
      </w:r>
      <w:r>
        <w:rPr>
          <w:rFonts w:ascii="Arial" w:cs="Arial" w:eastAsia="Arial" w:hAnsi="Arial"/>
          <w:sz w:val="18"/>
          <w:szCs w:val="18"/>
          <w:b w:val="1"/>
          <w:bCs w:val="1"/>
          <w:color w:val="auto"/>
        </w:rPr>
        <w:t>$1.65 million</w:t>
      </w:r>
    </w:p>
    <w:p>
      <w:pPr>
        <w:spacing w:after="0" w:line="62" w:lineRule="exact"/>
        <w:rPr>
          <w:sz w:val="20"/>
          <w:szCs w:val="20"/>
          <w:color w:val="auto"/>
        </w:rPr>
      </w:pPr>
    </w:p>
    <w:p>
      <w:pPr>
        <w:ind w:left="920" w:right="320"/>
        <w:spacing w:after="0" w:line="277" w:lineRule="auto"/>
        <w:rPr>
          <w:sz w:val="20"/>
          <w:szCs w:val="20"/>
          <w:color w:val="auto"/>
        </w:rPr>
      </w:pPr>
      <w:r>
        <w:rPr>
          <w:rFonts w:ascii="Arial" w:cs="Arial" w:eastAsia="Arial" w:hAnsi="Arial"/>
          <w:sz w:val="18"/>
          <w:szCs w:val="18"/>
          <w:color w:val="auto"/>
        </w:rPr>
        <w:t xml:space="preserve">Weighted Percentage = (15% multiplied by ($16 million Pre-IPO Gain Amount divided by $22 million Total Gain Amount)) plus (17.5% multiplied by ($6 million Post-IPO Gain Amount divided by $22 million Total Gain Amount)) = </w:t>
      </w:r>
      <w:r>
        <w:rPr>
          <w:rFonts w:ascii="Arial" w:cs="Arial" w:eastAsia="Arial" w:hAnsi="Arial"/>
          <w:sz w:val="18"/>
          <w:szCs w:val="18"/>
          <w:b w:val="1"/>
          <w:bCs w:val="1"/>
          <w:color w:val="auto"/>
        </w:rPr>
        <w:t>15.68%</w:t>
      </w:r>
    </w:p>
    <w:p>
      <w:pPr>
        <w:spacing w:after="0" w:line="76"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Year 6:</w:t>
      </w:r>
    </w:p>
    <w:p>
      <w:pPr>
        <w:spacing w:after="0" w:line="117" w:lineRule="exact"/>
        <w:rPr>
          <w:sz w:val="20"/>
          <w:szCs w:val="20"/>
          <w:color w:val="auto"/>
        </w:rPr>
      </w:pPr>
    </w:p>
    <w:p>
      <w:pPr>
        <w:ind w:left="920" w:right="300"/>
        <w:spacing w:after="0" w:line="342" w:lineRule="auto"/>
        <w:rPr>
          <w:sz w:val="20"/>
          <w:szCs w:val="20"/>
          <w:color w:val="auto"/>
        </w:rPr>
      </w:pPr>
      <w:r>
        <w:rPr>
          <w:rFonts w:ascii="Arial" w:cs="Arial" w:eastAsia="Arial" w:hAnsi="Arial"/>
          <w:sz w:val="16"/>
          <w:szCs w:val="16"/>
          <w:color w:val="auto"/>
        </w:rPr>
        <w:t xml:space="preserve">Capital Gains Fee = (Weighted Percentage multiplied by ($28 million cumulative realized capital gains less $2 million cumulative capital depreciation)) less $3.45 million cumulative Capital Gains Fee previously paid = $4.18 million less $3.45 million = </w:t>
      </w:r>
      <w:r>
        <w:rPr>
          <w:rFonts w:ascii="Arial" w:cs="Arial" w:eastAsia="Arial" w:hAnsi="Arial"/>
          <w:sz w:val="16"/>
          <w:szCs w:val="16"/>
          <w:b w:val="1"/>
          <w:bCs w:val="1"/>
          <w:color w:val="auto"/>
        </w:rPr>
        <w:t>$0.73 million</w:t>
      </w:r>
    </w:p>
    <w:p>
      <w:pPr>
        <w:spacing w:after="0" w:line="16" w:lineRule="exact"/>
        <w:rPr>
          <w:sz w:val="20"/>
          <w:szCs w:val="20"/>
          <w:color w:val="auto"/>
        </w:rPr>
      </w:pPr>
    </w:p>
    <w:p>
      <w:pPr>
        <w:ind w:left="920" w:right="320"/>
        <w:spacing w:after="0" w:line="277" w:lineRule="auto"/>
        <w:rPr>
          <w:sz w:val="20"/>
          <w:szCs w:val="20"/>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8"/>
          <w:szCs w:val="18"/>
          <w:b w:val="1"/>
          <w:bCs w:val="1"/>
          <w:color w:val="auto"/>
        </w:rPr>
        <w:t>16.07%</w:t>
      </w:r>
    </w:p>
    <w:p>
      <w:pPr>
        <w:spacing w:after="0" w:line="76" w:lineRule="exact"/>
        <w:rPr>
          <w:sz w:val="20"/>
          <w:szCs w:val="20"/>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Year 7:</w:t>
      </w:r>
    </w:p>
    <w:p>
      <w:pPr>
        <w:spacing w:after="0" w:line="117" w:lineRule="exact"/>
        <w:rPr>
          <w:sz w:val="20"/>
          <w:szCs w:val="20"/>
          <w:color w:val="auto"/>
        </w:rPr>
      </w:pPr>
    </w:p>
    <w:p>
      <w:pPr>
        <w:ind w:left="920" w:right="220"/>
        <w:spacing w:after="0" w:line="308" w:lineRule="auto"/>
        <w:rPr>
          <w:sz w:val="20"/>
          <w:szCs w:val="20"/>
          <w:color w:val="auto"/>
        </w:rPr>
      </w:pPr>
      <w:r>
        <w:rPr>
          <w:rFonts w:ascii="Arial" w:cs="Arial" w:eastAsia="Arial" w:hAnsi="Arial"/>
          <w:sz w:val="17"/>
          <w:szCs w:val="17"/>
          <w:color w:val="auto"/>
        </w:rPr>
        <w:t xml:space="preserve">Capital Gains Fee = (Weighted Percentage multiplied by ($28 million cumulative realized capital gains less $2 million cumulative realized capital losses)) less $4.18 million cumulative Capital Gains Fee previously paid = $4.18 million less $4.18 million = </w:t>
      </w:r>
      <w:r>
        <w:rPr>
          <w:rFonts w:ascii="Arial" w:cs="Arial" w:eastAsia="Arial" w:hAnsi="Arial"/>
          <w:sz w:val="17"/>
          <w:szCs w:val="17"/>
          <w:b w:val="1"/>
          <w:bCs w:val="1"/>
          <w:color w:val="auto"/>
        </w:rPr>
        <w:t>$0.00</w:t>
      </w:r>
    </w:p>
    <w:p>
      <w:pPr>
        <w:spacing w:after="0" w:line="38" w:lineRule="exact"/>
        <w:rPr>
          <w:sz w:val="20"/>
          <w:szCs w:val="20"/>
          <w:color w:val="auto"/>
        </w:rPr>
      </w:pPr>
    </w:p>
    <w:p>
      <w:pPr>
        <w:ind w:left="920" w:right="320"/>
        <w:spacing w:after="0" w:line="277" w:lineRule="auto"/>
        <w:rPr>
          <w:sz w:val="20"/>
          <w:szCs w:val="20"/>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8"/>
          <w:szCs w:val="18"/>
          <w:b w:val="1"/>
          <w:bCs w:val="1"/>
          <w:color w:val="auto"/>
        </w:rPr>
        <w:t>16.07%</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240" w:top="459" w:right="5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Year 8:</w:t>
      </w:r>
    </w:p>
    <w:p>
      <w:pPr>
        <w:spacing w:after="0" w:line="117" w:lineRule="exact"/>
        <w:rPr>
          <w:sz w:val="20"/>
          <w:szCs w:val="20"/>
          <w:color w:val="auto"/>
        </w:rPr>
      </w:pPr>
    </w:p>
    <w:p>
      <w:pPr>
        <w:ind w:left="920" w:right="520"/>
        <w:spacing w:after="0" w:line="342" w:lineRule="auto"/>
        <w:rPr>
          <w:sz w:val="20"/>
          <w:szCs w:val="20"/>
          <w:color w:val="auto"/>
        </w:rPr>
      </w:pPr>
      <w:r>
        <w:rPr>
          <w:rFonts w:ascii="Arial" w:cs="Arial" w:eastAsia="Arial" w:hAnsi="Arial"/>
          <w:sz w:val="16"/>
          <w:szCs w:val="16"/>
          <w:color w:val="auto"/>
        </w:rPr>
        <w:t xml:space="preserve">Capital Gains Fee = (Weighted Percentage multiplied by ($36 million cumulative realized capital gains less $2 million cumulative realized capital losses)) less $4.18 million cumulative Capital Gains Fee previously paid = $5.57 million less $4.18 million = </w:t>
      </w:r>
      <w:r>
        <w:rPr>
          <w:rFonts w:ascii="Arial" w:cs="Arial" w:eastAsia="Arial" w:hAnsi="Arial"/>
          <w:sz w:val="16"/>
          <w:szCs w:val="16"/>
          <w:b w:val="1"/>
          <w:bCs w:val="1"/>
          <w:color w:val="auto"/>
        </w:rPr>
        <w:t>$1.39 million</w:t>
      </w:r>
    </w:p>
    <w:p>
      <w:pPr>
        <w:spacing w:after="0" w:line="16" w:lineRule="exact"/>
        <w:rPr>
          <w:sz w:val="20"/>
          <w:szCs w:val="20"/>
          <w:color w:val="auto"/>
        </w:rPr>
      </w:pPr>
    </w:p>
    <w:p>
      <w:pPr>
        <w:ind w:left="920" w:right="620"/>
        <w:spacing w:after="0" w:line="277" w:lineRule="auto"/>
        <w:rPr>
          <w:sz w:val="20"/>
          <w:szCs w:val="20"/>
          <w:color w:val="auto"/>
        </w:rPr>
      </w:pPr>
      <w:r>
        <w:rPr>
          <w:rFonts w:ascii="Arial" w:cs="Arial" w:eastAsia="Arial" w:hAnsi="Arial"/>
          <w:sz w:val="18"/>
          <w:szCs w:val="18"/>
          <w:color w:val="auto"/>
        </w:rPr>
        <w:t xml:space="preserve">Weighted Percentage = (15% multiplied by ($16 million Pre-IPO Gain Amount divided by $36 million Total Gain Amount)) plus (17.5% multiplied by ($18 million Post-IPO Gain Amount divided by $36 million Total Gain Amount)) = </w:t>
      </w:r>
      <w:r>
        <w:rPr>
          <w:rFonts w:ascii="Arial" w:cs="Arial" w:eastAsia="Arial" w:hAnsi="Arial"/>
          <w:sz w:val="18"/>
          <w:szCs w:val="18"/>
          <w:b w:val="1"/>
          <w:bCs w:val="1"/>
          <w:color w:val="auto"/>
        </w:rPr>
        <w:t>16.39%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Our Expenses</w:t>
      </w:r>
    </w:p>
    <w:p>
      <w:pPr>
        <w:spacing w:after="0" w:line="12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costs associated with our Investment Team and staff of the Adviser, when and to the extent engaged in providing us investment advisory and management services are paid for by the Adviser.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bear all other costs and expenses of our operations, administration and transactions, including those relating to:</w:t>
      </w:r>
    </w:p>
    <w:p>
      <w:pPr>
        <w:spacing w:after="0" w:line="131" w:lineRule="exact"/>
        <w:rPr>
          <w:sz w:val="20"/>
          <w:szCs w:val="20"/>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30"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Adviser’s allocable share of costs incurred in providing significant managerial assistance to those portfolio companies that request it;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30" w:lineRule="exact"/>
        <w:rPr>
          <w:rFonts w:ascii="Arial" w:cs="Arial" w:eastAsia="Arial" w:hAnsi="Arial"/>
          <w:sz w:val="18"/>
          <w:szCs w:val="18"/>
          <w:color w:val="auto"/>
        </w:rPr>
      </w:pPr>
    </w:p>
    <w:p>
      <w:pPr>
        <w:ind w:left="900" w:hanging="325"/>
        <w:spacing w:after="0" w:line="302" w:lineRule="auto"/>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Compliance Officer, Chief Financial Officer, and other professionals who spend time on those related activities (based on the percentage of time those individuals devote, on an estimated basis, to our business and affairs);</w:t>
      </w:r>
    </w:p>
    <w:p>
      <w:pPr>
        <w:spacing w:after="0" w:line="59" w:lineRule="exact"/>
        <w:rPr>
          <w:rFonts w:ascii="Arial" w:cs="Arial" w:eastAsia="Arial" w:hAnsi="Arial"/>
          <w:sz w:val="16"/>
          <w:szCs w:val="16"/>
          <w:color w:val="auto"/>
        </w:rPr>
      </w:pPr>
    </w:p>
    <w:p>
      <w:pPr>
        <w:ind w:left="900" w:right="100" w:hanging="325"/>
        <w:spacing w:after="0" w:line="342" w:lineRule="auto"/>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In addition, from time to time, the Adviser pays amounts owed by us to third-party providers of goods or services, including the Board. We subsequently reimburse the Adviser for those amounts paid on our behalf. Amounts payable to the Adviser are settled in the normal course of business without formal payment terms.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the expenses described above are ultimately borne by our stockholders.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Duration and Termination</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Unless earlier terminated as described below, both the Investment Advisory Agreement and the Administration Agreement will remain in effect until November 3, 2015, and each may be extended subject to required approvals. Each agreement will remain in effect from year to year thereafter if approved annually by our Board or by the affirmative vote of the holders of a majority of our outstanding voting securities, and, in either case, if also approved by a majority of our Independent Directors. The Investment Advisory Agreement automatically terminates in the event of its assignment, as defined in the 1940 Act, by the Adviser. Each agreement may be terminated by either party without penalty on 60 days’ written notice to the other party. The holders of a majority of our outstanding voting securities may also terminate each agreement without penalty on 60 days’ written notice. See “Risk Factors—Risks Related to Our Business and Structure—We are dependent upon management personnel of the Adviser, TSSP, TPG and their affiliates for our future success.”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certificate of incorporation. See “Description of our Capital Stock.”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Approval of the Investment Advisory Agreement</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Our Board, including our Independent Directors, and holders of a majority of our outstanding securities, approved our Investment Advisory Agreement in December 2011. Our Board, including a majority of the Independent Directors, renewed it in November 2014. In its consideration of the Investment Advisory Agreement at the time of approval and renewal, the Board focused on information it had received relating to, among other things:</w:t>
      </w:r>
    </w:p>
    <w:p>
      <w:pPr>
        <w:spacing w:after="0" w:line="71" w:lineRule="exact"/>
        <w:rPr>
          <w:sz w:val="20"/>
          <w:szCs w:val="20"/>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nature, quality and extent of the advisory and other services to be provided to us by the Adviser;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our investment performance and the performance of the Adviser;</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extent to which economies of scale would be realized as we grow, and whether the fees payable under the Investment Advisory Agreement reflect these economies of scale for the benefit of our stockholders;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comparative data with respect to advisory fees or similar expenses paid by other BDCs with similar investment objectives;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our projected operating expenses and expense ratio compared to BDCs with similar investment objectives;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any existing and potential sources of indirect income to the Adviser from its relationships with us and the profitability of those income sources;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information about the services to be performed and the personnel performing those services under the Investment Advisory Agreement;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organizational capability and financial condition of the Adviser and its respective affiliates;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possibility of obtaining similar services from other third-party service providers or through an internally managed structure.</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Board also takes into consideration the reimbursement of expenses incurred by the Adviser on our behalf, which expenses include travel expenses, when determining whether to approve renewal of the Investment Advisory Agreement and the Administration Agreement.</w:t>
      </w:r>
    </w:p>
    <w:p>
      <w:pPr>
        <w:spacing w:after="0" w:line="170"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Based on the information reviewed and the discussion thereof, the Board, including a majority of the Independent Directors, concluded that the investment advisory fee rates are reasonable in relation to the services to be provided.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60"/>
          </w:cols>
          <w:pgMar w:left="240" w:top="459" w:right="2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RELATED-PARTY TRANSACTIONS AND CERTAIN RELATIONSHIPS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TPG</w:t>
      </w:r>
    </w:p>
    <w:p>
      <w:pPr>
        <w:spacing w:after="0" w:line="117"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Our investment activities are managed by our Adviser, which is responsible for sourcing, researching and structuring potential investments, monitoring our portfolio companies and providing operating, managerial and administrative assistance to us and to our portfolio companies as required.</w:t>
      </w:r>
    </w:p>
    <w:p>
      <w:pPr>
        <w:spacing w:after="0" w:line="14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Adviser is registered under the Advisers Act and is an affiliate of TSSP and TPG. Other affiliates of TSSP and TPG are also registered investment advisers and provide investment advisory services to a number of private investment funds. In addition, TSSP, TPG and their affiliates engage in a broad range of other investment activities, including pursuing investments for their own account and for the account of associated funds and providing other services to these funds and their portfolio companies. The Adviser held 2,772,892 shares, or 5.1%, of our common stock as of May 26, 2015.</w:t>
      </w:r>
    </w:p>
    <w:p>
      <w:pPr>
        <w:spacing w:after="0" w:line="15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Adviser entered into a purchase agreement, the Adviser 10b5-1 Plan, in accordance with Rules 10b5-1 and 10b-18 under the Exchange Act, under which Goldman, Sachs &amp; Co., as agent for the Adviser, would buy up to $25 million in the aggregate of our common stock during the period beginning April 23, 2014 and ending on the earlier of the date on which all the capital committed to the Adviser 10b5-1 Plan had been exhausted or December 31, 2014, subject to certain conditions. The Adviser 10b5-1 Plan expired in accordance with its terms on December 31, 2014. During the year ended December 31, 2014, 300 shares were purchased under the Adviser 10b5-1 Plan.</w:t>
      </w:r>
    </w:p>
    <w:p>
      <w:pPr>
        <w:spacing w:after="0" w:line="188"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believe we benefit from the Adviser’s relationships with TSSP and TPG. The Adviser has access to the contacts and industry knowledge of TSSP’s and TPG’s investment professionals, and is also able to consult with TSSP and TPG investment professionals on specific industry issues, trends and other matters to complement our investment process. However, the Adviser and members of the Investment Review Committee are expected to face a number of actual and potential conflicts of interest involving us, TSSP, TPG and other private investment funds affiliated with TSSP and TPG, including conflicts in the allocation of investment opportunities among us and other TSSP and TPG vehicles, as well as in their time and attention requirements as to these other vehicles. Additionally, various potential and actual conflicts of interest may arise from the overall advisory, investment and other activities of the Adviser, its affiliates, including TSSP and TPG, and their respective clients.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Allocations of Loan Origination Investment Opportunities</w:t>
      </w:r>
    </w:p>
    <w:p>
      <w:pPr>
        <w:spacing w:after="0" w:line="11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Certain members of the Adviser’s senior management and the Investment Review Committee are and will continue to be active in other investment funds affiliated with TSSP and TPG that pursue investment opportunities that could overlap with those pursued by us. However,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determine an appropriate size for our investment.</w:t>
      </w:r>
    </w:p>
    <w:p>
      <w:pPr>
        <w:spacing w:after="0" w:line="16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 general, allocation determinations for us and funds affiliated with TSSP and TPG begin with a preliminary assessment by the legal department of TPG as to whether a particular investment opportunity is required to be allocated to a particular fund or investment vehicle, including us, or prohibited from being allocated to a particular fund or vehicle.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80"/>
          </w:cols>
          <w:pgMar w:left="240" w:top="459" w:right="2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TPG’s legal department makes its preliminary assessment as to whether a particular investment opportunity is required to be allocated to us or any TPG-managed fund or investment vehicle, including us, prior to, or promptly following, the initial discussion of the potential investment at a meeting of our or the relevant fund’s investment review committee when it appears that pursuit of the investment is reasonably probable. The legal department delivers its preliminary assessment to TPG’s allocation team (or a member thereof). The allocation team is comprised of five of TPG’s senior professionals with a scope of responsibilities across all business units of TPG. The team is charged with ensuring that investment opportunities are allocated to us or the appropriate TPG fund. The legal department’s determination that an investment opportunity is required to be allocated to us or another fund is the presumptive final allocation decision.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Exemptive Relief</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relief order (other than in certain limited situations pursuant to current regulatory guidance).</w:t>
      </w:r>
    </w:p>
    <w:p>
      <w:pPr>
        <w:spacing w:after="0" w:line="18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On December 16, 2014, we were granted an exemptive relief order from the SEC that, if certain conditions are met, allows us to co-invest with affiliates of TSSP and TPG in middle-market loan origination activities for companies domiciled in the United States and certain “follow-on” investments in companies in which we have already co-invested pursuant to the order and remain invested. These conditions include, among others, prior approval by a majority of our Independent Directors. The terms and conditions of the investment applicable to any affiliates of TSSP and TPG also must be the same as those applicable to us.</w:t>
      </w:r>
    </w:p>
    <w:p>
      <w:pPr>
        <w:spacing w:after="0" w:line="188"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color w:val="auto"/>
        </w:rPr>
        <w:t>Pursuant to the exemptive relief order, to the extent the size of an investment opportunity exceeds the amount our Adviser has independently determined is appropriate for us to invest, our affiliates may be able to co-invest with us, subject to the approval of a majority of our Independent Directors. We believe our ability to co-invest with TSSP and TPG affiliates will be particularly useful where we identify larger capital commitments than otherwise would be appropriate for us. We expect that with the ability to co-invest with TSSP and TPG affiliates we will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78"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Further, in accordance with the exemptive relief order, we have undertaken that, in connection with any commitment to a co-investment or follow-on investment, a “required majority” (as defined in Section 57(o) of the 1940 Act) of Independent Directors must make certain conclusions, including that:</w:t>
      </w:r>
    </w:p>
    <w:p>
      <w:pPr>
        <w:spacing w:after="0" w:line="29" w:lineRule="exact"/>
        <w:rPr>
          <w:sz w:val="20"/>
          <w:szCs w:val="20"/>
          <w:color w:val="auto"/>
        </w:rPr>
      </w:pPr>
    </w:p>
    <w:p>
      <w:pPr>
        <w:ind w:left="900" w:right="560" w:hanging="325"/>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terms of the proposed transaction (including the consideration to be paid) are reasonable and fair to us and our stockholders and do not involve overreaching of us or our stockholders on the part of any person concerned;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transaction is consistent with the interests of our stockholders and with our investment strategies and policies;</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investment by our affiliate would not disadvantage us, and our participation is not on a basis different from or less advantageous than that of our affiliate;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our investment will not benefit any affiliate other than the affiliate participating in the investment, and as otherwise permitted by the order.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Non-Loan Origination Investment Opportunities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While we seek to generate current income primarily in U.S.-domiciled middle-market companies through direct originations of senior secured loans, we may also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TPG funds or investment vehicles, including TSSP funds and investment vehicles.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9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ability to pursue investment opportunities other than those for middle-market loan originations for companies domiciled in the United States is subject to the allocation decisions by TSSP and TPG senior professionals. Such non-loan origination opportunities may be required to be offered to, or may be otherwise suitable for, other TPG funds or investment vehicles, including TSSP funds and investment vehicles. As a result, the Adviser and its affiliates may face conflicts in allocating investment opportunities between us and those other entities. It is possible that we may not be given the opportunity to participate in certain investments made by TSSP or TPG vehicles that would otherwise be suitable for us. For example, TSSP has organized a separate investment vehicle, TSL Europe, aimed specifically at European middle-market loan originations and may in the future organize vehicles aimed at other loan origination opportunities outside our primary focus.</w:t>
      </w:r>
    </w:p>
    <w:p>
      <w:pPr>
        <w:spacing w:after="0" w:line="189"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If TPG and the Adviser were to determine that an investment that is not a middle-market loan origination for a company domiciled in the United States is appropriate both for us and for one or more other TSSP or TPG vehicles, we would only be able to make the investment in conjunction with another such vehicle if we receive an order from the SEC permitting us to do so or the investment is otherwise permitted under relevant SEC guidance.</w:t>
      </w:r>
    </w:p>
    <w:p>
      <w:pPr>
        <w:spacing w:after="0" w:line="16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Adviser believes this allocation system is fair and equitable, and consistent with its fiduciary duty to us. In particular, we have disclosed to investors that TSSP and TPG will refer to us all middle-market loan origination activities for companies domiciled in the United States. In addition, we have disclosed how allocation determinations are made among TSSP and TPG vehicles in connection with other opportunities, including those circumstances in which the Adviser may be required to offer them to these affiliated vehicles.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Administrator</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Adviser also serves as our administrator. The administrator, on behalf of us and at our expense, may retain one or more service providers that may also be affiliates of TPG to serve as sub-administrator, custodian, accounting agent, investor services agent, transfer agent or other service provider for us. Any fees we pay, or indemnification obligations we undertake, in respect of the administrator and those other service providers that are TPG affiliates, will be set at arm’s length and approved by the Independent Directors.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course of our investing activities, we pay fees to the Adviser, incur direct expenses and reimburse the Adviser for certain expenses it incurs.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Business Relationships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Certain of our current directors and officers are directors or officers of the Adviser or its affiliates. See “Management—Biographical Information.”</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 of Management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a discussion of our Investment Advisory Agreement, Administration Agreement and License Agreement, see “Management and Other Agreements —Investment Advisory Agreement; Administration Agreement; License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Approval or Ratification of Transactions with Related Persons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Audit Committee is required to review and approve any transactions with related persons (as such term is defined in Item 404 of Regulation S-K).</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60"/>
          </w:cols>
          <w:pgMar w:left="240" w:top="459" w:right="29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22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Beneficial ownership is determined in accordance with the rules and regulations of the SEC. These rules generally provide that a person is the beneficial owner of securities if the person has or shares the power to vote or direct the voting thereof, or to dispose or direct the disposition thereof or has the right to acquire these powers within 60 days. The following table sets forth, as of May 26, 2015, the beneficial ownership as indicated in our books and records of each current director, our Named Executive Officers, our executive officers and directors as a group, and each person known to us to beneficially own 5% or more of the outstanding shares of our common stock. With respect to persons known to us to beneficially own 5% or more of the outstanding shares of our common stock, we base such knowledge on beneficial ownership filings made by the holders with the SEC.</w:t>
      </w:r>
    </w:p>
    <w:p>
      <w:pPr>
        <w:spacing w:after="0" w:line="178"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percentage ownership is based on 54,001,289 shares of common stock outstanding as of May 26, 2015. To our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301 Commerce Street, Suite 3300, Fort Worth, TX 76102.</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4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1"/>
              </w:rPr>
              <w:t>Number of Shares of</w:t>
            </w: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Percent of Common</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4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Individual or Identity of Group</w:t>
            </w:r>
          </w:p>
        </w:tc>
        <w:tc>
          <w:tcPr>
            <w:tcW w:w="244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4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Stock Beneficially</w:t>
            </w:r>
          </w:p>
        </w:tc>
        <w:tc>
          <w:tcPr>
            <w:tcW w:w="0" w:type="dxa"/>
            <w:vAlign w:val="bottom"/>
          </w:tcPr>
          <w:p>
            <w:pPr>
              <w:spacing w:after="0"/>
              <w:rPr>
                <w:sz w:val="1"/>
                <w:szCs w:val="1"/>
                <w:color w:val="auto"/>
              </w:rPr>
            </w:pPr>
          </w:p>
        </w:tc>
      </w:tr>
      <w:tr>
        <w:trPr>
          <w:trHeight w:val="171"/>
        </w:trPr>
        <w:tc>
          <w:tcPr>
            <w:tcW w:w="6620" w:type="dxa"/>
            <w:vAlign w:val="bottom"/>
            <w:gridSpan w:val="2"/>
            <w:vMerge w:val="continue"/>
          </w:tcPr>
          <w:p>
            <w:pPr>
              <w:spacing w:after="0"/>
              <w:rPr>
                <w:sz w:val="14"/>
                <w:szCs w:val="14"/>
                <w:color w:val="auto"/>
              </w:rPr>
            </w:pPr>
          </w:p>
        </w:tc>
        <w:tc>
          <w:tcPr>
            <w:tcW w:w="244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14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210"/>
        </w:trPr>
        <w:tc>
          <w:tcPr>
            <w:tcW w:w="5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10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i w:val="1"/>
                <w:iCs w:val="1"/>
                <w:color w:val="auto"/>
              </w:rPr>
              <w:t>Interested Directors</w:t>
            </w: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Joshua Easterly </w:t>
            </w:r>
            <w:r>
              <w:rPr>
                <w:rFonts w:ascii="Arial" w:cs="Arial" w:eastAsia="Arial" w:hAnsi="Arial"/>
                <w:sz w:val="15"/>
                <w:szCs w:val="15"/>
                <w:color w:val="auto"/>
              </w:rPr>
              <w:t>(2)</w:t>
            </w:r>
          </w:p>
        </w:tc>
        <w:tc>
          <w:tcPr>
            <w:tcW w:w="24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17,926</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gridSpan w:val="2"/>
          </w:tcPr>
          <w:p>
            <w:pPr>
              <w:ind w:left="360"/>
              <w:spacing w:after="0"/>
              <w:rPr>
                <w:sz w:val="20"/>
                <w:szCs w:val="20"/>
                <w:color w:val="auto"/>
              </w:rPr>
            </w:pPr>
            <w:r>
              <w:rPr>
                <w:rFonts w:ascii="Arial" w:cs="Arial" w:eastAsia="Arial" w:hAnsi="Arial"/>
                <w:sz w:val="18"/>
                <w:szCs w:val="18"/>
                <w:color w:val="auto"/>
              </w:rPr>
              <w:t xml:space="preserve">Michael Fishman </w:t>
            </w:r>
            <w:r>
              <w:rPr>
                <w:rFonts w:ascii="Arial" w:cs="Arial" w:eastAsia="Arial" w:hAnsi="Arial"/>
                <w:sz w:val="15"/>
                <w:szCs w:val="15"/>
                <w:color w:val="auto"/>
              </w:rPr>
              <w:t>(3)</w:t>
            </w:r>
          </w:p>
        </w:tc>
        <w:tc>
          <w:tcPr>
            <w:tcW w:w="2440" w:type="dxa"/>
            <w:vAlign w:val="bottom"/>
            <w:gridSpan w:val="2"/>
          </w:tcPr>
          <w:p>
            <w:pPr>
              <w:jc w:val="right"/>
              <w:ind w:right="1160"/>
              <w:spacing w:after="0"/>
              <w:rPr>
                <w:sz w:val="20"/>
                <w:szCs w:val="20"/>
                <w:color w:val="auto"/>
              </w:rPr>
            </w:pPr>
            <w:r>
              <w:rPr>
                <w:rFonts w:ascii="Arial" w:cs="Arial" w:eastAsia="Arial" w:hAnsi="Arial"/>
                <w:sz w:val="18"/>
                <w:szCs w:val="18"/>
                <w:color w:val="auto"/>
              </w:rPr>
              <w:t>36,366</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Independent Directors</w:t>
            </w:r>
          </w:p>
        </w:tc>
        <w:tc>
          <w:tcPr>
            <w:tcW w:w="1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360"/>
              <w:spacing w:after="0"/>
              <w:rPr>
                <w:sz w:val="20"/>
                <w:szCs w:val="20"/>
                <w:color w:val="auto"/>
              </w:rPr>
            </w:pPr>
            <w:r>
              <w:rPr>
                <w:rFonts w:ascii="Arial" w:cs="Arial" w:eastAsia="Arial" w:hAnsi="Arial"/>
                <w:sz w:val="18"/>
                <w:szCs w:val="18"/>
                <w:color w:val="auto"/>
              </w:rPr>
              <w:t>Richard Higginbotham</w:t>
            </w:r>
          </w:p>
        </w:tc>
        <w:tc>
          <w:tcPr>
            <w:tcW w:w="2440" w:type="dxa"/>
            <w:vAlign w:val="bottom"/>
            <w:gridSpan w:val="2"/>
          </w:tcPr>
          <w:p>
            <w:pPr>
              <w:jc w:val="right"/>
              <w:ind w:right="1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John Ross</w:t>
            </w:r>
          </w:p>
        </w:tc>
        <w:tc>
          <w:tcPr>
            <w:tcW w:w="24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16,575</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gridSpan w:val="2"/>
          </w:tcPr>
          <w:p>
            <w:pPr>
              <w:ind w:left="360"/>
              <w:spacing w:after="0"/>
              <w:rPr>
                <w:sz w:val="20"/>
                <w:szCs w:val="20"/>
                <w:color w:val="auto"/>
              </w:rPr>
            </w:pPr>
            <w:r>
              <w:rPr>
                <w:rFonts w:ascii="Arial" w:cs="Arial" w:eastAsia="Arial" w:hAnsi="Arial"/>
                <w:sz w:val="18"/>
                <w:szCs w:val="18"/>
                <w:color w:val="auto"/>
              </w:rPr>
              <w:t>Ronald Tanemura</w:t>
            </w:r>
          </w:p>
        </w:tc>
        <w:tc>
          <w:tcPr>
            <w:tcW w:w="2440" w:type="dxa"/>
            <w:vAlign w:val="bottom"/>
            <w:gridSpan w:val="2"/>
          </w:tcPr>
          <w:p>
            <w:pPr>
              <w:jc w:val="right"/>
              <w:ind w:right="1160"/>
              <w:spacing w:after="0"/>
              <w:rPr>
                <w:sz w:val="20"/>
                <w:szCs w:val="20"/>
                <w:color w:val="auto"/>
              </w:rPr>
            </w:pPr>
            <w:r>
              <w:rPr>
                <w:rFonts w:ascii="Arial" w:cs="Arial" w:eastAsia="Arial" w:hAnsi="Arial"/>
                <w:sz w:val="18"/>
                <w:szCs w:val="18"/>
                <w:color w:val="auto"/>
              </w:rPr>
              <w:t>31,091</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Named Executive Officers Who Are Not Directors</w:t>
            </w:r>
          </w:p>
        </w:tc>
        <w:tc>
          <w:tcPr>
            <w:tcW w:w="1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360"/>
              <w:spacing w:after="0"/>
              <w:rPr>
                <w:sz w:val="20"/>
                <w:szCs w:val="20"/>
                <w:color w:val="auto"/>
              </w:rPr>
            </w:pPr>
            <w:r>
              <w:rPr>
                <w:rFonts w:ascii="Arial" w:cs="Arial" w:eastAsia="Arial" w:hAnsi="Arial"/>
                <w:sz w:val="18"/>
                <w:szCs w:val="18"/>
                <w:color w:val="auto"/>
              </w:rPr>
              <w:t xml:space="preserve">Alan Kirshenbaum </w:t>
            </w:r>
            <w:r>
              <w:rPr>
                <w:rFonts w:ascii="Arial" w:cs="Arial" w:eastAsia="Arial" w:hAnsi="Arial"/>
                <w:sz w:val="15"/>
                <w:szCs w:val="15"/>
                <w:color w:val="auto"/>
              </w:rPr>
              <w:t>(4)</w:t>
            </w:r>
          </w:p>
        </w:tc>
        <w:tc>
          <w:tcPr>
            <w:tcW w:w="2440" w:type="dxa"/>
            <w:vAlign w:val="bottom"/>
            <w:gridSpan w:val="2"/>
          </w:tcPr>
          <w:p>
            <w:pPr>
              <w:jc w:val="right"/>
              <w:ind w:right="1160"/>
              <w:spacing w:after="0"/>
              <w:rPr>
                <w:sz w:val="20"/>
                <w:szCs w:val="20"/>
                <w:color w:val="auto"/>
              </w:rPr>
            </w:pPr>
            <w:r>
              <w:rPr>
                <w:rFonts w:ascii="Arial" w:cs="Arial" w:eastAsia="Arial" w:hAnsi="Arial"/>
                <w:sz w:val="18"/>
                <w:szCs w:val="18"/>
                <w:color w:val="auto"/>
              </w:rPr>
              <w:t>8,361</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All Directors and Executive Officers as a Group (12 persons) </w:t>
            </w:r>
            <w:r>
              <w:rPr>
                <w:rFonts w:ascii="Arial" w:cs="Arial" w:eastAsia="Arial" w:hAnsi="Arial"/>
                <w:sz w:val="15"/>
                <w:szCs w:val="15"/>
                <w:color w:val="auto"/>
              </w:rPr>
              <w:t>(5)(6)</w:t>
            </w:r>
          </w:p>
        </w:tc>
        <w:tc>
          <w:tcPr>
            <w:tcW w:w="24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2,896,755</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Five-Percent Stockholders:</w:t>
            </w: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Division of Investment, Department of Treasury, State of New Jersey </w:t>
            </w:r>
            <w:r>
              <w:rPr>
                <w:rFonts w:ascii="Arial" w:cs="Arial" w:eastAsia="Arial" w:hAnsi="Arial"/>
                <w:sz w:val="15"/>
                <w:szCs w:val="15"/>
                <w:color w:val="auto"/>
              </w:rPr>
              <w:t>(7)</w:t>
            </w:r>
          </w:p>
        </w:tc>
        <w:tc>
          <w:tcPr>
            <w:tcW w:w="24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7,258,761</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 xml:space="preserve">FMR LLC </w:t>
            </w:r>
            <w:r>
              <w:rPr>
                <w:rFonts w:ascii="Arial" w:cs="Arial" w:eastAsia="Arial" w:hAnsi="Arial"/>
                <w:sz w:val="15"/>
                <w:szCs w:val="15"/>
                <w:color w:val="auto"/>
              </w:rPr>
              <w:t>(8)</w:t>
            </w:r>
          </w:p>
        </w:tc>
        <w:tc>
          <w:tcPr>
            <w:tcW w:w="2440" w:type="dxa"/>
            <w:vAlign w:val="bottom"/>
            <w:gridSpan w:val="2"/>
          </w:tcPr>
          <w:p>
            <w:pPr>
              <w:jc w:val="right"/>
              <w:ind w:right="1160"/>
              <w:spacing w:after="0"/>
              <w:rPr>
                <w:sz w:val="20"/>
                <w:szCs w:val="20"/>
                <w:color w:val="auto"/>
              </w:rPr>
            </w:pPr>
            <w:r>
              <w:rPr>
                <w:rFonts w:ascii="Arial" w:cs="Arial" w:eastAsia="Arial" w:hAnsi="Arial"/>
                <w:sz w:val="18"/>
                <w:szCs w:val="18"/>
                <w:color w:val="auto"/>
              </w:rPr>
              <w:t>4,850,990</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State Teachers Retirement Board of Ohio </w:t>
            </w:r>
            <w:r>
              <w:rPr>
                <w:rFonts w:ascii="Arial" w:cs="Arial" w:eastAsia="Arial" w:hAnsi="Arial"/>
                <w:sz w:val="15"/>
                <w:szCs w:val="15"/>
                <w:color w:val="auto"/>
              </w:rPr>
              <w:t>(9)</w:t>
            </w:r>
          </w:p>
        </w:tc>
        <w:tc>
          <w:tcPr>
            <w:tcW w:w="24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3,868,413</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 xml:space="preserve">Universities Superannuation Scheme Ltd. </w:t>
            </w:r>
            <w:r>
              <w:rPr>
                <w:rFonts w:ascii="Arial" w:cs="Arial" w:eastAsia="Arial" w:hAnsi="Arial"/>
                <w:sz w:val="15"/>
                <w:szCs w:val="15"/>
                <w:color w:val="auto"/>
              </w:rPr>
              <w:t>(10)</w:t>
            </w:r>
          </w:p>
        </w:tc>
        <w:tc>
          <w:tcPr>
            <w:tcW w:w="2440" w:type="dxa"/>
            <w:vAlign w:val="bottom"/>
            <w:gridSpan w:val="2"/>
          </w:tcPr>
          <w:p>
            <w:pPr>
              <w:jc w:val="right"/>
              <w:ind w:right="1160"/>
              <w:spacing w:after="0"/>
              <w:rPr>
                <w:sz w:val="20"/>
                <w:szCs w:val="20"/>
                <w:color w:val="auto"/>
              </w:rPr>
            </w:pPr>
            <w:r>
              <w:rPr>
                <w:rFonts w:ascii="Arial" w:cs="Arial" w:eastAsia="Arial" w:hAnsi="Arial"/>
                <w:sz w:val="18"/>
                <w:szCs w:val="18"/>
                <w:color w:val="auto"/>
              </w:rPr>
              <w:t>3,488,476</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Silver Creek Group </w:t>
            </w:r>
            <w:r>
              <w:rPr>
                <w:rFonts w:ascii="Arial" w:cs="Arial" w:eastAsia="Arial" w:hAnsi="Arial"/>
                <w:sz w:val="15"/>
                <w:szCs w:val="15"/>
                <w:color w:val="auto"/>
              </w:rPr>
              <w:t>(11)</w:t>
            </w:r>
          </w:p>
        </w:tc>
        <w:tc>
          <w:tcPr>
            <w:tcW w:w="24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3,178,051</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 xml:space="preserve">TPG Funds </w:t>
            </w:r>
            <w:r>
              <w:rPr>
                <w:rFonts w:ascii="Arial" w:cs="Arial" w:eastAsia="Arial" w:hAnsi="Arial"/>
                <w:sz w:val="15"/>
                <w:szCs w:val="15"/>
                <w:color w:val="auto"/>
              </w:rPr>
              <w:t>(6)</w:t>
            </w:r>
          </w:p>
        </w:tc>
        <w:tc>
          <w:tcPr>
            <w:tcW w:w="2440" w:type="dxa"/>
            <w:vAlign w:val="bottom"/>
            <w:gridSpan w:val="2"/>
          </w:tcPr>
          <w:p>
            <w:pPr>
              <w:jc w:val="right"/>
              <w:ind w:right="1160"/>
              <w:spacing w:after="0"/>
              <w:rPr>
                <w:sz w:val="20"/>
                <w:szCs w:val="20"/>
                <w:color w:val="auto"/>
              </w:rPr>
            </w:pPr>
            <w:r>
              <w:rPr>
                <w:rFonts w:ascii="Arial" w:cs="Arial" w:eastAsia="Arial" w:hAnsi="Arial"/>
                <w:sz w:val="18"/>
                <w:szCs w:val="18"/>
                <w:color w:val="auto"/>
              </w:rPr>
              <w:t>2,772,958</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Represents less than 0.1%.</w:t>
      </w:r>
    </w:p>
    <w:p>
      <w:pPr>
        <w:spacing w:after="0" w:line="23" w:lineRule="exact"/>
        <w:rPr>
          <w:sz w:val="20"/>
          <w:szCs w:val="20"/>
          <w:color w:val="auto"/>
        </w:rPr>
      </w:pPr>
    </w:p>
    <w:p>
      <w:pPr>
        <w:ind w:left="460" w:hanging="452"/>
        <w:spacing w:after="0" w:line="268" w:lineRule="auto"/>
        <w:tabs>
          <w:tab w:leader="none" w:pos="4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For purposes of this table, a person or group is deemed to have “beneficial ownership” of any shares of common stock as of a given date which such person has or shares the power to vote or direct the voting thereof, or to dispose or direct the disposition thereof, or has the right to acquire such powers within 60 days after such date. For purposes of computing the percentage of outstanding shares of common stock held by each person or group of persons named above on a given date, any security which such person or persons has the right to acquire within 60 days after such date is deemed to be outstanding for the purpose of determining the percentage of shares beneficially owned for such person, but is not deemed to be outstanding for the purpose of computing the percentage of beneficial ownership of any other person (except in the case of directors and executive officers as a group). Except as otherwise noted, each beneficial owner of more than five percent of our common stock and each director and executive officer has sole voting and/or investment power over the shares reported.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80"/>
          </w:cols>
          <w:pgMar w:left="240" w:top="459" w:right="2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0" w:hanging="452"/>
        <w:spacing w:after="0" w:line="253"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Mr. Easterly is a director and our Co-Chief Executive Officer and a TPG and TPG Special Situations Partners, or TSSP, Partner. TPG and TSSP are affiliated with Tarrant and Group Advisors (both as defined below). The common stock held by Mr. Easterly includes 6,996 shares indirectly beneficially owned by Mr. Easterly (through his limited partnership interest in TSL Equity Partners, L.P., which is a member of TSL Advisers, LLC, or TSL Advisers). Mr. Easterly disclaims beneficial ownership of the shares that are or may be beneficially owned by Tarrant, Group Advisors or any of its affiliates.</w:t>
      </w:r>
    </w:p>
    <w:p>
      <w:pPr>
        <w:spacing w:after="0" w:line="3" w:lineRule="exact"/>
        <w:rPr>
          <w:rFonts w:ascii="Arial" w:cs="Arial" w:eastAsia="Arial" w:hAnsi="Arial"/>
          <w:sz w:val="18"/>
          <w:szCs w:val="18"/>
          <w:color w:val="auto"/>
        </w:rPr>
      </w:pPr>
    </w:p>
    <w:p>
      <w:pPr>
        <w:ind w:left="460" w:right="300" w:hanging="452"/>
        <w:spacing w:after="0" w:line="281" w:lineRule="auto"/>
        <w:tabs>
          <w:tab w:leader="none" w:pos="4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Mr. Fishman a director and our Co-Chief Executive Officer and is employed by TSL Advisers, which is affiliated with Tarrant and Group Advisors. Mr. Fishman disclaims beneficial ownership of the shares that are or may be beneficially owned by Tarrant, Group Advisors or any of its affiliates.</w:t>
      </w:r>
    </w:p>
    <w:p>
      <w:pPr>
        <w:spacing w:after="0" w:line="1" w:lineRule="exact"/>
        <w:rPr>
          <w:rFonts w:ascii="Arial" w:cs="Arial" w:eastAsia="Arial" w:hAnsi="Arial"/>
          <w:sz w:val="16"/>
          <w:szCs w:val="16"/>
          <w:color w:val="auto"/>
        </w:rPr>
      </w:pPr>
    </w:p>
    <w:p>
      <w:pPr>
        <w:ind w:left="460" w:right="160" w:hanging="452"/>
        <w:spacing w:after="0" w:line="250"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Mr. Kirshenbaum is our Chief Financial Officer. Mr. Kirshenbaum disclaims beneficial ownership of the shares that are or may be beneficially owned by Tarrant, Group Advisors or any of its affiliates.</w:t>
      </w:r>
    </w:p>
    <w:p>
      <w:pPr>
        <w:ind w:left="460" w:right="540" w:hanging="452"/>
        <w:spacing w:after="0" w:line="250"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Includes shares owned by officers that are not “Named Executive Officers,” as defined in Item 402 of Regulation S-K, as promulgated under the Securities Act.</w:t>
      </w:r>
    </w:p>
    <w:p>
      <w:pPr>
        <w:ind w:left="460" w:right="20" w:hanging="452"/>
        <w:spacing w:after="0" w:line="255"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common stock held by the TPG Funds (as defined below) includes (i) 2,772,892 shares of common stock, or the TSLX Shares, held by TSL Advisers; and (ii) 66 shares of common stock held by Tarrant Advisors, Inc., a Texas corporation, or Tarrant, and, together with TSL Advisers, the TPG Funds.</w:t>
      </w:r>
    </w:p>
    <w:p>
      <w:pPr>
        <w:spacing w:after="0" w:line="82" w:lineRule="exact"/>
        <w:rPr>
          <w:rFonts w:ascii="Arial" w:cs="Arial" w:eastAsia="Arial" w:hAnsi="Arial"/>
          <w:sz w:val="18"/>
          <w:szCs w:val="18"/>
          <w:color w:val="auto"/>
        </w:rPr>
      </w:pPr>
    </w:p>
    <w:p>
      <w:pPr>
        <w:jc w:val="both"/>
        <w:ind w:left="460" w:right="440"/>
        <w:spacing w:after="0" w:line="259" w:lineRule="auto"/>
        <w:rPr>
          <w:rFonts w:ascii="Arial" w:cs="Arial" w:eastAsia="Arial" w:hAnsi="Arial"/>
          <w:sz w:val="18"/>
          <w:szCs w:val="18"/>
          <w:color w:val="auto"/>
        </w:rPr>
      </w:pPr>
      <w:r>
        <w:rPr>
          <w:rFonts w:ascii="Arial" w:cs="Arial" w:eastAsia="Arial" w:hAnsi="Arial"/>
          <w:sz w:val="18"/>
          <w:szCs w:val="18"/>
          <w:color w:val="auto"/>
        </w:rPr>
        <w:t>The business and affairs of TSL Advisers are managed by TSSP HoldCo Management, LLC, a Delaware limited liability company, the managing member of TSL Advisers. TSSP HoldCo Management is managed by its board of directors, whose members are Messrs. Bonderman, Coulter and Waxman. Any decision or determination by the board of directors of TSSP HoldCo Management requires unanimous approval of the directors in attendance once a quorum is established.</w:t>
      </w:r>
    </w:p>
    <w:p>
      <w:pPr>
        <w:spacing w:after="0" w:line="78" w:lineRule="exact"/>
        <w:rPr>
          <w:rFonts w:ascii="Arial" w:cs="Arial" w:eastAsia="Arial" w:hAnsi="Arial"/>
          <w:sz w:val="18"/>
          <w:szCs w:val="18"/>
          <w:color w:val="auto"/>
        </w:rPr>
      </w:pPr>
    </w:p>
    <w:p>
      <w:pPr>
        <w:ind w:left="460"/>
        <w:spacing w:after="0" w:line="255" w:lineRule="auto"/>
        <w:rPr>
          <w:rFonts w:ascii="Arial" w:cs="Arial" w:eastAsia="Arial" w:hAnsi="Arial"/>
          <w:sz w:val="18"/>
          <w:szCs w:val="18"/>
          <w:color w:val="auto"/>
        </w:rPr>
      </w:pPr>
      <w:r>
        <w:rPr>
          <w:rFonts w:ascii="Arial" w:cs="Arial" w:eastAsia="Arial" w:hAnsi="Arial"/>
          <w:sz w:val="18"/>
          <w:szCs w:val="18"/>
          <w:color w:val="auto"/>
        </w:rPr>
        <w:t>TPG Group Holdings (SBS) Advisors, Inc., a Delaware corporation, or Group Advisors, is the general partner of TPG Group Holdings (SBS), L.P., a Delaware limited partnership, which is the sole member of TPG Holdings II-A, LLC, a Delaware limited liability company, which is the general partner of TPG Holdings II, L.P., a Delaware limited partnership, which is the general partner of TPG Holdings II Sub, L.P., a Delaware limited partnership, or Holdings II Sub, which is a member of TSL Advisers. Because of the relationship between Holdings II Sub and TSL Advisers, Group Advisors may be deemed to beneficially own the TSLX Shares. The principal business of Group Advisors is serving as the sole ultimate general partner, managing member or similar entity of related entities (including TSL Advisers) engaged in making or recommending investments in securities of public and private companies.</w:t>
      </w:r>
    </w:p>
    <w:p>
      <w:pPr>
        <w:spacing w:after="0" w:line="81" w:lineRule="exact"/>
        <w:rPr>
          <w:rFonts w:ascii="Arial" w:cs="Arial" w:eastAsia="Arial" w:hAnsi="Arial"/>
          <w:sz w:val="18"/>
          <w:szCs w:val="18"/>
          <w:color w:val="auto"/>
        </w:rPr>
      </w:pPr>
    </w:p>
    <w:p>
      <w:pPr>
        <w:ind w:left="460"/>
        <w:spacing w:after="0" w:line="255" w:lineRule="auto"/>
        <w:rPr>
          <w:rFonts w:ascii="Arial" w:cs="Arial" w:eastAsia="Arial" w:hAnsi="Arial"/>
          <w:sz w:val="18"/>
          <w:szCs w:val="18"/>
          <w:color w:val="auto"/>
        </w:rPr>
      </w:pPr>
      <w:r>
        <w:rPr>
          <w:rFonts w:ascii="Arial" w:cs="Arial" w:eastAsia="Arial" w:hAnsi="Arial"/>
          <w:sz w:val="18"/>
          <w:szCs w:val="18"/>
          <w:color w:val="auto"/>
        </w:rPr>
        <w:t>Tarrant Capital Advisors, Inc., a Delaware corporation, or Tarrant Capital, is the sole stockholder of Tarrant, which is the general partner of TSL Equity Partners, L.P., a Delaware limited partnership, or Equity Partners, which is a member of TSL Advisers. Because of the investment by Equity Partners in TSL Advisers, Tarrant Capital may be deemed to beneficially own 2,348,300 of the TSLX Shares, or the Tarrant TSLX Shares, and, together with the 66 shares of common stock held directly by Tarrant, the Tarrant Shares. The principal business of Tarrant Capital is serving as the sole ultimate general partner, managing member or similar entity of related entities (including Equity Partners) engaged in making or recommending investments in securities of public and private companies.</w:t>
      </w:r>
    </w:p>
    <w:p>
      <w:pPr>
        <w:spacing w:after="0" w:line="85" w:lineRule="exact"/>
        <w:rPr>
          <w:rFonts w:ascii="Arial" w:cs="Arial" w:eastAsia="Arial" w:hAnsi="Arial"/>
          <w:sz w:val="18"/>
          <w:szCs w:val="18"/>
          <w:color w:val="auto"/>
        </w:rPr>
      </w:pPr>
    </w:p>
    <w:p>
      <w:pPr>
        <w:ind w:left="460"/>
        <w:spacing w:after="0" w:line="276" w:lineRule="auto"/>
        <w:rPr>
          <w:rFonts w:ascii="Arial" w:cs="Arial" w:eastAsia="Arial" w:hAnsi="Arial"/>
          <w:sz w:val="18"/>
          <w:szCs w:val="18"/>
          <w:color w:val="auto"/>
        </w:rPr>
      </w:pPr>
      <w:r>
        <w:rPr>
          <w:rFonts w:ascii="Arial" w:cs="Arial" w:eastAsia="Arial" w:hAnsi="Arial"/>
          <w:sz w:val="17"/>
          <w:szCs w:val="17"/>
          <w:color w:val="auto"/>
        </w:rPr>
        <w:t>TSL Advisers is required to solicit voting instructions from Equity Partners and Holdings II Sub in respect of the shares of common stock beneficially owned by Equity Partners and Holdings II Sub, respectively, in connection with any matter on which TSL Advisers is entitled to vote the TSLX Shares. TSL Advisers is required to vote all proxies in respect of the TSLX Shares proportionately in accordance with such instructions. Equity Partners is required to solicit voting instructions from its limited partners in respect of their indirect interests in the TSLX Shares. Equity Partners is required to instruct TSL Advisers to vote proxies in respect of its TSLX Shares proportionately in accordance with such instructions.</w:t>
      </w:r>
    </w:p>
    <w:p>
      <w:pPr>
        <w:spacing w:after="0" w:line="64" w:lineRule="exact"/>
        <w:rPr>
          <w:rFonts w:ascii="Arial" w:cs="Arial" w:eastAsia="Arial" w:hAnsi="Arial"/>
          <w:sz w:val="18"/>
          <w:szCs w:val="18"/>
          <w:color w:val="auto"/>
        </w:rPr>
      </w:pPr>
    </w:p>
    <w:p>
      <w:pPr>
        <w:ind w:left="460" w:right="80"/>
        <w:spacing w:after="0" w:line="286" w:lineRule="auto"/>
        <w:rPr>
          <w:rFonts w:ascii="Arial" w:cs="Arial" w:eastAsia="Arial" w:hAnsi="Arial"/>
          <w:sz w:val="18"/>
          <w:szCs w:val="18"/>
          <w:color w:val="auto"/>
        </w:rPr>
      </w:pPr>
      <w:r>
        <w:rPr>
          <w:rFonts w:ascii="Arial" w:cs="Arial" w:eastAsia="Arial" w:hAnsi="Arial"/>
          <w:sz w:val="17"/>
          <w:szCs w:val="17"/>
          <w:color w:val="auto"/>
        </w:rPr>
        <w:t>Messrs. Bonderman and Coulter are officers and sole stockholders of each of Tarrant Capital and Group Advisors. As officers and sole stockholders of Group Advisors, Mr. Bonderman and Mr. Coulter may indirectly issue voting instructions to TSL Advisers in respect of the shares of common stock beneficially owned by Holdings II Sub. Because of the relationship of Messrs. Bonderman and Coulter to Tarrant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20"/>
        <w:spacing w:after="0" w:line="272" w:lineRule="auto"/>
        <w:rPr>
          <w:sz w:val="20"/>
          <w:szCs w:val="20"/>
          <w:color w:val="auto"/>
        </w:rPr>
      </w:pPr>
      <w:r>
        <w:rPr>
          <w:rFonts w:ascii="Arial" w:cs="Arial" w:eastAsia="Arial" w:hAnsi="Arial"/>
          <w:sz w:val="17"/>
          <w:szCs w:val="17"/>
          <w:color w:val="auto"/>
        </w:rPr>
        <w:t>Capital and Group Advisors, each of Messrs. Bonderman and Coulter may be deemed to beneficially own the TSLX Shares and the Tarrant Shares. Also, because Messrs. Bonderman and Coulter are members of the board of directors of TSSP HoldCo Management, each of Messrs. Bonderman and Coulter may be deemed to beneficially own the TSLX Shares. Messrs. Bonderman and Coulter disclaim beneficial ownership of the TSL Shares and the Tarrant Shares except to the extent of their pecuniary interest therein. Because Mr. Waxman is a member of the board of directors of TSSP HoldCo Management, he may be deemed to beneficially own the TSLX Shares. Mr. Waxman disclaims beneficial ownership of the TSLX Shares except to the extent of his pecuniary interest therein. The address of Group Advisors, Tarrant Capital and Messrs. Bonderman, Coulter and Waxman is c/o TPG Global, LLC, 301 Commerce Street, Suite 3300, Fort Worth, TX 76102.</w:t>
      </w:r>
    </w:p>
    <w:p>
      <w:pPr>
        <w:spacing w:after="0" w:line="83" w:lineRule="exact"/>
        <w:rPr>
          <w:sz w:val="20"/>
          <w:szCs w:val="20"/>
          <w:color w:val="auto"/>
        </w:rPr>
      </w:pPr>
    </w:p>
    <w:p>
      <w:pPr>
        <w:ind w:left="460" w:right="280" w:hanging="452"/>
        <w:spacing w:after="0" w:line="277"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address of the Division of Investment, Department of Treasury, State of New Jersey is 50 West State Street, 9th Floor, PO Box 290, Trenton, NJ 08625.</w:t>
      </w:r>
    </w:p>
    <w:p>
      <w:pPr>
        <w:spacing w:after="0" w:line="75" w:lineRule="exact"/>
        <w:rPr>
          <w:rFonts w:ascii="Arial" w:cs="Arial" w:eastAsia="Arial" w:hAnsi="Arial"/>
          <w:sz w:val="18"/>
          <w:szCs w:val="18"/>
          <w:color w:val="auto"/>
        </w:rPr>
      </w:pPr>
    </w:p>
    <w:p>
      <w:pPr>
        <w:ind w:left="460" w:hanging="452"/>
        <w:spacing w:after="0" w:line="286" w:lineRule="auto"/>
        <w:tabs>
          <w:tab w:leader="none" w:pos="4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Based upon a Schedule 13G filed with the SEC on February 13, 2015 by FMR LLC, Edward C. Johnson 3d and Abigail P. Johnson and a Form 13F filed with the SEC on May 14, 2015 by FMR LLC. FMR LLC has (i) sole power to vote 165,641 shares and (ii) sole power to dispose of 4,850,990 shares. Edward C. Johnson 3d has sole power to dispose of 4,850,990 shares. Abigail P. Johnson has sole power to dispose of 4,850,990 shares. Edward C. Johnson 3d is a Director and the Chairman of FMR LLC and Abigail P. Johnson is a Director, the Vice Chairman, the Chief Executive Officer and the President of FMR LLC. Members of the family of Edward C. Johnson 3d,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1940 Act, to form a controlling group with respect to FMR LLC. Neither FMR LLC nor Edward C. Johnson 3d nor Abigail P. Johnson has the sole power to vote or direct the voting of the shares owned directly by the various investment companies registered under the 1940 Act, or Fidelity Funds, advised by Fidelity Management &amp; Research Company, a wholly owned subsidiary of FMR LLC, which power resides with the Fidelity Funds’ Boards of Trustees. Fidelity Management &amp; Research Company carries out the voting of the shares under written guidelines established by the Fidelity Funds’ Boards of Trustees. The address of each of FMR LLC, Edward C. Johnson 3d and Abigail P. Johnson is 245 Summer Street, Boston, MA 02210.</w:t>
      </w:r>
    </w:p>
    <w:p>
      <w:pPr>
        <w:spacing w:after="0" w:line="77" w:lineRule="exact"/>
        <w:rPr>
          <w:rFonts w:ascii="Arial" w:cs="Arial" w:eastAsia="Arial" w:hAnsi="Arial"/>
          <w:sz w:val="16"/>
          <w:szCs w:val="16"/>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address of the State Teachers Retirement Board of Ohio is 275 East Broad Street, Columbus, OH 43215.</w:t>
      </w:r>
    </w:p>
    <w:p>
      <w:pPr>
        <w:spacing w:after="0" w:line="130" w:lineRule="exact"/>
        <w:rPr>
          <w:rFonts w:ascii="Arial" w:cs="Arial" w:eastAsia="Arial" w:hAnsi="Arial"/>
          <w:sz w:val="18"/>
          <w:szCs w:val="18"/>
          <w:color w:val="auto"/>
        </w:rPr>
      </w:pPr>
    </w:p>
    <w:p>
      <w:pPr>
        <w:ind w:left="460" w:right="80" w:hanging="452"/>
        <w:spacing w:after="0" w:line="276" w:lineRule="auto"/>
        <w:tabs>
          <w:tab w:leader="none" w:pos="4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Based upon a Schedule 13G filed with the SEC on February 17, 2015 by Universities Superannuation Scheme Ltd, or USSL, as trustee for Universities Superannuation Scheme, or USS, and USS Investment Management Limited, or USSIM. USSIM serves as investment manager to USS and has discretionary and voting power over the shares held by USSL. Accordingly, USSIM may be deemed to be the beneficial owner of 3,488,476 shares, 3,488,476 of which are held by USSL. USSIM disclaims beneficial ownership of the shares held by USSL, except to the extent of any pecuniary interest therefrom. The address of each of USSL and USSIM is Royal Liver Building, Liverpool L3 1PY, United Kingdom.</w:t>
      </w:r>
    </w:p>
    <w:p>
      <w:pPr>
        <w:spacing w:after="0" w:line="77" w:lineRule="exact"/>
        <w:rPr>
          <w:rFonts w:ascii="Arial" w:cs="Arial" w:eastAsia="Arial" w:hAnsi="Arial"/>
          <w:sz w:val="17"/>
          <w:szCs w:val="17"/>
          <w:color w:val="auto"/>
        </w:rPr>
      </w:pPr>
    </w:p>
    <w:p>
      <w:pPr>
        <w:ind w:left="460" w:right="80" w:hanging="452"/>
        <w:spacing w:after="0" w:line="259"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upon a Schedule 13G filed with the SEC on February 13, 2015 by Silver Creek Capital Management LLC, Silver Creek Advisory Partners LLC, Silver Creek Special Opportunities Fund III, L.P., Silver Creek Special Opportunities Fund Cayman III, L.P, Silver Creek Credit Opportunities II Master Fund A, L.P. and Silver Creek Credit Opportunities III Master Fund B, L.P. (collectively, the Silver Creek Group). The address of each of the Silver Creek Group entities is 1301 Fifth Avenue, 40th Floor, Seattle, WA 98101.</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Owned by Directors in the Company</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table sets forth the dollar range of our equity securities beneficially owned by each director as of May 26, 2015. We are not part of a “family of investment companies,” as that term is defined in the 1940 Act.</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Dollar Range of</w:t>
            </w:r>
          </w:p>
        </w:tc>
      </w:tr>
      <w:tr>
        <w:trPr>
          <w:trHeight w:val="149"/>
        </w:trPr>
        <w:tc>
          <w:tcPr>
            <w:tcW w:w="47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our Common</w:t>
            </w:r>
          </w:p>
        </w:tc>
      </w:tr>
      <w:tr>
        <w:trPr>
          <w:trHeight w:val="149"/>
        </w:trPr>
        <w:tc>
          <w:tcPr>
            <w:tcW w:w="47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r>
      <w:tr>
        <w:trPr>
          <w:trHeight w:val="149"/>
        </w:trPr>
        <w:tc>
          <w:tcPr>
            <w:tcW w:w="47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Beneficially</w:t>
            </w:r>
          </w:p>
        </w:tc>
      </w:tr>
      <w:tr>
        <w:trPr>
          <w:trHeight w:val="171"/>
        </w:trPr>
        <w:tc>
          <w:tcPr>
            <w:tcW w:w="47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xml:space="preserve">Owned </w:t>
            </w:r>
            <w:r>
              <w:rPr>
                <w:rFonts w:ascii="Arial" w:cs="Arial" w:eastAsia="Arial" w:hAnsi="Arial"/>
                <w:sz w:val="12"/>
                <w:szCs w:val="12"/>
                <w:b w:val="1"/>
                <w:bCs w:val="1"/>
                <w:color w:val="auto"/>
                <w:w w:val="92"/>
              </w:rPr>
              <w:t>(1)(2)</w:t>
            </w:r>
          </w:p>
        </w:tc>
      </w:tr>
      <w:tr>
        <w:trPr>
          <w:trHeight w:val="196"/>
        </w:trPr>
        <w:tc>
          <w:tcPr>
            <w:tcW w:w="4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Interested Directors</w:t>
            </w:r>
          </w:p>
        </w:tc>
        <w:tc>
          <w:tcPr>
            <w:tcW w:w="27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Joshua Easterly</w:t>
            </w:r>
          </w:p>
        </w:tc>
        <w:tc>
          <w:tcPr>
            <w:tcW w:w="3920" w:type="dxa"/>
            <w:vAlign w:val="bottom"/>
            <w:gridSpan w:val="3"/>
          </w:tcPr>
          <w:p>
            <w:pPr>
              <w:jc w:val="center"/>
              <w:ind w:left="2570"/>
              <w:spacing w:after="0"/>
              <w:rPr>
                <w:sz w:val="20"/>
                <w:szCs w:val="20"/>
                <w:color w:val="auto"/>
              </w:rPr>
            </w:pPr>
            <w:r>
              <w:rPr>
                <w:rFonts w:ascii="Arial" w:cs="Arial" w:eastAsia="Arial" w:hAnsi="Arial"/>
                <w:sz w:val="18"/>
                <w:szCs w:val="18"/>
                <w:color w:val="auto"/>
                <w:w w:val="92"/>
              </w:rPr>
              <w:t>over $100,000</w:t>
            </w: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Michael Fishman</w:t>
            </w:r>
          </w:p>
        </w:tc>
        <w:tc>
          <w:tcPr>
            <w:tcW w:w="3920" w:type="dxa"/>
            <w:vAlign w:val="bottom"/>
            <w:gridSpan w:val="3"/>
            <w:shd w:val="clear" w:color="auto" w:fill="CCEEFF"/>
          </w:tcPr>
          <w:p>
            <w:pPr>
              <w:jc w:val="center"/>
              <w:ind w:left="2570"/>
              <w:spacing w:after="0"/>
              <w:rPr>
                <w:sz w:val="20"/>
                <w:szCs w:val="20"/>
                <w:color w:val="auto"/>
              </w:rPr>
            </w:pPr>
            <w:r>
              <w:rPr>
                <w:rFonts w:ascii="Arial" w:cs="Arial" w:eastAsia="Arial" w:hAnsi="Arial"/>
                <w:sz w:val="18"/>
                <w:szCs w:val="18"/>
                <w:color w:val="auto"/>
                <w:w w:val="92"/>
              </w:rPr>
              <w:t>over $100,000</w:t>
            </w:r>
          </w:p>
        </w:tc>
      </w:tr>
      <w:tr>
        <w:trPr>
          <w:trHeight w:val="216"/>
        </w:trPr>
        <w:tc>
          <w:tcPr>
            <w:tcW w:w="4760" w:type="dxa"/>
            <w:vAlign w:val="bottom"/>
          </w:tcPr>
          <w:p>
            <w:pPr>
              <w:spacing w:after="0"/>
              <w:rPr>
                <w:sz w:val="20"/>
                <w:szCs w:val="20"/>
                <w:color w:val="auto"/>
              </w:rPr>
            </w:pPr>
            <w:r>
              <w:rPr>
                <w:rFonts w:ascii="Arial" w:cs="Arial" w:eastAsia="Arial" w:hAnsi="Arial"/>
                <w:sz w:val="18"/>
                <w:szCs w:val="18"/>
                <w:i w:val="1"/>
                <w:iCs w:val="1"/>
                <w:color w:val="auto"/>
              </w:rPr>
              <w:t>Independent Directors</w:t>
            </w:r>
          </w:p>
        </w:tc>
        <w:tc>
          <w:tcPr>
            <w:tcW w:w="2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Richard Higginbotham</w:t>
            </w:r>
          </w:p>
        </w:tc>
        <w:tc>
          <w:tcPr>
            <w:tcW w:w="27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John Ross</w:t>
            </w:r>
          </w:p>
        </w:tc>
        <w:tc>
          <w:tcPr>
            <w:tcW w:w="3920" w:type="dxa"/>
            <w:vAlign w:val="bottom"/>
            <w:gridSpan w:val="3"/>
          </w:tcPr>
          <w:p>
            <w:pPr>
              <w:jc w:val="center"/>
              <w:ind w:left="2570"/>
              <w:spacing w:after="0"/>
              <w:rPr>
                <w:sz w:val="20"/>
                <w:szCs w:val="20"/>
                <w:color w:val="auto"/>
              </w:rPr>
            </w:pPr>
            <w:r>
              <w:rPr>
                <w:rFonts w:ascii="Arial" w:cs="Arial" w:eastAsia="Arial" w:hAnsi="Arial"/>
                <w:sz w:val="18"/>
                <w:szCs w:val="18"/>
                <w:color w:val="auto"/>
                <w:w w:val="92"/>
              </w:rPr>
              <w:t>over $100,000</w:t>
            </w: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Ronald Tanemura</w:t>
            </w:r>
          </w:p>
        </w:tc>
        <w:tc>
          <w:tcPr>
            <w:tcW w:w="3920" w:type="dxa"/>
            <w:vAlign w:val="bottom"/>
            <w:gridSpan w:val="3"/>
            <w:shd w:val="clear" w:color="auto" w:fill="CCEEFF"/>
          </w:tcPr>
          <w:p>
            <w:pPr>
              <w:jc w:val="center"/>
              <w:ind w:left="2570"/>
              <w:spacing w:after="0"/>
              <w:rPr>
                <w:sz w:val="20"/>
                <w:szCs w:val="20"/>
                <w:color w:val="auto"/>
              </w:rPr>
            </w:pPr>
            <w:r>
              <w:rPr>
                <w:rFonts w:ascii="Arial" w:cs="Arial" w:eastAsia="Arial" w:hAnsi="Arial"/>
                <w:sz w:val="18"/>
                <w:szCs w:val="18"/>
                <w:color w:val="auto"/>
                <w:w w:val="92"/>
              </w:rPr>
              <w:t>over $100,000</w:t>
            </w:r>
          </w:p>
        </w:tc>
      </w:tr>
    </w:tbl>
    <w:p>
      <w:pPr>
        <w:spacing w:after="0" w:line="229"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dollar ranges used in the above table are $1—$10,000, $10,001—$50,000, $50,001—$100,000, or over $100,000.</w:t>
      </w:r>
    </w:p>
    <w:p>
      <w:pPr>
        <w:spacing w:after="0" w:line="23" w:lineRule="exact"/>
        <w:rPr>
          <w:rFonts w:ascii="Arial" w:cs="Arial" w:eastAsia="Arial" w:hAnsi="Arial"/>
          <w:sz w:val="18"/>
          <w:szCs w:val="18"/>
          <w:color w:val="auto"/>
        </w:rPr>
      </w:pPr>
    </w:p>
    <w:p>
      <w:pPr>
        <w:ind w:left="460" w:hanging="452"/>
        <w:spacing w:after="0" w:line="261"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Dollar ranges were determined using the number of shares that are beneficially owned as of May 26, 2015, multiplied by the closing sale price of our common stock as reported on the NYSE as of May 26, 2015.</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00"/>
          </w:cols>
          <w:pgMar w:left="24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229"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The net asset value per share of our outstanding shares of common stock is determined quarterly by dividing the value of total assets minus liabilities by the total number of shares outstanding. We calculate the value of our investments in accordance with the procedures described in “Management’s Discussion and Analysis of Financial Condition and Results of Operations—Critical Accounting Policies—Investments at Fair Value.”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In connection with certain future offerings of shares of our common stock, our Board or an authorized committee of our Board will be required to make the determination that we are not selling shares of our common stock at a price below the then current net asset value of our common stock at the time at which the sale is made. Our Board or an authorized committee will consider the following factors, among others, in making a determination:</w:t>
      </w:r>
    </w:p>
    <w:p>
      <w:pPr>
        <w:spacing w:after="0" w:line="71" w:lineRule="exact"/>
        <w:rPr>
          <w:sz w:val="20"/>
          <w:szCs w:val="20"/>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w:t>
      </w:r>
    </w:p>
    <w:p>
      <w:pPr>
        <w:spacing w:after="0" w:line="86" w:lineRule="exact"/>
        <w:rPr>
          <w:rFonts w:ascii="Arial" w:cs="Arial" w:eastAsia="Arial" w:hAnsi="Arial"/>
          <w:sz w:val="18"/>
          <w:szCs w:val="18"/>
          <w:color w:val="auto"/>
        </w:rPr>
      </w:pPr>
    </w:p>
    <w:p>
      <w:pPr>
        <w:ind w:left="900" w:right="220" w:hanging="325"/>
        <w:spacing w:after="0" w:line="257"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magnitude of the difference between (i) a value that our Board or an authorized committee thereof has determined reflects the current net asset value of our common stock, which is generally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spacing w:after="0" w:line="188"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REINVESTMENT PLAN</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adopted a dividend reinvestment plan, pursuant to which we will reinvest all cash dividends or distributions declared by the Board on behalf of investors who do not elect to receive their cash dividends or distributions in cash as provided below. As a result, if the Board authorizes, and we declare, a cash dividend or distribution, then our stockholders who have not elected to “opt out” of our dividend reinvestment plan will have their cash dividends or distributions automatically reinvested in additional common stock as described below.</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No action is required on the part of a registered stockholder to have its cash dividend or other distribution reinvested in our common stock. A registered stockholder is able to elect to receive an entire cash dividend or distribution in cash by notifying State Street Bank and Trust Company, the plan administrator and our transfer agent and registrar, in writing, so that notice is received by the plan administrator no later than 10 days prior to the record date for the cash dividend or distributions to the stockholders. The plan administrator has set up an account for shares acquired through the plan for each stockholder who has not elected to receive cash dividends or distributions in cash and hold the shares in non-certificated form.</w:t>
      </w:r>
    </w:p>
    <w:p>
      <w:pPr>
        <w:spacing w:after="0" w:line="173"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Those stockholders whose shares are held by a broker or other financial intermediary may receive cash dividends and other distributions in cash by notifying their broker or other financial intermediary of their election. We expect to use primarily newly issued shares to make distributions under the plan, whether our shares are trading at a premium or at a discount to net asset value. We reserve the right to purchase shares in the open market in connection with our implementation of the plan. The number of shares to be issued to a stockholder is determined by dividing the total dollar amount of the cash dividend or distribution payable to a stockholder by the market price per share of our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we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3"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number of shares of our common stock that will be outstanding after giving effect to payment of a cash dividend or distribution cannot be established until the value per share at which additional shares will be issued has been determined and elections of our stockholders have been tabulated. The number of shares to be issued to a stockholder pursuant to the foregoing will be rounded down to the nearest whole share to avoid the issuance of fractional shares, with any fractional shares being paid in cash. For non-U.S. stockholders, the number of shares to be issued to the stockholder will be the amount equal to the total dollar amount of the cash dividend or distribution payable, net of applicable withholding taxes.</w:t>
      </w:r>
    </w:p>
    <w:p>
      <w:pPr>
        <w:spacing w:after="0" w:line="17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There are no brokerage charges or other charges to stockholders who participate in the plan. The plan is terminable by us upon notice in writing mailed to each stockholder of record at least 30 days prior to any record date for the payment of any cash dividend or distribution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w:t>
      </w:r>
    </w:p>
    <w:p>
      <w:pPr>
        <w:spacing w:after="0" w:line="188"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A stockholder who does not opt out of the dividend reinvestment plan will be treated for U.S. federal income tax purposes as having received a cash dividend or distribution in an amount equal to the total dollar amount of the dividend or distribution payable to such stockholder, net of applicable withholding taxes, and then reinvesting that net cash for additional shares of our stock. Such a stockholder is subject to the same U.S. federal income tax consequences as stockholders who elect to receive their cash dividends or distributions in cash;</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380"/>
          </w:cols>
          <w:pgMar w:left="240" w:top="459" w:right="2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however, because a stockholder that participates in the dividend reinvestment plan does not actually receive any cash, such a stockholder will not have such cash available to pay any applicable taxes on the deemed distribution. A stockholder that participates in the dividend reinvestment plan and thus is treated as having invested in additional shares of our stock will have a basis in such additional shares of stock equal to the total dollar amount of the cash dividend or distribution payable to the stockholder divided by the total numbers of shares issued to such stockholder pursuant to such dividend or distribution. The stockholder’s holding period for such stock will commence on the day following the day on which the shares are credited to the stockholder’s account.</w:t>
      </w:r>
    </w:p>
    <w:p>
      <w:pPr>
        <w:spacing w:after="0" w:line="158"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All correspondence concerning the plan should be directed to the plan administrator by mail at State Street Corporation, Transfer Agency—TPG Specialty Lending, Box 5493, Boston, Massachusetts, 02206-5433.</w:t>
      </w:r>
    </w:p>
    <w:p>
      <w:pPr>
        <w:spacing w:after="0" w:line="170"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If you hold your common stock with a brokerage firm that does not participate in the plan, you will not be able to participate in the plan and any dividend reinvestment may be effected on different terms than those described above. Consult your financial advisor for more information.</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80"/>
          </w:cols>
          <w:pgMar w:left="240" w:top="459" w:right="3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The following discussion is a summary of material U.S. federal income tax considerations applicable to us and to an investment in shares of our common stock or preferred stock. This summary deals only with beneficial owners (referred to in this summary as “stockholders”) of shares of our common stock or preferred stock that hold their shares as capital assets. This summary does not purport to be a complete description of the income tax considerations applicable to such an investment. For example, we have not described tax consequences that may be relevant to certain types of stockholders that are subject to special treatment under U.S. federal income tax laws, including:</w:t>
      </w:r>
    </w:p>
    <w:p>
      <w:pPr>
        <w:spacing w:after="0" w:line="78" w:lineRule="exact"/>
        <w:rPr>
          <w:sz w:val="20"/>
          <w:szCs w:val="20"/>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stockholders subject to the alternative minimum tax;</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tax-exempt organizations (except as discussed below);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dealers in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securities holdings;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pension plans (except as discussed below);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trusts (except as discussed below);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entities taxed as partnerships or partners therein;</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persons holding shares of common stock or preferred stock as part of a “straddle”, “hedge”, “conversion transaction,” “synthetic security” or other integrated investment;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persons who received our stock as compensation;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persons who hold our stock on behalf of another person as a nominee;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U.S. expatriates,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U.S. stockholders (as defined below) who have a “functional currency” other than the U.S. dollar.</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Finally, this summary does not address other U.S. federal tax consequences (such as estate, gift and Medicare contribution tax consequences) or any state, local or foreign tax consequences.</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discussion below is based upon the provisions of the Code, and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stockholders in light of their personal circumstances.</w:t>
      </w:r>
    </w:p>
    <w:p>
      <w:pPr>
        <w:spacing w:after="0" w:line="18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If we issue preferred stock that may be convertible into or exercisable or exchangeable for securities or other property or preferred stock with other terms that may have different U.S. federal income tax consequences than those described in this summary, the U.S. federal income tax consequences of such preferred stock will be described in the relevant prospectus supplement. This summary does not discuss the consequences of an investment in our subscription rights, debt securities or warrants representing rights to purchase shares of our preferred stock, common stock or debt securities or as units in combination with such securities. The U.S. federal income tax consequences of such an investment will be discussed in the relevant prospectus supplement.</w:t>
      </w:r>
    </w:p>
    <w:p>
      <w:pPr>
        <w:spacing w:after="0" w:line="15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For purposes of this discussion under the heading “Material U.S. Federal Income Tax Considerations,” a “U.S. stockholder” is a beneficial owner of shares of our common stock or preferred stock that is, for U.S. federal income tax purposes, an individual who is a citizen or resident of the United States or a domestic corporation or otherwise subject to U.S. federal income tax on a net income basis in respect of our stock.</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 “Non-U.S. stockholder” is a beneficial owner of shares of our common that or preferred stock that that is not a U.S. stockholder and not an entity taxed as a partnership.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Investment Company Classification</w:t>
      </w:r>
    </w:p>
    <w:p>
      <w:pPr>
        <w:spacing w:after="0" w:line="121"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As a BDC, we have elected to be treated as a RIC for U.S. federal income tax purposes. Our status as a RIC enables us to deduct qualifying distributions to our stockholders, so that we will be subject to corporate-level U.S. federal income taxation only in respect of income and gains that we retain and do not distribute. In addition, certain distributions that we make to our Non-U.S. stockholders with respect to our taxable years commencing April 1, 2015 may be eligible for look-through tax treatment if Congress extends certain rules to apply to such taxable years.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maintain our status as a RIC, we must, among other things:</w:t>
      </w:r>
    </w:p>
    <w:p>
      <w:pPr>
        <w:spacing w:after="0" w:line="131" w:lineRule="exact"/>
        <w:rPr>
          <w:sz w:val="20"/>
          <w:szCs w:val="20"/>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maintain our election under the 1940 Act to be treated as a BDC;</w:t>
      </w:r>
    </w:p>
    <w:p>
      <w:pPr>
        <w:spacing w:after="0" w:line="130" w:lineRule="exact"/>
        <w:rPr>
          <w:rFonts w:ascii="Arial" w:cs="Arial" w:eastAsia="Arial" w:hAnsi="Arial"/>
          <w:sz w:val="18"/>
          <w:szCs w:val="18"/>
          <w:color w:val="auto"/>
        </w:rPr>
      </w:pPr>
    </w:p>
    <w:p>
      <w:pPr>
        <w:ind w:left="900" w:right="720" w:hanging="325"/>
        <w:spacing w:after="0" w:line="277"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maintain diversified holdings so that, subject to certain exceptions and cure periods, at the end of each quarter of our taxable year:</w:t>
      </w:r>
    </w:p>
    <w:p>
      <w:pPr>
        <w:spacing w:after="0" w:line="130" w:lineRule="exact"/>
        <w:rPr>
          <w:rFonts w:ascii="Arial" w:cs="Arial" w:eastAsia="Arial" w:hAnsi="Arial"/>
          <w:sz w:val="18"/>
          <w:szCs w:val="18"/>
          <w:color w:val="auto"/>
        </w:rPr>
      </w:pPr>
    </w:p>
    <w:p>
      <w:pPr>
        <w:ind w:left="900" w:right="180" w:hanging="325"/>
        <w:spacing w:after="0" w:line="286" w:lineRule="auto"/>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70" w:lineRule="exact"/>
        <w:rPr>
          <w:rFonts w:ascii="Arial" w:cs="Arial" w:eastAsia="Arial" w:hAnsi="Arial"/>
          <w:sz w:val="17"/>
          <w:szCs w:val="17"/>
          <w:color w:val="auto"/>
        </w:rPr>
      </w:pPr>
    </w:p>
    <w:p>
      <w:pPr>
        <w:ind w:left="900" w:right="300" w:hanging="325"/>
        <w:spacing w:after="0" w:line="264"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84" w:lineRule="exact"/>
        <w:rPr>
          <w:sz w:val="20"/>
          <w:szCs w:val="20"/>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a calendar year;</w:t>
      </w:r>
    </w:p>
    <w:p>
      <w:pPr>
        <w:spacing w:after="0" w:line="130" w:lineRule="exact"/>
        <w:rPr>
          <w:rFonts w:ascii="Arial" w:cs="Arial" w:eastAsia="Arial" w:hAnsi="Arial"/>
          <w:sz w:val="18"/>
          <w:szCs w:val="18"/>
          <w:color w:val="auto"/>
        </w:rPr>
      </w:pPr>
    </w:p>
    <w:p>
      <w:pPr>
        <w:ind w:left="900" w:right="800" w:hanging="325"/>
        <w:spacing w:after="0" w:line="277"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generally expect to distribute substantially all of our earnings on a quarterly basis, but will reinvest dividends and distributions on behalf of those investors that do not elect to receive their dividends in cash. See “Price Range of Common Stock and Distributions” and “Dividend Reinvestment Plan” for a description of our dividend policy and obligations. One or more of the considerations described below, however, could result in the deferral of dividend distributions until the end of the fiscal year:</w:t>
      </w:r>
    </w:p>
    <w:p>
      <w:pPr>
        <w:spacing w:after="0" w:line="92" w:lineRule="exact"/>
        <w:rPr>
          <w:sz w:val="20"/>
          <w:szCs w:val="20"/>
          <w:color w:val="auto"/>
        </w:rPr>
      </w:pPr>
    </w:p>
    <w:p>
      <w:pPr>
        <w:ind w:left="900" w:right="100" w:hanging="325"/>
        <w:spacing w:after="0" w:line="312" w:lineRule="auto"/>
        <w:tabs>
          <w:tab w:leader="none" w:pos="9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original issue discount may be accrued in income before we receive any corresponding cash payments.</w:t>
      </w:r>
    </w:p>
    <w:p>
      <w:pPr>
        <w:spacing w:after="0" w:line="52" w:lineRule="exact"/>
        <w:rPr>
          <w:rFonts w:ascii="Arial" w:cs="Arial" w:eastAsia="Arial" w:hAnsi="Arial"/>
          <w:sz w:val="16"/>
          <w:szCs w:val="16"/>
          <w:color w:val="auto"/>
        </w:rPr>
      </w:pPr>
    </w:p>
    <w:p>
      <w:pPr>
        <w:ind w:left="900" w:right="240" w:hanging="325"/>
        <w:spacing w:after="0" w:line="277"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75" w:lineRule="exact"/>
        <w:rPr>
          <w:rFonts w:ascii="Arial" w:cs="Arial" w:eastAsia="Arial" w:hAnsi="Arial"/>
          <w:sz w:val="18"/>
          <w:szCs w:val="18"/>
          <w:color w:val="auto"/>
        </w:rPr>
      </w:pPr>
    </w:p>
    <w:p>
      <w:pPr>
        <w:jc w:val="both"/>
        <w:ind w:left="900" w:right="80" w:hanging="325"/>
        <w:spacing w:after="0" w:line="264"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withholding tax treatment of certain dividends payable to Non-U.S. stockholders depends on whether and when Congress extends the look-through rules applicable to “interest-related dividends” and “short-term capital gain dividends.” The look-through rules expired for taxable years beginning after December 31, 2014.</w:t>
      </w:r>
    </w:p>
    <w:p>
      <w:pPr>
        <w:spacing w:after="0" w:line="18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88"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ten years.</w:t>
      </w:r>
    </w:p>
    <w:p>
      <w:pPr>
        <w:spacing w:after="0" w:line="166"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Distributions from our investment company taxable income (consisting generally of net ordinary income, net short-term capital gain, and net gains from certain foreign currency transactions) generally will be taxable to U.S. stockholders as ordinary income to the extent made out of our current or accumulated earnings and profits. To the extent that such distributions paid by us to non-corporate U.S. stockholders (including individuals) are attributable to dividends from U.S. corporations and certain qualified foreign corporations, such distributions (“qualified dividend income”) may be eligible for a reduced maximum U.S. federal income tax rate of 20%. In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regard, it is anticipated that our distributions generally will not be attributable to dividends received by us and, therefore, generally will not qualify for the 20% maximum rate applicable to qualified dividend income. Distributions generally will not be eligible for the dividends received deduction allowed to corporate stockholders. Distributions derived from our net capital gains (which generally is the excess of our net long-term capital gain over net short-term capital loss) which we have reported as capital gain dividends will be taxable to U.S. stockholders as long-term capital gain regardless of how long particular U.S. stockholders have held their shares. Distributions in excess of our current and accumulated earnings and profits first will reduce a U.S. stockholder’s adjusted tax basis in such U.S. stockholder’s common stock or preferred stock and, after the adjusted tax basis is reduced to zero, will constitute capital gains to such U.S. stockholder.</w:t>
      </w:r>
    </w:p>
    <w:p>
      <w:pPr>
        <w:spacing w:after="0" w:line="18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Any dividends declared by us in October, November, or December of any calendar year, payable to stockholders of record on a specified date in such a month, which are actually paid during January of the following calendar year, will be treated as if paid by us and received by such stockholders on December 31 of the previous calendar year. In addition, we may elect to relate any undistributed investment company taxable income or net capital gains eligible for distribution as a dividend back to our immediately prior taxable year if we:</w:t>
      </w:r>
    </w:p>
    <w:p>
      <w:pPr>
        <w:spacing w:after="0" w:line="92" w:lineRule="exact"/>
        <w:rPr>
          <w:sz w:val="20"/>
          <w:szCs w:val="20"/>
          <w:color w:val="auto"/>
        </w:rPr>
      </w:pPr>
    </w:p>
    <w:p>
      <w:pPr>
        <w:ind w:left="900" w:right="200" w:hanging="325"/>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declare such dividend prior to the earlier of the 15th day of the ninth month following the close of that taxable year, or any applicable extended due date of our U.S. federal corporate income tax return for such prior taxable year;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distribute such amount in the 12-month period following the close of such prior taxable year but</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make an election in our U.S. federal corporate income tax return for the taxable year in which such undistributed investment company taxable income or net capital gains were recognized.</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Any such election will not alter the general rule that a U.S. stockholder will be treated as receiving a dividend in the taxable year in which the dividend is distributed, subject to the October, November, or December dividend declaration rule discussed immediately above.</w:t>
      </w:r>
    </w:p>
    <w:p>
      <w:pPr>
        <w:spacing w:after="0" w:line="170"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We have adopted a dividend reinvestment plan that will allow stockholders to elect to receive dividends in the form of additional shares instead of in cash. If a U.S. stockholder reinvests dividends in additional shares, such U.S. stockholder will be treated as if it had received a distribution in the amount of cash that it would have received if it had not made the election. Any such additional shares will have a tax basis equal to the amount of the distribution.</w:t>
      </w:r>
    </w:p>
    <w:p>
      <w:pPr>
        <w:spacing w:after="0" w:line="14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Although we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distributed to the U.S. stockholder, and the U.S. stockholder will be entitled to claim a credit equal to his, her or its allocable share of the tax paid on the deemed distribution by us. The amount of the deemed distribution net of such tax will be added to the U.S. stockholder’s tax basis for their common stock or preferred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gains.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to claim a refund for the taxes we paid.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If an investor purchases shares of our common stock or preferred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spacing w:after="0" w:line="18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If a U.S. stockholder sells or otherwise disposes of shares of our common stock or preferred stock, the U.S. stockholder will recognize gain or loss equal to the difference between its adjusted tax basis in the shares sold or otherwise disposed of and the amount received. Any such gain or loss will be treated as a capital gain or loss and 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 received) thereon. In addition, all or a portion of any loss recognized upon a disposition of shares of our common stock or preferred stock may be disallowed if other shares of our common stock or preferred stock are purchased (whether through reinvestment of distributions or otherwise) within 30 days before or after the disposition.</w:t>
      </w:r>
    </w:p>
    <w:p>
      <w:pPr>
        <w:spacing w:after="0" w:line="17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will send to each of our U.S. stockholders, as promptly as possible after the end of each calendar year, a notice detailing, on a per share and per distribution basis, the amounts of such distributions includible in such U.S. stockholder’s taxable income for such year as ordinary income and as long-term capital gain. In addition, the federal tax status of each year’s distributions generally will be reported to the IRS. Distributions may also be subject to additional state, local and foreign taxes depending on a U.S. stockholder’s particular situation.</w:t>
      </w:r>
    </w:p>
    <w:p>
      <w:pPr>
        <w:spacing w:after="0" w:line="1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Under applicable U.S. Treasury regulations, if a U.S. stockholder recognizes a loss with respect to our common stock or preferred stock of $2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excepted from this reporting requirement, but under current guidance, U.S. stockholders of a RIC are not excepted.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U.S. stockholders should consult their own tax advisers to determine the applicability of these U.S. Treasury regulations in light of their individual circumstances.</w:t>
      </w:r>
    </w:p>
    <w:p>
      <w:pPr>
        <w:spacing w:after="0" w:line="179"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We will be required in certain cases to backup withhold and remit to the U.S. Treasury a portion of qualified dividend income, ordinary income dividends and capital gain dividends, and the proceeds of redemption of shares, paid to any stockholder (a) who has provided either an incorrect tax identification number or no number at all, (b) whom the IRS subjects to backup withholding for failure to report the receipt of interest or dividend income properly or (c) who has failed to certify to us that it is not subject to backup withholding or that it is an “exempt recipient.” Backup withholding is not an additional tax and any amounts withheld may be refunded or credited against a stockholder’s federal income tax liability, provided the appropriate information is timely furnished to the IRS.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Limitation with Respect to Certain U.S. Stockholders on Deductions for Certain Fees and Expenses</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expect to be treated as a “publicly offered regulated investment company” (within the meaning of Section 67 of the Code) as a result of shares of our common stock being treated as regularly traded on an established securities market. If we are not treated as such for any calendar year, then, for purposes of computing the taxable income of U.S. stockholders that are individuals, trusts or estates, (i) our earnings will be computed without taking into account such U.S. stockholders’ allocable shares of the Management and Incentive Fees paid to our investment adviser and certain of our other expenses, (ii) each such U.S. stockholder will be treated as having received or accrued a dividend from us in the amount of such U.S. stockholder’s allocable share of these fees and expenses for the calendar year, (iii) each such U.S. stockholder will be treated as having paid or incurred such U.S. stockholder’s allocable share of these fees and expenses for the calendar year and (iv) each such</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U.S. stockholder’s allocable share of these fees and expenses will be treated as miscellaneous itemized deductions by such U.S. stockholder. In addition, we would be required to report the relevant income and expenses, including the Management Fee, on Form 1099-DIV. Miscellaneous itemized deductions generally are deductible by such U.S. stockholder only to the extent that the aggregate of such U.S. stockholder’s miscellaneous itemized deductions exceeds 2% of such U.S. stockholder’s adjusted gross income for U.S. federal income tax purposes, are not deductible for purposes of the alternative minimum tax and are subject to the overall limitation on itemized deductions under Section 67 of the Code.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Stockholders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or UBTI. The direct conduct by a tax-exempt U.S. stockholder of the activities that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will not be subject to U.S. taxation solely as a result of such stockholder’s ownership of our shares and receipt of dividends that we pay. In addition, under current law, if we incur indebtedness, such indebtedness will not be attributed to portfolio investors in our stock. Therefore, a tax-exempt U.S. stockholder will not be treated as earning income from “debt-financed property” and dividends we pay will not be treated as “unrelated debt-financed income” solely as a result of indebtedness that we incur.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Whether an investment in the shares of our common stock or preferred stock is appropriate for a Non-U.S. stockholder will depend upon that person’s particular circumstances. An investment in the shares of our common stock or preferred stock by a Non-U.S. stockholder may have adverse tax consequences as compared to a direct investment in the assets in which we will invest. Non-U.S. stockholders should consult their tax advisors before investing in our common stock or preferred stock.</w:t>
      </w:r>
    </w:p>
    <w:p>
      <w:pPr>
        <w:spacing w:after="0" w:line="18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Distributions of our investment company taxable income that we pay to a Non-U.S. stockholder will be subject to U.S. withholding tax at a 30% rate to the extent of our current or accumulated earnings and profits unless (i) Congress enacts legislation extending pass-through treatment for dividends under the rules described below, and such stockholder could have received the underlying income free of tax; (ii) such stockholder qualifies for, and complies with the procedures for claiming, an exemption or reduced rate under an applicable income tax treaty; or (iii) such stockholder qualifies, and complies with the procedures for claiming, an exemption by reason of its status as a foreign government-related entity.</w:t>
      </w:r>
    </w:p>
    <w:p>
      <w:pPr>
        <w:spacing w:after="0" w:line="173"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Non-U.S. stockholders generally are not subject to U.S. federal income tax on capital gains realized on the sale of our shares or on actual or deemed distributions of our net capital gains. If we distribute our net capital gains in the form of deemed rather than actual distributions, a Non-U.S. stockholder will be entitled to a U.S. federal income tax credit or tax refund equal to the stockholder’s allocable share of the tax we pay on the capital gains deemed to have been distributed.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spacing w:after="0" w:line="15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recent years, Congress has renewed the pass-through rules under which certain dividend distributions by RICs derived from our “qualified net interest income” (generally, our U.S. source interest income, other than certain contingent interest and interest from obligations of a corporation or partnership in which we are at a least a 10% stockholder, reduced by expenses that are allocable to such income) or were paid in connection with our “qualified short-term capital gains” (generally, the excess of our net short-term capital gain over our net long-term capital loss for such taxable year) qualify for an exemption from U.S. withholding tax. The pass-through</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rules expired for taxable years beginning after December 31, 2014. Further legislation is required to make the exemption available with respect to taxable years that commence after December 31, 2014. We cannot assure you that Congress will enact an extension or that any such extension will apply to all dividends that we distribute with respect to taxable years commencing after December 31, 2014. If Congress does extend the exemption, dividends that we designate as “interest-related dividends” or “short-term capital gain dividends” generally will be exempt from U.S. withholding tax if the underlying income is U.S.-source and the Non-U.S. stockholder could have received the underlying income free of tax. If the exemption is not extended, some Non-U.S. stockholders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 potential implications of a failure to extend the U.S. withholding tax exemption in light of their particular circumstances, and regarding their eligibility for a reduced rate or exemption as described above.</w:t>
      </w:r>
    </w:p>
    <w:p>
      <w:pPr>
        <w:spacing w:after="0" w:line="182"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To qualify for an exemption or reduced rate of U.S. withholding tax (under a treaty, by reason of an exemption for sovereign investors, or under the rules applicable to interest-related dividends or short-term capital gain dividends), a Non-U.S. stockholder must comply with the U.S. tax certification requirements described below. A Non-U.S. stockholder must deliver to the applicable withholding agent and maintain in effect a valid IRS Form W-8BEN-E or other applicable tax certification establishing its entitlement to the exemption or reduced rate, or otherwise establishing an exemption from backup withholding.</w:t>
      </w:r>
    </w:p>
    <w:p>
      <w:pPr>
        <w:spacing w:after="0" w:line="18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adopted a dividend reinvestment plan that will allow stockholders to elect to receive dividends in the form of additional shares instead of in cash. If a Non-U.S. stockholder reinvests dividends in additional shares, such Non-U.S. stockholder will be treated as if it had received a distribution in the amount of cash that it would have received if it had not made the election. If the distribution is a distribution of our investment company taxable income and is not designated by us as a short-term capital gain dividend or interest-related dividend, if applicable, the amount distributed (to the extent of our current or accumulated earnings and profits) will be subject to withholding of U.S. federal income tax at a 30% rate (or lower rate provided by an applicable income tax treaty) and only the net after-tax amount will be reinvested in our common stock. The Non-U.S. stockholder will have an adjusted tax basis in the additional shares of our common stock purchased through the dividend reinvestment plan equal to the amount of the reinvested distribution. The additional shares will have a new holding period commencing on the day following the day on which the shares are credited to the Non-U.S. stockholder’s account.</w:t>
      </w:r>
    </w:p>
    <w:p>
      <w:pPr>
        <w:spacing w:after="0" w:line="16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In the case of distributions made on or after July 1, 2014, and in the case of gross proceeds from the sale or other of shares of our common stock or preferred stock paid on or after January 1, 2017, additional requirements will apply to Non-U.S. stockholders that are considered for U.S. federal income tax purposes to be a foreign financial institution or non-financial foreign entity, as well as to Non-U.S. stockholders that hold their shares through such an institution or entity. In general, an exemption from U.S. withholding tax will be available only if the foreign financial institution has entered into an agreement with the U.S. government, or under certain intergovernmental agreements collects and provides to the U.S. tax authorities information about its accountholders (including certain investors in such institution) and if the non-financial foreign entity has provided the withholding agent with a certification identifying certain of its direct and indirect U.S. owners. Any U.S. taxes withheld pursuant to the aforementioned requirements from distributions paid to affected Non-U.S. stockholders who are otherwise eligible for an exemption from, or reduction of, U.S. federal withholding taxes on such distributions may only be reclaimed by such Non-U.S. stockholders by timely filing a U.S. tax return with the IRS to claim the benefit of such exemption or reduction.</w:t>
      </w:r>
    </w:p>
    <w:p>
      <w:pPr>
        <w:spacing w:after="0" w:line="16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 RIC is a corporation for U.S. federal income tax purposes. Under current law, a Non-U.S. stockholder will not be considered to be engaged in the conduct of a business in the United States solely by reason of its ownership in a RIC.</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Non-U.S. stockholders should consult their own tax advisors with respect to the U.S. federal income tax and withholding tax, and state, local and foreign tax consequences of an investment in the shares of our common stock or preferred stock.</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U.S. information reporting requirements will apply and backup withholding will not apply to dividends paid on our shares to a Non-U.S. stockholder, provided the Non-U.S. stockholder provides to the applicable withholding agent a Form W-8BEN-E (or satisfies certain documentary evidence requirements for establishing that it is not a United States person) or otherwise establishes an exemption. Similarly, information reporting requirements (but not backup withholding) will apply to a payment of the proceeds of a sale of our shares effected outside the United States by a foreign office of a broker if the broker</w:t>
      </w:r>
    </w:p>
    <w:p>
      <w:pPr>
        <w:spacing w:after="0" w:line="2" w:lineRule="exact"/>
        <w:rPr>
          <w:sz w:val="20"/>
          <w:szCs w:val="20"/>
          <w:color w:val="auto"/>
        </w:rPr>
      </w:pPr>
    </w:p>
    <w:p>
      <w:pPr>
        <w:ind w:left="220" w:hanging="212"/>
        <w:spacing w:after="0"/>
        <w:tabs>
          <w:tab w:leader="none" w:pos="2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is a United States person, (ii) derives 50% or more of its gross income for certain periods from the conduct of a trade or business in the United States,</w:t>
      </w:r>
    </w:p>
    <w:p>
      <w:pPr>
        <w:spacing w:after="0" w:line="32" w:lineRule="exact"/>
        <w:rPr>
          <w:rFonts w:ascii="Arial" w:cs="Arial" w:eastAsia="Arial" w:hAnsi="Arial"/>
          <w:sz w:val="16"/>
          <w:szCs w:val="16"/>
          <w:color w:val="auto"/>
        </w:rPr>
      </w:pPr>
    </w:p>
    <w:p>
      <w:pPr>
        <w:ind w:firstLine="8"/>
        <w:spacing w:after="0" w:line="288" w:lineRule="auto"/>
        <w:tabs>
          <w:tab w:leader="none" w:pos="31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 documentary evidence in its records that the holder is a Non-U.S. stockholder and certain conditions are met, or such holder otherwise establishes an exemption. Payment by a United States office of a broker of the proceeds of a sale of our shares will be subject to both backup withholding and information reporting unless the Non-U.S. stockholder certifies its status that it is not a United States person under penalties of perjury or otherwise establishes an exemption. Backup withholding is not an additional tax. Any amounts withheld from payments made to a Non-U.S. stockholder may be refunded or credited against such stockholder’s U.S. federal income tax liability, if any, provided that the required information is timely furnished to the IRS.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300"/>
          </w:cols>
          <w:pgMar w:left="240" w:top="460" w:right="3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SECURITIES</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This prospectus contains a summary of our common stock, preferred stock, subscription rights, debt securities and warrants. These summaries are not meant to be a complete description of each security. However, this prospectus and the accompanying prospectus supplement will describe the terms and conditions for each security.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jc w:val="both"/>
        <w:ind w:right="680" w:firstLine="456"/>
        <w:spacing w:after="0" w:line="264" w:lineRule="auto"/>
        <w:rPr>
          <w:sz w:val="20"/>
          <w:szCs w:val="20"/>
          <w:color w:val="auto"/>
        </w:rPr>
      </w:pPr>
      <w:r>
        <w:rPr>
          <w:rFonts w:ascii="Arial" w:cs="Arial" w:eastAsia="Arial" w:hAnsi="Arial"/>
          <w:sz w:val="18"/>
          <w:szCs w:val="18"/>
          <w:color w:val="auto"/>
        </w:rPr>
        <w:t>The following description is based on relevant portions of the DGCL and on our certificate of incorporation and bylaws. This summary is not necessarily complete, and we refer you to the DGCL and our certificate of incorporation and bylaws for a more detailed description of the provisions summarized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Under the terms of our certificate of incorporation, which was adopted on March 8, 2011 and amended on March 10, 2014, our authorized capital stock consists of 400,000,000 shares of common stock, par value $0.01 per share, of which 54,001,289 shares are outstanding as of May 7, 2015, and 100,000,000 shares of preferred stock, par value $0.01 per share, of which no shares are outstanding as of May 7, 2015.</w:t>
      </w:r>
    </w:p>
    <w:p>
      <w:pPr>
        <w:spacing w:after="0" w:line="166"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On December 3, 2013, our Board approved a stock split in the form of a stock dividend pursuant to which our stockholders of record as of December 4, 2013 received 65.676 additional shares of common stock for each share of common stock held. We distributed the shares on December 5, 2013 and paid cash for fractional shares without interest or deduction. We have retroactively applied the effect of the stock split to the financial information presented in this prospectus by multiplying numbers of shares outstanding by 66.676 and dividing per share amounts by 66.676.</w:t>
      </w:r>
    </w:p>
    <w:p>
      <w:pPr>
        <w:spacing w:after="0" w:line="17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Our common stock is listed on the NYSE under the symbol “TSLX.” There are no outstanding options or warrants to purchase our stock. No stock has been authorized for issuance under any equity compensation plans. Under Delaware law, our stockholders generally are not personally liable for our debts or obligations.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presents our outstanding classes of securities as of May 7,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Amount Held by Us or for Our</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2"/>
              </w:rPr>
              <w:t>Amount Outstanding Exclusive</w:t>
            </w:r>
          </w:p>
        </w:tc>
        <w:tc>
          <w:tcPr>
            <w:tcW w:w="0" w:type="dxa"/>
            <w:vAlign w:val="bottom"/>
          </w:tcPr>
          <w:p>
            <w:pPr>
              <w:spacing w:after="0"/>
              <w:rPr>
                <w:sz w:val="1"/>
                <w:szCs w:val="1"/>
                <w:color w:val="auto"/>
              </w:rPr>
            </w:pPr>
          </w:p>
        </w:tc>
      </w:tr>
      <w:tr>
        <w:trPr>
          <w:trHeight w:val="149"/>
        </w:trPr>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2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Amount Authorized</w:t>
            </w:r>
          </w:p>
        </w:tc>
        <w:tc>
          <w:tcPr>
            <w:tcW w:w="2980" w:type="dxa"/>
            <w:vAlign w:val="bottom"/>
            <w:gridSpan w:val="2"/>
            <w:vMerge w:val="continue"/>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Amount Held by Us or for</w:t>
            </w:r>
          </w:p>
        </w:tc>
        <w:tc>
          <w:tcPr>
            <w:tcW w:w="0" w:type="dxa"/>
            <w:vAlign w:val="bottom"/>
          </w:tcPr>
          <w:p>
            <w:pPr>
              <w:spacing w:after="0"/>
              <w:rPr>
                <w:sz w:val="1"/>
                <w:szCs w:val="1"/>
                <w:color w:val="auto"/>
              </w:rPr>
            </w:pPr>
          </w:p>
        </w:tc>
      </w:tr>
      <w:tr>
        <w:trPr>
          <w:trHeight w:val="185"/>
        </w:trPr>
        <w:tc>
          <w:tcPr>
            <w:tcW w:w="2880" w:type="dxa"/>
            <w:vAlign w:val="bottom"/>
            <w:gridSpan w:val="2"/>
            <w:vMerge w:val="continue"/>
          </w:tcPr>
          <w:p>
            <w:pPr>
              <w:spacing w:after="0"/>
              <w:rPr>
                <w:sz w:val="16"/>
                <w:szCs w:val="16"/>
                <w:color w:val="auto"/>
              </w:rPr>
            </w:pPr>
          </w:p>
        </w:tc>
        <w:tc>
          <w:tcPr>
            <w:tcW w:w="2880" w:type="dxa"/>
            <w:vAlign w:val="bottom"/>
            <w:gridSpan w:val="2"/>
            <w:vMerge w:val="continue"/>
          </w:tcPr>
          <w:p>
            <w:pPr>
              <w:spacing w:after="0"/>
              <w:rPr>
                <w:sz w:val="16"/>
                <w:szCs w:val="16"/>
                <w:color w:val="auto"/>
              </w:rPr>
            </w:pPr>
          </w:p>
        </w:tc>
        <w:tc>
          <w:tcPr>
            <w:tcW w:w="2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Account</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4"/>
              </w:rPr>
              <w:t>Our Account</w:t>
            </w:r>
          </w:p>
        </w:tc>
        <w:tc>
          <w:tcPr>
            <w:tcW w:w="0" w:type="dxa"/>
            <w:vAlign w:val="bottom"/>
          </w:tcPr>
          <w:p>
            <w:pPr>
              <w:spacing w:after="0"/>
              <w:rPr>
                <w:sz w:val="1"/>
                <w:szCs w:val="1"/>
                <w:color w:val="auto"/>
              </w:rPr>
            </w:pPr>
          </w:p>
        </w:tc>
      </w:tr>
      <w:tr>
        <w:trPr>
          <w:trHeight w:val="224"/>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w:t>
            </w:r>
          </w:p>
        </w:tc>
        <w:tc>
          <w:tcPr>
            <w:tcW w:w="2060" w:type="dxa"/>
            <w:vAlign w:val="bottom"/>
          </w:tcPr>
          <w:p>
            <w:pPr>
              <w:spacing w:after="0"/>
              <w:rPr>
                <w:sz w:val="20"/>
                <w:szCs w:val="20"/>
                <w:color w:val="auto"/>
              </w:rPr>
            </w:pPr>
            <w:r>
              <w:rPr>
                <w:rFonts w:ascii="Arial" w:cs="Arial" w:eastAsia="Arial" w:hAnsi="Arial"/>
                <w:sz w:val="18"/>
                <w:szCs w:val="18"/>
                <w:color w:val="auto"/>
              </w:rPr>
              <w:t>Stock</w:t>
            </w:r>
          </w:p>
        </w:tc>
        <w:tc>
          <w:tcPr>
            <w:tcW w:w="2660" w:type="dxa"/>
            <w:vAlign w:val="bottom"/>
            <w:tcBorders>
              <w:top w:val="single" w:sz="8" w:color="auto"/>
            </w:tcBorders>
          </w:tcPr>
          <w:p>
            <w:pPr>
              <w:jc w:val="right"/>
              <w:ind w:right="799"/>
              <w:spacing w:after="0"/>
              <w:rPr>
                <w:sz w:val="20"/>
                <w:szCs w:val="20"/>
                <w:color w:val="auto"/>
              </w:rPr>
            </w:pPr>
            <w:r>
              <w:rPr>
                <w:rFonts w:ascii="Arial" w:cs="Arial" w:eastAsia="Arial" w:hAnsi="Arial"/>
                <w:sz w:val="18"/>
                <w:szCs w:val="18"/>
                <w:color w:val="auto"/>
              </w:rPr>
              <w:t>400,000,000</w:t>
            </w:r>
          </w:p>
        </w:tc>
        <w:tc>
          <w:tcPr>
            <w:tcW w:w="220" w:type="dxa"/>
            <w:vAlign w:val="bottom"/>
          </w:tcPr>
          <w:p>
            <w:pPr>
              <w:spacing w:after="0"/>
              <w:rPr>
                <w:sz w:val="19"/>
                <w:szCs w:val="19"/>
                <w:color w:val="auto"/>
              </w:rPr>
            </w:pPr>
          </w:p>
        </w:tc>
        <w:tc>
          <w:tcPr>
            <w:tcW w:w="2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999</w:t>
            </w:r>
          </w:p>
        </w:tc>
        <w:tc>
          <w:tcPr>
            <w:tcW w:w="220" w:type="dxa"/>
            <w:vAlign w:val="bottom"/>
          </w:tcPr>
          <w:p>
            <w:pPr>
              <w:spacing w:after="0"/>
              <w:rPr>
                <w:sz w:val="19"/>
                <w:szCs w:val="19"/>
                <w:color w:val="auto"/>
              </w:rPr>
            </w:pP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54,001,289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6"/>
          <w:szCs w:val="16"/>
          <w:color w:val="auto"/>
        </w:rPr>
        <w:t>Prior to our IPO, we conducted private offerings of our common stock to investors in reliance on the exemptions from the registration requirements of the Securities Act. At the closing of each private offering, investors made capital commitments to purchase our common stock from time to time at net asset value. On January 31, 2013, we reached a $1.5 billion cap on private offering commitments agreed to with our pre-IPO investors, which included a</w:t>
      </w:r>
    </w:p>
    <w:p>
      <w:pPr>
        <w:ind w:right="180"/>
        <w:spacing w:after="0" w:line="261" w:lineRule="auto"/>
        <w:rPr>
          <w:sz w:val="20"/>
          <w:szCs w:val="20"/>
          <w:color w:val="auto"/>
        </w:rPr>
      </w:pPr>
      <w:r>
        <w:rPr>
          <w:rFonts w:ascii="Arial" w:cs="Arial" w:eastAsia="Arial" w:hAnsi="Arial"/>
          <w:sz w:val="18"/>
          <w:szCs w:val="18"/>
          <w:color w:val="auto"/>
        </w:rPr>
        <w:t>$100 million capital commitment by our Adviser. Our pre-IPO investors’ obligations to purchase additional shares from the undrawn portion of their capital commitments terminated upon the completion of the IPO.</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Under the terms of our certificate of incorporation, holders of common stock are entitled to one vote for each share held on all matters submitted to a vote of stockholders, and holders of common stock do not have cumulative voting rights. Accordingly, subject to the rights of any outstanding preferred stock, holders of 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majority of the shares of common stock entitled to vote in any election of directors may elect all of the directors standing for election. Holders of common stock are entitled to receive proportionately any dividends declared by our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Under the terms of our certificate of incorporation, our Board is authorized to issue shares of preferred stock in one or more series without stockholder approval. See “Description of Our Preferred Stock.”</w:t>
      </w:r>
    </w:p>
    <w:p>
      <w:pPr>
        <w:spacing w:after="0" w:line="17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purpose of authorizing our Board to issue preferred stock and determine its rights and preferences is to eliminate delays associated with a stockholder vote on specific issuances. The issuance of preferred stock, while providing desirable flexibility in connection with providing leverage for our investment program, possible acquisitions and other corporate purposes, could make it more difficult for a third party to acquire, or could discourage a third party from acquiring, a majority of our outstanding voting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certification of incorporation limits our directors’ liability to the fullest extent permitted under Delaware corporate law and the 1940 Act.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Specifically, our directors will not be personally liable to us or our stockholders for any breach of fiduciary duty as a director, except for any liability:</w:t>
      </w:r>
    </w:p>
    <w:p>
      <w:pPr>
        <w:spacing w:after="0" w:line="128" w:lineRule="exact"/>
        <w:rPr>
          <w:sz w:val="20"/>
          <w:szCs w:val="20"/>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willful misconduct, gross negligence, bad faith, reckless disregard or a knowing violation of law,</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under Section 174 of the DGCL, which relates to unlawful payment of dividends or unlawful stock purchases or redemptions,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If the DGCL is amended to permit further elimination or limitation of the personal liability of directors, then the liability of our directors will be eliminated or limited to the fullest extent permitted by the DGCL. So long as we are registered or regulated under the 1940 Act, any limitation of liability of our directors and officers as described above is limited to the extent prohibited by the 1940 Act or by any valid rule, regulation or order of the SEC.</w:t>
      </w:r>
    </w:p>
    <w:p>
      <w:pPr>
        <w:spacing w:after="0" w:line="147"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Section 145 of the DGCL allows for the indemnification of officers, directors, and any corporate agents in terms sufficiently broad to indemnify such person under certain circumstances for liabilities, including reimbursement for expenses, incurred arising under the Securities Act. Our certificate of incorporation and bylaws provide that we will indemnify our directors and officers to the fullest extent authorized or permitted by law and this right to indemnification will continue as to a person who has ceased to be a director or officer and will inure to the benefit of his or her heirs, executors and personal and legal representatives; however, for proceedings to enforce rights to indemnification, we are not obligated to indemnify any director or officer (or his or her heirs, executors or personal or legal representatives) in connection with a proceeding (or part thereof) initiated by such person unless that proceeding (or part thereof) was authorized or consented to by the Board. The right to indemnification includes the right to be paid by us the expenses incurred in defending or otherwise participating in any proceeding in advance of its final disposition.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380"/>
          </w:cols>
          <w:pgMar w:left="240" w:top="459" w:right="2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8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In addition, we have entered into indemnification agreements with our directors and officers that provide for a contractual right to indemnification to the fullest extent permitted by the DGCL. A form of the indemnification agreement has been filed as an exhibit to the registration statement of which this prospectus is a part.</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advancement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the repeal or modification with respect to any acts or omissions occurring prior to the repeal or modification.</w:t>
      </w:r>
    </w:p>
    <w:p>
      <w:pPr>
        <w:spacing w:after="0" w:line="188"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Under the Investment Advisory Agreement, we have, to the extent permitted by applicable law, indemnified the Adviser and certain of its affiliates, as described under “Management and Other Agreements—Investment Advisory Agreement; Administration Agreement; License Agreement.”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w:t>
      </w:r>
    </w:p>
    <w:p>
      <w:pPr>
        <w:spacing w:after="0" w:line="179"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certificate of incorporation and bylaws provide that:</w:t>
      </w:r>
    </w:p>
    <w:p>
      <w:pPr>
        <w:spacing w:after="0" w:line="131" w:lineRule="exact"/>
        <w:rPr>
          <w:sz w:val="20"/>
          <w:szCs w:val="20"/>
          <w:color w:val="auto"/>
        </w:rPr>
      </w:pPr>
    </w:p>
    <w:p>
      <w:pPr>
        <w:ind w:left="900" w:right="120" w:hanging="325"/>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Board be divided into three classes, as nearly equal in size as possible, with staggered three-year terms (and the number of directors shall not be fewer than four or greater than nine);</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directors may be removed only for cause by the affirmative vote of 75% of the holders of our capital stock then outstanding and entitled to vote in the election of directors, voting together as a single class;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80" w:hanging="325"/>
        <w:spacing w:after="0" w:line="264"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subject to the rights of any holders of preferred stock, any vacancy on the Board, however the vacancy occurs, including a vacancy due to an enlargement of the Board, may only be filled by vote of a majority of the directors then in office. The Board has delegated the power to fill vacancies to the Nominating and Corporate Governance Committee.</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bylaws also provide that:</w:t>
      </w:r>
    </w:p>
    <w:p>
      <w:pPr>
        <w:spacing w:after="0" w:line="131" w:lineRule="exact"/>
        <w:rPr>
          <w:sz w:val="20"/>
          <w:szCs w:val="20"/>
          <w:color w:val="auto"/>
        </w:rPr>
      </w:pPr>
    </w:p>
    <w:p>
      <w:pPr>
        <w:ind w:left="900" w:right="40" w:hanging="325"/>
        <w:spacing w:after="0" w:line="27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action required or permitted to be taken by the stockholders at an annual meeting or special meeting of stockholders may only be taken if it is properly brought before such meeting;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special meetings of the stockholders may only be called by our Board, Chairman, or a Chief Executive Officer.</w:t>
      </w:r>
    </w:p>
    <w:p>
      <w:pPr>
        <w:spacing w:after="0" w:line="2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Our certificate of incorporation further provides that stockholders may not take action by written consent in lieu of a meeting. These provisions may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w:t>
      </w:r>
    </w:p>
    <w:p>
      <w:pPr>
        <w:spacing w:after="0" w:line="166"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w:t>
      </w:r>
    </w:p>
    <w:p>
      <w:pPr>
        <w:spacing w:after="0" w:line="188"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w:t>
      </w:r>
    </w:p>
    <w:p>
      <w:pPr>
        <w:spacing w:after="0" w:line="166"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 director may be removed from office, but only for cause and at a meeting called for that purpose, by the affirmative vote of 75% of the holders of our capital stock then outstanding and entitled to vote in the election of directors, voting together as a single class.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addition, our certificate of incorporation requires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For purposes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these provisions, a 10% or greater holder of our outstanding common stock, or a principal stockholder, refers to any person who, whether directly or indirectly and whether alone or together with its affiliates and associates, beneficially owns 10% or more of the outstanding shares of our common stock.</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10% holder transactions subject to these special approval requirements are:</w:t>
      </w:r>
    </w:p>
    <w:p>
      <w:pPr>
        <w:spacing w:after="0" w:line="131" w:lineRule="exact"/>
        <w:rPr>
          <w:sz w:val="20"/>
          <w:szCs w:val="20"/>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merger or consolidation of us or any subsidiary of ours with or into any principal stockholder;</w:t>
      </w:r>
    </w:p>
    <w:p>
      <w:pPr>
        <w:spacing w:after="0" w:line="130" w:lineRule="exact"/>
        <w:rPr>
          <w:rFonts w:ascii="Arial" w:cs="Arial" w:eastAsia="Arial" w:hAnsi="Arial"/>
          <w:sz w:val="18"/>
          <w:szCs w:val="18"/>
          <w:color w:val="auto"/>
        </w:rPr>
      </w:pPr>
    </w:p>
    <w:p>
      <w:pPr>
        <w:jc w:val="both"/>
        <w:ind w:left="900" w:right="300" w:hanging="325"/>
        <w:spacing w:after="0" w:line="286" w:lineRule="auto"/>
        <w:tabs>
          <w:tab w:leader="none" w:pos="9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issuance of any of our securities to any principal stockholder for cash, except pursuant to any automatic dividend reinvestment plan or the exercise of any preemptive rights granted in our certificate of incorporation (which are no longer applicable following our IPO) or pursuant to any subscription agreement by and among us, the Adviser and such principal stockholder entered into prior to our IPO;</w:t>
      </w:r>
    </w:p>
    <w:p>
      <w:pPr>
        <w:spacing w:after="0" w:line="70" w:lineRule="exact"/>
        <w:rPr>
          <w:rFonts w:ascii="Arial" w:cs="Arial" w:eastAsia="Arial" w:hAnsi="Arial"/>
          <w:sz w:val="17"/>
          <w:szCs w:val="17"/>
          <w:color w:val="auto"/>
        </w:rPr>
      </w:pPr>
    </w:p>
    <w:p>
      <w:pPr>
        <w:ind w:left="900" w:right="200" w:hanging="325"/>
        <w:spacing w:after="0" w:line="264"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w:t>
      </w:r>
    </w:p>
    <w:p>
      <w:pPr>
        <w:spacing w:after="0" w:line="86"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w:t>
      </w:r>
    </w:p>
    <w:p>
      <w:pPr>
        <w:spacing w:after="0" w:line="18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w:t>
      </w:r>
    </w:p>
    <w:p>
      <w:pPr>
        <w:spacing w:after="0" w:line="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1940 Act defines “a majority of the outstanding voting securities” as the lesser of:</w:t>
      </w:r>
    </w:p>
    <w:p>
      <w:pPr>
        <w:spacing w:after="0" w:line="131" w:lineRule="exact"/>
        <w:rPr>
          <w:sz w:val="20"/>
          <w:szCs w:val="20"/>
          <w:color w:val="auto"/>
        </w:rPr>
      </w:pPr>
    </w:p>
    <w:p>
      <w:pPr>
        <w:ind w:left="900" w:hanging="325"/>
        <w:spacing w:after="0" w:line="277"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67% or more of the company’s voting stock present at a meeting if more than 50% of the outstanding voting securities of the company are present or represented by proxy;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more than 50% of the outstanding voting securities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purposes of calculating “a majority of the outstanding voting securities” under our certificate of incorporation, each class and series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our shares will vote together as a single class, except to the extent required by the 1940 Act or our certificate of incorporation, with respect to any class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series of shares. If a separate class vote is required, the applicable proportion of shares of the class or series, voting as a separate class or series, also will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required.</w:t>
      </w:r>
    </w:p>
    <w:p>
      <w:pPr>
        <w:spacing w:after="0" w:line="211" w:lineRule="exact"/>
        <w:rPr>
          <w:sz w:val="20"/>
          <w:szCs w:val="20"/>
          <w:color w:val="auto"/>
        </w:rPr>
      </w:pPr>
    </w:p>
    <w:p>
      <w:pPr>
        <w:ind w:right="900" w:firstLine="456"/>
        <w:spacing w:after="0" w:line="342" w:lineRule="auto"/>
        <w:rPr>
          <w:sz w:val="20"/>
          <w:szCs w:val="20"/>
          <w:color w:val="auto"/>
        </w:rPr>
      </w:pPr>
      <w:r>
        <w:rPr>
          <w:rFonts w:ascii="Arial" w:cs="Arial" w:eastAsia="Arial" w:hAnsi="Arial"/>
          <w:sz w:val="16"/>
          <w:szCs w:val="16"/>
          <w:color w:val="auto"/>
        </w:rPr>
        <w:t>Our Board has determined that provisions with respect to the Board and the stockholder voting requirements described above, which voting requirements are greater than the minimum requirements under Delaware law or the 1940 Act, are in the best interest of stockholders generally.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PREFERRED STOCK</w:t>
      </w:r>
    </w:p>
    <w:p>
      <w:pPr>
        <w:spacing w:after="0" w:line="229"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In addition to shares of common stock, we have 100,000,000 shares of preferred stock authorized, par value $0.01 per share, of which no shares are currently outstanding. If we offer preferred stock under this prospectus, we will issue an appropriate prospectus supplement. We may issue preferred stock from time to time in one or more classes or series, without stockholder approval. Prior to issuance of shares of each class or series, our Board is required by Delaware law and by our certificate of incorporation to set the terms, preferences, conversion or other rights, voting powers, restrictions, limitations as to dividends or other distributions, qualifications and terms or conditions of redemption for each class or series. Any such issuance must adhere to the requirements of the 1940 Act, Delaware law and any other limitations imposed by law.</w:t>
      </w:r>
    </w:p>
    <w:p>
      <w:pPr>
        <w:spacing w:after="0" w:line="178"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color w:val="auto"/>
        </w:rPr>
        <w:t>The Board has discretion to establish the number of shares to be included in each series and to fix the voting powers (if any), designations, powers, preferences, and relative, participating, optional or other rights, if any, of the shares of each series, and any qualifications, limitations, or restrictions. The</w:t>
      </w:r>
    </w:p>
    <w:p>
      <w:pPr>
        <w:spacing w:after="0" w:line="255" w:lineRule="auto"/>
        <w:rPr>
          <w:sz w:val="20"/>
          <w:szCs w:val="20"/>
          <w:color w:val="auto"/>
        </w:rPr>
      </w:pPr>
      <w:r>
        <w:rPr>
          <w:rFonts w:ascii="Arial" w:cs="Arial" w:eastAsia="Arial" w:hAnsi="Arial"/>
          <w:sz w:val="18"/>
          <w:szCs w:val="18"/>
          <w:color w:val="auto"/>
        </w:rPr>
        <w:t>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w:t>
      </w:r>
    </w:p>
    <w:p>
      <w:pPr>
        <w:spacing w:after="0" w:line="96" w:lineRule="exact"/>
        <w:rPr>
          <w:sz w:val="20"/>
          <w:szCs w:val="20"/>
          <w:color w:val="auto"/>
        </w:rPr>
      </w:pPr>
    </w:p>
    <w:p>
      <w:pPr>
        <w:ind w:left="900" w:right="100" w:hanging="325"/>
        <w:spacing w:after="0" w:line="277"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immediately after issuance and before any distribution is made with respect to common stock, we must meet a coverage ratio of total assets (less total liabilities other than indebtedness) to total indebtedness plus preferred stock, of at least 200%; and</w:t>
      </w:r>
    </w:p>
    <w:p>
      <w:pPr>
        <w:spacing w:after="0" w:line="75" w:lineRule="exact"/>
        <w:rPr>
          <w:rFonts w:ascii="Arial" w:cs="Arial" w:eastAsia="Arial" w:hAnsi="Arial"/>
          <w:sz w:val="18"/>
          <w:szCs w:val="18"/>
          <w:color w:val="auto"/>
        </w:rPr>
      </w:pPr>
    </w:p>
    <w:p>
      <w:pPr>
        <w:ind w:left="900" w:right="140" w:hanging="325"/>
        <w:spacing w:after="0" w:line="308" w:lineRule="auto"/>
        <w:tabs>
          <w:tab w:leader="none" w:pos="9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features of the preferred stock are further limited by the requirements applicable to RICs under the Code.</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For any series of preferred stock that we may issue, our Board will determine and the amendment to our certificate of incorporation and the prospectus supplement relating to such series will describe:</w:t>
      </w:r>
    </w:p>
    <w:p>
      <w:pPr>
        <w:spacing w:after="0" w:line="76" w:lineRule="exact"/>
        <w:rPr>
          <w:sz w:val="20"/>
          <w:szCs w:val="20"/>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130"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participating or non-participating;</w:t>
      </w:r>
    </w:p>
    <w:p>
      <w:pPr>
        <w:spacing w:after="0" w:line="75"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 including adjustments to the conversion price of such series;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other relative powers, preferences and participating, optional or special rights of shares of such series, and the qualifications, limitations or restrictions thereof.</w:t>
      </w:r>
    </w:p>
    <w:p>
      <w:pPr>
        <w:spacing w:after="0" w:line="170"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All shares of preferred stock that we may issue will be identical and of equal rank except as to the particular terms thereof that may be fixed by our Board. All shares of each series of preferred stock will differ only as to the dates from which dividends, if any, thereon will be cumulative.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54" w:lineRule="exact"/>
        <w:rPr>
          <w:sz w:val="20"/>
          <w:szCs w:val="20"/>
          <w:color w:val="auto"/>
        </w:rPr>
      </w:pPr>
    </w:p>
    <w:p>
      <w:pPr>
        <w:ind w:left="900" w:hanging="325"/>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period of time the offering would remain open (which shall be open a minimum number of days such that all record holders would be eligible to participate in the offering and shall not be open longer than 120 days);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exercise price for such subscription rights (or method of calculation thereof);</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ratio of the offering (which, in the case of transferable rights, will require a minimum of three shares to be held of record before a person is entitled to purchase an additional share);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number of such subscription rights issued to each stockholder;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 and the market on which they may be traded if they are transferable;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if applicable, a discussion of certain U.S. federal income tax considerations applicable to the issuance or exercise of such subscription rights;</w:t>
      </w:r>
    </w:p>
    <w:p>
      <w:pPr>
        <w:spacing w:after="0" w:line="153" w:lineRule="exact"/>
        <w:rPr>
          <w:rFonts w:ascii="Arial" w:cs="Arial" w:eastAsia="Arial" w:hAnsi="Arial"/>
          <w:sz w:val="16"/>
          <w:szCs w:val="16"/>
          <w:color w:val="auto"/>
        </w:rPr>
      </w:pPr>
    </w:p>
    <w:p>
      <w:pPr>
        <w:ind w:left="900" w:right="340" w:hanging="325"/>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shall commence, and the date on which such right shall expire (subject to any extension);</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 and the terms of such over-subscription privilege;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termination right we may have in connection with such subscription rights offering; and</w:t>
      </w:r>
    </w:p>
    <w:p>
      <w:pPr>
        <w:spacing w:after="0" w:line="130"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exercise, settlement and other procedures and limitations relating to the transfer and exercise of such subscription rights.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Subscription Rights</w:t>
      </w:r>
    </w:p>
    <w:p>
      <w:pPr>
        <w:spacing w:after="0" w:line="12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w:t>
      </w:r>
    </w:p>
    <w:p>
      <w:pPr>
        <w:spacing w:after="0" w:line="17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360"/>
          </w:cols>
          <w:pgMar w:left="240" w:top="460" w:right="29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Dilutive Effects</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Any stockholder who chooses not to participate in a rights offering should expect to own a smaller interest in us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WARRANTS</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issue warrants to purchase shares of our common stock, preferred stock or debt securities. Such warrants may be issued independently or together with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6"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will expire;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81"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54"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approves such issuance on the basis that the issuance is in the best interests of us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340"/>
          </w:cols>
          <w:pgMar w:left="240" w:top="460" w:right="31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9"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7" w:lineRule="exact"/>
        <w:rPr>
          <w:sz w:val="20"/>
          <w:szCs w:val="20"/>
          <w:color w:val="auto"/>
        </w:rPr>
      </w:pPr>
    </w:p>
    <w:p>
      <w:pPr>
        <w:ind w:right="280" w:firstLine="456"/>
        <w:spacing w:after="0" w:line="276" w:lineRule="auto"/>
        <w:rPr>
          <w:sz w:val="20"/>
          <w:szCs w:val="20"/>
          <w:color w:val="auto"/>
        </w:rPr>
      </w:pPr>
      <w:r>
        <w:rPr>
          <w:rFonts w:ascii="Arial" w:cs="Arial" w:eastAsia="Arial" w:hAnsi="Arial"/>
          <w:sz w:val="17"/>
          <w:szCs w:val="17"/>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“—Events of Default—Remedies If an Event of Default Occurs.” Second, the trustee performs certain administrative duties for us.</w:t>
      </w:r>
    </w:p>
    <w:p>
      <w:pPr>
        <w:spacing w:after="0" w:line="17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A copy of the form of indenture is attached as an exhibit to the registration statement of which this prospectus is a part. See “Available Information” for information on how to obtain a copy of the indenture.</w:t>
      </w:r>
    </w:p>
    <w:p>
      <w:pPr>
        <w:spacing w:after="0" w:line="18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prospectus supplement, which will accompany this prospectus, will describe the particular series of debt securities being offered, including, among other things:</w:t>
      </w:r>
    </w:p>
    <w:p>
      <w:pPr>
        <w:spacing w:after="0" w:line="76" w:lineRule="exact"/>
        <w:rPr>
          <w:sz w:val="20"/>
          <w:szCs w:val="20"/>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whether any interest may be paid by issuing additional securities of the same series in lieu of cash (and the terms upon which any such interest may be paid by issuing additional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jc w:val="both"/>
        <w:ind w:left="900" w:right="240" w:hanging="325"/>
        <w:spacing w:after="0" w:line="264"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6"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Borough of Manhattan in the City of New York, of payment, transfer, conversion and/or exchange of the debt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 (if other than $1,000 and any integral multiple thereof);</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whether the series of debt securities is issuable in certificated 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U.S. federal income tax considerations relating to original issue discount;</w:t>
      </w:r>
    </w:p>
    <w:p>
      <w:pPr>
        <w:spacing w:after="0" w:line="153" w:lineRule="exact"/>
        <w:rPr>
          <w:rFonts w:ascii="Arial" w:cs="Arial" w:eastAsia="Arial" w:hAnsi="Arial"/>
          <w:sz w:val="16"/>
          <w:szCs w:val="16"/>
          <w:color w:val="auto"/>
        </w:rPr>
      </w:pPr>
    </w:p>
    <w:p>
      <w:pPr>
        <w:ind w:left="900" w:right="500" w:hanging="325"/>
        <w:spacing w:after="0" w:line="342" w:lineRule="auto"/>
        <w:tabs>
          <w:tab w:leader="none" w:pos="9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whether the debt securities are secured and the terms of any security interest;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debt securities may be secured or unsecured obligations. Unless the prospectus supplement states otherwise, principal (and premium, if any) and interest, if any, will be paid by us in immediately available funds.</w:t>
      </w:r>
    </w:p>
    <w:p>
      <w:pPr>
        <w:spacing w:after="0" w:line="17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shares senior to our common stock if our asset coverage, calculated pursuant to the 1940 Act, is at least equal to 200% immediately after each such issuance. In addition, while any indebtedness and senior securities remain outstanding, we must make provisions to prohibit the distribution to our stockholders or the repurchase of such indebtedness or securities unless we meet the applicable asset coverage ratios at the time of the distribution or repurchase. Specifically, we may be precluded from declaring dividends or repurchasing shares of our common stock unless our asset coverage is at least 200%. We may also borrow amounts up to 5% of the value of our total assets for temporary or emergency purposes without regard to asset coverage. For a discussion of the risks associated with leverage, see “Risk Factors—Risks Relating to Our Business and Structure—Regulations governing our operation as a BDC affect our ability to, and the way in which we, raise additional capital.”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“—Resignation of Trustee” below. At a time when two or more trustees are acting under the indenture, each with respect to only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indenture does not contain any provisions that give you protection in the event we issue a large amount of debt or we are acquired by another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entity.</w:t>
      </w:r>
    </w:p>
    <w:p>
      <w:pPr>
        <w:spacing w:after="0" w:line="21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4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that we will usually issue debt securities in book-entry only form represented by global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Global Securities</w:t>
      </w:r>
    </w:p>
    <w:p>
      <w:pPr>
        <w:spacing w:after="0" w:line="12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Certificated Securities</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NY and/or at other offices that may be specified in the prospectus supplement or in a notice to holders against surrender of the debt security.</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Alternatively, if the holder asks us to do so, we will pay any amount that becomes due on the debt security by wire transfer of immediately available funds to an account at a bank in New York City,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When Offices Are Closed</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Except as otherwise indicated in the applicable prospectus supplement, 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applicable prospectus supplement. Such payment will not result in a default under any debt security or the indenture, and no interest will accrue on the payment amount from the original due date to the next day that is a business day.</w:t>
      </w:r>
    </w:p>
    <w:p>
      <w:pPr>
        <w:spacing w:after="0" w:line="150"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they will receive payments on their debt securities.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24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term “Event of Default” in respect of the debt securities of your series means any of the following (unless the prospectus supplement relating to such debt securities states otherwise):</w:t>
      </w:r>
    </w:p>
    <w:p>
      <w:pPr>
        <w:spacing w:after="0" w:line="76" w:lineRule="exact"/>
        <w:rPr>
          <w:sz w:val="20"/>
          <w:szCs w:val="20"/>
          <w:color w:val="auto"/>
        </w:rPr>
      </w:pPr>
    </w:p>
    <w:p>
      <w:pPr>
        <w:ind w:left="900" w:hanging="325"/>
        <w:spacing w:after="0"/>
        <w:tabs>
          <w:tab w:leader="none" w:pos="9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We do not pay the principal of, or any premium on, a debt security of the series on its due date, and do not cure this default within five days.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when due, and such default is not cured within 30 days.</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 and do not cure this default within five days.</w:t>
      </w:r>
    </w:p>
    <w:p>
      <w:pPr>
        <w:spacing w:after="0" w:line="75" w:lineRule="exact"/>
        <w:rPr>
          <w:rFonts w:ascii="Arial" w:cs="Arial" w:eastAsia="Arial" w:hAnsi="Arial"/>
          <w:sz w:val="18"/>
          <w:szCs w:val="18"/>
          <w:color w:val="auto"/>
        </w:rPr>
      </w:pPr>
    </w:p>
    <w:p>
      <w:pPr>
        <w:ind w:left="900" w:right="80" w:hanging="325"/>
        <w:spacing w:after="0" w:line="342" w:lineRule="auto"/>
        <w:tabs>
          <w:tab w:leader="none" w:pos="9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29" w:lineRule="exact"/>
        <w:rPr>
          <w:rFonts w:ascii="Arial" w:cs="Arial" w:eastAsia="Arial" w:hAnsi="Arial"/>
          <w:sz w:val="16"/>
          <w:szCs w:val="16"/>
          <w:color w:val="auto"/>
        </w:rPr>
      </w:pPr>
    </w:p>
    <w:p>
      <w:pPr>
        <w:ind w:left="900" w:right="500" w:hanging="325"/>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 remain undischarged or unstayed for a period of 90 days.</w:t>
      </w:r>
    </w:p>
    <w:p>
      <w:pPr>
        <w:spacing w:after="0" w:line="75" w:lineRule="exact"/>
        <w:rPr>
          <w:rFonts w:ascii="Arial" w:cs="Arial" w:eastAsia="Arial" w:hAnsi="Arial"/>
          <w:sz w:val="18"/>
          <w:szCs w:val="18"/>
          <w:color w:val="auto"/>
        </w:rPr>
      </w:pPr>
    </w:p>
    <w:p>
      <w:pPr>
        <w:ind w:left="900" w:right="180" w:hanging="325"/>
        <w:spacing w:after="0" w:line="308" w:lineRule="auto"/>
        <w:tabs>
          <w:tab w:leader="none" w:pos="9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On the last business day of each of twenty-four consecutive calendar months, we have an asset coverage of less than 100%, giving effect to any amendments to Section 18(a)(1)(C)(ii) and Section 61 of the 1940 Act or to any exemptive relief granted to us by the SEC.</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applicable prospectus supplement occurs.</w:t>
      </w:r>
    </w:p>
    <w:p>
      <w:pPr>
        <w:spacing w:after="0" w:line="225"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Remedies If an Event of Default Occurs</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If an Event of Default has occurred and has not been cured, the trustee or the holders of at least 25% in principal amount of the debt securities of the affected series may declare the entire principal amount of all the debt securities of that series to be due and immediately payable. This is called a declaration of acceleration of maturity. In certain circumstances, a declaration of acceleration of maturity may be canceled by the holders of a majority in principal amount of the debt securities of the affected series.</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trustee is not required to take any action under the indenture at the request of any holders unless the holders offer the trustee protection from expenses and liability (called an “indemnity”) (Section 315 of the Trust Indenture Act of 1939). If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73"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You must give your trustee written notice that an Event of Default has occurred and remains uncured.</w:t>
      </w:r>
    </w:p>
    <w:p>
      <w:pPr>
        <w:spacing w:after="0" w:line="130" w:lineRule="exact"/>
        <w:rPr>
          <w:rFonts w:ascii="Arial" w:cs="Arial" w:eastAsia="Arial" w:hAnsi="Arial"/>
          <w:sz w:val="18"/>
          <w:szCs w:val="18"/>
          <w:color w:val="auto"/>
        </w:rPr>
      </w:pPr>
    </w:p>
    <w:p>
      <w:pPr>
        <w:ind w:left="900" w:right="520" w:hanging="325"/>
        <w:spacing w:after="0" w:line="342" w:lineRule="auto"/>
        <w:tabs>
          <w:tab w:leader="none" w:pos="9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all outstanding debt securities of the relevant series must make a written request that the trustee take action because of the default and must offer indemnity to the trustee against the cost and other liabilities of taking that action.</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 day period.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of a majority in principal amount of the debt securities of the affected series may waive any past defaults other than:</w:t>
      </w:r>
    </w:p>
    <w:p>
      <w:pPr>
        <w:spacing w:after="0" w:line="131" w:lineRule="exact"/>
        <w:rPr>
          <w:sz w:val="20"/>
          <w:szCs w:val="20"/>
          <w:color w:val="auto"/>
        </w:rPr>
      </w:pPr>
    </w:p>
    <w:p>
      <w:pPr>
        <w:ind w:left="900" w:hanging="325"/>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payment of principal, any premium or interest;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respect of a covenant that cannot be modified or amended without the consent of each holder.</w:t>
      </w:r>
    </w:p>
    <w:p>
      <w:pPr>
        <w:spacing w:after="0" w:line="221"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Under the terms of the indenture, we are generally permitted to consolidate or merge with another entity. We are also permitted to sell all or substantially all of our assets to another entity. However, unless the prospectus supplement relating to certain debt securities states otherwise, we may not take any of these actions unless all the following conditions are met:</w:t>
      </w:r>
    </w:p>
    <w:p>
      <w:pPr>
        <w:spacing w:after="0" w:line="87" w:lineRule="exact"/>
        <w:rPr>
          <w:sz w:val="20"/>
          <w:szCs w:val="20"/>
          <w:color w:val="auto"/>
        </w:rPr>
      </w:pPr>
    </w:p>
    <w:p>
      <w:pPr>
        <w:ind w:left="900" w:right="240" w:hanging="325"/>
        <w:spacing w:after="0" w:line="277"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Where we merge out of existence or sell all or substantially all our assets, the resulting entity or transferee must agree to be legally responsible for our obligations under the debt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happened and be continuing.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Your Approval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54" w:lineRule="exact"/>
        <w:rPr>
          <w:sz w:val="20"/>
          <w:szCs w:val="20"/>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change the place (except as otherwise described in the prospectus or prospectus supplement) or currency of payment on a debt security;</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modify the subordination provisions in the indenture in a manner that is adverse to outstanding holders of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modify certain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Not Requiring Approval</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establishment of the form or terms of new securities of any series as permitted by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00"/>
          </w:cols>
          <w:pgMar w:left="240" w:top="45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indenture, and certain other changes that would not adversely affect holders of the outstanding debt securities in any material respect, including adding additional covenants or event of default. We also do not need any approval to make any change that affects only debt securities to be issued under the indenture after the change takes effect.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Majority Approval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900" w:hanging="325"/>
        <w:spacing w:after="0"/>
        <w:tabs>
          <w:tab w:leader="none" w:pos="9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If the change affects only one series of debt securities, it must be approved by the holders of a majority in principal amount of that series.</w:t>
      </w:r>
    </w:p>
    <w:p>
      <w:pPr>
        <w:spacing w:after="0" w:line="142" w:lineRule="exact"/>
        <w:rPr>
          <w:rFonts w:ascii="Arial" w:cs="Arial" w:eastAsia="Arial" w:hAnsi="Arial"/>
          <w:sz w:val="17"/>
          <w:szCs w:val="17"/>
          <w:color w:val="auto"/>
        </w:rPr>
      </w:pPr>
    </w:p>
    <w:p>
      <w:pPr>
        <w:ind w:left="900" w:right="140" w:hanging="325"/>
        <w:spacing w:after="0" w:line="342" w:lineRule="auto"/>
        <w:tabs>
          <w:tab w:leader="none" w:pos="9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“—Changes Requiring Your Approval.”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Details Concerning Voting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900" w:right="160" w:hanging="325"/>
        <w:spacing w:after="0" w:line="277"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225"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“—Defeasance—Full Defeasance.”</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83"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Defeasance</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If certain conditions are satisfied,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“—Indenture Provisions—Subordination” below. In order to achieve covenant defeasance, we must do the following:</w:t>
      </w:r>
    </w:p>
    <w:p>
      <w:pPr>
        <w:spacing w:after="0" w:line="94" w:lineRule="exact"/>
        <w:rPr>
          <w:sz w:val="20"/>
          <w:szCs w:val="20"/>
          <w:color w:val="auto"/>
        </w:rPr>
      </w:pPr>
    </w:p>
    <w:p>
      <w:pPr>
        <w:ind w:left="900" w:right="180" w:hanging="325"/>
        <w:spacing w:after="0" w:line="286" w:lineRule="auto"/>
        <w:tabs>
          <w:tab w:leader="none" w:pos="9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confirming that, under current U.S. federal income tax law, we may make the above deposit without causing you to be taxed on the debt securities any differently than if we did not make the deposit and repaid the debt securities at maturity.</w:t>
      </w:r>
    </w:p>
    <w:p>
      <w:pPr>
        <w:spacing w:after="0" w:line="86"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covenant defeasance have been complied with.</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we accomplished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 Defeasance</w:t>
      </w:r>
    </w:p>
    <w:p>
      <w:pPr>
        <w:spacing w:after="0" w:line="117"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2" w:lineRule="exact"/>
        <w:rPr>
          <w:sz w:val="20"/>
          <w:szCs w:val="20"/>
          <w:color w:val="auto"/>
        </w:rPr>
      </w:pPr>
    </w:p>
    <w:p>
      <w:pPr>
        <w:ind w:left="900" w:right="180" w:hanging="325"/>
        <w:spacing w:after="0" w:line="286" w:lineRule="auto"/>
        <w:tabs>
          <w:tab w:leader="none" w:pos="9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ind w:left="900" w:hanging="325"/>
        <w:spacing w:after="0" w:line="276" w:lineRule="auto"/>
        <w:tabs>
          <w:tab w:leader="none" w:pos="9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and repaid the debt securities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77" w:lineRule="exact"/>
        <w:rPr>
          <w:rFonts w:ascii="Arial" w:cs="Arial" w:eastAsia="Arial" w:hAnsi="Arial"/>
          <w:sz w:val="17"/>
          <w:szCs w:val="17"/>
          <w:color w:val="auto"/>
        </w:rPr>
      </w:pPr>
    </w:p>
    <w:p>
      <w:pPr>
        <w:ind w:left="900" w:hanging="325"/>
        <w:spacing w:after="0"/>
        <w:tabs>
          <w:tab w:leader="none" w:pos="9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We must deliver to the trustee a legal opinion and officers’ certificate stating that all conditions precedent to defeasance have been complied with.</w:t>
      </w:r>
    </w:p>
    <w:p>
      <w:pPr>
        <w:spacing w:after="0" w:line="24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we ever accomplished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“—Indenture Provisions—Subordination.”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Holders may exchange their certificated securities, if any, for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Holders may exchange or transfer their certificated securities, if any,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8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if any, but they may be required to pay any tax or other governmental charge associated with the transfer or exchange. The transfer or exchange will be made only if our transfer agent is satisfied with the holder’s proof of legal ownership.</w:t>
      </w:r>
    </w:p>
    <w:p>
      <w:pPr>
        <w:spacing w:after="0" w:line="181" w:lineRule="exact"/>
        <w:rPr>
          <w:sz w:val="20"/>
          <w:szCs w:val="20"/>
          <w:color w:val="auto"/>
        </w:rPr>
      </w:pPr>
    </w:p>
    <w:p>
      <w:pPr>
        <w:jc w:val="both"/>
        <w:ind w:right="160" w:firstLine="456"/>
        <w:spacing w:after="0" w:line="342" w:lineRule="auto"/>
        <w:rPr>
          <w:sz w:val="20"/>
          <w:szCs w:val="20"/>
          <w:color w:val="auto"/>
        </w:rPr>
      </w:pPr>
      <w:r>
        <w:rPr>
          <w:rFonts w:ascii="Arial" w:cs="Arial" w:eastAsia="Arial" w:hAnsi="Arial"/>
          <w:sz w:val="16"/>
          <w:szCs w:val="16"/>
          <w:color w:val="auto"/>
        </w:rPr>
        <w:t>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w:t>
      </w:r>
    </w:p>
    <w:p>
      <w:pPr>
        <w:spacing w:after="0" w:line="12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8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900" w:right="120" w:hanging="325"/>
        <w:spacing w:after="0" w:line="259"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225"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Indebtedness and Ranking</w:t>
      </w:r>
    </w:p>
    <w:p>
      <w:pPr>
        <w:spacing w:after="0" w:line="121"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We may issue two types of unsecured indebtedness obligations: senior and subordinated. Senior unsecured indebtedness obligations refer to those that rank senior in right of payment to all of our future indebtedness that is expressly subordinated in right of payment to such indebtedness. Subordinated unsecured indebtedness obligations refer to those that are expressly subordinated in right of payment to other unsecured obligations.</w:t>
      </w:r>
    </w:p>
    <w:p>
      <w:pPr>
        <w:spacing w:after="0" w:line="166"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Our debt securities, whether secured or unsecured, will rank structurally junior to all existing and future indebtedness (including trade payables) incurred by our subsidiaries, financing vehicles or similar facilities.</w:t>
      </w:r>
    </w:p>
    <w:p>
      <w:pPr>
        <w:spacing w:after="0" w:line="15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As a result, the holders of unsecured indenture securities may recover less, ratably, than holders of any of our secured indebtedness.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Wells Fargo Bank, National Association, will serve as the trustee under the indenture.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00"/>
          </w:cols>
          <w:pgMar w:left="240" w:top="460"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Debt Securities</w:t>
      </w:r>
    </w:p>
    <w:p>
      <w:pPr>
        <w:spacing w:after="0" w:line="121"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The Depository Trust Company, New York, NY, or DTC, will act as securities depository for the debt securities. The debt securities will be issued as fully registered securities registered in the name of Cede &amp; Co. (DTC’s partnership nominee) or such other name as may be requested by an authorized representative of DTC. One fully-registered certificate will be issued for the debt securities,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w:t>
      </w:r>
    </w:p>
    <w:p>
      <w:pPr>
        <w:spacing w:after="0" w:line="158"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DTC, the world’s largest securities depository,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U.S. and non-U.S. equity,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w:t>
      </w:r>
    </w:p>
    <w:p>
      <w:pPr>
        <w:spacing w:after="0" w:line="19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The DTC Rules applicable to its Participants are on file with the SEC.</w:t>
      </w:r>
    </w:p>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Purchases of debt securities under the DTC system must be made by or through Direct Participants, which will receive a credit for the debt securities on DTC’s records. The ownership interest of each actual purchaser of each security, or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w:t>
      </w:r>
    </w:p>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w:t>
      </w:r>
    </w:p>
    <w:p>
      <w:pPr>
        <w:spacing w:after="0" w:line="19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Redemption notices shall be sent to DTC. If less than all of the debt securities within an issue are being redeemed, DTC’s practice is to determine by lot the amount of the interest of each Direct Participant in such issue to be redeemed.</w:t>
      </w:r>
    </w:p>
    <w:p>
      <w:pPr>
        <w:spacing w:after="0" w:line="17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w:t>
      </w:r>
    </w:p>
    <w:p>
      <w:pPr>
        <w:spacing w:after="0" w:line="18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Redemption proceeds, distributions, and dividend payments on the debt securities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its nominee, the trustee, or us, subject to any statutory or regulatory requirements as may be in effect from time to time. Payment of redemption proceeds, distributions, and dividend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w:t>
      </w:r>
    </w:p>
    <w:p>
      <w:pPr>
        <w:spacing w:after="0" w:line="182"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DTC may discontinue providing its services as depository with respect to the debt securities at any time by giving reasonable notice to us or to the trustee. Under such circumstances, in the event that a successor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Sales of substantial amounts of our common stock in the public market, or the perception that such sales could occur, could adversely affect the prevailing market price of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general, under Rule 144 under the Securities Act, or Rule 144, a person (or persons whose shares are aggregated) who is not deemed to have been an affiliate of ours at any time during the three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7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1% of the then outstanding shares of our common stock or the average weekly trading volume of our common stock during the four calendar weeks preceding such sale. Such sales are also subject to certain manner of sale provisions, notice requirements and the availability of current public information about us (which requires that we are current in our periodic reports under the Exchange Act).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We are regulated as a BDC under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8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As a BDC, we are permitted, under specified conditions, to issue multiple classes of indebtedness and one class of shares senior to our common stock if our asset coverage, as defined in the 1940 Act, is at least equal to 200% immediately after any borrowing or issuance. In addition, while any preferred stock or publicly traded debt securities are outstanding, we may be prohibited from making distributions to our stockholders or repurchasing securities or shares unless we meet the applicable asset coverage ratio at the time of the distribution or repurchase. We may also borrow amounts up to 5% of the value of our total assets for temporary or emergency purposes without regard to asset coverage. For a discussion of the risks associated with leverage, see “Risk Factors— Risks Related to Our Business and Structure—We borrow money, which magnifies the potential for gain or loss and increases the risk of investing in us.”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2015 and December 31, 2014, our asset coverage was 273.4% and 311.0%, respectively.</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w:t>
      </w:r>
    </w:p>
    <w:p>
      <w:pPr>
        <w:spacing w:after="0" w:line="87" w:lineRule="exact"/>
        <w:rPr>
          <w:sz w:val="20"/>
          <w:szCs w:val="20"/>
          <w:color w:val="auto"/>
        </w:rPr>
      </w:pPr>
    </w:p>
    <w:p>
      <w:pPr>
        <w:ind w:left="900" w:right="40" w:hanging="325"/>
        <w:spacing w:after="0" w:line="277"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67% or more of such company’s voting securities present at a meeting if more than 50% of the outstanding voting securities of such company are present or represented by proxy;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more than 50% of the outstanding voting securities of such company. We do not anticipate any substantial change in the nature of our business.</w:t>
      </w:r>
    </w:p>
    <w:p>
      <w:pPr>
        <w:spacing w:after="0" w:line="24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expenses. Our investment portfolio is also subject to diversification requirements by virtue of our status as a RIC for U.S. federal income tax purposes. See “Material U.S. Federal Income Tax Considerations—Regulated Investment Company Classification” for more information.</w:t>
      </w:r>
    </w:p>
    <w:p>
      <w:pPr>
        <w:spacing w:after="0" w:line="165" w:lineRule="exact"/>
        <w:rPr>
          <w:sz w:val="20"/>
          <w:szCs w:val="20"/>
          <w:color w:val="auto"/>
        </w:rPr>
      </w:pPr>
    </w:p>
    <w:p>
      <w:pPr>
        <w:jc w:val="both"/>
        <w:ind w:right="280" w:firstLine="456"/>
        <w:spacing w:after="0" w:line="279" w:lineRule="auto"/>
        <w:rPr>
          <w:sz w:val="20"/>
          <w:szCs w:val="20"/>
          <w:color w:val="auto"/>
        </w:rPr>
      </w:pPr>
      <w:r>
        <w:rPr>
          <w:rFonts w:ascii="Arial" w:cs="Arial" w:eastAsia="Arial" w:hAnsi="Arial"/>
          <w:sz w:val="17"/>
          <w:szCs w:val="17"/>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are generally not able to issue and sell our common stock at a price below net asset value per share. See “Risk Factors—Risks Related to Our Business and Structure—Regulations governing our operation as a BDC affect our ability to, and the way in which we, raise additional capital.”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We may in the future seek such approval; however, there is no assurance such approval will be obtained. In this case, the price at which our securities are to be issued and sold may not be less than a price that, in the determination of our Board, closely approximates the market value of such securities. In addition, we may generally issue new common stock at a price below net asset value in rights offerings to existing stockholders, in payment of dividends and in certain other limited circumstances.</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relief order (other than in certain limited situations pursuant to current regulatory guidance).</w:t>
      </w:r>
    </w:p>
    <w:p>
      <w:pPr>
        <w:spacing w:after="0" w:line="18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December 16, 2014, we were granted an exemptive relief order from the SEC that, if certain conditions are met, allows us to co-invest with affiliates of TSSP and TPG in middle-market loan origination activities for companies domiciled in the United States and certain “follow-on” investments in companies in which we have already co-invested pursuant to the order and remain invested. Pursuant to the exemptive relief order, to the extent the size of an investment opportunity exceeds the amount our Adviser has independently determined is appropriate for us to invest, our affiliates may be able to co-invest with us, subject to the approval of a majority of our Independent Directors. See “Related-Party Transactions and Certain Relationships—Exemptive Relief” for more information on the terms of the exemptive relief order.</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subject to periodic examination by the SEC for compliance with the 1940 Act.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BDC, we are subject to certain risks and uncertainties. See “Risk Factors—Risks Related to Our Business and Structure.”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Under the 1940 Act, a BDC may not acquire any assets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87" w:lineRule="exact"/>
        <w:rPr>
          <w:sz w:val="20"/>
          <w:szCs w:val="20"/>
          <w:color w:val="auto"/>
        </w:rPr>
      </w:pPr>
    </w:p>
    <w:p>
      <w:pPr>
        <w:ind w:left="900" w:right="200" w:hanging="325"/>
        <w:spacing w:after="0" w:line="259"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us) or a company that would be an investment company but for certain exclusions under the 1940 Act;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130" w:lineRule="exact"/>
        <w:rPr>
          <w:rFonts w:ascii="Arial" w:cs="Arial" w:eastAsia="Arial" w:hAnsi="Arial"/>
          <w:sz w:val="18"/>
          <w:szCs w:val="18"/>
          <w:color w:val="auto"/>
        </w:rPr>
      </w:pPr>
    </w:p>
    <w:p>
      <w:pPr>
        <w:ind w:left="1480" w:right="600" w:hanging="446"/>
        <w:spacing w:after="0" w:line="277" w:lineRule="auto"/>
        <w:tabs>
          <w:tab w:leader="none" w:pos="14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has an equity market capitalization of less than $250 million or does not have any class of securities listed on a national securities exchange;</w:t>
      </w:r>
    </w:p>
    <w:p>
      <w:pPr>
        <w:spacing w:after="0" w:line="75" w:lineRule="exact"/>
        <w:rPr>
          <w:rFonts w:ascii="Arial" w:cs="Arial" w:eastAsia="Arial" w:hAnsi="Arial"/>
          <w:sz w:val="18"/>
          <w:szCs w:val="18"/>
          <w:color w:val="auto"/>
        </w:rPr>
      </w:pPr>
    </w:p>
    <w:p>
      <w:pPr>
        <w:ind w:left="1480" w:right="180" w:hanging="446"/>
        <w:spacing w:after="0" w:line="264" w:lineRule="auto"/>
        <w:tabs>
          <w:tab w:leader="none" w:pos="14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is controlled by a BDC or a group of companies including a BDC, the BDC actually exercises a controlling influence over the management or policies of the eligible portfolio company, and, as a result thereof, the BDC has an affiliated person who is a director of the eligible portfolio company; or</w:t>
      </w:r>
    </w:p>
    <w:p>
      <w:pPr>
        <w:spacing w:after="0" w:line="86" w:lineRule="exact"/>
        <w:rPr>
          <w:rFonts w:ascii="Arial" w:cs="Arial" w:eastAsia="Arial" w:hAnsi="Arial"/>
          <w:sz w:val="18"/>
          <w:szCs w:val="18"/>
          <w:color w:val="auto"/>
        </w:rPr>
      </w:pPr>
    </w:p>
    <w:p>
      <w:pPr>
        <w:ind w:left="1480" w:hanging="446"/>
        <w:spacing w:after="0"/>
        <w:tabs>
          <w:tab w:leader="none" w:pos="1480" w:val="left"/>
        </w:tabs>
        <w:numPr>
          <w:ilvl w:val="1"/>
          <w:numId w:val="135"/>
        </w:numPr>
        <w:rPr>
          <w:rFonts w:ascii="Arial" w:cs="Arial" w:eastAsia="Arial" w:hAnsi="Arial"/>
          <w:sz w:val="17"/>
          <w:szCs w:val="17"/>
          <w:color w:val="auto"/>
        </w:rPr>
      </w:pPr>
      <w:r>
        <w:rPr>
          <w:rFonts w:ascii="Arial" w:cs="Arial" w:eastAsia="Arial" w:hAnsi="Arial"/>
          <w:sz w:val="17"/>
          <w:szCs w:val="17"/>
          <w:color w:val="auto"/>
        </w:rPr>
        <w:t>is a small and solvent company having total assets of not more than $4 million and capital and surplus of not less than $2 million.</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Securities of any eligible portfolio company that we control.</w:t>
      </w:r>
    </w:p>
    <w:p>
      <w:pPr>
        <w:spacing w:after="0" w:line="13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92"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above, or pursuant to the exercise of warrants or rights relating to such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Cash, cash equivalents, U.S. Government securities or high-quality debt securities maturing in one year or less from the time of investment.</w:t>
      </w:r>
    </w:p>
    <w:p>
      <w:pPr>
        <w:spacing w:after="0" w:line="23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such that at least 70% of our assets are qualifying assets. Our Adviser will monitor the creditworthiness of the counterparties with which we enter into repurchase agreement transactions.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 BDC must be operated for the purpose of making investments in the types of securities described under “—Qualifying Assets” above. However, to count portfolio securities as qualifying assets for the purpose of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00"/>
          </w:cols>
          <w:pgMar w:left="240" w:top="460" w:right="2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70% test, the BDC must offer to make available to the issuer of the securities (other than small and solvent companies described above) significant managerial assistance; except that, where the BDC purchases such securities in conjunction with one or more other persons acting together, the BDC will satisfy this test if one of the other persons in the group makes available such managerial assistance. Making available managerial assistance means, among other things, either controlling the issuer of the securities or any arrangement whereby the BDC, through its directors, officers or employees, offers to provide, and, if accepted, does in fact provide, significant guidance and counsel concerning the management, operations or business objectives and policies of a portfolio company.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As required by the Advisers Act and the 1940 Act, we and the Adviser have adopted codes of ethics which apply to, among others, our and our Adviser’s executive officers, including our Co-Chief Executive Officers and Chief Financial Officer, as well as our Adviser’s officers, directors and employees. The codes of ethics establish procedures for personal investments and restrict certain personal securities transactions. Personnel subject to the codes may invest in securities for their personal investment accounts, including securities that may be purchased or held by us, so long as such investments are made in accordance with the codes’ requirements.</w:t>
      </w:r>
    </w:p>
    <w:p>
      <w:pPr>
        <w:spacing w:after="0" w:line="18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You may read and copy the codes of ethics at the SEC’s Public Reference Room in Washington, D.C. You may obtain information on the operation of the Public Reference Room by calling the SEC at 1-800-SEC-0330. In addition, the codes of ethics are attached as exhibits to the registration statement of which this prospectus is a part, and are available on the SEC’s internet site at http://www.sec.gov. You may also obtain copies of the codes of ethics, after paying a duplicating fee, by electronic request at the following e-mail address: publicinfo@sec.gov, or by writing the SEC’s Public Reference Section at 100 F Street, N.E., Room 1580, Washington, D.C. 20549. We also hereby undertake to provide a copy of these codes to any person, without charge, upon request. Requests for a copy of the codes may be made in writing addressed to our Secretary, Jennifer Mello, TPG Specialty Lending, Inc., 345 California Street, Suite 3300, San Francisco, CA 94104, Attention: TSLX Investor Relations, or by emailing us at IRTSL@tpg.com.</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Policies and Procedures</w:t>
      </w:r>
    </w:p>
    <w:p>
      <w:pPr>
        <w:spacing w:after="0" w:line="121"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We and our Adviser have adopted and implemented written policies and procedures reasonably designed to detect and prevent violation of the federal securities laws and we are required to review these compliance policies and procedures annually for their adequacy and the effectiveness of their implementation and designate a Chief Compliance Officer to be responsible for administering the policies and procedures.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Sarbanes-Oxley Act imposes a wide variety of regulatory requirements on certain publicly held companies and their insiders. Assuming certain requirements are met, many of these requirements affect us. For example:</w:t>
      </w:r>
    </w:p>
    <w:p>
      <w:pPr>
        <w:spacing w:after="0" w:line="76" w:lineRule="exact"/>
        <w:rPr>
          <w:sz w:val="20"/>
          <w:szCs w:val="20"/>
          <w:color w:val="auto"/>
        </w:rPr>
      </w:pPr>
    </w:p>
    <w:p>
      <w:pPr>
        <w:ind w:left="900" w:right="200" w:hanging="325"/>
        <w:spacing w:after="0" w:line="277"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pursuant to Rule 13a-14 of the Exchange Act, our Co-Chief Executive Officers and Chief Financial Officer certify the accuracy of the financial statements contained in our periodic reports;</w:t>
      </w:r>
    </w:p>
    <w:p>
      <w:pPr>
        <w:spacing w:after="0" w:line="75"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disclose our conclusions about the effectiveness of our disclosure controls and procedures;</w:t>
      </w:r>
    </w:p>
    <w:p>
      <w:pPr>
        <w:spacing w:after="0" w:line="75" w:lineRule="exact"/>
        <w:rPr>
          <w:rFonts w:ascii="Arial" w:cs="Arial" w:eastAsia="Arial" w:hAnsi="Arial"/>
          <w:sz w:val="18"/>
          <w:szCs w:val="18"/>
          <w:color w:val="auto"/>
        </w:rPr>
      </w:pPr>
    </w:p>
    <w:p>
      <w:pPr>
        <w:ind w:left="900" w:right="180" w:hanging="325"/>
        <w:spacing w:after="0" w:line="264"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pursuant to Rule 13a-15 of the Exchange Act, subject to certain assumptions, our management is required to prepare an annual report regarding its assessment of our internal control over financial reporting, which is required to be audited by our independent registered public accounting firm;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40" w:hanging="325"/>
        <w:spacing w:after="0" w:line="286" w:lineRule="auto"/>
        <w:tabs>
          <w:tab w:leader="none" w:pos="9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pursuant to Item 308 of Regulation S-K and Rule 13a-15 of the Exchange Act, our periodic reports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66" w:lineRule="exact"/>
        <w:rPr>
          <w:sz w:val="20"/>
          <w:szCs w:val="20"/>
          <w:color w:val="auto"/>
        </w:rPr>
      </w:pPr>
    </w:p>
    <w:p>
      <w:pPr>
        <w:jc w:val="both"/>
        <w:ind w:right="400" w:firstLine="456"/>
        <w:spacing w:after="0" w:line="264" w:lineRule="auto"/>
        <w:rPr>
          <w:sz w:val="20"/>
          <w:szCs w:val="20"/>
          <w:color w:val="auto"/>
        </w:rPr>
      </w:pPr>
      <w:r>
        <w:rPr>
          <w:rFonts w:ascii="Arial" w:cs="Arial" w:eastAsia="Arial" w:hAnsi="Arial"/>
          <w:sz w:val="18"/>
          <w:szCs w:val="18"/>
          <w:color w:val="auto"/>
        </w:rPr>
        <w:t>The Sarbanes-Oxley Act requires us to review our policies and procedures to determine whether we comply with the Sarbanes-Oxley Act and the regulations promulgated thereunder. We continue to monitor our compliance with all regulations that are adopted under the Sarbanes-Oxley Act and take actions necessary to ensure that we are in compliance therewith.</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NYSE Corporate Governance Rules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NYSE has adopted corporate governance rules that listed companies must comply with. We believe we are in compliance with these rules.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121" w:lineRule="exact"/>
        <w:rPr>
          <w:sz w:val="20"/>
          <w:szCs w:val="20"/>
          <w:color w:val="auto"/>
        </w:rPr>
      </w:pPr>
    </w:p>
    <w:p>
      <w:pPr>
        <w:ind w:right="760" w:firstLine="456"/>
        <w:spacing w:after="0" w:line="308" w:lineRule="auto"/>
        <w:rPr>
          <w:sz w:val="20"/>
          <w:szCs w:val="20"/>
          <w:color w:val="auto"/>
        </w:rPr>
      </w:pPr>
      <w:r>
        <w:rPr>
          <w:rFonts w:ascii="Arial" w:cs="Arial" w:eastAsia="Arial" w:hAnsi="Arial"/>
          <w:sz w:val="17"/>
          <w:szCs w:val="17"/>
          <w:color w:val="auto"/>
        </w:rPr>
        <w:t>We delegate our proxy voting responsibility to our Adviser. The Proxy Voting Policies and Procedures of our Adviser are set forth below. The guidelines are reviewed periodically by the Adviser and our Independent Directors, and, accordingly, are subject to change.</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Adviser will vote all proxies based upon the guiding principle of seeking the maximization of the ultimate long-term economic value of our stockholders’ holdings, and ultimately all votes are cast on a case-by-case basis, taking into consideration the contractual obligations under the relevant advisory agreements or comparable documents, and all other relevant facts and circumstances at the time of the vote. All proxy voting decisions will require a mandatory conflicts of interest review by our Chief Compliance Officer in accordance with these policies and procedures, which will include consideration of whether the Adviser or any investment professional or other person recommending how to vote the proxy has an interest in how the proxy is voted that may present a conflict of interest. It is the Adviser’s general policy to vote or give consent on all matters presented to security holders in any proxy, and these policies and procedures have been designed with that in mind. However, the Adviser reserves the right to abstain on any particular vote or otherwise withhold its vote or consent on any matter if, in the judgment of our Chief Compliance Officer or the relevant investment professional(s), the costs associated with voting such proxy outweigh the benefits to our stockholders or if the circumstances make such an abstention or withholding otherwise advisable and in the best interest of the relevant stockholder(s).</w:t>
      </w:r>
    </w:p>
    <w:p>
      <w:pPr>
        <w:spacing w:after="0" w:line="178"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You may obtain information about how the Adviser voted proxies, free of charge, by making a written request for proxy voting information to: TSL Advisers, 345 California Street, Suite 3300 San Francisco, CA 94104, Attention: TSLX Investor Relations, or by emailing us at IRTSL@tpg.com. The SEC also maintains a website at http://www.sec.gov that contains such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Principles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are committed to maintaining the confidentiality, integrity and security of nonpublic personal information relating to investors. The following information is provided to help investors understand what personal information we collect, how we protect that information and why, in certain cases, we may share information with select other parties.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generally will not receive any nonpublic personal information relating to stockholders who purchase common stock. We may collect nonpublic personal information regarding certain investors from sources such as subscription agreements, investor questionnaires and other forms; individual investors’ account histories; and correspondence between us and individual investors. We may share information that we collect regarding an investor with our affiliates and the employees of such affiliates for legitimate business purposes, for example, to 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transactions or our transactions.</w:t>
      </w:r>
    </w:p>
    <w:p>
      <w:pPr>
        <w:spacing w:after="0" w:line="17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Any party that receives nonpublic personal information relating to investors from us is permitted to use the information only for legitimate business purposes or as otherwise required or permitted by applicable law or regulation. In this regard, our officers, employees and agents and those of our affiliates, access to such information is restricted to those who need such access to provide services to us and our investors. We maintain physical, electronic and procedural safeguards to seek to guard investor nonpublic personal information.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Obligations</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We will furnish our stockholders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make available on our website (www.tpgspecialtylending.com) our proxy statements, our annual reports on Form 10-K, quarterly reports on Form 10-Q and our current reports on Form 8-K. We also provide electronic or paper copies of our filings free of charge upon request. Requests may be made in writing addressed to us at 345 California Street, Suite 3300, San Francisco, CA 94104, Attention: TSLX Investor Relations, or by emailing us at IRTSL@tpg.com.</w:t>
      </w:r>
    </w:p>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Investors and the public may also read and copy any materials we file with the SEC at the SEC’s Public Reference Room at 100 F Street, N.E., Room 1580, Washington, DC 20549. The public may also obtain information on the operation of the Public Reference Room by calling the SEC at 1-800-SEC-0330. The SEC also maintains a website (www.sec.gov) that contains this information.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360"/>
          </w:cols>
          <w:pgMar w:left="240" w:top="460" w:right="29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CUSTODIAN, TRANSFER AND DIVIDEND PAYING AGENT AND REGISTRAR</w:t>
      </w:r>
    </w:p>
    <w:p>
      <w:pPr>
        <w:spacing w:after="0" w:line="229"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securities and loan documents are held by State Street Bank and Trust Company pursuant to a custodian agreement, and will serve as our transfer agent, distribution paying agent and registrar. The principal business address of State Street Bank and Trust Company is 1 Lincoln Street, Boston, Massachusetts 02111.</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BROKERAGE ALLOCATION AND OTHER PRACTICES</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Since we will acquire and dispose of many of our investments in privately negotiated transactions, many of the transactions that we engage in will not require the use of brokers or the payment of brokerage commissions. 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 The Adviser generally will seek reasonably competitive trade execution costs but will not necessarily pay the lowest spread or commission available. Subject to applicable legal requirements and consistent with Section 28(e) of the Exchange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in one or more underwritten public offerings, at-the-market offerings, negotiated transactions, block trades, best efforts or a combination of these methods.</w:t>
      </w:r>
    </w:p>
    <w:p>
      <w:pPr>
        <w:spacing w:after="0" w:line="18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may sell the securities through underwriters or dealers, directly to one or more purchasers, including existing stockholders in a rights offering, through agents designated from time to time by us or through a combination of any such methods of sale.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will receive from the sale; any over-allotment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any securities exchange or market on which the securities may be listed; and, in the case of a rights offering, the number of shares of our common stock issuable upon the exercise of each right. Only underwriters named in the prospectus supplement will be underwriters of the securities offered by the prospectus supplement.</w:t>
      </w:r>
    </w:p>
    <w:p>
      <w:pPr>
        <w:spacing w:after="0" w:line="16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any common stock offered by us, less any underwriting commissions or discounts, must equal or exceed the net asset value per share of our common stock at the time of the offering except (a) in connection with a rights offering to our existing stockholders, (b) with the consent of the majority of our outstanding voting securities or (c) under such circumstances as the SEC may permit. The price at which securities may be distributed may represent a discount from prevailing market prices.</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the Financial Industry Regulatory Authority, or FINRA, or independent broker-dealer will not be greater than 8% of the gross proceeds of the sale of securities offered pursuant to this prospectus and any applicable prospectus supplement. We may also reimburse the underwriter or agent for certain fees and legal expenses incurred by it.</w:t>
      </w:r>
    </w:p>
    <w:p>
      <w:pPr>
        <w:spacing w:after="0" w:line="17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the agent will act on a best-efforts basis for the period of its appointment.</w:t>
      </w:r>
    </w:p>
    <w:p>
      <w:pPr>
        <w:spacing w:after="0" w:line="18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Unless otherwise specified in the applicable prospectus supplement, each class or series of securities will be a new issue with no trading market, other than our common stock, which is traded on the NYSE. We may elect to list any other class or series of securities on any exchanges, but we are not obligated to do so. We cannot guarantee the liquidity of the trading markets for any securities.</w:t>
      </w:r>
    </w:p>
    <w:p>
      <w:pPr>
        <w:spacing w:after="0" w:line="18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Under agreements that we may enter, underwriters, dealers and agents who participate in the distribution of the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spacing w:after="0" w:line="18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so indicated in the applicable prospectus supplement, we will authorize underwriters or other persons acting as agents to solicit offers by certain institutions to purchase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spacing w:after="0" w:line="19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w:t>
      </w:r>
    </w:p>
    <w:p>
      <w:pPr>
        <w:spacing w:after="0" w:line="193"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 order to comply with the securities laws of certain states, if applicable, the securities offered hereby will be sold in such jurisdictions only through registered or licensed brokers or dealers.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380"/>
          </w:cols>
          <w:pgMar w:left="240" w:top="459" w:right="27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legality of the securities offered hereby will be passed upon for us by Cleary Gottlieb Steen &amp; Hamilton LLP, New York, New York. In addition, Sutherland Asbill &amp; Brennan LLP and Morris, Nichols, Arsht &amp; Tunnell LLP will pass on certain legal matters for us. Cleary Gottlieb Steen &amp; Hamilton LLP also represents the Adviser. Certain legal matters in connection with the offering will be passed upon for the underwriters, if any, by the counsel named in the prospectus supplement.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consolidated financial statements of TPG Specialty Lending, Inc. (and subsidiaries) as of December 31, 2014 and 2013, and for each of the years in the three-year period ended December 31, 2014 and the Senior Securities schedule under the heading “Senior Securities” have been included herein and in the registration statement in reliance upon the reports of KPMG LLP, 55 Second Street, Suite 1400, San Francisco, CA 94105, independent registered public accounting firm, appearing elsewhere herein, and upon the authority of said firm as experts in accounting and auditing.</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file with or submit to the SEC periodic and current reports, proxy statements and other information meeting the informational requirements of the Exchange Act. You may inspect and copy these reports, proxy statements and other information, as well as the registration statement and related exhibits and schedules, at the SEC’s Public Reference Room at 100 F Street, N.E., Washington, D.C. 20549-0102. You may obtain information on the operation of the Public Reference Room by calling the SEC at 1-800-SEC-0330.</w:t>
      </w:r>
    </w:p>
    <w:p>
      <w:pPr>
        <w:spacing w:after="0" w:line="18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We maintain a website at http://www.tpgspecialtylending.com and make all of our periodic and current reports, proxy statements and other publicly filed information available, free of charge, on or through our website. Information contained on our website is not incorporated into this prospectus, and you should not consider information on our website to be part of this prospectus. You may also obtain such information by contacting us in writing at 345 California Street Suite 3300, San Francisco, CA 94104, Attention: TSLX Investor Relations, or by emailing us at IRTSL@tpg.com. The SEC maintains a website that contains reports, proxy and information statements and other information we file with the SEC at www.sec.gov. Copies of these reports, proxy and information statements and other information may also be obtained, after paying a duplicating fee, by electronic request at the following e-mail address: publicinfo@sec.gov, or by writing the SEC’s Public Reference Section, 100 F Street, N.E., Washington, D.C. 20549-0102.</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20"/>
          </w:cols>
          <w:pgMar w:left="240" w:top="459" w:right="23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207"/>
        </w:trPr>
        <w:tc>
          <w:tcPr>
            <w:tcW w:w="9520" w:type="dxa"/>
            <w:vAlign w:val="bottom"/>
            <w:gridSpan w:val="14"/>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18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1800" w:type="dxa"/>
            <w:vAlign w:val="bottom"/>
          </w:tcPr>
          <w:p>
            <w:pPr>
              <w:spacing w:after="0"/>
              <w:rPr>
                <w:sz w:val="24"/>
                <w:szCs w:val="24"/>
                <w:color w:val="auto"/>
              </w:rPr>
            </w:pPr>
          </w:p>
        </w:tc>
        <w:tc>
          <w:tcPr>
            <w:tcW w:w="6360" w:type="dxa"/>
            <w:vAlign w:val="bottom"/>
            <w:gridSpan w:val="12"/>
          </w:tcPr>
          <w:p>
            <w:pPr>
              <w:jc w:val="center"/>
              <w:ind w:right="1240"/>
              <w:spacing w:after="0"/>
              <w:rPr>
                <w:sz w:val="20"/>
                <w:szCs w:val="20"/>
                <w:color w:val="auto"/>
              </w:rPr>
            </w:pPr>
            <w:r>
              <w:rPr>
                <w:rFonts w:ascii="Arial" w:cs="Arial" w:eastAsia="Arial" w:hAnsi="Arial"/>
                <w:sz w:val="18"/>
                <w:szCs w:val="18"/>
                <w:b w:val="1"/>
                <w:bCs w:val="1"/>
                <w:color w:val="auto"/>
              </w:rPr>
              <w:t>INDEX TO CONSOLIDATED FINANCIAL STATEMENTS</w:t>
            </w:r>
          </w:p>
        </w:tc>
        <w:tc>
          <w:tcPr>
            <w:tcW w:w="1800" w:type="dxa"/>
            <w:vAlign w:val="bottom"/>
          </w:tcPr>
          <w:p>
            <w:pPr>
              <w:spacing w:after="0"/>
              <w:rPr>
                <w:sz w:val="24"/>
                <w:szCs w:val="24"/>
                <w:color w:val="auto"/>
              </w:rPr>
            </w:pPr>
          </w:p>
        </w:tc>
      </w:tr>
      <w:tr>
        <w:trPr>
          <w:trHeight w:val="445"/>
        </w:trPr>
        <w:tc>
          <w:tcPr>
            <w:tcW w:w="9520" w:type="dxa"/>
            <w:vAlign w:val="bottom"/>
            <w:gridSpan w:val="14"/>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1800" w:type="dxa"/>
            <w:vAlign w:val="bottom"/>
          </w:tcPr>
          <w:p>
            <w:pPr>
              <w:spacing w:after="0"/>
              <w:rPr>
                <w:sz w:val="24"/>
                <w:szCs w:val="24"/>
                <w:color w:val="auto"/>
              </w:rPr>
            </w:pPr>
          </w:p>
        </w:tc>
      </w:tr>
      <w:tr>
        <w:trPr>
          <w:trHeight w:val="190"/>
        </w:trPr>
        <w:tc>
          <w:tcPr>
            <w:tcW w:w="9520" w:type="dxa"/>
            <w:vAlign w:val="bottom"/>
            <w:gridSpan w:val="14"/>
          </w:tcPr>
          <w:p>
            <w:pPr>
              <w:spacing w:after="0" w:line="190" w:lineRule="exact"/>
              <w:rPr>
                <w:rFonts w:ascii="Arial" w:cs="Arial" w:eastAsia="Arial" w:hAnsi="Arial"/>
                <w:sz w:val="18"/>
                <w:szCs w:val="18"/>
                <w:color w:val="0000EE"/>
              </w:rPr>
            </w:pPr>
            <w:hyperlink w:anchor="page189">
              <w:r>
                <w:rPr>
                  <w:rFonts w:ascii="Arial" w:cs="Arial" w:eastAsia="Arial" w:hAnsi="Arial"/>
                  <w:sz w:val="18"/>
                  <w:szCs w:val="18"/>
                  <w:color w:val="0000EE"/>
                </w:rPr>
                <w:t>Report of Independent Registered Public Accounting Firm</w:t>
              </w:r>
            </w:hyperlink>
          </w:p>
        </w:tc>
        <w:tc>
          <w:tcPr>
            <w:tcW w:w="18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90">
              <w:r>
                <w:rPr>
                  <w:rFonts w:ascii="Arial" w:cs="Arial" w:eastAsia="Arial" w:hAnsi="Arial"/>
                  <w:sz w:val="18"/>
                  <w:szCs w:val="18"/>
                  <w:color w:val="0000EE"/>
                  <w:w w:val="88"/>
                </w:rPr>
                <w:t>Consolidated Balance Sheets as of December 31, 2014 and 2013</w:t>
              </w:r>
            </w:hyperlink>
          </w:p>
        </w:tc>
        <w:tc>
          <w:tcPr>
            <w:tcW w:w="4860" w:type="dxa"/>
            <w:vAlign w:val="bottom"/>
            <w:gridSpan w:val="10"/>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9520" w:type="dxa"/>
            <w:vAlign w:val="bottom"/>
            <w:gridSpan w:val="14"/>
          </w:tcPr>
          <w:p>
            <w:pPr>
              <w:spacing w:after="0" w:line="196" w:lineRule="exact"/>
              <w:rPr>
                <w:rFonts w:ascii="Arial" w:cs="Arial" w:eastAsia="Arial" w:hAnsi="Arial"/>
                <w:sz w:val="18"/>
                <w:szCs w:val="18"/>
                <w:color w:val="0000EE"/>
              </w:rPr>
            </w:pPr>
            <w:hyperlink w:anchor="page191">
              <w:r>
                <w:rPr>
                  <w:rFonts w:ascii="Arial" w:cs="Arial" w:eastAsia="Arial" w:hAnsi="Arial"/>
                  <w:sz w:val="18"/>
                  <w:szCs w:val="18"/>
                  <w:color w:val="0000EE"/>
                </w:rPr>
                <w:t>Consolidated Statements of Operations for the Years Ended December 31, 2014, 2013 and 2012</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69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Consolidated Schedules of Investments as of December 31, 2014 and 2013</w:t>
              </w:r>
            </w:hyperlink>
          </w:p>
        </w:tc>
        <w:tc>
          <w:tcPr>
            <w:tcW w:w="2620" w:type="dxa"/>
            <w:vAlign w:val="bottom"/>
            <w:gridSpan w:val="4"/>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520" w:type="dxa"/>
            <w:vAlign w:val="bottom"/>
            <w:gridSpan w:val="14"/>
          </w:tcPr>
          <w:p>
            <w:pPr>
              <w:spacing w:after="0" w:line="196" w:lineRule="exact"/>
              <w:rPr>
                <w:rFonts w:ascii="Arial" w:cs="Arial" w:eastAsia="Arial" w:hAnsi="Arial"/>
                <w:sz w:val="18"/>
                <w:szCs w:val="18"/>
                <w:color w:val="0000EE"/>
              </w:rPr>
            </w:pPr>
            <w:hyperlink w:anchor="page199">
              <w:r>
                <w:rPr>
                  <w:rFonts w:ascii="Arial" w:cs="Arial" w:eastAsia="Arial" w:hAnsi="Arial"/>
                  <w:sz w:val="18"/>
                  <w:szCs w:val="18"/>
                  <w:color w:val="0000EE"/>
                </w:rPr>
                <w:t>Consolidated Statements of Changes in Net Assets for the Years Ended December 31, 2014, 2013 and 2012</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F-12</w:t>
            </w:r>
          </w:p>
        </w:tc>
      </w:tr>
      <w:tr>
        <w:trPr>
          <w:trHeight w:val="196"/>
        </w:trPr>
        <w:tc>
          <w:tcPr>
            <w:tcW w:w="7740" w:type="dxa"/>
            <w:vAlign w:val="bottom"/>
            <w:tcBorders>
              <w:top w:val="single" w:sz="8" w:color="0000EE"/>
            </w:tcBorders>
            <w:gridSpan w:val="13"/>
          </w:tcPr>
          <w:p>
            <w:pPr>
              <w:spacing w:after="0" w:line="196" w:lineRule="exact"/>
              <w:rPr>
                <w:rFonts w:ascii="Arial" w:cs="Arial" w:eastAsia="Arial" w:hAnsi="Arial"/>
                <w:sz w:val="18"/>
                <w:szCs w:val="18"/>
                <w:color w:val="0000EE"/>
                <w:w w:val="99"/>
              </w:rPr>
            </w:pPr>
            <w:hyperlink w:anchor="page200">
              <w:r>
                <w:rPr>
                  <w:rFonts w:ascii="Arial" w:cs="Arial" w:eastAsia="Arial" w:hAnsi="Arial"/>
                  <w:sz w:val="18"/>
                  <w:szCs w:val="18"/>
                  <w:color w:val="0000EE"/>
                  <w:w w:val="99"/>
                </w:rPr>
                <w:t>Consolidated Statements of Cash Flows for the Years Ended December 31, 2014, 2013 and 2012</w:t>
              </w:r>
            </w:hyperlink>
          </w:p>
        </w:tc>
        <w:tc>
          <w:tcPr>
            <w:tcW w:w="1780" w:type="dxa"/>
            <w:vAlign w:val="bottom"/>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F-13</w:t>
            </w:r>
          </w:p>
        </w:tc>
      </w:tr>
      <w:tr>
        <w:trPr>
          <w:trHeight w:val="196"/>
        </w:trPr>
        <w:tc>
          <w:tcPr>
            <w:tcW w:w="31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201">
              <w:r>
                <w:rPr>
                  <w:rFonts w:ascii="Arial" w:cs="Arial" w:eastAsia="Arial" w:hAnsi="Arial"/>
                  <w:sz w:val="18"/>
                  <w:szCs w:val="18"/>
                  <w:color w:val="0000EE"/>
                  <w:w w:val="89"/>
                </w:rPr>
                <w:t>Notes to Consolidated Financial Statements</w:t>
              </w:r>
            </w:hyperlink>
          </w:p>
        </w:tc>
        <w:tc>
          <w:tcPr>
            <w:tcW w:w="3800" w:type="dxa"/>
            <w:vAlign w:val="bottom"/>
            <w:tcBorders>
              <w:top w:val="single" w:sz="8" w:color="0000EE"/>
            </w:tcBorders>
            <w:gridSpan w:val="9"/>
          </w:tcPr>
          <w:p>
            <w:pPr>
              <w:spacing w:after="0"/>
              <w:rPr>
                <w:sz w:val="17"/>
                <w:szCs w:val="17"/>
                <w:color w:val="auto"/>
              </w:rPr>
            </w:pPr>
          </w:p>
        </w:tc>
        <w:tc>
          <w:tcPr>
            <w:tcW w:w="2560" w:type="dxa"/>
            <w:vAlign w:val="bottom"/>
            <w:gridSpan w:val="3"/>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F-14</w:t>
            </w:r>
          </w:p>
        </w:tc>
      </w:tr>
      <w:tr>
        <w:trPr>
          <w:trHeight w:val="330"/>
        </w:trPr>
        <w:tc>
          <w:tcPr>
            <w:tcW w:w="9520" w:type="dxa"/>
            <w:vAlign w:val="bottom"/>
            <w:gridSpan w:val="14"/>
          </w:tcPr>
          <w:p>
            <w:pPr>
              <w:spacing w:after="0"/>
              <w:rPr>
                <w:sz w:val="20"/>
                <w:szCs w:val="20"/>
                <w:color w:val="auto"/>
              </w:rPr>
            </w:pPr>
            <w:r>
              <w:rPr>
                <w:rFonts w:ascii="Arial" w:cs="Arial" w:eastAsia="Arial" w:hAnsi="Arial"/>
                <w:sz w:val="18"/>
                <w:szCs w:val="18"/>
                <w:b w:val="1"/>
                <w:bCs w:val="1"/>
                <w:color w:val="auto"/>
              </w:rPr>
              <w:t>Interim Unaudited Consolidated Financial Statements</w:t>
            </w:r>
          </w:p>
        </w:tc>
        <w:tc>
          <w:tcPr>
            <w:tcW w:w="1800" w:type="dxa"/>
            <w:vAlign w:val="bottom"/>
          </w:tcPr>
          <w:p>
            <w:pPr>
              <w:spacing w:after="0"/>
              <w:rPr>
                <w:sz w:val="24"/>
                <w:szCs w:val="24"/>
                <w:color w:val="auto"/>
              </w:rPr>
            </w:pPr>
          </w:p>
        </w:tc>
      </w:tr>
      <w:tr>
        <w:trPr>
          <w:trHeight w:val="190"/>
        </w:trPr>
        <w:tc>
          <w:tcPr>
            <w:tcW w:w="9520" w:type="dxa"/>
            <w:vAlign w:val="bottom"/>
            <w:gridSpan w:val="14"/>
          </w:tcPr>
          <w:p>
            <w:pPr>
              <w:spacing w:after="0" w:line="190" w:lineRule="exact"/>
              <w:rPr>
                <w:rFonts w:ascii="Arial" w:cs="Arial" w:eastAsia="Arial" w:hAnsi="Arial"/>
                <w:sz w:val="18"/>
                <w:szCs w:val="18"/>
                <w:color w:val="0000EE"/>
              </w:rPr>
            </w:pPr>
            <w:hyperlink w:anchor="page230">
              <w:r>
                <w:rPr>
                  <w:rFonts w:ascii="Arial" w:cs="Arial" w:eastAsia="Arial" w:hAnsi="Arial"/>
                  <w:sz w:val="18"/>
                  <w:szCs w:val="18"/>
                  <w:color w:val="0000EE"/>
                </w:rPr>
                <w:t>Consolidated Balance Sheets as of March 31, 2015 and December 31, 2014</w:t>
              </w:r>
            </w:hyperlink>
          </w:p>
        </w:tc>
        <w:tc>
          <w:tcPr>
            <w:tcW w:w="1800" w:type="dxa"/>
            <w:vAlign w:val="bottom"/>
          </w:tcPr>
          <w:p>
            <w:pPr>
              <w:jc w:val="right"/>
              <w:spacing w:after="0" w:line="190" w:lineRule="exact"/>
              <w:rPr>
                <w:sz w:val="20"/>
                <w:szCs w:val="20"/>
                <w:color w:val="auto"/>
              </w:rPr>
            </w:pPr>
            <w:r>
              <w:rPr>
                <w:rFonts w:ascii="Arial" w:cs="Arial" w:eastAsia="Arial" w:hAnsi="Arial"/>
                <w:sz w:val="18"/>
                <w:szCs w:val="18"/>
                <w:color w:val="auto"/>
              </w:rPr>
              <w:t>F-43</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520" w:type="dxa"/>
            <w:vAlign w:val="bottom"/>
            <w:gridSpan w:val="14"/>
          </w:tcPr>
          <w:p>
            <w:pPr>
              <w:spacing w:after="0" w:line="196" w:lineRule="exact"/>
              <w:rPr>
                <w:rFonts w:ascii="Arial" w:cs="Arial" w:eastAsia="Arial" w:hAnsi="Arial"/>
                <w:sz w:val="18"/>
                <w:szCs w:val="18"/>
                <w:color w:val="0000EE"/>
              </w:rPr>
            </w:pPr>
            <w:hyperlink w:anchor="page231">
              <w:r>
                <w:rPr>
                  <w:rFonts w:ascii="Arial" w:cs="Arial" w:eastAsia="Arial" w:hAnsi="Arial"/>
                  <w:sz w:val="18"/>
                  <w:szCs w:val="18"/>
                  <w:color w:val="0000EE"/>
                </w:rPr>
                <w:t>Consolidated Statements of Operations for the Three Months Ended March 31, 2015 and 2014</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F-44</w:t>
            </w:r>
          </w:p>
        </w:tc>
      </w:tr>
      <w:tr>
        <w:trPr>
          <w:trHeight w:val="196"/>
        </w:trPr>
        <w:tc>
          <w:tcPr>
            <w:tcW w:w="6800" w:type="dxa"/>
            <w:vAlign w:val="bottom"/>
            <w:tcBorders>
              <w:top w:val="single" w:sz="8" w:color="0000EE"/>
            </w:tcBorders>
            <w:gridSpan w:val="8"/>
          </w:tcPr>
          <w:p>
            <w:pPr>
              <w:spacing w:after="0" w:line="196" w:lineRule="exact"/>
              <w:rPr>
                <w:rFonts w:ascii="Arial" w:cs="Arial" w:eastAsia="Arial" w:hAnsi="Arial"/>
                <w:sz w:val="18"/>
                <w:szCs w:val="18"/>
                <w:color w:val="0000EE"/>
                <w:w w:val="98"/>
              </w:rPr>
            </w:pPr>
            <w:hyperlink w:anchor="page232">
              <w:r>
                <w:rPr>
                  <w:rFonts w:ascii="Arial" w:cs="Arial" w:eastAsia="Arial" w:hAnsi="Arial"/>
                  <w:sz w:val="18"/>
                  <w:szCs w:val="18"/>
                  <w:color w:val="0000EE"/>
                  <w:w w:val="98"/>
                </w:rPr>
                <w:t>Consolidated Schedules of Investments as of March 31, 2015 and December 31, 2014</w:t>
              </w:r>
            </w:hyperlink>
          </w:p>
        </w:tc>
        <w:tc>
          <w:tcPr>
            <w:tcW w:w="2720" w:type="dxa"/>
            <w:vAlign w:val="bottom"/>
            <w:gridSpan w:val="6"/>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F-45</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3020" w:type="dxa"/>
            <w:vAlign w:val="bottom"/>
            <w:gridSpan w:val="5"/>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520" w:type="dxa"/>
            <w:vAlign w:val="bottom"/>
            <w:gridSpan w:val="14"/>
          </w:tcPr>
          <w:p>
            <w:pPr>
              <w:spacing w:after="0" w:line="196" w:lineRule="exact"/>
              <w:rPr>
                <w:rFonts w:ascii="Arial" w:cs="Arial" w:eastAsia="Arial" w:hAnsi="Arial"/>
                <w:sz w:val="18"/>
                <w:szCs w:val="18"/>
                <w:color w:val="0000EE"/>
              </w:rPr>
            </w:pPr>
            <w:hyperlink w:anchor="page240">
              <w:r>
                <w:rPr>
                  <w:rFonts w:ascii="Arial" w:cs="Arial" w:eastAsia="Arial" w:hAnsi="Arial"/>
                  <w:sz w:val="18"/>
                  <w:szCs w:val="18"/>
                  <w:color w:val="0000EE"/>
                </w:rPr>
                <w:t>Consolidated Statements of Changes in Net Assets for the Three Months Ended March 31, 2015 and 2014</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F-53</w:t>
            </w:r>
          </w:p>
        </w:tc>
      </w:tr>
      <w:tr>
        <w:trPr>
          <w:trHeight w:val="196"/>
        </w:trPr>
        <w:tc>
          <w:tcPr>
            <w:tcW w:w="76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241">
              <w:r>
                <w:rPr>
                  <w:rFonts w:ascii="Arial" w:cs="Arial" w:eastAsia="Arial" w:hAnsi="Arial"/>
                  <w:sz w:val="18"/>
                  <w:szCs w:val="18"/>
                  <w:color w:val="0000EE"/>
                </w:rPr>
                <w:t>Consolidated Statements of Cash Flows for the Three Months Ended March 31, 2015 and 2014</w:t>
              </w:r>
            </w:hyperlink>
          </w:p>
        </w:tc>
        <w:tc>
          <w:tcPr>
            <w:tcW w:w="1880" w:type="dxa"/>
            <w:vAlign w:val="bottom"/>
            <w:gridSpan w:val="2"/>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F-54</w:t>
            </w:r>
          </w:p>
        </w:tc>
      </w:tr>
      <w:tr>
        <w:trPr>
          <w:trHeight w:val="196"/>
        </w:trPr>
        <w:tc>
          <w:tcPr>
            <w:tcW w:w="68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42">
              <w:r>
                <w:rPr>
                  <w:rFonts w:ascii="Arial" w:cs="Arial" w:eastAsia="Arial" w:hAnsi="Arial"/>
                  <w:sz w:val="18"/>
                  <w:szCs w:val="18"/>
                  <w:color w:val="0000EE"/>
                </w:rPr>
                <w:t>Notes to Consolidated Financial Statements</w:t>
              </w:r>
            </w:hyperlink>
          </w:p>
        </w:tc>
        <w:tc>
          <w:tcPr>
            <w:tcW w:w="2660" w:type="dxa"/>
            <w:vAlign w:val="bottom"/>
            <w:gridSpan w:val="5"/>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F-55</w:t>
            </w:r>
          </w:p>
        </w:tc>
      </w:tr>
      <w:tr>
        <w:trPr>
          <w:trHeight w:val="385"/>
        </w:trPr>
        <w:tc>
          <w:tcPr>
            <w:tcW w:w="1360" w:type="dxa"/>
            <w:vAlign w:val="bottom"/>
            <w:tcBorders>
              <w:top w:val="single" w:sz="8" w:color="0000EE"/>
            </w:tcBorders>
          </w:tcPr>
          <w:p>
            <w:pPr>
              <w:spacing w:after="0"/>
              <w:rPr>
                <w:sz w:val="24"/>
                <w:szCs w:val="24"/>
                <w:color w:val="auto"/>
              </w:rPr>
            </w:pPr>
          </w:p>
        </w:tc>
        <w:tc>
          <w:tcPr>
            <w:tcW w:w="180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80" w:type="dxa"/>
            <w:vAlign w:val="bottom"/>
            <w:gridSpan w:val="8"/>
          </w:tcPr>
          <w:p>
            <w:pPr>
              <w:jc w:val="center"/>
              <w:ind w:right="3540"/>
              <w:spacing w:after="0"/>
              <w:rPr>
                <w:sz w:val="20"/>
                <w:szCs w:val="20"/>
                <w:color w:val="auto"/>
              </w:rPr>
            </w:pPr>
            <w:r>
              <w:rPr>
                <w:rFonts w:ascii="Arial" w:cs="Arial" w:eastAsia="Arial" w:hAnsi="Arial"/>
                <w:sz w:val="18"/>
                <w:szCs w:val="18"/>
                <w:color w:val="auto"/>
                <w:w w:val="96"/>
              </w:rPr>
              <w:t>F-1</w:t>
            </w:r>
          </w:p>
        </w:tc>
        <w:tc>
          <w:tcPr>
            <w:tcW w:w="1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1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audited the accompanying consolidated balance sheets of TPG Specialty Lending, Inc. (and subsidiaries) (the Company), including the consolidated schedules of investments, as of December 31, 2014 and 2013, and the related consolidated statements of operations, changes in net assets, and cash flows for each of the years in the three-year period ended December 31, 2014. We also have audited TPG Specialty Lending, Inc.’s internal control over financial reporting as of December 31, 2014, based on criteria established in Internal Control—Integrated Framework (1992) issued by the Committee of Sponsoring Organizations of the Treadway Commission (COSO). 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and an opinion on the Company’s internal control over financial reporting based on our audits.</w:t>
      </w:r>
    </w:p>
    <w:p>
      <w:pPr>
        <w:spacing w:after="0" w:line="16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balance sheets of TPG Specialty Lending, Inc. (and subsidiaries), including the consolidated schedules of investments, as of December 31, 2014 and 2013, and the related consolidated statements of operations, changes in net assets, and cash flows for each of the years in the three-year period ended December 31, 2014, in conformity with U.S. generally accepted accounting principles. Also in our opinion, TPG Specialty Lending, Inc. maintained, in all material respects, effective internal control over financial reporting as of December 31, 2014, based on criteria established in Internal Control – Integrated Framework (1992) issued by the Committee of Sponsoring Organizations of the Treadway Commission (COSO).</w:t>
      </w:r>
    </w:p>
    <w:p>
      <w:pPr>
        <w:spacing w:after="0" w:line="19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2015</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60" w:right="2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 (amortized cost of $1,225,672 and $997,298, respectively)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1,221,875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1,016,451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Controlled, affiliated investments (amortized cost of $47,580 and $0, respectively)</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41,636</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 (amortized cost of $1,273,252 and $997,298, respectively)</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1,263,511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1,016,451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2,413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6,137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Receivable for interest rate swaps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1,020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30,650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1,303,731</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1,039,150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Debt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395,864</w:t>
            </w:r>
          </w:p>
        </w:tc>
        <w:tc>
          <w:tcPr>
            <w:tcW w:w="4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432,267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payable to affiliate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4,887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5,955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20,981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29,017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Payable on foreign currency forward contracts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Payables to affiliate</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2,918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8,704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468,326</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464,454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tcPr>
          <w:p>
            <w:pPr>
              <w:spacing w:after="0" w:line="201" w:lineRule="exact"/>
              <w:rPr>
                <w:sz w:val="20"/>
                <w:szCs w:val="20"/>
                <w:color w:val="auto"/>
              </w:rPr>
            </w:pPr>
            <w:r>
              <w:rPr>
                <w:rFonts w:ascii="Arial" w:cs="Arial" w:eastAsia="Arial" w:hAnsi="Arial"/>
                <w:sz w:val="18"/>
                <w:szCs w:val="18"/>
                <w:color w:val="auto"/>
                <w:w w:val="94"/>
              </w:rPr>
              <w:t>Common stock, $0.01 par value; 400,000,000 shares authorized, 53,798,357 and 37,027,022 shares issued, respectively;</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160"/>
              <w:spacing w:after="0"/>
              <w:rPr>
                <w:sz w:val="20"/>
                <w:szCs w:val="20"/>
                <w:color w:val="auto"/>
              </w:rPr>
            </w:pPr>
            <w:r>
              <w:rPr>
                <w:rFonts w:ascii="Arial" w:cs="Arial" w:eastAsia="Arial" w:hAnsi="Arial"/>
                <w:sz w:val="18"/>
                <w:szCs w:val="18"/>
                <w:color w:val="auto"/>
              </w:rPr>
              <w:t>and 53,797,358 and 37,026,023 shares outstanding, respectively</w:t>
            </w: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538</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808,053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Treasury stock at cost; 999 shares</w:t>
            </w:r>
          </w:p>
        </w:tc>
        <w:tc>
          <w:tcPr>
            <w:tcW w:w="100" w:type="dxa"/>
            <w:vAlign w:val="bottom"/>
          </w:tcPr>
          <w:p>
            <w:pPr>
              <w:spacing w:after="0"/>
              <w:rPr>
                <w:sz w:val="18"/>
                <w:szCs w:val="18"/>
                <w:color w:val="auto"/>
              </w:rPr>
            </w:pPr>
          </w:p>
        </w:tc>
        <w:tc>
          <w:tcPr>
            <w:tcW w:w="1180" w:type="dxa"/>
            <w:vAlign w:val="bottom"/>
            <w:gridSpan w:val="3"/>
          </w:tcPr>
          <w:p>
            <w:pPr>
              <w:jc w:val="right"/>
              <w:ind w:right="4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6,555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Net unrealized gains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realized gains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20,072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70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835,405</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574,696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1,303,731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1,039,150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vMerge w:val="restart"/>
          </w:tcPr>
          <w:p>
            <w:pPr>
              <w:ind w:left="700"/>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15.53</w:t>
            </w:r>
          </w:p>
        </w:tc>
        <w:tc>
          <w:tcPr>
            <w:tcW w:w="2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8"/>
              </w:rPr>
              <w:t>Year Ended</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400" w:type="dxa"/>
            <w:vAlign w:val="bottom"/>
          </w:tcPr>
          <w:p>
            <w:pPr>
              <w:spacing w:after="0"/>
              <w:rPr>
                <w:sz w:val="14"/>
                <w:szCs w:val="14"/>
                <w:color w:val="auto"/>
              </w:rPr>
            </w:pPr>
          </w:p>
        </w:tc>
        <w:tc>
          <w:tcPr>
            <w:tcW w:w="16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0"/>
              </w:rPr>
              <w:t>December 31, 2013</w:t>
            </w:r>
          </w:p>
        </w:tc>
        <w:tc>
          <w:tcPr>
            <w:tcW w:w="400" w:type="dxa"/>
            <w:vAlign w:val="bottom"/>
          </w:tcPr>
          <w:p>
            <w:pPr>
              <w:spacing w:after="0"/>
              <w:rPr>
                <w:sz w:val="14"/>
                <w:szCs w:val="14"/>
                <w:color w:val="auto"/>
              </w:rPr>
            </w:pPr>
          </w:p>
        </w:tc>
        <w:tc>
          <w:tcPr>
            <w:tcW w:w="18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0"/>
              </w:rPr>
              <w:t>December 31, 2012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Income</w:t>
            </w:r>
          </w:p>
        </w:tc>
        <w:tc>
          <w:tcPr>
            <w:tcW w:w="4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line="149" w:lineRule="exact"/>
              <w:rPr>
                <w:sz w:val="20"/>
                <w:szCs w:val="20"/>
                <w:color w:val="auto"/>
              </w:rPr>
            </w:pPr>
            <w:r>
              <w:rPr>
                <w:rFonts w:ascii="Arial" w:cs="Arial" w:eastAsia="Arial" w:hAnsi="Arial"/>
                <w:sz w:val="14"/>
                <w:szCs w:val="14"/>
                <w:color w:val="auto"/>
              </w:rPr>
              <w:t>Investment income from non-controlled, non-affiliated investments: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 from investments</w:t>
            </w:r>
          </w:p>
        </w:tc>
        <w:tc>
          <w:tcPr>
            <w:tcW w:w="5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151,020</w:t>
            </w:r>
          </w:p>
        </w:tc>
        <w:tc>
          <w:tcPr>
            <w:tcW w:w="540" w:type="dxa"/>
            <w:vAlign w:val="bottom"/>
            <w:gridSpan w:val="2"/>
            <w:shd w:val="clear" w:color="auto" w:fill="CCEEFF"/>
          </w:tcPr>
          <w:p>
            <w:pPr>
              <w:jc w:val="right"/>
              <w:ind w:right="18"/>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90,374</w:t>
            </w:r>
          </w:p>
        </w:tc>
        <w:tc>
          <w:tcPr>
            <w:tcW w:w="540" w:type="dxa"/>
            <w:vAlign w:val="bottom"/>
            <w:gridSpan w:val="2"/>
            <w:shd w:val="clear" w:color="auto" w:fill="CCEEFF"/>
          </w:tcPr>
          <w:p>
            <w:pPr>
              <w:jc w:val="right"/>
              <w:ind w:right="18"/>
              <w:spacing w:after="0" w:line="149" w:lineRule="exact"/>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46,402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280"/>
              <w:spacing w:after="0" w:line="149" w:lineRule="exact"/>
              <w:rPr>
                <w:sz w:val="20"/>
                <w:szCs w:val="20"/>
                <w:color w:val="auto"/>
              </w:rPr>
            </w:pPr>
            <w:r>
              <w:rPr>
                <w:rFonts w:ascii="Arial" w:cs="Arial" w:eastAsia="Arial" w:hAnsi="Arial"/>
                <w:sz w:val="14"/>
                <w:szCs w:val="14"/>
                <w:color w:val="auto"/>
              </w:rPr>
              <w:t>Other income</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9,162</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2,233</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 from cash and cash equivalents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80" w:type="dxa"/>
            <w:vAlign w:val="bottom"/>
          </w:tcPr>
          <w:p>
            <w:pPr>
              <w:ind w:left="560"/>
              <w:spacing w:after="0" w:line="155" w:lineRule="exact"/>
              <w:rPr>
                <w:sz w:val="20"/>
                <w:szCs w:val="20"/>
                <w:color w:val="auto"/>
              </w:rPr>
            </w:pPr>
            <w:r>
              <w:rPr>
                <w:rFonts w:ascii="Arial" w:cs="Arial" w:eastAsia="Arial" w:hAnsi="Arial"/>
                <w:sz w:val="14"/>
                <w:szCs w:val="14"/>
                <w:color w:val="auto"/>
              </w:rPr>
              <w:t>Total investment income from non-controlled, non-affiliated investments</w:t>
            </w:r>
          </w:p>
        </w:tc>
        <w:tc>
          <w:tcPr>
            <w:tcW w:w="4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160,183</w:t>
            </w: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92,610</w:t>
            </w: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47,046</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income from non-controlled, affiliated investments: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280"/>
              <w:spacing w:after="0" w:line="149" w:lineRule="exact"/>
              <w:rPr>
                <w:sz w:val="20"/>
                <w:szCs w:val="20"/>
                <w:color w:val="auto"/>
              </w:rPr>
            </w:pPr>
            <w:r>
              <w:rPr>
                <w:rFonts w:ascii="Arial" w:cs="Arial" w:eastAsia="Arial" w:hAnsi="Arial"/>
                <w:sz w:val="14"/>
                <w:szCs w:val="14"/>
                <w:color w:val="auto"/>
              </w:rPr>
              <w:t>Interest from investments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2,724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Dividend income</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1,231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80" w:type="dxa"/>
            <w:vAlign w:val="bottom"/>
          </w:tcPr>
          <w:p>
            <w:pPr>
              <w:ind w:left="280"/>
              <w:spacing w:after="0" w:line="149" w:lineRule="exact"/>
              <w:rPr>
                <w:sz w:val="20"/>
                <w:szCs w:val="20"/>
                <w:color w:val="auto"/>
              </w:rPr>
            </w:pPr>
            <w:r>
              <w:rPr>
                <w:rFonts w:ascii="Arial" w:cs="Arial" w:eastAsia="Arial" w:hAnsi="Arial"/>
                <w:sz w:val="14"/>
                <w:szCs w:val="14"/>
                <w:color w:val="auto"/>
              </w:rPr>
              <w:t>Other income</w:t>
            </w:r>
          </w:p>
        </w:tc>
        <w:tc>
          <w:tcPr>
            <w:tcW w:w="4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Total investment income from non-controlled, affiliated investments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3,965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line="149" w:lineRule="exact"/>
              <w:rPr>
                <w:sz w:val="20"/>
                <w:szCs w:val="20"/>
                <w:color w:val="auto"/>
              </w:rPr>
            </w:pPr>
            <w:r>
              <w:rPr>
                <w:rFonts w:ascii="Arial" w:cs="Arial" w:eastAsia="Arial" w:hAnsi="Arial"/>
                <w:sz w:val="14"/>
                <w:szCs w:val="14"/>
                <w:color w:val="auto"/>
              </w:rPr>
              <w:t>Investment income from controlled, affiliated investments: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 from investments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2,994</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80" w:type="dxa"/>
            <w:vAlign w:val="bottom"/>
          </w:tcPr>
          <w:p>
            <w:pPr>
              <w:ind w:left="280"/>
              <w:spacing w:after="0" w:line="149" w:lineRule="exact"/>
              <w:rPr>
                <w:sz w:val="20"/>
                <w:szCs w:val="20"/>
                <w:color w:val="auto"/>
              </w:rPr>
            </w:pPr>
            <w:r>
              <w:rPr>
                <w:rFonts w:ascii="Arial" w:cs="Arial" w:eastAsia="Arial" w:hAnsi="Arial"/>
                <w:sz w:val="14"/>
                <w:szCs w:val="14"/>
                <w:color w:val="auto"/>
              </w:rPr>
              <w:t>Other income</w:t>
            </w:r>
          </w:p>
        </w:tc>
        <w:tc>
          <w:tcPr>
            <w:tcW w:w="4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143</w:t>
            </w: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Total investment income from controlled, affiliated investments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3,137</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80" w:type="dxa"/>
            <w:vAlign w:val="bottom"/>
          </w:tcPr>
          <w:p>
            <w:pPr>
              <w:ind w:left="8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4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163,320</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92,610</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51,011</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Expenses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line="149" w:lineRule="exact"/>
              <w:rPr>
                <w:sz w:val="20"/>
                <w:szCs w:val="20"/>
                <w:color w:val="auto"/>
              </w:rPr>
            </w:pPr>
            <w:r>
              <w:rPr>
                <w:rFonts w:ascii="Arial" w:cs="Arial" w:eastAsia="Arial" w:hAnsi="Arial"/>
                <w:sz w:val="14"/>
                <w:szCs w:val="14"/>
                <w:color w:val="auto"/>
              </w:rPr>
              <w:t>Interest</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15,078</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10,469</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6,020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Management fees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18,296</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13,376</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8,892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line="149" w:lineRule="exact"/>
              <w:rPr>
                <w:sz w:val="20"/>
                <w:szCs w:val="20"/>
                <w:color w:val="auto"/>
              </w:rPr>
            </w:pPr>
            <w:r>
              <w:rPr>
                <w:rFonts w:ascii="Arial" w:cs="Arial" w:eastAsia="Arial" w:hAnsi="Arial"/>
                <w:sz w:val="14"/>
                <w:szCs w:val="14"/>
                <w:color w:val="auto"/>
              </w:rPr>
              <w:t>Incentive fees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17,839</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11,790</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6,996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Professional fees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4,752</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3,691</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2,881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line="149" w:lineRule="exact"/>
              <w:rPr>
                <w:sz w:val="20"/>
                <w:szCs w:val="20"/>
                <w:color w:val="auto"/>
              </w:rPr>
            </w:pPr>
            <w:r>
              <w:rPr>
                <w:rFonts w:ascii="Arial" w:cs="Arial" w:eastAsia="Arial" w:hAnsi="Arial"/>
                <w:sz w:val="14"/>
                <w:szCs w:val="14"/>
                <w:color w:val="auto"/>
              </w:rPr>
              <w:t>Directors’ fees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342</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285</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general and administrative</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3,858</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2,434</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1,564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80" w:type="dxa"/>
            <w:vAlign w:val="bottom"/>
          </w:tcPr>
          <w:p>
            <w:pPr>
              <w:ind w:left="560"/>
              <w:spacing w:after="0" w:line="155" w:lineRule="exact"/>
              <w:rPr>
                <w:sz w:val="20"/>
                <w:szCs w:val="20"/>
                <w:color w:val="auto"/>
              </w:rPr>
            </w:pPr>
            <w:r>
              <w:rPr>
                <w:rFonts w:ascii="Arial" w:cs="Arial" w:eastAsia="Arial" w:hAnsi="Arial"/>
                <w:sz w:val="14"/>
                <w:szCs w:val="14"/>
                <w:color w:val="auto"/>
              </w:rPr>
              <w:t>Total expenses</w:t>
            </w:r>
          </w:p>
        </w:tc>
        <w:tc>
          <w:tcPr>
            <w:tcW w:w="4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60,165</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42,045</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26,640</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Management fees waived (Note 3)</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(2,464)</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(7,135)</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(3,704)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80" w:type="dxa"/>
            <w:vAlign w:val="bottom"/>
          </w:tcPr>
          <w:p>
            <w:pPr>
              <w:ind w:left="860"/>
              <w:spacing w:after="0" w:line="155" w:lineRule="exact"/>
              <w:rPr>
                <w:sz w:val="20"/>
                <w:szCs w:val="20"/>
                <w:color w:val="auto"/>
              </w:rPr>
            </w:pPr>
            <w:r>
              <w:rPr>
                <w:rFonts w:ascii="Arial" w:cs="Arial" w:eastAsia="Arial" w:hAnsi="Arial"/>
                <w:sz w:val="14"/>
                <w:szCs w:val="14"/>
                <w:b w:val="1"/>
                <w:bCs w:val="1"/>
                <w:color w:val="auto"/>
              </w:rPr>
              <w:t>Net Expenses</w:t>
            </w:r>
          </w:p>
        </w:tc>
        <w:tc>
          <w:tcPr>
            <w:tcW w:w="4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57,701</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34,910</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22,936</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Investment Income Before Income Taxes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105,619</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57,700</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28,075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line="149" w:lineRule="exact"/>
              <w:rPr>
                <w:sz w:val="20"/>
                <w:szCs w:val="20"/>
                <w:color w:val="auto"/>
              </w:rPr>
            </w:pPr>
            <w:r>
              <w:rPr>
                <w:rFonts w:ascii="Arial" w:cs="Arial" w:eastAsia="Arial" w:hAnsi="Arial"/>
                <w:sz w:val="14"/>
                <w:szCs w:val="14"/>
                <w:color w:val="auto"/>
              </w:rPr>
              <w:t>Income taxes, including excise taxes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1,144</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199</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Investment Income</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104,475</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57,501</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28,029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line="149" w:lineRule="exact"/>
              <w:rPr>
                <w:sz w:val="20"/>
                <w:szCs w:val="20"/>
                <w:color w:val="auto"/>
              </w:rPr>
            </w:pPr>
            <w:r>
              <w:rPr>
                <w:rFonts w:ascii="Arial" w:cs="Arial" w:eastAsia="Arial" w:hAnsi="Arial"/>
                <w:sz w:val="14"/>
                <w:szCs w:val="14"/>
                <w:b w:val="1"/>
                <w:bCs w:val="1"/>
                <w:color w:val="auto"/>
              </w:rPr>
              <w:t>Unrealized and Realized Gains (Losses)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unrealized gains (losses):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280"/>
              <w:spacing w:after="0" w:line="149" w:lineRule="exact"/>
              <w:rPr>
                <w:sz w:val="20"/>
                <w:szCs w:val="20"/>
                <w:color w:val="auto"/>
              </w:rPr>
            </w:pPr>
            <w:r>
              <w:rPr>
                <w:rFonts w:ascii="Arial" w:cs="Arial" w:eastAsia="Arial" w:hAnsi="Arial"/>
                <w:sz w:val="14"/>
                <w:szCs w:val="14"/>
                <w:color w:val="auto"/>
              </w:rPr>
              <w:t>Non-controlled, non-affiliated investments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(22,950)</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9,630</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7,372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Non-controlled, affiliated investments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280"/>
              <w:spacing w:after="0" w:line="149" w:lineRule="exact"/>
              <w:rPr>
                <w:sz w:val="20"/>
                <w:szCs w:val="20"/>
                <w:color w:val="auto"/>
              </w:rPr>
            </w:pPr>
            <w:r>
              <w:rPr>
                <w:rFonts w:ascii="Arial" w:cs="Arial" w:eastAsia="Arial" w:hAnsi="Arial"/>
                <w:sz w:val="14"/>
                <w:szCs w:val="14"/>
                <w:color w:val="auto"/>
              </w:rPr>
              <w:t>Controlled, affiliated investments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(5,945)</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Translation of assets and liabilities in foreign currencies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8,909</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280"/>
              <w:spacing w:after="0" w:line="149" w:lineRule="exact"/>
              <w:rPr>
                <w:sz w:val="20"/>
                <w:szCs w:val="20"/>
                <w:color w:val="auto"/>
              </w:rPr>
            </w:pPr>
            <w:r>
              <w:rPr>
                <w:rFonts w:ascii="Arial" w:cs="Arial" w:eastAsia="Arial" w:hAnsi="Arial"/>
                <w:sz w:val="14"/>
                <w:szCs w:val="14"/>
                <w:color w:val="auto"/>
              </w:rPr>
              <w:t>Interest rate swaps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1,020</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Foreign currency forward contracts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1,244</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(1,244)</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80" w:type="dxa"/>
            <w:vAlign w:val="bottom"/>
          </w:tcPr>
          <w:p>
            <w:pPr>
              <w:ind w:left="860"/>
              <w:spacing w:after="0" w:line="155" w:lineRule="exact"/>
              <w:rPr>
                <w:sz w:val="20"/>
                <w:szCs w:val="20"/>
                <w:color w:val="auto"/>
              </w:rPr>
            </w:pPr>
            <w:r>
              <w:rPr>
                <w:rFonts w:ascii="Arial" w:cs="Arial" w:eastAsia="Arial" w:hAnsi="Arial"/>
                <w:sz w:val="14"/>
                <w:szCs w:val="14"/>
                <w:color w:val="auto"/>
              </w:rPr>
              <w:t>Total net change in unrealized gains (losses)</w:t>
            </w:r>
          </w:p>
        </w:tc>
        <w:tc>
          <w:tcPr>
            <w:tcW w:w="4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(17,722)</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8,386</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7,211</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Realized gains (losses):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280"/>
              <w:spacing w:after="0" w:line="149" w:lineRule="exact"/>
              <w:rPr>
                <w:sz w:val="20"/>
                <w:szCs w:val="20"/>
                <w:color w:val="auto"/>
              </w:rPr>
            </w:pPr>
            <w:r>
              <w:rPr>
                <w:rFonts w:ascii="Arial" w:cs="Arial" w:eastAsia="Arial" w:hAnsi="Arial"/>
                <w:sz w:val="14"/>
                <w:szCs w:val="14"/>
                <w:color w:val="auto"/>
              </w:rPr>
              <w:t>Non-controlled, non-affiliated investments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136</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1,061</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4,255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Non-controlled, affiliated investments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280"/>
              <w:spacing w:after="0" w:line="149" w:lineRule="exact"/>
              <w:rPr>
                <w:sz w:val="20"/>
                <w:szCs w:val="20"/>
                <w:color w:val="auto"/>
              </w:rPr>
            </w:pPr>
            <w:r>
              <w:rPr>
                <w:rFonts w:ascii="Arial" w:cs="Arial" w:eastAsia="Arial" w:hAnsi="Arial"/>
                <w:sz w:val="14"/>
                <w:szCs w:val="14"/>
                <w:color w:val="auto"/>
              </w:rPr>
              <w:t>Foreign currency transactions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(1,839)</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35</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realized gains (losses)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(1,703)</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1,096</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4,355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80" w:type="dxa"/>
            <w:vAlign w:val="bottom"/>
          </w:tcPr>
          <w:p>
            <w:pPr>
              <w:ind w:left="1140"/>
              <w:spacing w:after="0" w:line="155" w:lineRule="exact"/>
              <w:rPr>
                <w:sz w:val="20"/>
                <w:szCs w:val="20"/>
                <w:color w:val="auto"/>
              </w:rPr>
            </w:pPr>
            <w:r>
              <w:rPr>
                <w:rFonts w:ascii="Arial" w:cs="Arial" w:eastAsia="Arial" w:hAnsi="Arial"/>
                <w:sz w:val="14"/>
                <w:szCs w:val="14"/>
                <w:b w:val="1"/>
                <w:bCs w:val="1"/>
                <w:color w:val="auto"/>
              </w:rPr>
              <w:t>Total Unrealized and Realized Gains (Losses)</w:t>
            </w:r>
          </w:p>
        </w:tc>
        <w:tc>
          <w:tcPr>
            <w:tcW w:w="4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(19,425)</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9,482</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11,566</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1140"/>
              <w:spacing w:after="0" w:line="149" w:lineRule="exact"/>
              <w:rPr>
                <w:sz w:val="20"/>
                <w:szCs w:val="20"/>
                <w:color w:val="auto"/>
              </w:rPr>
            </w:pPr>
            <w:r>
              <w:rPr>
                <w:rFonts w:ascii="Arial" w:cs="Arial" w:eastAsia="Arial" w:hAnsi="Arial"/>
                <w:sz w:val="14"/>
                <w:szCs w:val="14"/>
                <w:b w:val="1"/>
                <w:bCs w:val="1"/>
                <w:color w:val="auto"/>
              </w:rPr>
              <w:t>Increase in Net Assets Resulting from Operations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85,050</w:t>
            </w:r>
          </w:p>
        </w:tc>
        <w:tc>
          <w:tcPr>
            <w:tcW w:w="540" w:type="dxa"/>
            <w:vAlign w:val="bottom"/>
            <w:gridSpan w:val="2"/>
            <w:shd w:val="clear" w:color="auto" w:fill="CCEEFF"/>
          </w:tcPr>
          <w:p>
            <w:pPr>
              <w:jc w:val="right"/>
              <w:ind w:right="18"/>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66,983</w:t>
            </w:r>
          </w:p>
        </w:tc>
        <w:tc>
          <w:tcPr>
            <w:tcW w:w="540" w:type="dxa"/>
            <w:vAlign w:val="bottom"/>
            <w:gridSpan w:val="2"/>
            <w:shd w:val="clear" w:color="auto" w:fill="CCEEFF"/>
          </w:tcPr>
          <w:p>
            <w:pPr>
              <w:jc w:val="right"/>
              <w:ind w:right="18"/>
              <w:spacing w:after="0" w:line="149" w:lineRule="exact"/>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39,595</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4"/>
                <w:szCs w:val="14"/>
                <w:color w:val="auto"/>
              </w:rPr>
              <w:t>Earnings per common share—basic and diluted</w:t>
            </w:r>
            <w:r>
              <w:rPr>
                <w:rFonts w:ascii="Arial" w:cs="Arial" w:eastAsia="Arial" w:hAnsi="Arial"/>
                <w:sz w:val="12"/>
                <w:szCs w:val="12"/>
                <w:color w:val="auto"/>
              </w:rPr>
              <w:t>(1)</w:t>
            </w: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20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1.68</w:t>
            </w: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jc w:val="right"/>
              <w:ind w:right="18"/>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1.93</w:t>
            </w: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jc w:val="right"/>
              <w:ind w:right="18"/>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1.93</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shares of common stock outstanding—basic and diluted</w:t>
            </w:r>
            <w:r>
              <w:rPr>
                <w:rFonts w:ascii="Arial" w:cs="Arial" w:eastAsia="Arial" w:hAnsi="Arial"/>
                <w:sz w:val="12"/>
                <w:szCs w:val="12"/>
                <w:color w:val="auto"/>
              </w:rPr>
              <w:t>(1)</w:t>
            </w:r>
          </w:p>
        </w:tc>
        <w:tc>
          <w:tcPr>
            <w:tcW w:w="4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50,509,692</w:t>
            </w: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34,635,208</w:t>
            </w: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20,541,475</w:t>
            </w: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40" w:right="400" w:hanging="332"/>
        <w:spacing w:after="0" w:line="253" w:lineRule="auto"/>
        <w:tabs>
          <w:tab w:leader="none" w:pos="34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As further described in Note 9, the indicated amounts for the year ended December 31, 2012 have been retroactively adjusted for the stock split which was effected in the form of a stock dividend.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as of December 31, 2014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Initial</w:t>
            </w: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7"/>
              </w:rPr>
              <w:t>Percentage</w:t>
            </w:r>
          </w:p>
        </w:tc>
        <w:tc>
          <w:tcPr>
            <w:tcW w:w="0" w:type="dxa"/>
            <w:vAlign w:val="bottom"/>
          </w:tcPr>
          <w:p>
            <w:pPr>
              <w:spacing w:after="0"/>
              <w:rPr>
                <w:sz w:val="1"/>
                <w:szCs w:val="1"/>
                <w:color w:val="auto"/>
              </w:rPr>
            </w:pPr>
          </w:p>
        </w:tc>
      </w:tr>
      <w:tr>
        <w:trPr>
          <w:trHeight w:val="149"/>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2580" w:type="dxa"/>
            <w:vAlign w:val="bottom"/>
            <w:gridSpan w:val="2"/>
            <w:vMerge w:val="restart"/>
          </w:tcPr>
          <w:p>
            <w:pPr>
              <w:ind w:left="840"/>
              <w:spacing w:after="0"/>
              <w:rPr>
                <w:sz w:val="20"/>
                <w:szCs w:val="20"/>
                <w:color w:val="auto"/>
              </w:rPr>
            </w:pPr>
            <w:r>
              <w:rPr>
                <w:rFonts w:ascii="Arial" w:cs="Arial" w:eastAsia="Arial" w:hAnsi="Arial"/>
                <w:sz w:val="14"/>
                <w:szCs w:val="14"/>
                <w:b w:val="1"/>
                <w:bCs w:val="1"/>
                <w:color w:val="auto"/>
              </w:rPr>
              <w:t>Investment</w:t>
            </w: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Interest</w:t>
            </w: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9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00" w:type="dxa"/>
            <w:vAlign w:val="bottom"/>
            <w:gridSpan w:val="2"/>
            <w:vMerge w:val="continue"/>
          </w:tcPr>
          <w:p>
            <w:pPr>
              <w:spacing w:after="0"/>
              <w:rPr>
                <w:sz w:val="14"/>
                <w:szCs w:val="14"/>
                <w:color w:val="auto"/>
              </w:rPr>
            </w:pPr>
          </w:p>
        </w:tc>
        <w:tc>
          <w:tcPr>
            <w:tcW w:w="25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Cost</w:t>
            </w:r>
            <w:r>
              <w:rPr>
                <w:rFonts w:ascii="Arial" w:cs="Arial" w:eastAsia="Arial" w:hAnsi="Arial"/>
                <w:sz w:val="12"/>
                <w:szCs w:val="12"/>
                <w:b w:val="1"/>
                <w:bCs w:val="1"/>
                <w:color w:val="auto"/>
                <w:w w:val="91"/>
              </w:rPr>
              <w:t>(2)</w:t>
            </w: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of Net Assets</w:t>
            </w:r>
          </w:p>
        </w:tc>
        <w:tc>
          <w:tcPr>
            <w:tcW w:w="0" w:type="dxa"/>
            <w:vAlign w:val="bottom"/>
          </w:tcPr>
          <w:p>
            <w:pPr>
              <w:spacing w:after="0"/>
              <w:rPr>
                <w:sz w:val="1"/>
                <w:szCs w:val="1"/>
                <w:color w:val="auto"/>
              </w:rPr>
            </w:pPr>
          </w:p>
        </w:tc>
      </w:tr>
      <w:tr>
        <w:trPr>
          <w:trHeight w:val="142"/>
        </w:trPr>
        <w:tc>
          <w:tcPr>
            <w:tcW w:w="40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Debt Investments</w:t>
            </w:r>
          </w:p>
        </w:tc>
        <w:tc>
          <w:tcPr>
            <w:tcW w:w="200" w:type="dxa"/>
            <w:vAlign w:val="bottom"/>
            <w:tcBorders>
              <w:top w:val="single" w:sz="8" w:color="CCEEFF"/>
            </w:tcBorders>
            <w:shd w:val="clear" w:color="auto" w:fill="CCEEFF"/>
          </w:tcPr>
          <w:p>
            <w:pPr>
              <w:spacing w:after="0"/>
              <w:rPr>
                <w:sz w:val="12"/>
                <w:szCs w:val="12"/>
                <w:color w:val="auto"/>
              </w:rPr>
            </w:pPr>
          </w:p>
        </w:tc>
        <w:tc>
          <w:tcPr>
            <w:tcW w:w="23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Automotive</w:t>
            </w:r>
          </w:p>
        </w:tc>
        <w:tc>
          <w:tcPr>
            <w:tcW w:w="2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Heartland Automotive Holdings, LLC</w:t>
            </w:r>
            <w:r>
              <w:rPr>
                <w:rFonts w:ascii="Arial" w:cs="Arial" w:eastAsia="Arial" w:hAnsi="Arial"/>
                <w:sz w:val="12"/>
                <w:szCs w:val="12"/>
                <w:color w:val="auto"/>
              </w:rPr>
              <w:t>(3)(4)</w:t>
            </w:r>
          </w:p>
        </w:tc>
        <w:tc>
          <w:tcPr>
            <w:tcW w:w="2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First-lien loan ($32,826 par, due 6/2017)</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9.75%</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8/28/2012</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32,340</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30,447</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30"/>
        </w:trPr>
        <w:tc>
          <w:tcPr>
            <w:tcW w:w="4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580" w:type="dxa"/>
            <w:vAlign w:val="bottom"/>
            <w:gridSpan w:val="2"/>
          </w:tcPr>
          <w:p>
            <w:pPr>
              <w:spacing w:after="0" w:line="130" w:lineRule="exact"/>
              <w:rPr>
                <w:sz w:val="20"/>
                <w:szCs w:val="20"/>
                <w:color w:val="auto"/>
              </w:rPr>
            </w:pPr>
            <w:r>
              <w:rPr>
                <w:rFonts w:ascii="Arial" w:cs="Arial" w:eastAsia="Arial" w:hAnsi="Arial"/>
                <w:sz w:val="14"/>
                <w:szCs w:val="14"/>
                <w:color w:val="auto"/>
              </w:rPr>
              <w:t>First-lien revolving loan</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80" w:type="dxa"/>
            <w:vAlign w:val="bottom"/>
            <w:gridSpan w:val="2"/>
          </w:tcPr>
          <w:p>
            <w:pPr>
              <w:spacing w:after="0"/>
              <w:rPr>
                <w:sz w:val="20"/>
                <w:szCs w:val="20"/>
                <w:color w:val="auto"/>
              </w:rPr>
            </w:pPr>
            <w:r>
              <w:rPr>
                <w:rFonts w:ascii="Arial" w:cs="Arial" w:eastAsia="Arial" w:hAnsi="Arial"/>
                <w:sz w:val="14"/>
                <w:szCs w:val="14"/>
                <w:color w:val="auto"/>
              </w:rPr>
              <w:t>($4,500 par, due 6/2017)</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10.75%</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8/28/2012</w:t>
            </w:r>
          </w:p>
        </w:tc>
        <w:tc>
          <w:tcPr>
            <w:tcW w:w="680" w:type="dxa"/>
            <w:vAlign w:val="bottom"/>
          </w:tcPr>
          <w:p>
            <w:pPr>
              <w:jc w:val="right"/>
              <w:spacing w:after="0"/>
              <w:rPr>
                <w:sz w:val="20"/>
                <w:szCs w:val="20"/>
                <w:color w:val="auto"/>
              </w:rPr>
            </w:pPr>
            <w:r>
              <w:rPr>
                <w:rFonts w:ascii="Arial" w:cs="Arial" w:eastAsia="Arial" w:hAnsi="Arial"/>
                <w:sz w:val="14"/>
                <w:szCs w:val="14"/>
                <w:color w:val="auto"/>
              </w:rPr>
              <w:t>4,421</w:t>
            </w:r>
          </w:p>
        </w:tc>
        <w:tc>
          <w:tcPr>
            <w:tcW w:w="2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4,097</w:t>
            </w:r>
          </w:p>
        </w:tc>
        <w:tc>
          <w:tcPr>
            <w:tcW w:w="30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36,761</w:t>
            </w: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34,544</w:t>
            </w:r>
          </w:p>
        </w:tc>
        <w:tc>
          <w:tcPr>
            <w:tcW w:w="3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56"/>
        </w:trPr>
        <w:tc>
          <w:tcPr>
            <w:tcW w:w="4200" w:type="dxa"/>
            <w:vAlign w:val="bottom"/>
            <w:gridSpan w:val="2"/>
          </w:tcPr>
          <w:p>
            <w:pPr>
              <w:ind w:left="300"/>
              <w:spacing w:after="0" w:line="155" w:lineRule="exact"/>
              <w:rPr>
                <w:sz w:val="20"/>
                <w:szCs w:val="20"/>
                <w:color w:val="auto"/>
              </w:rPr>
            </w:pPr>
            <w:r>
              <w:rPr>
                <w:rFonts w:ascii="Arial" w:cs="Arial" w:eastAsia="Arial" w:hAnsi="Arial"/>
                <w:sz w:val="14"/>
                <w:szCs w:val="14"/>
                <w:b w:val="1"/>
                <w:bCs w:val="1"/>
                <w:color w:val="auto"/>
              </w:rPr>
              <w:t>Beverage, food and tobacco</w:t>
            </w:r>
          </w:p>
        </w:tc>
        <w:tc>
          <w:tcPr>
            <w:tcW w:w="2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AFS Technologies, Inc.</w:t>
            </w:r>
            <w:r>
              <w:rPr>
                <w:rFonts w:ascii="Arial" w:cs="Arial" w:eastAsia="Arial" w:hAnsi="Arial"/>
                <w:sz w:val="12"/>
                <w:szCs w:val="12"/>
                <w:color w:val="auto"/>
              </w:rPr>
              <w:t>(3)(4)(6)</w:t>
            </w:r>
          </w:p>
        </w:tc>
        <w:tc>
          <w:tcPr>
            <w:tcW w:w="2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First-lien loan ($64,399 par, due 3/2020)</w:t>
            </w: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6.25%</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3/3/2014</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63,102</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63,111</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62"/>
        </w:trPr>
        <w:tc>
          <w:tcPr>
            <w:tcW w:w="4200" w:type="dxa"/>
            <w:vAlign w:val="bottom"/>
            <w:gridSpan w:val="2"/>
          </w:tcPr>
          <w:p>
            <w:pPr>
              <w:spacing w:after="0"/>
              <w:rPr>
                <w:sz w:val="20"/>
                <w:szCs w:val="20"/>
                <w:color w:val="auto"/>
              </w:rPr>
            </w:pPr>
            <w:r>
              <w:rPr>
                <w:rFonts w:ascii="Arial" w:cs="Arial" w:eastAsia="Arial" w:hAnsi="Arial"/>
                <w:sz w:val="14"/>
                <w:szCs w:val="14"/>
                <w:color w:val="auto"/>
              </w:rPr>
              <w:t>Great Atlantic &amp; Pacific Tea Co. Inc.</w:t>
            </w:r>
            <w:r>
              <w:rPr>
                <w:rFonts w:ascii="Arial" w:cs="Arial" w:eastAsia="Arial" w:hAnsi="Arial"/>
                <w:sz w:val="12"/>
                <w:szCs w:val="12"/>
                <w:color w:val="auto"/>
              </w:rPr>
              <w:t>(3)(4)</w:t>
            </w:r>
          </w:p>
        </w:tc>
        <w:tc>
          <w:tcPr>
            <w:tcW w:w="2580" w:type="dxa"/>
            <w:vAlign w:val="bottom"/>
            <w:gridSpan w:val="2"/>
          </w:tcPr>
          <w:p>
            <w:pPr>
              <w:spacing w:after="0"/>
              <w:rPr>
                <w:sz w:val="20"/>
                <w:szCs w:val="20"/>
                <w:color w:val="auto"/>
              </w:rPr>
            </w:pPr>
            <w:r>
              <w:rPr>
                <w:rFonts w:ascii="Arial" w:cs="Arial" w:eastAsia="Arial" w:hAnsi="Arial"/>
                <w:sz w:val="14"/>
                <w:szCs w:val="14"/>
                <w:color w:val="auto"/>
              </w:rPr>
              <w:t>First-lien loan ($22,787 par, due 9/2019)</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9.85%</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9/17/2014</w:t>
            </w:r>
          </w:p>
        </w:tc>
        <w:tc>
          <w:tcPr>
            <w:tcW w:w="680" w:type="dxa"/>
            <w:vAlign w:val="bottom"/>
          </w:tcPr>
          <w:p>
            <w:pPr>
              <w:jc w:val="right"/>
              <w:spacing w:after="0"/>
              <w:rPr>
                <w:sz w:val="20"/>
                <w:szCs w:val="20"/>
                <w:color w:val="auto"/>
              </w:rPr>
            </w:pPr>
            <w:r>
              <w:rPr>
                <w:rFonts w:ascii="Arial" w:cs="Arial" w:eastAsia="Arial" w:hAnsi="Arial"/>
                <w:sz w:val="14"/>
                <w:szCs w:val="14"/>
                <w:color w:val="auto"/>
              </w:rPr>
              <w:t>22,426</w:t>
            </w: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22,274</w:t>
            </w:r>
          </w:p>
        </w:tc>
        <w:tc>
          <w:tcPr>
            <w:tcW w:w="30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85,528</w:t>
            </w: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85,385</w:t>
            </w:r>
          </w:p>
        </w:tc>
        <w:tc>
          <w:tcPr>
            <w:tcW w:w="3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56"/>
        </w:trPr>
        <w:tc>
          <w:tcPr>
            <w:tcW w:w="4200" w:type="dxa"/>
            <w:vAlign w:val="bottom"/>
            <w:gridSpan w:val="2"/>
          </w:tcPr>
          <w:p>
            <w:pPr>
              <w:ind w:left="300"/>
              <w:spacing w:after="0" w:line="155" w:lineRule="exact"/>
              <w:rPr>
                <w:sz w:val="20"/>
                <w:szCs w:val="20"/>
                <w:color w:val="auto"/>
              </w:rPr>
            </w:pPr>
            <w:r>
              <w:rPr>
                <w:rFonts w:ascii="Arial" w:cs="Arial" w:eastAsia="Arial" w:hAnsi="Arial"/>
                <w:sz w:val="14"/>
                <w:szCs w:val="14"/>
                <w:b w:val="1"/>
                <w:bCs w:val="1"/>
                <w:color w:val="auto"/>
              </w:rPr>
              <w:t>Business services</w:t>
            </w:r>
          </w:p>
        </w:tc>
        <w:tc>
          <w:tcPr>
            <w:tcW w:w="2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Actian Corporation</w:t>
            </w:r>
            <w:r>
              <w:rPr>
                <w:rFonts w:ascii="Arial" w:cs="Arial" w:eastAsia="Arial" w:hAnsi="Arial"/>
                <w:sz w:val="12"/>
                <w:szCs w:val="12"/>
                <w:color w:val="auto"/>
              </w:rPr>
              <w:t>(3)(4)(6)</w:t>
            </w:r>
          </w:p>
        </w:tc>
        <w:tc>
          <w:tcPr>
            <w:tcW w:w="2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First-lien loan ($63,933 par, due 4/2018)</w:t>
            </w: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7.50%</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4/11/2013</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62,282</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63,933</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Leaf US Holdings, Inc.</w:t>
            </w:r>
            <w:r>
              <w:rPr>
                <w:rFonts w:ascii="Arial" w:cs="Arial" w:eastAsia="Arial" w:hAnsi="Arial"/>
                <w:sz w:val="12"/>
                <w:szCs w:val="12"/>
                <w:color w:val="auto"/>
              </w:rPr>
              <w:t>(3)(5)</w:t>
            </w:r>
          </w:p>
        </w:tc>
        <w:tc>
          <w:tcPr>
            <w:tcW w:w="258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($16,418 par, due 6/2019)</w:t>
            </w: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7.50%</w:t>
            </w: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6/30/2014</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16,077</w:t>
            </w: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16,003</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Network Merchants, Inc</w:t>
            </w:r>
            <w:r>
              <w:rPr>
                <w:rFonts w:ascii="Arial" w:cs="Arial" w:eastAsia="Arial" w:hAnsi="Arial"/>
                <w:sz w:val="12"/>
                <w:szCs w:val="12"/>
                <w:color w:val="auto"/>
              </w:rPr>
              <w:t>(3)(4)</w:t>
            </w:r>
          </w:p>
        </w:tc>
        <w:tc>
          <w:tcPr>
            <w:tcW w:w="2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First-lien loan ($29,659 par, due 9/2018)</w:t>
            </w: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8.75%</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9/12/2013</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29,204</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29,506</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30"/>
        </w:trPr>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ScentAir Technologies, Inc</w:t>
            </w:r>
            <w:r>
              <w:rPr>
                <w:rFonts w:ascii="Arial" w:cs="Arial" w:eastAsia="Arial" w:hAnsi="Arial"/>
                <w:sz w:val="12"/>
                <w:szCs w:val="12"/>
                <w:color w:val="auto"/>
              </w:rPr>
              <w:t>(3)(4)</w:t>
            </w:r>
          </w:p>
        </w:tc>
        <w:tc>
          <w:tcPr>
            <w:tcW w:w="2580" w:type="dxa"/>
            <w:vAlign w:val="bottom"/>
            <w:gridSpan w:val="2"/>
          </w:tcPr>
          <w:p>
            <w:pPr>
              <w:spacing w:after="0" w:line="130" w:lineRule="exact"/>
              <w:rPr>
                <w:sz w:val="20"/>
                <w:szCs w:val="20"/>
                <w:color w:val="auto"/>
              </w:rPr>
            </w:pPr>
            <w:r>
              <w:rPr>
                <w:rFonts w:ascii="Arial" w:cs="Arial" w:eastAsia="Arial" w:hAnsi="Arial"/>
                <w:sz w:val="14"/>
                <w:szCs w:val="14"/>
                <w:color w:val="auto"/>
              </w:rPr>
              <w:t>First-lien loan ($16,071 par,</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2"/>
          </w:tcPr>
          <w:p>
            <w:pPr>
              <w:spacing w:after="0"/>
              <w:rPr>
                <w:sz w:val="20"/>
                <w:szCs w:val="20"/>
                <w:color w:val="auto"/>
              </w:rPr>
            </w:pPr>
            <w:r>
              <w:rPr>
                <w:rFonts w:ascii="Arial" w:cs="Arial" w:eastAsia="Arial" w:hAnsi="Arial"/>
                <w:sz w:val="14"/>
                <w:szCs w:val="14"/>
                <w:color w:val="auto"/>
              </w:rPr>
              <w:t>due 12/2019)</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7.50%</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12/30/2014</w:t>
            </w:r>
          </w:p>
        </w:tc>
        <w:tc>
          <w:tcPr>
            <w:tcW w:w="680" w:type="dxa"/>
            <w:vAlign w:val="bottom"/>
          </w:tcPr>
          <w:p>
            <w:pPr>
              <w:jc w:val="right"/>
              <w:spacing w:after="0"/>
              <w:rPr>
                <w:sz w:val="20"/>
                <w:szCs w:val="20"/>
                <w:color w:val="auto"/>
              </w:rPr>
            </w:pPr>
            <w:r>
              <w:rPr>
                <w:rFonts w:ascii="Arial" w:cs="Arial" w:eastAsia="Arial" w:hAnsi="Arial"/>
                <w:sz w:val="14"/>
                <w:szCs w:val="14"/>
                <w:color w:val="auto"/>
              </w:rPr>
              <w:t>15,628</w:t>
            </w: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15,621</w:t>
            </w:r>
          </w:p>
        </w:tc>
        <w:tc>
          <w:tcPr>
            <w:tcW w:w="30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123,191</w:t>
            </w: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125,063</w:t>
            </w:r>
          </w:p>
        </w:tc>
        <w:tc>
          <w:tcPr>
            <w:tcW w:w="3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56"/>
        </w:trPr>
        <w:tc>
          <w:tcPr>
            <w:tcW w:w="4200" w:type="dxa"/>
            <w:vAlign w:val="bottom"/>
            <w:gridSpan w:val="2"/>
          </w:tcPr>
          <w:p>
            <w:pPr>
              <w:ind w:left="300"/>
              <w:spacing w:after="0" w:line="155" w:lineRule="exact"/>
              <w:rPr>
                <w:sz w:val="20"/>
                <w:szCs w:val="20"/>
                <w:color w:val="auto"/>
              </w:rPr>
            </w:pPr>
            <w:r>
              <w:rPr>
                <w:rFonts w:ascii="Arial" w:cs="Arial" w:eastAsia="Arial" w:hAnsi="Arial"/>
                <w:sz w:val="14"/>
                <w:szCs w:val="14"/>
                <w:b w:val="1"/>
                <w:bCs w:val="1"/>
                <w:color w:val="auto"/>
              </w:rPr>
              <w:t>Chemicals</w:t>
            </w:r>
          </w:p>
        </w:tc>
        <w:tc>
          <w:tcPr>
            <w:tcW w:w="2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Vertellus Specialties, Inc.</w:t>
            </w:r>
            <w:r>
              <w:rPr>
                <w:rFonts w:ascii="Arial" w:cs="Arial" w:eastAsia="Arial" w:hAnsi="Arial"/>
                <w:sz w:val="12"/>
                <w:szCs w:val="12"/>
                <w:color w:val="auto"/>
              </w:rPr>
              <w:t>(3)(4)</w:t>
            </w:r>
          </w:p>
        </w:tc>
        <w:tc>
          <w:tcPr>
            <w:tcW w:w="25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($19,950 par,</w:t>
            </w: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10/2019)</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10.50%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w w:val="99"/>
              </w:rPr>
              <w:t>10/31/2014</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19,267</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18,753</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420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Communications</w:t>
            </w:r>
          </w:p>
        </w:tc>
        <w:tc>
          <w:tcPr>
            <w:tcW w:w="2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IPC Systems, Inc.</w:t>
            </w:r>
            <w:r>
              <w:rPr>
                <w:rFonts w:ascii="Arial" w:cs="Arial" w:eastAsia="Arial" w:hAnsi="Arial"/>
                <w:sz w:val="12"/>
                <w:szCs w:val="12"/>
                <w:color w:val="auto"/>
              </w:rPr>
              <w:t>(3)(4)</w:t>
            </w:r>
          </w:p>
        </w:tc>
        <w:tc>
          <w:tcPr>
            <w:tcW w:w="25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Second-lien loan ($17,000 par,</w:t>
            </w: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5/2021)</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9.50%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5/2/2014</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16,935</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17,680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420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Containers and packaging</w:t>
            </w:r>
          </w:p>
        </w:tc>
        <w:tc>
          <w:tcPr>
            <w:tcW w:w="2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The Newark Group, Inc.</w:t>
            </w:r>
            <w:r>
              <w:rPr>
                <w:rFonts w:ascii="Arial" w:cs="Arial" w:eastAsia="Arial" w:hAnsi="Arial"/>
                <w:sz w:val="12"/>
                <w:szCs w:val="12"/>
                <w:color w:val="auto"/>
              </w:rPr>
              <w:t>(3)(4)</w:t>
            </w:r>
          </w:p>
        </w:tc>
        <w:tc>
          <w:tcPr>
            <w:tcW w:w="2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First-lien loan ($39,240 par, due 2/2018)</w:t>
            </w: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8.50%</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2/8/2013</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38,984</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40,025</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420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Education</w:t>
            </w:r>
          </w:p>
        </w:tc>
        <w:tc>
          <w:tcPr>
            <w:tcW w:w="2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Campus Management, Inc.</w:t>
            </w:r>
            <w:r>
              <w:rPr>
                <w:rFonts w:ascii="Arial" w:cs="Arial" w:eastAsia="Arial" w:hAnsi="Arial"/>
                <w:sz w:val="12"/>
                <w:szCs w:val="12"/>
                <w:color w:val="auto"/>
              </w:rPr>
              <w:t>(3)(4)(6)</w:t>
            </w:r>
          </w:p>
        </w:tc>
        <w:tc>
          <w:tcPr>
            <w:tcW w:w="2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First-lien loan ($28,125 par, due 9/2018)</w:t>
            </w: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8.75%</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9/30/2013</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27,576</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27,914</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Initial</w:t>
            </w: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8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11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192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Investment</w:t>
            </w:r>
          </w:p>
        </w:tc>
        <w:tc>
          <w:tcPr>
            <w:tcW w:w="11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Interest</w:t>
            </w: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Acquisition</w:t>
            </w:r>
          </w:p>
        </w:tc>
        <w:tc>
          <w:tcPr>
            <w:tcW w:w="10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00" w:type="dxa"/>
            <w:vAlign w:val="bottom"/>
            <w:gridSpan w:val="2"/>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Cost</w:t>
            </w:r>
            <w:r>
              <w:rPr>
                <w:rFonts w:ascii="Arial" w:cs="Arial" w:eastAsia="Arial" w:hAnsi="Arial"/>
                <w:sz w:val="12"/>
                <w:szCs w:val="12"/>
                <w:b w:val="1"/>
                <w:bCs w:val="1"/>
                <w:color w:val="auto"/>
                <w:w w:val="91"/>
              </w:rPr>
              <w:t>(2)</w:t>
            </w: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of Net Assets</w:t>
            </w:r>
          </w:p>
        </w:tc>
        <w:tc>
          <w:tcPr>
            <w:tcW w:w="0" w:type="dxa"/>
            <w:vAlign w:val="bottom"/>
          </w:tcPr>
          <w:p>
            <w:pPr>
              <w:spacing w:after="0"/>
              <w:rPr>
                <w:sz w:val="1"/>
                <w:szCs w:val="1"/>
                <w:color w:val="auto"/>
              </w:rPr>
            </w:pPr>
          </w:p>
        </w:tc>
      </w:tr>
      <w:tr>
        <w:trPr>
          <w:trHeight w:val="142"/>
        </w:trPr>
        <w:tc>
          <w:tcPr>
            <w:tcW w:w="4000" w:type="dxa"/>
            <w:vAlign w:val="bottom"/>
            <w:tcBorders>
              <w:top w:val="single" w:sz="8" w:color="auto"/>
            </w:tcBorders>
            <w:shd w:val="clear" w:color="auto" w:fill="CCEEFF"/>
          </w:tcPr>
          <w:p>
            <w:pPr>
              <w:ind w:left="300"/>
              <w:spacing w:after="0" w:line="142" w:lineRule="exact"/>
              <w:rPr>
                <w:sz w:val="20"/>
                <w:szCs w:val="20"/>
                <w:color w:val="auto"/>
              </w:rPr>
            </w:pPr>
            <w:r>
              <w:rPr>
                <w:rFonts w:ascii="Arial" w:cs="Arial" w:eastAsia="Arial" w:hAnsi="Arial"/>
                <w:sz w:val="14"/>
                <w:szCs w:val="14"/>
                <w:b w:val="1"/>
                <w:bCs w:val="1"/>
                <w:color w:val="auto"/>
              </w:rPr>
              <w:t>Electronics</w:t>
            </w:r>
          </w:p>
        </w:tc>
        <w:tc>
          <w:tcPr>
            <w:tcW w:w="200" w:type="dxa"/>
            <w:vAlign w:val="bottom"/>
            <w:tcBorders>
              <w:top w:val="single" w:sz="8" w:color="CCEEFF"/>
            </w:tcBorders>
            <w:shd w:val="clear" w:color="auto" w:fill="CCEEFF"/>
          </w:tcPr>
          <w:p>
            <w:pPr>
              <w:spacing w:after="0"/>
              <w:rPr>
                <w:sz w:val="12"/>
                <w:szCs w:val="12"/>
                <w:color w:val="auto"/>
              </w:rPr>
            </w:pPr>
          </w:p>
        </w:tc>
        <w:tc>
          <w:tcPr>
            <w:tcW w:w="17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left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MyAlarm Center, LLC</w:t>
            </w:r>
            <w:r>
              <w:rPr>
                <w:rFonts w:ascii="Arial" w:cs="Arial" w:eastAsia="Arial" w:hAnsi="Arial"/>
                <w:sz w:val="12"/>
                <w:szCs w:val="12"/>
                <w:color w:val="auto"/>
              </w:rPr>
              <w:t>(3)(4)</w:t>
            </w:r>
          </w:p>
        </w:tc>
        <w:tc>
          <w:tcPr>
            <w:tcW w:w="1920" w:type="dxa"/>
            <w:vAlign w:val="bottom"/>
            <w:gridSpan w:val="2"/>
          </w:tcPr>
          <w:p>
            <w:pPr>
              <w:spacing w:after="0" w:line="130" w:lineRule="exact"/>
              <w:rPr>
                <w:sz w:val="20"/>
                <w:szCs w:val="20"/>
                <w:color w:val="auto"/>
              </w:rPr>
            </w:pPr>
            <w:r>
              <w:rPr>
                <w:rFonts w:ascii="Arial" w:cs="Arial" w:eastAsia="Arial" w:hAnsi="Arial"/>
                <w:sz w:val="14"/>
                <w:szCs w:val="14"/>
                <w:color w:val="auto"/>
              </w:rPr>
              <w:t>First-lien loan ($61,861 par,</w:t>
            </w: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4"/>
                <w:szCs w:val="14"/>
                <w:color w:val="auto"/>
              </w:rPr>
              <w:t>due 1/2018)</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8.50%</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1/9/2014</w:t>
            </w:r>
          </w:p>
        </w:tc>
        <w:tc>
          <w:tcPr>
            <w:tcW w:w="740" w:type="dxa"/>
            <w:vAlign w:val="bottom"/>
          </w:tcPr>
          <w:p>
            <w:pPr>
              <w:jc w:val="right"/>
              <w:spacing w:after="0"/>
              <w:rPr>
                <w:sz w:val="20"/>
                <w:szCs w:val="20"/>
                <w:color w:val="auto"/>
              </w:rPr>
            </w:pPr>
            <w:r>
              <w:rPr>
                <w:rFonts w:ascii="Arial" w:cs="Arial" w:eastAsia="Arial" w:hAnsi="Arial"/>
                <w:sz w:val="14"/>
                <w:szCs w:val="14"/>
                <w:color w:val="auto"/>
              </w:rPr>
              <w:t>61,013</w:t>
            </w:r>
          </w:p>
        </w:tc>
        <w:tc>
          <w:tcPr>
            <w:tcW w:w="30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60,893</w:t>
            </w: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30"/>
        </w:trPr>
        <w:tc>
          <w:tcPr>
            <w:tcW w:w="4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16.25%</w:t>
            </w: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tcBorders>
              <w:lef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Mezzanine loan ($4,887 par,</w:t>
            </w:r>
          </w:p>
        </w:tc>
        <w:tc>
          <w:tcPr>
            <w:tcW w:w="11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(incl. 4.25%</w:t>
            </w: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tcBorders>
              <w:lef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7/2018)</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PIK)</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1/9/2014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4,849</w:t>
            </w:r>
          </w:p>
        </w:tc>
        <w:tc>
          <w:tcPr>
            <w:tcW w:w="300" w:type="dxa"/>
            <w:vAlign w:val="bottom"/>
            <w:tcBorders>
              <w:left w:val="single" w:sz="8" w:color="CCEEFF"/>
            </w:tcBorders>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4,520</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30"/>
        </w:trPr>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APX Group Inc.</w:t>
            </w:r>
            <w:r>
              <w:rPr>
                <w:rFonts w:ascii="Arial" w:cs="Arial" w:eastAsia="Arial" w:hAnsi="Arial"/>
                <w:sz w:val="12"/>
                <w:szCs w:val="12"/>
                <w:color w:val="auto"/>
              </w:rPr>
              <w:t>(3)(4)</w:t>
            </w:r>
          </w:p>
        </w:tc>
        <w:tc>
          <w:tcPr>
            <w:tcW w:w="1920" w:type="dxa"/>
            <w:vAlign w:val="bottom"/>
            <w:gridSpan w:val="2"/>
          </w:tcPr>
          <w:p>
            <w:pPr>
              <w:spacing w:after="0" w:line="130" w:lineRule="exact"/>
              <w:rPr>
                <w:sz w:val="20"/>
                <w:szCs w:val="20"/>
                <w:color w:val="auto"/>
              </w:rPr>
            </w:pPr>
            <w:r>
              <w:rPr>
                <w:rFonts w:ascii="Arial" w:cs="Arial" w:eastAsia="Arial" w:hAnsi="Arial"/>
                <w:sz w:val="14"/>
                <w:szCs w:val="14"/>
                <w:color w:val="auto"/>
              </w:rPr>
              <w:t>First-lien bond 6.375%</w:t>
            </w: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4"/>
                <w:szCs w:val="14"/>
                <w:color w:val="auto"/>
              </w:rPr>
              <w:t>($5,000 par, due 12/2019)</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6.38%</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12/12/2014</w:t>
            </w:r>
          </w:p>
        </w:tc>
        <w:tc>
          <w:tcPr>
            <w:tcW w:w="740" w:type="dxa"/>
            <w:vAlign w:val="bottom"/>
          </w:tcPr>
          <w:p>
            <w:pPr>
              <w:jc w:val="right"/>
              <w:spacing w:after="0"/>
              <w:rPr>
                <w:sz w:val="20"/>
                <w:szCs w:val="20"/>
                <w:color w:val="auto"/>
              </w:rPr>
            </w:pPr>
            <w:r>
              <w:rPr>
                <w:rFonts w:ascii="Arial" w:cs="Arial" w:eastAsia="Arial" w:hAnsi="Arial"/>
                <w:sz w:val="14"/>
                <w:szCs w:val="14"/>
                <w:color w:val="auto"/>
              </w:rPr>
              <w:t>4,727</w:t>
            </w:r>
          </w:p>
        </w:tc>
        <w:tc>
          <w:tcPr>
            <w:tcW w:w="30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4,788</w:t>
            </w: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30"/>
        </w:trPr>
        <w:tc>
          <w:tcPr>
            <w:tcW w:w="4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bond 8.75%</w:t>
            </w:r>
          </w:p>
        </w:tc>
        <w:tc>
          <w:tcPr>
            <w:tcW w:w="8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tcBorders>
              <w:lef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($10,000 par, due 12/2020)</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8.75%</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12/11/2014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8,566</w:t>
            </w:r>
          </w:p>
        </w:tc>
        <w:tc>
          <w:tcPr>
            <w:tcW w:w="300" w:type="dxa"/>
            <w:vAlign w:val="bottom"/>
            <w:tcBorders>
              <w:left w:val="single" w:sz="8" w:color="CCEEFF"/>
            </w:tcBorders>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8,444</w:t>
            </w:r>
          </w:p>
        </w:tc>
        <w:tc>
          <w:tcPr>
            <w:tcW w:w="3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79,155</w:t>
            </w:r>
          </w:p>
        </w:tc>
        <w:tc>
          <w:tcPr>
            <w:tcW w:w="300" w:type="dxa"/>
            <w:vAlign w:val="bottom"/>
            <w:vMerge w:val="continue"/>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78,645</w:t>
            </w:r>
          </w:p>
        </w:tc>
        <w:tc>
          <w:tcPr>
            <w:tcW w:w="300" w:type="dxa"/>
            <w:vAlign w:val="bottom"/>
            <w:vMerge w:val="continue"/>
          </w:tcPr>
          <w:p>
            <w:pPr>
              <w:spacing w:after="0"/>
              <w:rPr>
                <w:sz w:val="14"/>
                <w:szCs w:val="14"/>
                <w:color w:val="auto"/>
              </w:rPr>
            </w:pPr>
          </w:p>
        </w:tc>
        <w:tc>
          <w:tcPr>
            <w:tcW w:w="11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Financial services</w:t>
            </w:r>
          </w:p>
        </w:tc>
        <w:tc>
          <w:tcPr>
            <w:tcW w:w="1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00" w:type="dxa"/>
            <w:vAlign w:val="bottom"/>
            <w:tcBorders>
              <w:left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Embarcadero Technologies, Inc.</w:t>
            </w:r>
            <w:r>
              <w:rPr>
                <w:rFonts w:ascii="Arial" w:cs="Arial" w:eastAsia="Arial" w:hAnsi="Arial"/>
                <w:sz w:val="12"/>
                <w:szCs w:val="12"/>
                <w:color w:val="auto"/>
              </w:rPr>
              <w:t>(3)(4)(6)</w:t>
            </w:r>
          </w:p>
        </w:tc>
        <w:tc>
          <w:tcPr>
            <w:tcW w:w="1920" w:type="dxa"/>
            <w:vAlign w:val="bottom"/>
            <w:gridSpan w:val="2"/>
          </w:tcPr>
          <w:p>
            <w:pPr>
              <w:spacing w:after="0" w:line="130" w:lineRule="exact"/>
              <w:rPr>
                <w:sz w:val="20"/>
                <w:szCs w:val="20"/>
                <w:color w:val="auto"/>
              </w:rPr>
            </w:pPr>
            <w:r>
              <w:rPr>
                <w:rFonts w:ascii="Arial" w:cs="Arial" w:eastAsia="Arial" w:hAnsi="Arial"/>
                <w:sz w:val="14"/>
                <w:szCs w:val="14"/>
                <w:color w:val="auto"/>
              </w:rPr>
              <w:t>First-lien loan ($40,243 par,</w:t>
            </w: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2"/>
          </w:tcPr>
          <w:p>
            <w:pPr>
              <w:spacing w:after="0"/>
              <w:rPr>
                <w:sz w:val="20"/>
                <w:szCs w:val="20"/>
                <w:color w:val="auto"/>
              </w:rPr>
            </w:pPr>
            <w:r>
              <w:rPr>
                <w:rFonts w:ascii="Arial" w:cs="Arial" w:eastAsia="Arial" w:hAnsi="Arial"/>
                <w:sz w:val="14"/>
                <w:szCs w:val="14"/>
                <w:color w:val="auto"/>
              </w:rPr>
              <w:t>due 12/2017)</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8.00%</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12/28/2012</w:t>
            </w:r>
          </w:p>
        </w:tc>
        <w:tc>
          <w:tcPr>
            <w:tcW w:w="740" w:type="dxa"/>
            <w:vAlign w:val="bottom"/>
          </w:tcPr>
          <w:p>
            <w:pPr>
              <w:jc w:val="right"/>
              <w:spacing w:after="0"/>
              <w:rPr>
                <w:sz w:val="20"/>
                <w:szCs w:val="20"/>
                <w:color w:val="auto"/>
              </w:rPr>
            </w:pPr>
            <w:r>
              <w:rPr>
                <w:rFonts w:ascii="Arial" w:cs="Arial" w:eastAsia="Arial" w:hAnsi="Arial"/>
                <w:sz w:val="14"/>
                <w:szCs w:val="14"/>
                <w:color w:val="auto"/>
              </w:rPr>
              <w:t>39,585</w:t>
            </w:r>
          </w:p>
        </w:tc>
        <w:tc>
          <w:tcPr>
            <w:tcW w:w="30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40,544</w:t>
            </w: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30"/>
        </w:trPr>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Rogue Wave Holdings, Inc.</w:t>
            </w:r>
            <w:r>
              <w:rPr>
                <w:rFonts w:ascii="Arial" w:cs="Arial" w:eastAsia="Arial" w:hAnsi="Arial"/>
                <w:sz w:val="12"/>
                <w:szCs w:val="12"/>
                <w:color w:val="auto"/>
              </w:rPr>
              <w:t>(3)(4)(6)</w:t>
            </w: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($66,470 par,</w:t>
            </w:r>
          </w:p>
        </w:tc>
        <w:tc>
          <w:tcPr>
            <w:tcW w:w="8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tcBorders>
              <w:lef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12/2018)</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7.50%</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11/21/2012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65,344</w:t>
            </w:r>
          </w:p>
        </w:tc>
        <w:tc>
          <w:tcPr>
            <w:tcW w:w="300" w:type="dxa"/>
            <w:vAlign w:val="bottom"/>
            <w:tcBorders>
              <w:left w:val="single" w:sz="8" w:color="CCEEFF"/>
            </w:tcBorders>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65,971</w:t>
            </w:r>
          </w:p>
        </w:tc>
        <w:tc>
          <w:tcPr>
            <w:tcW w:w="3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104,929</w:t>
            </w:r>
          </w:p>
        </w:tc>
        <w:tc>
          <w:tcPr>
            <w:tcW w:w="300" w:type="dxa"/>
            <w:vAlign w:val="bottom"/>
            <w:vMerge w:val="continue"/>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106,515</w:t>
            </w:r>
          </w:p>
        </w:tc>
        <w:tc>
          <w:tcPr>
            <w:tcW w:w="300" w:type="dxa"/>
            <w:vAlign w:val="bottom"/>
            <w:vMerge w:val="continue"/>
          </w:tcPr>
          <w:p>
            <w:pPr>
              <w:spacing w:after="0"/>
              <w:rPr>
                <w:sz w:val="14"/>
                <w:szCs w:val="14"/>
                <w:color w:val="auto"/>
              </w:rPr>
            </w:pPr>
          </w:p>
        </w:tc>
        <w:tc>
          <w:tcPr>
            <w:tcW w:w="11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Healthcare and pharmaceuticals</w:t>
            </w:r>
          </w:p>
        </w:tc>
        <w:tc>
          <w:tcPr>
            <w:tcW w:w="1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00" w:type="dxa"/>
            <w:vAlign w:val="bottom"/>
            <w:tcBorders>
              <w:left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Aesynt Incorporated</w:t>
            </w:r>
            <w:r>
              <w:rPr>
                <w:rFonts w:ascii="Arial" w:cs="Arial" w:eastAsia="Arial" w:hAnsi="Arial"/>
                <w:sz w:val="12"/>
                <w:szCs w:val="12"/>
                <w:color w:val="auto"/>
              </w:rPr>
              <w:t>(3)(4)(6)</w:t>
            </w:r>
          </w:p>
        </w:tc>
        <w:tc>
          <w:tcPr>
            <w:tcW w:w="1920" w:type="dxa"/>
            <w:vAlign w:val="bottom"/>
            <w:gridSpan w:val="2"/>
          </w:tcPr>
          <w:p>
            <w:pPr>
              <w:spacing w:after="0" w:line="130" w:lineRule="exact"/>
              <w:rPr>
                <w:sz w:val="20"/>
                <w:szCs w:val="20"/>
                <w:color w:val="auto"/>
              </w:rPr>
            </w:pPr>
            <w:r>
              <w:rPr>
                <w:rFonts w:ascii="Arial" w:cs="Arial" w:eastAsia="Arial" w:hAnsi="Arial"/>
                <w:sz w:val="14"/>
                <w:szCs w:val="14"/>
                <w:color w:val="auto"/>
              </w:rPr>
              <w:t>First-lien loan ($34,563 par,</w:t>
            </w: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4"/>
                <w:szCs w:val="14"/>
                <w:color w:val="auto"/>
              </w:rPr>
              <w:t>due 5/2019)</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7.00%</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5/8/2014</w:t>
            </w:r>
          </w:p>
        </w:tc>
        <w:tc>
          <w:tcPr>
            <w:tcW w:w="740" w:type="dxa"/>
            <w:vAlign w:val="bottom"/>
          </w:tcPr>
          <w:p>
            <w:pPr>
              <w:jc w:val="right"/>
              <w:spacing w:after="0"/>
              <w:rPr>
                <w:sz w:val="20"/>
                <w:szCs w:val="20"/>
                <w:color w:val="auto"/>
              </w:rPr>
            </w:pPr>
            <w:r>
              <w:rPr>
                <w:rFonts w:ascii="Arial" w:cs="Arial" w:eastAsia="Arial" w:hAnsi="Arial"/>
                <w:sz w:val="14"/>
                <w:szCs w:val="14"/>
                <w:color w:val="auto"/>
              </w:rPr>
              <w:t>33,714</w:t>
            </w:r>
          </w:p>
        </w:tc>
        <w:tc>
          <w:tcPr>
            <w:tcW w:w="30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33,526</w:t>
            </w: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30"/>
        </w:trPr>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Global Healthcare Exchange, Inc.</w:t>
            </w:r>
            <w:r>
              <w:rPr>
                <w:rFonts w:ascii="Arial" w:cs="Arial" w:eastAsia="Arial" w:hAnsi="Arial"/>
                <w:sz w:val="12"/>
                <w:szCs w:val="12"/>
                <w:color w:val="auto"/>
              </w:rPr>
              <w:t>(3)(4)</w:t>
            </w: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($46,250 par,</w:t>
            </w:r>
          </w:p>
        </w:tc>
        <w:tc>
          <w:tcPr>
            <w:tcW w:w="8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tcBorders>
              <w:lef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3/2020)</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8.50%</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3/11/2014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45,149</w:t>
            </w:r>
          </w:p>
        </w:tc>
        <w:tc>
          <w:tcPr>
            <w:tcW w:w="300" w:type="dxa"/>
            <w:vAlign w:val="bottom"/>
            <w:tcBorders>
              <w:left w:val="single" w:sz="8" w:color="CCEEFF"/>
            </w:tcBorders>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45,139</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30"/>
        </w:trPr>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Helix Health, Ltd.</w:t>
            </w:r>
            <w:r>
              <w:rPr>
                <w:rFonts w:ascii="Arial" w:cs="Arial" w:eastAsia="Arial" w:hAnsi="Arial"/>
                <w:sz w:val="12"/>
                <w:szCs w:val="12"/>
                <w:color w:val="auto"/>
              </w:rPr>
              <w:t>(3)(5)</w:t>
            </w:r>
          </w:p>
        </w:tc>
        <w:tc>
          <w:tcPr>
            <w:tcW w:w="1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11.50%</w:t>
            </w: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2"/>
          </w:tcPr>
          <w:p>
            <w:pPr>
              <w:spacing w:after="0" w:line="154" w:lineRule="exact"/>
              <w:rPr>
                <w:sz w:val="20"/>
                <w:szCs w:val="20"/>
                <w:color w:val="auto"/>
              </w:rPr>
            </w:pPr>
            <w:r>
              <w:rPr>
                <w:rFonts w:ascii="Arial" w:cs="Arial" w:eastAsia="Arial" w:hAnsi="Arial"/>
                <w:sz w:val="14"/>
                <w:szCs w:val="14"/>
                <w:color w:val="auto"/>
              </w:rPr>
              <w:t>First-lien loan (EUR 28,014</w:t>
            </w:r>
          </w:p>
        </w:tc>
        <w:tc>
          <w:tcPr>
            <w:tcW w:w="1140" w:type="dxa"/>
            <w:vAlign w:val="bottom"/>
            <w:gridSpan w:val="2"/>
          </w:tcPr>
          <w:p>
            <w:pPr>
              <w:jc w:val="right"/>
              <w:ind w:right="300"/>
              <w:spacing w:after="0" w:line="154" w:lineRule="exact"/>
              <w:rPr>
                <w:sz w:val="20"/>
                <w:szCs w:val="20"/>
                <w:color w:val="auto"/>
              </w:rPr>
            </w:pPr>
            <w:r>
              <w:rPr>
                <w:rFonts w:ascii="Arial" w:cs="Arial" w:eastAsia="Arial" w:hAnsi="Arial"/>
                <w:sz w:val="14"/>
                <w:szCs w:val="14"/>
                <w:color w:val="auto"/>
              </w:rPr>
              <w:t>(incl. 3.00%</w:t>
            </w: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2"/>
          </w:tcPr>
          <w:p>
            <w:pPr>
              <w:spacing w:after="0"/>
              <w:rPr>
                <w:sz w:val="20"/>
                <w:szCs w:val="20"/>
                <w:color w:val="auto"/>
              </w:rPr>
            </w:pPr>
            <w:r>
              <w:rPr>
                <w:rFonts w:ascii="Arial" w:cs="Arial" w:eastAsia="Arial" w:hAnsi="Arial"/>
                <w:sz w:val="14"/>
                <w:szCs w:val="14"/>
                <w:color w:val="auto"/>
              </w:rPr>
              <w:t>par, due 9/2019)</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PIK)</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9/30/2014</w:t>
            </w:r>
          </w:p>
        </w:tc>
        <w:tc>
          <w:tcPr>
            <w:tcW w:w="740" w:type="dxa"/>
            <w:vAlign w:val="bottom"/>
          </w:tcPr>
          <w:p>
            <w:pPr>
              <w:jc w:val="right"/>
              <w:spacing w:after="0"/>
              <w:rPr>
                <w:sz w:val="20"/>
                <w:szCs w:val="20"/>
                <w:color w:val="auto"/>
              </w:rPr>
            </w:pPr>
            <w:r>
              <w:rPr>
                <w:rFonts w:ascii="Arial" w:cs="Arial" w:eastAsia="Arial" w:hAnsi="Arial"/>
                <w:sz w:val="14"/>
                <w:szCs w:val="14"/>
                <w:color w:val="auto"/>
              </w:rPr>
              <w:t>33,761</w:t>
            </w:r>
          </w:p>
        </w:tc>
        <w:tc>
          <w:tcPr>
            <w:tcW w:w="30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32,373</w:t>
            </w: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30"/>
        </w:trPr>
        <w:tc>
          <w:tcPr>
            <w:tcW w:w="4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revolving loan</w:t>
            </w:r>
          </w:p>
        </w:tc>
        <w:tc>
          <w:tcPr>
            <w:tcW w:w="8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tcBorders>
              <w:lef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(EUR 300 par, due 9/2019)</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11.50%</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9/30/2014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300" w:type="dxa"/>
            <w:vAlign w:val="bottom"/>
            <w:tcBorders>
              <w:left w:val="single" w:sz="8" w:color="CCEEFF"/>
            </w:tcBorders>
            <w:shd w:val="clear" w:color="auto" w:fill="CCEEFF"/>
          </w:tcPr>
          <w:p>
            <w:pPr>
              <w:spacing w:after="0"/>
              <w:rPr>
                <w:sz w:val="15"/>
                <w:szCs w:val="15"/>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227</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Mediware Information Systems, Inc.</w:t>
            </w:r>
            <w:r>
              <w:rPr>
                <w:rFonts w:ascii="Arial" w:cs="Arial" w:eastAsia="Arial" w:hAnsi="Arial"/>
                <w:sz w:val="12"/>
                <w:szCs w:val="12"/>
                <w:color w:val="auto"/>
              </w:rPr>
              <w:t>(3)(4)(6)</w:t>
            </w:r>
          </w:p>
        </w:tc>
        <w:tc>
          <w:tcPr>
            <w:tcW w:w="1920" w:type="dxa"/>
            <w:vAlign w:val="bottom"/>
            <w:gridSpan w:val="2"/>
          </w:tcPr>
          <w:p>
            <w:pPr>
              <w:spacing w:after="0" w:line="130" w:lineRule="exact"/>
              <w:rPr>
                <w:sz w:val="20"/>
                <w:szCs w:val="20"/>
                <w:color w:val="auto"/>
              </w:rPr>
            </w:pPr>
            <w:r>
              <w:rPr>
                <w:rFonts w:ascii="Arial" w:cs="Arial" w:eastAsia="Arial" w:hAnsi="Arial"/>
                <w:sz w:val="14"/>
                <w:szCs w:val="14"/>
                <w:color w:val="auto"/>
              </w:rPr>
              <w:t>First-lien loan ($69,405 par,</w:t>
            </w: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2"/>
          </w:tcPr>
          <w:p>
            <w:pPr>
              <w:spacing w:after="0"/>
              <w:rPr>
                <w:sz w:val="20"/>
                <w:szCs w:val="20"/>
                <w:color w:val="auto"/>
              </w:rPr>
            </w:pPr>
            <w:r>
              <w:rPr>
                <w:rFonts w:ascii="Arial" w:cs="Arial" w:eastAsia="Arial" w:hAnsi="Arial"/>
                <w:sz w:val="14"/>
                <w:szCs w:val="14"/>
                <w:color w:val="auto"/>
              </w:rPr>
              <w:t>due 5/2018)</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7.00%</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11/9/2012</w:t>
            </w:r>
          </w:p>
        </w:tc>
        <w:tc>
          <w:tcPr>
            <w:tcW w:w="740" w:type="dxa"/>
            <w:vAlign w:val="bottom"/>
          </w:tcPr>
          <w:p>
            <w:pPr>
              <w:jc w:val="right"/>
              <w:spacing w:after="0"/>
              <w:rPr>
                <w:sz w:val="20"/>
                <w:szCs w:val="20"/>
                <w:color w:val="auto"/>
              </w:rPr>
            </w:pPr>
            <w:r>
              <w:rPr>
                <w:rFonts w:ascii="Arial" w:cs="Arial" w:eastAsia="Arial" w:hAnsi="Arial"/>
                <w:sz w:val="14"/>
                <w:szCs w:val="14"/>
                <w:color w:val="auto"/>
              </w:rPr>
              <w:t>68,221</w:t>
            </w:r>
          </w:p>
        </w:tc>
        <w:tc>
          <w:tcPr>
            <w:tcW w:w="30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68,885</w:t>
            </w: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30"/>
        </w:trPr>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SRS Software, LLC</w:t>
            </w:r>
            <w:r>
              <w:rPr>
                <w:rFonts w:ascii="Arial" w:cs="Arial" w:eastAsia="Arial" w:hAnsi="Arial"/>
                <w:sz w:val="12"/>
                <w:szCs w:val="12"/>
                <w:color w:val="auto"/>
              </w:rPr>
              <w:t>(3)(4)</w:t>
            </w: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($33,750 par,</w:t>
            </w:r>
          </w:p>
        </w:tc>
        <w:tc>
          <w:tcPr>
            <w:tcW w:w="8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tcBorders>
              <w:lef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12/2017)</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8.75%</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12/28/2012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33,192</w:t>
            </w:r>
          </w:p>
        </w:tc>
        <w:tc>
          <w:tcPr>
            <w:tcW w:w="300" w:type="dxa"/>
            <w:vAlign w:val="bottom"/>
            <w:tcBorders>
              <w:left w:val="single" w:sz="8" w:color="CCEEFF"/>
            </w:tcBorders>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33,834</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30"/>
        </w:trPr>
        <w:tc>
          <w:tcPr>
            <w:tcW w:w="4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20" w:type="dxa"/>
            <w:vAlign w:val="bottom"/>
            <w:gridSpan w:val="2"/>
          </w:tcPr>
          <w:p>
            <w:pPr>
              <w:spacing w:after="0" w:line="130" w:lineRule="exact"/>
              <w:rPr>
                <w:sz w:val="20"/>
                <w:szCs w:val="20"/>
                <w:color w:val="auto"/>
              </w:rPr>
            </w:pPr>
            <w:r>
              <w:rPr>
                <w:rFonts w:ascii="Arial" w:cs="Arial" w:eastAsia="Arial" w:hAnsi="Arial"/>
                <w:sz w:val="14"/>
                <w:szCs w:val="14"/>
                <w:color w:val="auto"/>
              </w:rPr>
              <w:t>First-lien revolving loan</w:t>
            </w: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($2,000</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2"/>
          </w:tcPr>
          <w:p>
            <w:pPr>
              <w:spacing w:after="0"/>
              <w:rPr>
                <w:sz w:val="20"/>
                <w:szCs w:val="20"/>
                <w:color w:val="auto"/>
              </w:rPr>
            </w:pPr>
            <w:r>
              <w:rPr>
                <w:rFonts w:ascii="Arial" w:cs="Arial" w:eastAsia="Arial" w:hAnsi="Arial"/>
                <w:sz w:val="14"/>
                <w:szCs w:val="14"/>
                <w:color w:val="auto"/>
              </w:rPr>
              <w:t>par, due 12/2017)</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8.75%</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12/28/2012</w:t>
            </w:r>
          </w:p>
        </w:tc>
        <w:tc>
          <w:tcPr>
            <w:tcW w:w="740" w:type="dxa"/>
            <w:vAlign w:val="bottom"/>
          </w:tcPr>
          <w:p>
            <w:pPr>
              <w:jc w:val="right"/>
              <w:spacing w:after="0"/>
              <w:rPr>
                <w:sz w:val="20"/>
                <w:szCs w:val="20"/>
                <w:color w:val="auto"/>
              </w:rPr>
            </w:pPr>
            <w:r>
              <w:rPr>
                <w:rFonts w:ascii="Arial" w:cs="Arial" w:eastAsia="Arial" w:hAnsi="Arial"/>
                <w:sz w:val="14"/>
                <w:szCs w:val="14"/>
                <w:color w:val="auto"/>
              </w:rPr>
              <w:t>1,933</w:t>
            </w:r>
          </w:p>
        </w:tc>
        <w:tc>
          <w:tcPr>
            <w:tcW w:w="3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2,005</w:t>
            </w:r>
          </w:p>
        </w:tc>
        <w:tc>
          <w:tcPr>
            <w:tcW w:w="30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216,205</w:t>
            </w:r>
          </w:p>
        </w:tc>
        <w:tc>
          <w:tcPr>
            <w:tcW w:w="300" w:type="dxa"/>
            <w:vAlign w:val="bottom"/>
            <w:tcBorders>
              <w:left w:val="single" w:sz="8" w:color="CCEEFF"/>
            </w:tcBorders>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215,989</w:t>
            </w:r>
          </w:p>
        </w:tc>
        <w:tc>
          <w:tcPr>
            <w:tcW w:w="3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156"/>
        </w:trPr>
        <w:tc>
          <w:tcPr>
            <w:tcW w:w="4200" w:type="dxa"/>
            <w:vAlign w:val="bottom"/>
            <w:gridSpan w:val="2"/>
          </w:tcPr>
          <w:p>
            <w:pPr>
              <w:ind w:left="300"/>
              <w:spacing w:after="0" w:line="155" w:lineRule="exact"/>
              <w:rPr>
                <w:sz w:val="20"/>
                <w:szCs w:val="20"/>
                <w:color w:val="auto"/>
              </w:rPr>
            </w:pPr>
            <w:r>
              <w:rPr>
                <w:rFonts w:ascii="Arial" w:cs="Arial" w:eastAsia="Arial" w:hAnsi="Arial"/>
                <w:sz w:val="14"/>
                <w:szCs w:val="14"/>
                <w:b w:val="1"/>
                <w:bCs w:val="1"/>
                <w:color w:val="auto"/>
              </w:rPr>
              <w:t>Hotel, gaming, and leisure</w:t>
            </w: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Centaur, LLC</w:t>
            </w:r>
            <w:r>
              <w:rPr>
                <w:rFonts w:ascii="Arial" w:cs="Arial" w:eastAsia="Arial" w:hAnsi="Arial"/>
                <w:sz w:val="12"/>
                <w:szCs w:val="12"/>
                <w:color w:val="auto"/>
              </w:rPr>
              <w:t>(3)(4)</w:t>
            </w: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Second-lien loan ($10,000</w:t>
            </w:r>
          </w:p>
        </w:tc>
        <w:tc>
          <w:tcPr>
            <w:tcW w:w="8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tcBorders>
              <w:lef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par, due 2/2020)</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8.75%</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2/15/2013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9,931</w:t>
            </w:r>
          </w:p>
        </w:tc>
        <w:tc>
          <w:tcPr>
            <w:tcW w:w="300" w:type="dxa"/>
            <w:vAlign w:val="bottom"/>
            <w:tcBorders>
              <w:left w:val="single" w:sz="8" w:color="CCEEFF"/>
            </w:tcBorders>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9,913</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30"/>
        </w:trPr>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IRG Sports &amp; Entertainment, LLC</w:t>
            </w:r>
            <w:r>
              <w:rPr>
                <w:rFonts w:ascii="Arial" w:cs="Arial" w:eastAsia="Arial" w:hAnsi="Arial"/>
                <w:sz w:val="12"/>
                <w:szCs w:val="12"/>
                <w:color w:val="auto"/>
              </w:rPr>
              <w:t>(3)(4)</w:t>
            </w:r>
          </w:p>
        </w:tc>
        <w:tc>
          <w:tcPr>
            <w:tcW w:w="1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12.00%</w:t>
            </w: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2"/>
          </w:tcPr>
          <w:p>
            <w:pPr>
              <w:spacing w:after="0" w:line="154" w:lineRule="exact"/>
              <w:rPr>
                <w:sz w:val="20"/>
                <w:szCs w:val="20"/>
                <w:color w:val="auto"/>
              </w:rPr>
            </w:pPr>
            <w:r>
              <w:rPr>
                <w:rFonts w:ascii="Arial" w:cs="Arial" w:eastAsia="Arial" w:hAnsi="Arial"/>
                <w:sz w:val="14"/>
                <w:szCs w:val="14"/>
                <w:color w:val="auto"/>
              </w:rPr>
              <w:t>First-lien loan ($43,653 par,</w:t>
            </w:r>
          </w:p>
        </w:tc>
        <w:tc>
          <w:tcPr>
            <w:tcW w:w="1140" w:type="dxa"/>
            <w:vAlign w:val="bottom"/>
            <w:gridSpan w:val="2"/>
          </w:tcPr>
          <w:p>
            <w:pPr>
              <w:jc w:val="right"/>
              <w:ind w:right="300"/>
              <w:spacing w:after="0" w:line="154" w:lineRule="exact"/>
              <w:rPr>
                <w:sz w:val="20"/>
                <w:szCs w:val="20"/>
                <w:color w:val="auto"/>
              </w:rPr>
            </w:pPr>
            <w:r>
              <w:rPr>
                <w:rFonts w:ascii="Arial" w:cs="Arial" w:eastAsia="Arial" w:hAnsi="Arial"/>
                <w:sz w:val="14"/>
                <w:szCs w:val="14"/>
                <w:color w:val="auto"/>
              </w:rPr>
              <w:t>(incl. 5.00%</w:t>
            </w: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2"/>
          </w:tcPr>
          <w:p>
            <w:pPr>
              <w:spacing w:after="0"/>
              <w:rPr>
                <w:sz w:val="20"/>
                <w:szCs w:val="20"/>
                <w:color w:val="auto"/>
              </w:rPr>
            </w:pPr>
            <w:r>
              <w:rPr>
                <w:rFonts w:ascii="Arial" w:cs="Arial" w:eastAsia="Arial" w:hAnsi="Arial"/>
                <w:sz w:val="14"/>
                <w:szCs w:val="14"/>
                <w:color w:val="auto"/>
              </w:rPr>
              <w:t>due 9/2019)</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PIK)</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9/30/2014</w:t>
            </w:r>
          </w:p>
        </w:tc>
        <w:tc>
          <w:tcPr>
            <w:tcW w:w="740" w:type="dxa"/>
            <w:vAlign w:val="bottom"/>
          </w:tcPr>
          <w:p>
            <w:pPr>
              <w:jc w:val="right"/>
              <w:spacing w:after="0"/>
              <w:rPr>
                <w:sz w:val="20"/>
                <w:szCs w:val="20"/>
                <w:color w:val="auto"/>
              </w:rPr>
            </w:pPr>
            <w:r>
              <w:rPr>
                <w:rFonts w:ascii="Arial" w:cs="Arial" w:eastAsia="Arial" w:hAnsi="Arial"/>
                <w:sz w:val="14"/>
                <w:szCs w:val="14"/>
                <w:color w:val="auto"/>
              </w:rPr>
              <w:t>41,073</w:t>
            </w:r>
          </w:p>
        </w:tc>
        <w:tc>
          <w:tcPr>
            <w:tcW w:w="30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40,161</w:t>
            </w: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30"/>
        </w:trPr>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Soho House</w:t>
            </w:r>
            <w:r>
              <w:rPr>
                <w:rFonts w:ascii="Arial" w:cs="Arial" w:eastAsia="Arial" w:hAnsi="Arial"/>
                <w:sz w:val="12"/>
                <w:szCs w:val="12"/>
                <w:color w:val="auto"/>
              </w:rPr>
              <w:t>(5)</w:t>
            </w: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Second-lien bond (GBP</w:t>
            </w:r>
          </w:p>
        </w:tc>
        <w:tc>
          <w:tcPr>
            <w:tcW w:w="8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tcBorders>
              <w:lef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13,750 par, due 10/2018)</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9.13%</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9/20/2013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22,826</w:t>
            </w:r>
          </w:p>
        </w:tc>
        <w:tc>
          <w:tcPr>
            <w:tcW w:w="300" w:type="dxa"/>
            <w:vAlign w:val="bottom"/>
            <w:tcBorders>
              <w:left w:val="single" w:sz="8" w:color="CCEEFF"/>
            </w:tcBorders>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22,565</w:t>
            </w:r>
          </w:p>
        </w:tc>
        <w:tc>
          <w:tcPr>
            <w:tcW w:w="3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73,830</w:t>
            </w:r>
          </w:p>
        </w:tc>
        <w:tc>
          <w:tcPr>
            <w:tcW w:w="300" w:type="dxa"/>
            <w:vAlign w:val="bottom"/>
            <w:vMerge w:val="continue"/>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72,639</w:t>
            </w:r>
          </w:p>
        </w:tc>
        <w:tc>
          <w:tcPr>
            <w:tcW w:w="300" w:type="dxa"/>
            <w:vAlign w:val="bottom"/>
            <w:vMerge w:val="continue"/>
          </w:tcPr>
          <w:p>
            <w:pPr>
              <w:spacing w:after="0"/>
              <w:rPr>
                <w:sz w:val="13"/>
                <w:szCs w:val="13"/>
                <w:color w:val="auto"/>
              </w:rPr>
            </w:pPr>
          </w:p>
        </w:tc>
        <w:tc>
          <w:tcPr>
            <w:tcW w:w="11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Initial</w:t>
            </w:r>
          </w:p>
        </w:tc>
        <w:tc>
          <w:tcPr>
            <w:tcW w:w="10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9"/>
              </w:rPr>
              <w:t>Amortized</w:t>
            </w:r>
          </w:p>
        </w:tc>
        <w:tc>
          <w:tcPr>
            <w:tcW w:w="9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Fair</w:t>
            </w:r>
          </w:p>
        </w:tc>
        <w:tc>
          <w:tcPr>
            <w:tcW w:w="11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4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192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Investment</w:t>
            </w:r>
          </w:p>
        </w:tc>
        <w:tc>
          <w:tcPr>
            <w:tcW w:w="11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Interest</w:t>
            </w: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Acquisition</w:t>
            </w:r>
          </w:p>
        </w:tc>
        <w:tc>
          <w:tcPr>
            <w:tcW w:w="102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00" w:type="dxa"/>
            <w:vAlign w:val="bottom"/>
            <w:gridSpan w:val="3"/>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Date</w:t>
            </w: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2"/>
                <w:szCs w:val="12"/>
                <w:b w:val="1"/>
                <w:bCs w:val="1"/>
                <w:color w:val="auto"/>
              </w:rPr>
              <w:t>(2)</w:t>
            </w: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Value</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of Net Assets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Borders>
              <w:top w:val="single" w:sz="8" w:color="auto"/>
            </w:tcBorders>
            <w:shd w:val="clear" w:color="auto" w:fill="CCEEFF"/>
          </w:tcPr>
          <w:p>
            <w:pPr>
              <w:ind w:left="280"/>
              <w:spacing w:after="0" w:line="142" w:lineRule="exact"/>
              <w:rPr>
                <w:sz w:val="20"/>
                <w:szCs w:val="20"/>
                <w:color w:val="auto"/>
              </w:rPr>
            </w:pPr>
            <w:r>
              <w:rPr>
                <w:rFonts w:ascii="Arial" w:cs="Arial" w:eastAsia="Arial" w:hAnsi="Arial"/>
                <w:sz w:val="14"/>
                <w:szCs w:val="14"/>
                <w:b w:val="1"/>
                <w:bCs w:val="1"/>
                <w:color w:val="auto"/>
              </w:rPr>
              <w:t>Insurance</w:t>
            </w:r>
          </w:p>
        </w:tc>
        <w:tc>
          <w:tcPr>
            <w:tcW w:w="200" w:type="dxa"/>
            <w:vAlign w:val="bottom"/>
            <w:tcBorders>
              <w:top w:val="single" w:sz="8" w:color="CCEEFF"/>
            </w:tcBorders>
            <w:shd w:val="clear" w:color="auto" w:fill="CCEEFF"/>
          </w:tcPr>
          <w:p>
            <w:pPr>
              <w:spacing w:after="0"/>
              <w:rPr>
                <w:sz w:val="12"/>
                <w:szCs w:val="12"/>
                <w:color w:val="auto"/>
              </w:rPr>
            </w:pPr>
          </w:p>
        </w:tc>
        <w:tc>
          <w:tcPr>
            <w:tcW w:w="17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80" w:type="dxa"/>
            <w:vAlign w:val="bottom"/>
            <w:gridSpan w:val="2"/>
          </w:tcPr>
          <w:p>
            <w:pPr>
              <w:spacing w:after="0" w:line="130" w:lineRule="exact"/>
              <w:rPr>
                <w:sz w:val="20"/>
                <w:szCs w:val="20"/>
                <w:color w:val="auto"/>
              </w:rPr>
            </w:pPr>
            <w:r>
              <w:rPr>
                <w:rFonts w:ascii="Arial" w:cs="Arial" w:eastAsia="Arial" w:hAnsi="Arial"/>
                <w:sz w:val="14"/>
                <w:szCs w:val="14"/>
                <w:color w:val="auto"/>
              </w:rPr>
              <w:t>Infogix, Inc.</w:t>
            </w:r>
            <w:r>
              <w:rPr>
                <w:rFonts w:ascii="Arial" w:cs="Arial" w:eastAsia="Arial" w:hAnsi="Arial"/>
                <w:sz w:val="12"/>
                <w:szCs w:val="12"/>
                <w:color w:val="auto"/>
              </w:rPr>
              <w:t>(3)(4)</w:t>
            </w:r>
          </w:p>
        </w:tc>
        <w:tc>
          <w:tcPr>
            <w:tcW w:w="1920" w:type="dxa"/>
            <w:vAlign w:val="bottom"/>
            <w:gridSpan w:val="2"/>
          </w:tcPr>
          <w:p>
            <w:pPr>
              <w:spacing w:after="0" w:line="130" w:lineRule="exact"/>
              <w:rPr>
                <w:sz w:val="20"/>
                <w:szCs w:val="20"/>
                <w:color w:val="auto"/>
              </w:rPr>
            </w:pPr>
            <w:r>
              <w:rPr>
                <w:rFonts w:ascii="Arial" w:cs="Arial" w:eastAsia="Arial" w:hAnsi="Arial"/>
                <w:sz w:val="14"/>
                <w:szCs w:val="14"/>
                <w:color w:val="auto"/>
              </w:rPr>
              <w:t>First-lien loan ($35,438 par,</w:t>
            </w: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4"/>
                <w:szCs w:val="14"/>
                <w:color w:val="auto"/>
              </w:rPr>
              <w:t>due 6/2017)</w:t>
            </w: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10.00%</w:t>
            </w: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6/1/2012</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35,034</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35,260</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revolving loan</w:t>
            </w: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($2,010 par, due 6/2017)</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11.00%</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6/1/2012</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1,961</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1,985</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80" w:type="dxa"/>
            <w:vAlign w:val="bottom"/>
            <w:gridSpan w:val="2"/>
          </w:tcPr>
          <w:p>
            <w:pPr>
              <w:spacing w:after="0" w:line="130" w:lineRule="exact"/>
              <w:rPr>
                <w:sz w:val="20"/>
                <w:szCs w:val="20"/>
                <w:color w:val="auto"/>
              </w:rPr>
            </w:pPr>
            <w:r>
              <w:rPr>
                <w:rFonts w:ascii="Arial" w:cs="Arial" w:eastAsia="Arial" w:hAnsi="Arial"/>
                <w:sz w:val="14"/>
                <w:szCs w:val="14"/>
                <w:color w:val="auto"/>
              </w:rPr>
              <w:t>Insurity, Inc.</w:t>
            </w:r>
            <w:r>
              <w:rPr>
                <w:rFonts w:ascii="Arial" w:cs="Arial" w:eastAsia="Arial" w:hAnsi="Arial"/>
                <w:sz w:val="12"/>
                <w:szCs w:val="12"/>
                <w:color w:val="auto"/>
              </w:rPr>
              <w:t>(3)(4)(6)</w:t>
            </w:r>
          </w:p>
        </w:tc>
        <w:tc>
          <w:tcPr>
            <w:tcW w:w="1920" w:type="dxa"/>
            <w:vAlign w:val="bottom"/>
            <w:gridSpan w:val="2"/>
          </w:tcPr>
          <w:p>
            <w:pPr>
              <w:spacing w:after="0" w:line="130" w:lineRule="exact"/>
              <w:rPr>
                <w:sz w:val="20"/>
                <w:szCs w:val="20"/>
                <w:color w:val="auto"/>
              </w:rPr>
            </w:pPr>
            <w:r>
              <w:rPr>
                <w:rFonts w:ascii="Arial" w:cs="Arial" w:eastAsia="Arial" w:hAnsi="Arial"/>
                <w:sz w:val="14"/>
                <w:szCs w:val="14"/>
                <w:color w:val="auto"/>
              </w:rPr>
              <w:t>First-lien loan ($65,000 par,</w:t>
            </w: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4"/>
                <w:szCs w:val="14"/>
                <w:color w:val="auto"/>
              </w:rPr>
              <w:t>due 10/2020)</w:t>
            </w: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7.50%</w:t>
            </w: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10/31/2014</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64,363</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64,025</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101,358</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101,270</w:t>
            </w:r>
          </w:p>
        </w:tc>
        <w:tc>
          <w:tcPr>
            <w:tcW w:w="11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8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Internet Services</w:t>
            </w: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Highwinds Capital, Inc.</w:t>
            </w:r>
            <w:r>
              <w:rPr>
                <w:rFonts w:ascii="Arial" w:cs="Arial" w:eastAsia="Arial" w:hAnsi="Arial"/>
                <w:sz w:val="12"/>
                <w:szCs w:val="12"/>
                <w:color w:val="auto"/>
              </w:rPr>
              <w:t>(3)(4)</w:t>
            </w: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($41,401 par,</w:t>
            </w: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7/2018)</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9.00%</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3/7/2014</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40,931</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40,859</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Manufacturing</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Jeeves Information Systems AB</w:t>
            </w:r>
            <w:r>
              <w:rPr>
                <w:rFonts w:ascii="Arial" w:cs="Arial" w:eastAsia="Arial" w:hAnsi="Arial"/>
                <w:sz w:val="12"/>
                <w:szCs w:val="12"/>
                <w:color w:val="auto"/>
              </w:rPr>
              <w:t>(3)(5)(6)</w:t>
            </w: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(SEK 203,140</w:t>
            </w: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par, due 3/2019)</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8.75%</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6/5/2013</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30,897</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25,690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Metals and mining</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Metalico, Inc.</w:t>
            </w:r>
            <w:r>
              <w:rPr>
                <w:rFonts w:ascii="Arial" w:cs="Arial" w:eastAsia="Arial" w:hAnsi="Arial"/>
                <w:sz w:val="12"/>
                <w:szCs w:val="12"/>
                <w:color w:val="auto"/>
              </w:rPr>
              <w:t>(3)(4)(6)</w:t>
            </w: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($19,973 par,</w:t>
            </w: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11/2019)</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10.50%</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11/21/2013</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17,699</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21,321</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Office products</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Ecommerce Industries, Inc.</w:t>
            </w:r>
            <w:r>
              <w:rPr>
                <w:rFonts w:ascii="Arial" w:cs="Arial" w:eastAsia="Arial" w:hAnsi="Arial"/>
                <w:sz w:val="12"/>
                <w:szCs w:val="12"/>
                <w:color w:val="auto"/>
              </w:rPr>
              <w:t>(3)(4)(6)</w:t>
            </w: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($35,390 par,</w:t>
            </w: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3/2019)</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7.25%</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3/11/2014</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35,090</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34,868</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Oil, gas and consumable fuels</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Milagro Exploration, LLC</w:t>
            </w:r>
            <w:r>
              <w:rPr>
                <w:rFonts w:ascii="Arial" w:cs="Arial" w:eastAsia="Arial" w:hAnsi="Arial"/>
                <w:sz w:val="12"/>
                <w:szCs w:val="12"/>
                <w:color w:val="auto"/>
              </w:rPr>
              <w:t>(3)(4)</w:t>
            </w: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($62,857 par,</w:t>
            </w: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9/2017)</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9.50%</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9/4/2014</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62,130</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61,457</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80" w:type="dxa"/>
            <w:vAlign w:val="bottom"/>
            <w:gridSpan w:val="2"/>
          </w:tcPr>
          <w:p>
            <w:pPr>
              <w:spacing w:after="0" w:line="130" w:lineRule="exact"/>
              <w:rPr>
                <w:sz w:val="20"/>
                <w:szCs w:val="20"/>
                <w:color w:val="auto"/>
              </w:rPr>
            </w:pPr>
            <w:r>
              <w:rPr>
                <w:rFonts w:ascii="Arial" w:cs="Arial" w:eastAsia="Arial" w:hAnsi="Arial"/>
                <w:sz w:val="14"/>
                <w:szCs w:val="14"/>
                <w:color w:val="auto"/>
              </w:rPr>
              <w:t>Mississippi Resources, LLC</w:t>
            </w:r>
            <w:r>
              <w:rPr>
                <w:rFonts w:ascii="Arial" w:cs="Arial" w:eastAsia="Arial" w:hAnsi="Arial"/>
                <w:sz w:val="12"/>
                <w:szCs w:val="12"/>
                <w:color w:val="auto"/>
              </w:rPr>
              <w:t>(3)(4)(7)</w:t>
            </w:r>
          </w:p>
        </w:tc>
        <w:tc>
          <w:tcPr>
            <w:tcW w:w="1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13.00%</w:t>
            </w: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($39,505 par,</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(incl. 1.50%</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4"/>
                <w:szCs w:val="14"/>
                <w:color w:val="auto"/>
              </w:rPr>
              <w:t>due 6/2018)</w:t>
            </w: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PIK)</w:t>
            </w: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6/4/2014</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38,706</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37,381</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100,836</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98,838</w:t>
            </w:r>
          </w:p>
        </w:tc>
        <w:tc>
          <w:tcPr>
            <w:tcW w:w="11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8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Specialty Retail</w:t>
            </w: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Toys ‘R’ Us-Delaware, Inc.</w:t>
            </w:r>
            <w:r>
              <w:rPr>
                <w:rFonts w:ascii="Arial" w:cs="Arial" w:eastAsia="Arial" w:hAnsi="Arial"/>
                <w:sz w:val="12"/>
                <w:szCs w:val="12"/>
                <w:color w:val="auto"/>
              </w:rPr>
              <w:t>(3)(4)</w:t>
            </w: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($42,000 par,</w:t>
            </w: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10/2019)</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8.25%</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10/10/2014</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41,149</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41,370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Transportation</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Kewill, Ltd.</w:t>
            </w:r>
            <w:r>
              <w:rPr>
                <w:rFonts w:ascii="Arial" w:cs="Arial" w:eastAsia="Arial" w:hAnsi="Arial"/>
                <w:sz w:val="12"/>
                <w:szCs w:val="12"/>
                <w:color w:val="auto"/>
              </w:rPr>
              <w:t>(3)(5)</w:t>
            </w: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Second-lien loan ($62,500</w:t>
            </w: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par, due 10/2019)</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9.50%</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10/2/2013</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61,428</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61,250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 Debt Investments</w:t>
            </w: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180" w:type="dxa"/>
            <w:vAlign w:val="bottom"/>
            <w:gridSpan w:val="2"/>
            <w:vMerge w:val="continue"/>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1,251,749</w:t>
            </w:r>
          </w:p>
        </w:tc>
        <w:tc>
          <w:tcPr>
            <w:tcW w:w="30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1,248,618</w:t>
            </w:r>
          </w:p>
        </w:tc>
        <w:tc>
          <w:tcPr>
            <w:tcW w:w="300" w:type="dxa"/>
            <w:vAlign w:val="bottom"/>
            <w:vMerge w:val="continue"/>
          </w:tcPr>
          <w:p>
            <w:pPr>
              <w:spacing w:after="0"/>
              <w:rPr>
                <w:sz w:val="14"/>
                <w:szCs w:val="14"/>
                <w:color w:val="auto"/>
              </w:rPr>
            </w:pPr>
          </w:p>
        </w:tc>
        <w:tc>
          <w:tcPr>
            <w:tcW w:w="11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149.6%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Equity and Other Investments Business services</w:t>
            </w:r>
          </w:p>
        </w:tc>
        <w:tc>
          <w:tcPr>
            <w:tcW w:w="1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80" w:type="dxa"/>
            <w:vAlign w:val="bottom"/>
            <w:gridSpan w:val="2"/>
          </w:tcPr>
          <w:p>
            <w:pPr>
              <w:spacing w:after="0" w:line="130" w:lineRule="exact"/>
              <w:rPr>
                <w:sz w:val="20"/>
                <w:szCs w:val="20"/>
                <w:color w:val="auto"/>
              </w:rPr>
            </w:pPr>
            <w:r>
              <w:rPr>
                <w:rFonts w:ascii="Arial" w:cs="Arial" w:eastAsia="Arial" w:hAnsi="Arial"/>
                <w:sz w:val="14"/>
                <w:szCs w:val="14"/>
                <w:color w:val="auto"/>
              </w:rPr>
              <w:t>Network Merchants, Inc</w:t>
            </w:r>
          </w:p>
        </w:tc>
        <w:tc>
          <w:tcPr>
            <w:tcW w:w="1920" w:type="dxa"/>
            <w:vAlign w:val="bottom"/>
            <w:gridSpan w:val="2"/>
          </w:tcPr>
          <w:p>
            <w:pPr>
              <w:spacing w:after="0" w:line="130" w:lineRule="exact"/>
              <w:rPr>
                <w:sz w:val="20"/>
                <w:szCs w:val="20"/>
                <w:color w:val="auto"/>
              </w:rPr>
            </w:pPr>
            <w:r>
              <w:rPr>
                <w:rFonts w:ascii="Arial" w:cs="Arial" w:eastAsia="Arial" w:hAnsi="Arial"/>
                <w:sz w:val="14"/>
                <w:szCs w:val="14"/>
                <w:color w:val="auto"/>
              </w:rPr>
              <w:t>Non-Voting Preferred Units</w:t>
            </w: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4"/>
                <w:szCs w:val="14"/>
                <w:color w:val="auto"/>
              </w:rPr>
              <w:t>(774,099 units)</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9/12/2013</w:t>
            </w:r>
          </w:p>
        </w:tc>
        <w:tc>
          <w:tcPr>
            <w:tcW w:w="720" w:type="dxa"/>
            <w:vAlign w:val="bottom"/>
          </w:tcPr>
          <w:p>
            <w:pPr>
              <w:jc w:val="right"/>
              <w:spacing w:after="0"/>
              <w:rPr>
                <w:sz w:val="20"/>
                <w:szCs w:val="20"/>
                <w:color w:val="auto"/>
              </w:rPr>
            </w:pPr>
            <w:r>
              <w:rPr>
                <w:rFonts w:ascii="Arial" w:cs="Arial" w:eastAsia="Arial" w:hAnsi="Arial"/>
                <w:sz w:val="14"/>
                <w:szCs w:val="14"/>
                <w:color w:val="auto"/>
              </w:rPr>
              <w:t>780</w:t>
            </w:r>
          </w:p>
        </w:tc>
        <w:tc>
          <w:tcPr>
            <w:tcW w:w="30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932</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Healthcare and pharmaceuticals</w:t>
            </w:r>
          </w:p>
        </w:tc>
        <w:tc>
          <w:tcPr>
            <w:tcW w:w="1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80" w:type="dxa"/>
            <w:vAlign w:val="bottom"/>
            <w:gridSpan w:val="2"/>
          </w:tcPr>
          <w:p>
            <w:pPr>
              <w:spacing w:after="0" w:line="130" w:lineRule="exact"/>
              <w:rPr>
                <w:sz w:val="20"/>
                <w:szCs w:val="20"/>
                <w:color w:val="auto"/>
              </w:rPr>
            </w:pPr>
            <w:r>
              <w:rPr>
                <w:rFonts w:ascii="Arial" w:cs="Arial" w:eastAsia="Arial" w:hAnsi="Arial"/>
                <w:sz w:val="14"/>
                <w:szCs w:val="14"/>
                <w:color w:val="auto"/>
              </w:rPr>
              <w:t>Global Healthcare Exchange, LLC</w:t>
            </w:r>
          </w:p>
        </w:tc>
        <w:tc>
          <w:tcPr>
            <w:tcW w:w="1920" w:type="dxa"/>
            <w:vAlign w:val="bottom"/>
            <w:gridSpan w:val="2"/>
          </w:tcPr>
          <w:p>
            <w:pPr>
              <w:spacing w:after="0" w:line="130" w:lineRule="exact"/>
              <w:rPr>
                <w:sz w:val="20"/>
                <w:szCs w:val="20"/>
                <w:color w:val="auto"/>
              </w:rPr>
            </w:pPr>
            <w:r>
              <w:rPr>
                <w:rFonts w:ascii="Arial" w:cs="Arial" w:eastAsia="Arial" w:hAnsi="Arial"/>
                <w:sz w:val="14"/>
                <w:szCs w:val="14"/>
                <w:color w:val="auto"/>
              </w:rPr>
              <w:t>Common Shares Class A</w:t>
            </w: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4"/>
                <w:szCs w:val="14"/>
                <w:color w:val="auto"/>
              </w:rPr>
              <w:t>(598 shares)</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3/11/2014</w:t>
            </w:r>
          </w:p>
        </w:tc>
        <w:tc>
          <w:tcPr>
            <w:tcW w:w="720" w:type="dxa"/>
            <w:vAlign w:val="bottom"/>
          </w:tcPr>
          <w:p>
            <w:pPr>
              <w:jc w:val="right"/>
              <w:spacing w:after="0"/>
              <w:rPr>
                <w:sz w:val="20"/>
                <w:szCs w:val="20"/>
                <w:color w:val="auto"/>
              </w:rPr>
            </w:pPr>
            <w:r>
              <w:rPr>
                <w:rFonts w:ascii="Arial" w:cs="Arial" w:eastAsia="Arial" w:hAnsi="Arial"/>
                <w:sz w:val="14"/>
                <w:szCs w:val="14"/>
                <w:color w:val="auto"/>
              </w:rPr>
              <w:t>467</w:t>
            </w:r>
          </w:p>
        </w:tc>
        <w:tc>
          <w:tcPr>
            <w:tcW w:w="30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467</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Common Shares Class B</w:t>
            </w: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(196 shares)</w:t>
            </w: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3/11/2014</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3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137</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Helix Health, Ltd.</w:t>
            </w:r>
            <w:r>
              <w:rPr>
                <w:rFonts w:ascii="Arial" w:cs="Arial" w:eastAsia="Arial" w:hAnsi="Arial"/>
                <w:sz w:val="12"/>
                <w:szCs w:val="12"/>
                <w:color w:val="auto"/>
              </w:rPr>
              <w:t>(5)</w:t>
            </w:r>
          </w:p>
        </w:tc>
        <w:tc>
          <w:tcPr>
            <w:tcW w:w="1920" w:type="dxa"/>
            <w:vAlign w:val="bottom"/>
            <w:gridSpan w:val="2"/>
          </w:tcPr>
          <w:p>
            <w:pPr>
              <w:spacing w:after="0"/>
              <w:rPr>
                <w:sz w:val="20"/>
                <w:szCs w:val="20"/>
                <w:color w:val="auto"/>
              </w:rPr>
            </w:pPr>
            <w:r>
              <w:rPr>
                <w:rFonts w:ascii="Arial" w:cs="Arial" w:eastAsia="Arial" w:hAnsi="Arial"/>
                <w:sz w:val="14"/>
                <w:szCs w:val="14"/>
                <w:color w:val="auto"/>
              </w:rPr>
              <w:t>Warrants</w:t>
            </w: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9/30/2014</w:t>
            </w:r>
          </w:p>
        </w:tc>
        <w:tc>
          <w:tcPr>
            <w:tcW w:w="720" w:type="dxa"/>
            <w:vAlign w:val="bottom"/>
          </w:tcPr>
          <w:p>
            <w:pPr>
              <w:jc w:val="right"/>
              <w:spacing w:after="0"/>
              <w:rPr>
                <w:sz w:val="20"/>
                <w:szCs w:val="20"/>
                <w:color w:val="auto"/>
              </w:rPr>
            </w:pPr>
            <w:r>
              <w:rPr>
                <w:rFonts w:ascii="Arial" w:cs="Arial" w:eastAsia="Arial" w:hAnsi="Arial"/>
                <w:sz w:val="14"/>
                <w:szCs w:val="14"/>
                <w:color w:val="auto"/>
              </w:rPr>
              <w:t>877</w:t>
            </w:r>
          </w:p>
        </w:tc>
        <w:tc>
          <w:tcPr>
            <w:tcW w:w="300" w:type="dxa"/>
            <w:vAlign w:val="bottom"/>
          </w:tcPr>
          <w:p>
            <w:pPr>
              <w:spacing w:after="0"/>
              <w:rPr>
                <w:sz w:val="15"/>
                <w:szCs w:val="15"/>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840</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bl>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Initial</w:t>
            </w:r>
          </w:p>
        </w:tc>
        <w:tc>
          <w:tcPr>
            <w:tcW w:w="160" w:type="dxa"/>
            <w:vAlign w:val="bottom"/>
          </w:tcPr>
          <w:p>
            <w:pPr>
              <w:spacing w:after="0"/>
              <w:rPr>
                <w:sz w:val="14"/>
                <w:szCs w:val="14"/>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4"/>
                <w:szCs w:val="14"/>
                <w:color w:val="auto"/>
              </w:rPr>
            </w:pPr>
          </w:p>
        </w:tc>
        <w:tc>
          <w:tcPr>
            <w:tcW w:w="10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Fair</w:t>
            </w:r>
          </w:p>
        </w:tc>
        <w:tc>
          <w:tcPr>
            <w:tcW w:w="11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4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192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Investment</w:t>
            </w: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00" w:type="dxa"/>
            <w:vAlign w:val="bottom"/>
            <w:gridSpan w:val="3"/>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Date</w:t>
            </w:r>
          </w:p>
        </w:tc>
        <w:tc>
          <w:tcPr>
            <w:tcW w:w="16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Value</w:t>
            </w: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of Net Assets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9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SRS Parent Corp.</w:t>
            </w:r>
          </w:p>
        </w:tc>
        <w:tc>
          <w:tcPr>
            <w:tcW w:w="200" w:type="dxa"/>
            <w:vAlign w:val="bottom"/>
            <w:tcBorders>
              <w:top w:val="single" w:sz="8" w:color="CCEEFF"/>
            </w:tcBorders>
            <w:shd w:val="clear" w:color="auto" w:fill="CCEEFF"/>
          </w:tcPr>
          <w:p>
            <w:pPr>
              <w:spacing w:after="0"/>
              <w:rPr>
                <w:sz w:val="10"/>
                <w:szCs w:val="10"/>
                <w:color w:val="auto"/>
              </w:rPr>
            </w:pPr>
          </w:p>
        </w:tc>
        <w:tc>
          <w:tcPr>
            <w:tcW w:w="170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Common Shares Class A</w:t>
            </w:r>
          </w:p>
        </w:tc>
        <w:tc>
          <w:tcPr>
            <w:tcW w:w="2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(1,980 shares)</w:t>
            </w: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12/28/2012</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1,980</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1,099</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20" w:type="dxa"/>
            <w:vAlign w:val="bottom"/>
            <w:gridSpan w:val="2"/>
          </w:tcPr>
          <w:p>
            <w:pPr>
              <w:spacing w:after="0" w:line="130" w:lineRule="exact"/>
              <w:rPr>
                <w:sz w:val="20"/>
                <w:szCs w:val="20"/>
                <w:color w:val="auto"/>
              </w:rPr>
            </w:pPr>
            <w:r>
              <w:rPr>
                <w:rFonts w:ascii="Arial" w:cs="Arial" w:eastAsia="Arial" w:hAnsi="Arial"/>
                <w:sz w:val="14"/>
                <w:szCs w:val="14"/>
                <w:color w:val="auto"/>
              </w:rPr>
              <w:t>Common Shares Class B</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4"/>
                <w:szCs w:val="14"/>
                <w:color w:val="auto"/>
              </w:rPr>
              <w:t>(2,953,020 shares)</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12/28/2012</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color w:val="auto"/>
              </w:rPr>
              <w:t>11</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3,481</w:t>
            </w:r>
          </w:p>
        </w:tc>
        <w:tc>
          <w:tcPr>
            <w:tcW w:w="12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2,554</w:t>
            </w: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8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Hotel, gaming, and leisure</w:t>
            </w: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IRG Sports &amp; Entertainment, LLC</w:t>
            </w:r>
          </w:p>
        </w:tc>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Warrants</w:t>
            </w: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9/30/2014</w:t>
            </w:r>
          </w:p>
        </w:tc>
        <w:tc>
          <w:tcPr>
            <w:tcW w:w="10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1,494</w:t>
            </w:r>
          </w:p>
        </w:tc>
        <w:tc>
          <w:tcPr>
            <w:tcW w:w="12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1,494</w:t>
            </w: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180" w:type="dxa"/>
            <w:vAlign w:val="bottom"/>
            <w:gridSpan w:val="2"/>
          </w:tcPr>
          <w:p>
            <w:pPr>
              <w:ind w:left="280"/>
              <w:spacing w:after="0"/>
              <w:rPr>
                <w:sz w:val="20"/>
                <w:szCs w:val="20"/>
                <w:color w:val="auto"/>
              </w:rPr>
            </w:pPr>
            <w:r>
              <w:rPr>
                <w:rFonts w:ascii="Arial" w:cs="Arial" w:eastAsia="Arial" w:hAnsi="Arial"/>
                <w:sz w:val="14"/>
                <w:szCs w:val="14"/>
                <w:b w:val="1"/>
                <w:bCs w:val="1"/>
                <w:color w:val="auto"/>
              </w:rPr>
              <w:t>Metals and mining</w:t>
            </w:r>
          </w:p>
        </w:tc>
        <w:tc>
          <w:tcPr>
            <w:tcW w:w="1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Metalico, Inc.</w:t>
            </w:r>
          </w:p>
        </w:tc>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Warrants</w:t>
            </w: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11/21/2013</w:t>
            </w:r>
          </w:p>
        </w:tc>
        <w:tc>
          <w:tcPr>
            <w:tcW w:w="10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1,343</w:t>
            </w:r>
          </w:p>
        </w:tc>
        <w:tc>
          <w:tcPr>
            <w:tcW w:w="12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133</w:t>
            </w: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Oil, gas and consumable fuels</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Mississippi Resources, LLC</w:t>
            </w:r>
            <w:r>
              <w:rPr>
                <w:rFonts w:ascii="Arial" w:cs="Arial" w:eastAsia="Arial" w:hAnsi="Arial"/>
                <w:sz w:val="12"/>
                <w:szCs w:val="12"/>
                <w:color w:val="auto"/>
              </w:rPr>
              <w:t>(7)</w:t>
            </w:r>
          </w:p>
        </w:tc>
        <w:tc>
          <w:tcPr>
            <w:tcW w:w="1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6/4/2014</w:t>
            </w:r>
          </w:p>
        </w:tc>
        <w:tc>
          <w:tcPr>
            <w:tcW w:w="10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8,874</w:t>
            </w:r>
          </w:p>
        </w:tc>
        <w:tc>
          <w:tcPr>
            <w:tcW w:w="12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4,254</w:t>
            </w: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Other</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Symphony</w:t>
            </w:r>
            <w:r>
              <w:rPr>
                <w:rFonts w:ascii="Arial" w:cs="Arial" w:eastAsia="Arial" w:hAnsi="Arial"/>
                <w:sz w:val="12"/>
                <w:szCs w:val="12"/>
                <w:color w:val="auto"/>
              </w:rPr>
              <w:t>(5)</w:t>
            </w:r>
          </w:p>
        </w:tc>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CLO Tranche F</w:t>
            </w: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5.98%</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11/17/2014</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5,531</w:t>
            </w:r>
          </w:p>
        </w:tc>
        <w:tc>
          <w:tcPr>
            <w:tcW w:w="12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5,526</w:t>
            </w: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 Equity and Other Investments</w:t>
            </w: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180" w:type="dxa"/>
            <w:vAlign w:val="bottom"/>
            <w:gridSpan w:val="2"/>
            <w:vMerge w:val="continue"/>
          </w:tcPr>
          <w:p>
            <w:pPr>
              <w:spacing w:after="0"/>
              <w:rPr>
                <w:sz w:val="13"/>
                <w:szCs w:val="13"/>
                <w:color w:val="auto"/>
              </w:rPr>
            </w:pP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21,503</w:t>
            </w:r>
          </w:p>
        </w:tc>
        <w:tc>
          <w:tcPr>
            <w:tcW w:w="16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14,893</w:t>
            </w:r>
          </w:p>
        </w:tc>
        <w:tc>
          <w:tcPr>
            <w:tcW w:w="320" w:type="dxa"/>
            <w:vAlign w:val="bottom"/>
            <w:vMerge w:val="continue"/>
          </w:tcPr>
          <w:p>
            <w:pPr>
              <w:spacing w:after="0"/>
              <w:rPr>
                <w:sz w:val="13"/>
                <w:szCs w:val="13"/>
                <w:color w:val="auto"/>
              </w:rPr>
            </w:pPr>
          </w:p>
        </w:tc>
        <w:tc>
          <w:tcPr>
            <w:tcW w:w="11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w:t>
            </w:r>
          </w:p>
        </w:tc>
        <w:tc>
          <w:tcPr>
            <w:tcW w:w="1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1,273,252</w:t>
            </w:r>
          </w:p>
        </w:tc>
        <w:tc>
          <w:tcPr>
            <w:tcW w:w="16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  1,263,511</w:t>
            </w:r>
          </w:p>
        </w:tc>
        <w:tc>
          <w:tcPr>
            <w:tcW w:w="11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hanging="332"/>
        <w:spacing w:after="0"/>
        <w:tabs>
          <w:tab w:leader="none" w:pos="34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Unless otherwise indicated, the Company’s portfolio companies are domiciled in the United States. Certain portfolio company investments are subject to contractual restrictions on sales.</w:t>
      </w:r>
    </w:p>
    <w:p>
      <w:pPr>
        <w:spacing w:after="0" w:line="11" w:lineRule="exact"/>
        <w:rPr>
          <w:rFonts w:ascii="Arial" w:cs="Arial" w:eastAsia="Arial" w:hAnsi="Arial"/>
          <w:sz w:val="13"/>
          <w:szCs w:val="13"/>
          <w:color w:val="auto"/>
        </w:rPr>
      </w:pPr>
    </w:p>
    <w:p>
      <w:pPr>
        <w:ind w:left="340" w:hanging="332"/>
        <w:spacing w:after="0" w:line="221" w:lineRule="auto"/>
        <w:tabs>
          <w:tab w:leader="none" w:pos="34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The amortized cost represents the original cost adjusted for the amortization of discounts and premiums, as applicable, on debt investments using the effective interest method.</w:t>
      </w:r>
    </w:p>
    <w:p>
      <w:pPr>
        <w:jc w:val="both"/>
        <w:ind w:left="340" w:right="100" w:hanging="332"/>
        <w:spacing w:after="0" w:line="221" w:lineRule="auto"/>
        <w:tabs>
          <w:tab w:leader="none" w:pos="34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the Company has provided the interest rate in effect on the date presented.</w:t>
      </w:r>
    </w:p>
    <w:p>
      <w:pPr>
        <w:ind w:left="340" w:right="120" w:hanging="332"/>
        <w:spacing w:after="0" w:line="221" w:lineRule="auto"/>
        <w:tabs>
          <w:tab w:leader="none" w:pos="34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The investment, or a portion thereof, is held within TPG SL SPV, LLC, a wholly-owned subsidiary of the Company, and is pledged as collateral supporting the amounts outstanding under the SPV Asset Facility (see Note 7).</w:t>
      </w:r>
    </w:p>
    <w:p>
      <w:pPr>
        <w:ind w:left="340" w:right="240" w:hanging="332"/>
        <w:spacing w:after="0" w:line="221" w:lineRule="auto"/>
        <w:tabs>
          <w:tab w:leader="none" w:pos="34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ind w:left="340" w:right="280" w:hanging="332"/>
        <w:spacing w:after="0" w:line="221" w:lineRule="auto"/>
        <w:tabs>
          <w:tab w:leader="none" w:pos="34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ind w:left="340" w:right="40" w:hanging="332"/>
        <w:spacing w:after="0" w:line="229" w:lineRule="auto"/>
        <w:tabs>
          <w:tab w:leader="none" w:pos="34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2014 in which the issuer was an Affiliated Person of and was deemed to Control a portfolio company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6"/>
              </w:rPr>
              <w:t>Fair Value at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13"/>
                <w:szCs w:val="13"/>
                <w:color w:val="auto"/>
              </w:rPr>
            </w:pPr>
          </w:p>
        </w:tc>
        <w:tc>
          <w:tcPr>
            <w:tcW w:w="78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1"/>
              </w:rPr>
              <w:t>Realized</w:t>
            </w:r>
          </w:p>
        </w:tc>
        <w:tc>
          <w:tcPr>
            <w:tcW w:w="180" w:type="dxa"/>
            <w:vAlign w:val="bottom"/>
          </w:tcPr>
          <w:p>
            <w:pPr>
              <w:spacing w:after="0"/>
              <w:rPr>
                <w:sz w:val="13"/>
                <w:szCs w:val="13"/>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6"/>
              </w:rPr>
              <w:t>Fair Value at</w:t>
            </w:r>
          </w:p>
        </w:tc>
        <w:tc>
          <w:tcPr>
            <w:tcW w:w="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3"/>
                <w:szCs w:val="13"/>
                <w:color w:val="auto"/>
              </w:rPr>
            </w:pPr>
          </w:p>
        </w:tc>
        <w:tc>
          <w:tcPr>
            <w:tcW w:w="6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3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00" w:type="dxa"/>
            <w:vAlign w:val="bottom"/>
            <w:gridSpan w:val="2"/>
            <w:vMerge w:val="continue"/>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2013</w:t>
            </w:r>
          </w:p>
        </w:tc>
        <w:tc>
          <w:tcPr>
            <w:tcW w:w="180" w:type="dxa"/>
            <w:vAlign w:val="bottom"/>
          </w:tcPr>
          <w:p>
            <w:pPr>
              <w:spacing w:after="0"/>
              <w:rPr>
                <w:sz w:val="14"/>
                <w:szCs w:val="14"/>
                <w:color w:val="auto"/>
              </w:rPr>
            </w:pPr>
          </w:p>
        </w:tc>
        <w:tc>
          <w:tcPr>
            <w:tcW w:w="9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Additions(a)</w:t>
            </w:r>
          </w:p>
        </w:tc>
        <w:tc>
          <w:tcPr>
            <w:tcW w:w="10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Reductions(b)</w:t>
            </w:r>
          </w:p>
        </w:tc>
        <w:tc>
          <w:tcPr>
            <w:tcW w:w="180" w:type="dxa"/>
            <w:vAlign w:val="bottom"/>
          </w:tcPr>
          <w:p>
            <w:pPr>
              <w:spacing w:after="0"/>
              <w:rPr>
                <w:sz w:val="14"/>
                <w:szCs w:val="14"/>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Gain/(Loss)</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Gain/(Losses)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center"/>
              <w:ind w:right="108"/>
              <w:spacing w:after="0"/>
              <w:rPr>
                <w:sz w:val="20"/>
                <w:szCs w:val="20"/>
                <w:color w:val="auto"/>
              </w:rPr>
            </w:pPr>
            <w:r>
              <w:rPr>
                <w:rFonts w:ascii="Arial" w:cs="Arial" w:eastAsia="Arial" w:hAnsi="Arial"/>
                <w:sz w:val="14"/>
                <w:szCs w:val="14"/>
                <w:b w:val="1"/>
                <w:bCs w:val="1"/>
                <w:color w:val="auto"/>
                <w:w w:val="89"/>
              </w:rPr>
              <w:t>2014</w:t>
            </w:r>
          </w:p>
        </w:tc>
        <w:tc>
          <w:tcPr>
            <w:tcW w:w="200" w:type="dxa"/>
            <w:vAlign w:val="bottom"/>
          </w:tcPr>
          <w:p>
            <w:pPr>
              <w:spacing w:after="0"/>
              <w:rPr>
                <w:sz w:val="14"/>
                <w:szCs w:val="14"/>
                <w:color w:val="auto"/>
              </w:rPr>
            </w:pP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Income</w:t>
            </w:r>
          </w:p>
        </w:tc>
        <w:tc>
          <w:tcPr>
            <w:tcW w:w="20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42"/>
        </w:trPr>
        <w:tc>
          <w:tcPr>
            <w:tcW w:w="3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Mississippi Resources, LLC</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ind w:left="880"/>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47,580</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ind w:left="540"/>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(5,944)</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ind w:left="560"/>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41,636</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143</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2,994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3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100" w:type="dxa"/>
            <w:vAlign w:val="bottom"/>
            <w:tcBorders>
              <w:bottom w:val="single" w:sz="8" w:color="auto"/>
            </w:tcBorders>
          </w:tcPr>
          <w:p>
            <w:pPr>
              <w:ind w:left="880"/>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47,580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tcPr>
          <w:p>
            <w:pPr>
              <w:ind w:left="540"/>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24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(5,944)</w:t>
            </w:r>
          </w:p>
        </w:tc>
        <w:tc>
          <w:tcPr>
            <w:tcW w:w="20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tcPr>
          <w:p>
            <w:pPr>
              <w:ind w:left="560"/>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41,636</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143</w:t>
            </w:r>
          </w:p>
        </w:tc>
        <w:tc>
          <w:tcPr>
            <w:tcW w:w="200" w:type="dxa"/>
            <w:vAlign w:val="bottom"/>
          </w:tcPr>
          <w:p>
            <w:pPr>
              <w:spacing w:after="0"/>
              <w:rPr>
                <w:sz w:val="13"/>
                <w:szCs w:val="13"/>
                <w:color w:val="auto"/>
              </w:rPr>
            </w:pPr>
          </w:p>
        </w:tc>
        <w:tc>
          <w:tcPr>
            <w:tcW w:w="140" w:type="dxa"/>
            <w:vAlign w:val="bottom"/>
            <w:tcBorders>
              <w:bottom w:val="single" w:sz="8" w:color="auto"/>
            </w:tcBorders>
          </w:tcPr>
          <w:p>
            <w:pPr>
              <w:jc w:val="right"/>
              <w:ind w:right="18"/>
              <w:spacing w:after="0"/>
              <w:rPr>
                <w:sz w:val="20"/>
                <w:szCs w:val="20"/>
                <w:color w:val="auto"/>
              </w:rPr>
            </w:pPr>
            <w:r>
              <w:rPr>
                <w:rFonts w:ascii="Arial" w:cs="Arial" w:eastAsia="Arial" w:hAnsi="Arial"/>
                <w:sz w:val="10"/>
                <w:szCs w:val="10"/>
                <w:b w:val="1"/>
                <w:bCs w:val="1"/>
                <w:color w:val="auto"/>
                <w:w w:val="71"/>
              </w:rPr>
              <w:t>$</w:t>
            </w: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2,994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60" w:hanging="332"/>
        <w:spacing w:after="0" w:line="230" w:lineRule="auto"/>
        <w:tabs>
          <w:tab w:leader="none" w:pos="34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Gross additions include increases in the cost basis of investments resulting from new investments, payment-in-kind interest or dividends, the amortization of any unearned income or discounts on debt investments, as applicable.</w:t>
      </w:r>
    </w:p>
    <w:p>
      <w:pPr>
        <w:ind w:left="340" w:right="60" w:hanging="332"/>
        <w:spacing w:after="0" w:line="237" w:lineRule="auto"/>
        <w:tabs>
          <w:tab w:leader="none" w:pos="34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Gross reductions include decreases in the cost basis of investments resulting from principal collections related to investment repayments or sales, and the amortization of any discounts on debt investments, as applicable.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Consolidated Schedule of Investments as of December 31, 2013</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amounts)</w:t>
      </w:r>
    </w:p>
    <w:p>
      <w:pPr>
        <w:sectPr>
          <w:pgSz w:w="11900" w:h="16838" w:orient="portrait"/>
          <w:cols w:equalWidth="0" w:num="1">
            <w:col w:w="11380"/>
          </w:cols>
          <w:pgMar w:left="240" w:top="460" w:right="279" w:bottom="1440" w:gutter="0" w:footer="0" w:header="0"/>
        </w:sect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80" w:type="dxa"/>
            <w:vAlign w:val="bottom"/>
            <w:gridSpan w:val="2"/>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220" w:type="dxa"/>
            <w:vAlign w:val="bottom"/>
          </w:tcPr>
          <w:p>
            <w:pPr>
              <w:spacing w:after="0"/>
              <w:rPr>
                <w:sz w:val="16"/>
                <w:szCs w:val="16"/>
                <w:color w:val="auto"/>
              </w:rPr>
            </w:pPr>
          </w:p>
        </w:tc>
        <w:tc>
          <w:tcPr>
            <w:tcW w:w="1760" w:type="dxa"/>
            <w:vAlign w:val="bottom"/>
          </w:tcPr>
          <w:p>
            <w:pPr>
              <w:ind w:left="540"/>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6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Debt Investments</w:t>
            </w:r>
          </w:p>
        </w:tc>
        <w:tc>
          <w:tcPr>
            <w:tcW w:w="220" w:type="dxa"/>
            <w:vAlign w:val="bottom"/>
          </w:tcPr>
          <w:p>
            <w:pPr>
              <w:spacing w:after="0"/>
              <w:rPr>
                <w:sz w:val="10"/>
                <w:szCs w:val="10"/>
                <w:color w:val="auto"/>
              </w:rPr>
            </w:pPr>
          </w:p>
        </w:tc>
        <w:tc>
          <w:tcPr>
            <w:tcW w:w="17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36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Aerospace and defense</w:t>
            </w:r>
          </w:p>
        </w:tc>
        <w:tc>
          <w:tcPr>
            <w:tcW w:w="2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MSC Software Corporation</w:t>
            </w:r>
            <w:r>
              <w:rPr>
                <w:rFonts w:ascii="Arial" w:cs="Arial" w:eastAsia="Arial" w:hAnsi="Arial"/>
                <w:sz w:val="12"/>
                <w:szCs w:val="12"/>
                <w:color w:val="auto"/>
              </w:rPr>
              <w:t>(3)(4)(6)</w:t>
            </w:r>
          </w:p>
        </w:tc>
        <w:tc>
          <w:tcPr>
            <w:tcW w:w="1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First-lien loan ($53,452 par,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Automotive</w:t>
            </w:r>
          </w:p>
        </w:tc>
        <w:tc>
          <w:tcPr>
            <w:tcW w:w="1980" w:type="dxa"/>
            <w:vAlign w:val="bottom"/>
            <w:gridSpan w:val="2"/>
          </w:tcPr>
          <w:p>
            <w:pPr>
              <w:ind w:left="220"/>
              <w:spacing w:after="0"/>
              <w:rPr>
                <w:sz w:val="20"/>
                <w:szCs w:val="20"/>
                <w:color w:val="auto"/>
              </w:rPr>
            </w:pPr>
            <w:r>
              <w:rPr>
                <w:rFonts w:ascii="Arial" w:cs="Arial" w:eastAsia="Arial" w:hAnsi="Arial"/>
                <w:sz w:val="14"/>
                <w:szCs w:val="14"/>
                <w:color w:val="auto"/>
              </w:rPr>
              <w:t>due 11/2017)</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3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Heartland Automotive Holdings, LLC</w:t>
            </w:r>
            <w:r>
              <w:rPr>
                <w:rFonts w:ascii="Arial" w:cs="Arial" w:eastAsia="Arial" w:hAnsi="Arial"/>
                <w:sz w:val="12"/>
                <w:szCs w:val="12"/>
                <w:color w:val="auto"/>
              </w:rPr>
              <w:t>(3)(4)</w:t>
            </w:r>
          </w:p>
        </w:tc>
        <w:tc>
          <w:tcPr>
            <w:tcW w:w="1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First-lien loan ($36,733 par,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980" w:type="dxa"/>
            <w:vAlign w:val="bottom"/>
            <w:gridSpan w:val="2"/>
          </w:tcPr>
          <w:p>
            <w:pPr>
              <w:ind w:left="220"/>
              <w:spacing w:after="0"/>
              <w:rPr>
                <w:sz w:val="20"/>
                <w:szCs w:val="20"/>
                <w:color w:val="auto"/>
              </w:rPr>
            </w:pPr>
            <w:r>
              <w:rPr>
                <w:rFonts w:ascii="Arial" w:cs="Arial" w:eastAsia="Arial" w:hAnsi="Arial"/>
                <w:sz w:val="14"/>
                <w:szCs w:val="14"/>
                <w:color w:val="auto"/>
              </w:rPr>
              <w:t>due 6/2017)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First-lien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revolving loan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980" w:type="dxa"/>
            <w:vAlign w:val="bottom"/>
            <w:gridSpan w:val="2"/>
          </w:tcPr>
          <w:p>
            <w:pPr>
              <w:ind w:left="220"/>
              <w:spacing w:after="0"/>
              <w:rPr>
                <w:sz w:val="20"/>
                <w:szCs w:val="20"/>
                <w:color w:val="auto"/>
              </w:rPr>
            </w:pPr>
            <w:r>
              <w:rPr>
                <w:rFonts w:ascii="Arial" w:cs="Arial" w:eastAsia="Arial" w:hAnsi="Arial"/>
                <w:sz w:val="14"/>
                <w:szCs w:val="14"/>
                <w:color w:val="auto"/>
              </w:rPr>
              <w:t>($4,611 par, due 6/2017)</w:t>
            </w: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Sage Automotive Interiors, Inc.</w:t>
            </w:r>
            <w:r>
              <w:rPr>
                <w:rFonts w:ascii="Arial" w:cs="Arial" w:eastAsia="Arial" w:hAnsi="Arial"/>
                <w:sz w:val="12"/>
                <w:szCs w:val="12"/>
                <w:color w:val="auto"/>
              </w:rPr>
              <w:t>(3)(4)(6)</w:t>
            </w:r>
          </w:p>
        </w:tc>
        <w:tc>
          <w:tcPr>
            <w:tcW w:w="1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First-lien loan ($21,553 par,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980" w:type="dxa"/>
            <w:vAlign w:val="bottom"/>
            <w:gridSpan w:val="2"/>
          </w:tcPr>
          <w:p>
            <w:pPr>
              <w:ind w:left="220"/>
              <w:spacing w:after="0"/>
              <w:rPr>
                <w:sz w:val="20"/>
                <w:szCs w:val="20"/>
                <w:color w:val="auto"/>
              </w:rPr>
            </w:pPr>
            <w:r>
              <w:rPr>
                <w:rFonts w:ascii="Arial" w:cs="Arial" w:eastAsia="Arial" w:hAnsi="Arial"/>
                <w:sz w:val="14"/>
                <w:szCs w:val="14"/>
                <w:color w:val="auto"/>
              </w:rPr>
              <w:t>due 12/2016)</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360" w:type="dxa"/>
            <w:vAlign w:val="bottom"/>
          </w:tcPr>
          <w:p>
            <w:pPr>
              <w:ind w:left="280"/>
              <w:spacing w:after="0"/>
              <w:rPr>
                <w:sz w:val="20"/>
                <w:szCs w:val="20"/>
                <w:color w:val="auto"/>
              </w:rPr>
            </w:pPr>
            <w:r>
              <w:rPr>
                <w:rFonts w:ascii="Arial" w:cs="Arial" w:eastAsia="Arial" w:hAnsi="Arial"/>
                <w:sz w:val="14"/>
                <w:szCs w:val="14"/>
                <w:b w:val="1"/>
                <w:bCs w:val="1"/>
                <w:color w:val="auto"/>
              </w:rPr>
              <w:t>Beverage, food and tobacco</w:t>
            </w: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AFS Technologies, Inc.</w:t>
            </w:r>
            <w:r>
              <w:rPr>
                <w:rFonts w:ascii="Arial" w:cs="Arial" w:eastAsia="Arial" w:hAnsi="Arial"/>
                <w:sz w:val="12"/>
                <w:szCs w:val="12"/>
                <w:color w:val="auto"/>
              </w:rPr>
              <w:t>(3)(4)(6)</w:t>
            </w:r>
          </w:p>
        </w:tc>
        <w:tc>
          <w:tcPr>
            <w:tcW w:w="1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First-lien loan ($44,394 par,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Business services</w:t>
            </w:r>
          </w:p>
        </w:tc>
        <w:tc>
          <w:tcPr>
            <w:tcW w:w="1980" w:type="dxa"/>
            <w:vAlign w:val="bottom"/>
            <w:gridSpan w:val="2"/>
          </w:tcPr>
          <w:p>
            <w:pPr>
              <w:ind w:left="220"/>
              <w:spacing w:after="0"/>
              <w:rPr>
                <w:sz w:val="20"/>
                <w:szCs w:val="20"/>
                <w:color w:val="auto"/>
              </w:rPr>
            </w:pPr>
            <w:r>
              <w:rPr>
                <w:rFonts w:ascii="Arial" w:cs="Arial" w:eastAsia="Arial" w:hAnsi="Arial"/>
                <w:sz w:val="14"/>
                <w:szCs w:val="14"/>
                <w:color w:val="auto"/>
              </w:rPr>
              <w:t>due 8/2015)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3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Actian Corporation</w:t>
            </w:r>
            <w:r>
              <w:rPr>
                <w:rFonts w:ascii="Arial" w:cs="Arial" w:eastAsia="Arial" w:hAnsi="Arial"/>
                <w:sz w:val="12"/>
                <w:szCs w:val="12"/>
                <w:color w:val="auto"/>
              </w:rPr>
              <w:t>(3)(4)(6)</w:t>
            </w:r>
          </w:p>
        </w:tc>
        <w:tc>
          <w:tcPr>
            <w:tcW w:w="1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First-lien loan ($67,933 par,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980" w:type="dxa"/>
            <w:vAlign w:val="bottom"/>
            <w:gridSpan w:val="2"/>
          </w:tcPr>
          <w:p>
            <w:pPr>
              <w:ind w:left="220"/>
              <w:spacing w:after="0"/>
              <w:rPr>
                <w:sz w:val="20"/>
                <w:szCs w:val="20"/>
                <w:color w:val="auto"/>
              </w:rPr>
            </w:pPr>
            <w:r>
              <w:rPr>
                <w:rFonts w:ascii="Arial" w:cs="Arial" w:eastAsia="Arial" w:hAnsi="Arial"/>
                <w:sz w:val="14"/>
                <w:szCs w:val="14"/>
                <w:color w:val="auto"/>
              </w:rPr>
              <w:t>due 4/2018)</w:t>
            </w: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Aptean Holdings, Inc. f/k/a Consona Holdings,Inc.</w:t>
            </w:r>
            <w:r>
              <w:rPr>
                <w:rFonts w:ascii="Arial" w:cs="Arial" w:eastAsia="Arial" w:hAnsi="Arial"/>
                <w:sz w:val="12"/>
                <w:szCs w:val="12"/>
                <w:color w:val="auto"/>
              </w:rPr>
              <w:t>(3)(4)</w:t>
            </w:r>
          </w:p>
        </w:tc>
        <w:tc>
          <w:tcPr>
            <w:tcW w:w="1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First-lien loan ($29,625 par,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980" w:type="dxa"/>
            <w:vAlign w:val="bottom"/>
            <w:gridSpan w:val="2"/>
          </w:tcPr>
          <w:p>
            <w:pPr>
              <w:ind w:left="220"/>
              <w:spacing w:after="0"/>
              <w:rPr>
                <w:sz w:val="20"/>
                <w:szCs w:val="20"/>
                <w:color w:val="auto"/>
              </w:rPr>
            </w:pPr>
            <w:r>
              <w:rPr>
                <w:rFonts w:ascii="Arial" w:cs="Arial" w:eastAsia="Arial" w:hAnsi="Arial"/>
                <w:sz w:val="14"/>
                <w:szCs w:val="14"/>
                <w:color w:val="auto"/>
              </w:rPr>
              <w:t>due 8/2018)</w:t>
            </w: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Beyond Trust Software Holding Group, Inc.</w:t>
            </w:r>
            <w:r>
              <w:rPr>
                <w:rFonts w:ascii="Arial" w:cs="Arial" w:eastAsia="Arial" w:hAnsi="Arial"/>
                <w:sz w:val="12"/>
                <w:szCs w:val="12"/>
                <w:color w:val="auto"/>
              </w:rPr>
              <w:t>(3)(6)</w:t>
            </w:r>
          </w:p>
        </w:tc>
        <w:tc>
          <w:tcPr>
            <w:tcW w:w="1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First-lien loan ($42,500 par,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980" w:type="dxa"/>
            <w:vAlign w:val="bottom"/>
            <w:gridSpan w:val="2"/>
          </w:tcPr>
          <w:p>
            <w:pPr>
              <w:ind w:left="220"/>
              <w:spacing w:after="0"/>
              <w:rPr>
                <w:sz w:val="20"/>
                <w:szCs w:val="20"/>
                <w:color w:val="auto"/>
              </w:rPr>
            </w:pPr>
            <w:r>
              <w:rPr>
                <w:rFonts w:ascii="Arial" w:cs="Arial" w:eastAsia="Arial" w:hAnsi="Arial"/>
                <w:sz w:val="14"/>
                <w:szCs w:val="14"/>
                <w:color w:val="auto"/>
              </w:rPr>
              <w:t>due 12/2019)</w:t>
            </w: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Network Merchants, Inc </w:t>
            </w:r>
            <w:r>
              <w:rPr>
                <w:rFonts w:ascii="Arial" w:cs="Arial" w:eastAsia="Arial" w:hAnsi="Arial"/>
                <w:sz w:val="12"/>
                <w:szCs w:val="12"/>
                <w:color w:val="auto"/>
              </w:rPr>
              <w:t>(3)(4)</w:t>
            </w:r>
          </w:p>
        </w:tc>
        <w:tc>
          <w:tcPr>
            <w:tcW w:w="1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First-lien loan ($29,659 par,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980" w:type="dxa"/>
            <w:vAlign w:val="bottom"/>
            <w:gridSpan w:val="2"/>
          </w:tcPr>
          <w:p>
            <w:pPr>
              <w:ind w:left="220"/>
              <w:spacing w:after="0"/>
              <w:rPr>
                <w:sz w:val="20"/>
                <w:szCs w:val="20"/>
                <w:color w:val="auto"/>
              </w:rPr>
            </w:pPr>
            <w:r>
              <w:rPr>
                <w:rFonts w:ascii="Arial" w:cs="Arial" w:eastAsia="Arial" w:hAnsi="Arial"/>
                <w:sz w:val="14"/>
                <w:szCs w:val="14"/>
                <w:color w:val="auto"/>
              </w:rPr>
              <w:t>due 9/2018)</w:t>
            </w: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4360" w:type="dxa"/>
            <w:vAlign w:val="bottom"/>
          </w:tcPr>
          <w:p>
            <w:pPr>
              <w:ind w:left="280"/>
              <w:spacing w:after="0"/>
              <w:rPr>
                <w:sz w:val="20"/>
                <w:szCs w:val="20"/>
                <w:color w:val="auto"/>
              </w:rPr>
            </w:pPr>
            <w:r>
              <w:rPr>
                <w:rFonts w:ascii="Arial" w:cs="Arial" w:eastAsia="Arial" w:hAnsi="Arial"/>
                <w:sz w:val="14"/>
                <w:szCs w:val="14"/>
                <w:b w:val="1"/>
                <w:bCs w:val="1"/>
                <w:color w:val="auto"/>
              </w:rPr>
              <w:t>Construction and building</w:t>
            </w: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380" w:type="dxa"/>
            <w:vAlign w:val="bottom"/>
            <w:gridSpan w:val="2"/>
          </w:tcPr>
          <w:p>
            <w:pPr>
              <w:spacing w:after="0"/>
              <w:rPr>
                <w:sz w:val="20"/>
                <w:szCs w:val="20"/>
                <w:color w:val="auto"/>
              </w:rPr>
            </w:pPr>
            <w:r>
              <w:rPr>
                <w:rFonts w:ascii="Arial" w:cs="Arial" w:eastAsia="Arial" w:hAnsi="Arial"/>
                <w:sz w:val="14"/>
                <w:szCs w:val="14"/>
                <w:color w:val="auto"/>
              </w:rPr>
              <w:t>Mannington Mills, Inc.</w:t>
            </w:r>
            <w:r>
              <w:rPr>
                <w:rFonts w:ascii="Arial" w:cs="Arial" w:eastAsia="Arial" w:hAnsi="Arial"/>
                <w:sz w:val="12"/>
                <w:szCs w:val="12"/>
                <w:color w:val="auto"/>
              </w:rPr>
              <w:t>(3)(4)</w:t>
            </w:r>
          </w:p>
        </w:tc>
        <w:tc>
          <w:tcPr>
            <w:tcW w:w="1980" w:type="dxa"/>
            <w:vAlign w:val="bottom"/>
            <w:gridSpan w:val="2"/>
            <w:vMerge w:val="restart"/>
          </w:tcPr>
          <w:p>
            <w:pPr>
              <w:ind w:left="220"/>
              <w:spacing w:after="0"/>
              <w:rPr>
                <w:sz w:val="20"/>
                <w:szCs w:val="20"/>
                <w:color w:val="auto"/>
              </w:rPr>
            </w:pPr>
            <w:r>
              <w:rPr>
                <w:rFonts w:ascii="Arial" w:cs="Arial" w:eastAsia="Arial" w:hAnsi="Arial"/>
                <w:sz w:val="14"/>
                <w:szCs w:val="14"/>
                <w:color w:val="auto"/>
              </w:rPr>
              <w:t>Second-lien loan ($47,430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Containers and packaging</w:t>
            </w:r>
          </w:p>
        </w:tc>
        <w:tc>
          <w:tcPr>
            <w:tcW w:w="1980" w:type="dxa"/>
            <w:vAlign w:val="bottom"/>
            <w:gridSpan w:val="2"/>
          </w:tcPr>
          <w:p>
            <w:pPr>
              <w:ind w:left="220"/>
              <w:spacing w:after="0"/>
              <w:rPr>
                <w:sz w:val="20"/>
                <w:szCs w:val="20"/>
                <w:color w:val="auto"/>
              </w:rPr>
            </w:pPr>
            <w:r>
              <w:rPr>
                <w:rFonts w:ascii="Arial" w:cs="Arial" w:eastAsia="Arial" w:hAnsi="Arial"/>
                <w:sz w:val="14"/>
                <w:szCs w:val="14"/>
                <w:color w:val="auto"/>
              </w:rPr>
              <w:t>par, due 3/2017)</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3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The Newark Group, Inc.</w:t>
            </w:r>
            <w:r>
              <w:rPr>
                <w:rFonts w:ascii="Arial" w:cs="Arial" w:eastAsia="Arial" w:hAnsi="Arial"/>
                <w:sz w:val="12"/>
                <w:szCs w:val="12"/>
                <w:color w:val="auto"/>
              </w:rPr>
              <w:t>(3)(4)</w:t>
            </w:r>
          </w:p>
        </w:tc>
        <w:tc>
          <w:tcPr>
            <w:tcW w:w="1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First-lien loan ($46,560 par,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Education</w:t>
            </w:r>
          </w:p>
        </w:tc>
        <w:tc>
          <w:tcPr>
            <w:tcW w:w="1980" w:type="dxa"/>
            <w:vAlign w:val="bottom"/>
            <w:gridSpan w:val="2"/>
          </w:tcPr>
          <w:p>
            <w:pPr>
              <w:ind w:left="220"/>
              <w:spacing w:after="0"/>
              <w:rPr>
                <w:sz w:val="20"/>
                <w:szCs w:val="20"/>
                <w:color w:val="auto"/>
              </w:rPr>
            </w:pPr>
            <w:r>
              <w:rPr>
                <w:rFonts w:ascii="Arial" w:cs="Arial" w:eastAsia="Arial" w:hAnsi="Arial"/>
                <w:sz w:val="14"/>
                <w:szCs w:val="14"/>
                <w:color w:val="auto"/>
              </w:rPr>
              <w:t>due 2/2018)</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3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Campus Management,Inc.</w:t>
            </w:r>
            <w:r>
              <w:rPr>
                <w:rFonts w:ascii="Arial" w:cs="Arial" w:eastAsia="Arial" w:hAnsi="Arial"/>
                <w:sz w:val="12"/>
                <w:szCs w:val="12"/>
                <w:color w:val="auto"/>
              </w:rPr>
              <w:t>(3)(4)(6)</w:t>
            </w:r>
          </w:p>
        </w:tc>
        <w:tc>
          <w:tcPr>
            <w:tcW w:w="1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First-lien loan ($29,625 par,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Financial services</w:t>
            </w:r>
          </w:p>
        </w:tc>
        <w:tc>
          <w:tcPr>
            <w:tcW w:w="1980" w:type="dxa"/>
            <w:vAlign w:val="bottom"/>
            <w:gridSpan w:val="2"/>
          </w:tcPr>
          <w:p>
            <w:pPr>
              <w:ind w:left="220"/>
              <w:spacing w:after="0"/>
              <w:rPr>
                <w:sz w:val="20"/>
                <w:szCs w:val="20"/>
                <w:color w:val="auto"/>
              </w:rPr>
            </w:pPr>
            <w:r>
              <w:rPr>
                <w:rFonts w:ascii="Arial" w:cs="Arial" w:eastAsia="Arial" w:hAnsi="Arial"/>
                <w:sz w:val="14"/>
                <w:szCs w:val="14"/>
                <w:color w:val="auto"/>
              </w:rPr>
              <w:t>due 9/2018)</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3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Embarcadero Technologies, Inc.</w:t>
            </w:r>
            <w:r>
              <w:rPr>
                <w:rFonts w:ascii="Arial" w:cs="Arial" w:eastAsia="Arial" w:hAnsi="Arial"/>
                <w:sz w:val="12"/>
                <w:szCs w:val="12"/>
                <w:color w:val="auto"/>
              </w:rPr>
              <w:t>(3)(4)(6)</w:t>
            </w:r>
          </w:p>
        </w:tc>
        <w:tc>
          <w:tcPr>
            <w:tcW w:w="1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First-lien loan ($42,479 par,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980" w:type="dxa"/>
            <w:vAlign w:val="bottom"/>
            <w:gridSpan w:val="2"/>
          </w:tcPr>
          <w:p>
            <w:pPr>
              <w:ind w:left="220"/>
              <w:spacing w:after="0"/>
              <w:rPr>
                <w:sz w:val="20"/>
                <w:szCs w:val="20"/>
                <w:color w:val="auto"/>
              </w:rPr>
            </w:pPr>
            <w:r>
              <w:rPr>
                <w:rFonts w:ascii="Arial" w:cs="Arial" w:eastAsia="Arial" w:hAnsi="Arial"/>
                <w:sz w:val="14"/>
                <w:szCs w:val="14"/>
                <w:color w:val="auto"/>
              </w:rPr>
              <w:t>due 12/2017)</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ind w:left="980"/>
              <w:spacing w:after="0"/>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-4055745</wp:posOffset>
            </wp:positionV>
            <wp:extent cx="7246620" cy="10287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-3858260</wp:posOffset>
            </wp:positionV>
            <wp:extent cx="7246620" cy="1974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-3566795</wp:posOffset>
            </wp:positionV>
            <wp:extent cx="7246620" cy="1974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-3077845</wp:posOffset>
            </wp:positionV>
            <wp:extent cx="7246620" cy="1974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-2752090</wp:posOffset>
            </wp:positionV>
            <wp:extent cx="7246620" cy="946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-2468880</wp:posOffset>
            </wp:positionV>
            <wp:extent cx="7246620" cy="946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-2177415</wp:posOffset>
            </wp:positionV>
            <wp:extent cx="7246620" cy="1974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-1783080</wp:posOffset>
            </wp:positionV>
            <wp:extent cx="7246620" cy="1885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-1465580</wp:posOffset>
            </wp:positionV>
            <wp:extent cx="7246620" cy="946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-1080135</wp:posOffset>
            </wp:positionV>
            <wp:extent cx="7246620" cy="946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-796925</wp:posOffset>
            </wp:positionV>
            <wp:extent cx="7246620" cy="946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-513715</wp:posOffset>
            </wp:positionV>
            <wp:extent cx="7246620" cy="946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Initial</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Amortized</w:t>
            </w:r>
          </w:p>
        </w:tc>
        <w:tc>
          <w:tcPr>
            <w:tcW w:w="300" w:type="dxa"/>
            <w:vAlign w:val="bottom"/>
          </w:tcPr>
          <w:p>
            <w:pPr>
              <w:spacing w:after="0"/>
              <w:rPr>
                <w:sz w:val="14"/>
                <w:szCs w:val="14"/>
                <w:color w:val="auto"/>
              </w:rPr>
            </w:pPr>
          </w:p>
        </w:tc>
        <w:tc>
          <w:tcPr>
            <w:tcW w:w="8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Fair</w:t>
            </w: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7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Interest</w:t>
            </w:r>
          </w:p>
        </w:tc>
        <w:tc>
          <w:tcPr>
            <w:tcW w:w="300" w:type="dxa"/>
            <w:vAlign w:val="bottom"/>
            <w:vMerge w:val="restart"/>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6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60" w:type="dxa"/>
            <w:vAlign w:val="bottom"/>
            <w:tcBorders>
              <w:bottom w:val="single" w:sz="8" w:color="auto"/>
            </w:tcBorders>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300" w:type="dxa"/>
            <w:vAlign w:val="bottom"/>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 Net Assets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6"/>
        </w:trPr>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7.75%</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12/23/2011</w:t>
            </w:r>
          </w:p>
        </w:tc>
        <w:tc>
          <w:tcPr>
            <w:tcW w:w="660" w:type="dxa"/>
            <w:vAlign w:val="bottom"/>
          </w:tcPr>
          <w:p>
            <w:pPr>
              <w:jc w:val="right"/>
              <w:spacing w:after="0"/>
              <w:rPr>
                <w:sz w:val="20"/>
                <w:szCs w:val="20"/>
                <w:color w:val="auto"/>
              </w:rPr>
            </w:pPr>
            <w:r>
              <w:rPr>
                <w:rFonts w:ascii="Arial" w:cs="Arial" w:eastAsia="Arial" w:hAnsi="Arial"/>
                <w:sz w:val="14"/>
                <w:szCs w:val="14"/>
                <w:color w:val="auto"/>
              </w:rPr>
              <w:t>$   52,828</w:t>
            </w:r>
          </w:p>
        </w:tc>
        <w:tc>
          <w:tcPr>
            <w:tcW w:w="1140" w:type="dxa"/>
            <w:vAlign w:val="bottom"/>
            <w:gridSpan w:val="3"/>
          </w:tcPr>
          <w:p>
            <w:pPr>
              <w:jc w:val="right"/>
              <w:ind w:right="300"/>
              <w:spacing w:after="0"/>
              <w:rPr>
                <w:sz w:val="20"/>
                <w:szCs w:val="20"/>
                <w:color w:val="auto"/>
              </w:rPr>
            </w:pPr>
            <w:r>
              <w:rPr>
                <w:rFonts w:ascii="Arial" w:cs="Arial" w:eastAsia="Arial" w:hAnsi="Arial"/>
                <w:sz w:val="14"/>
                <w:szCs w:val="14"/>
                <w:color w:val="auto"/>
              </w:rPr>
              <w:t>$ 53,720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459"/>
        </w:trPr>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9.75%</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8/28/2012</w:t>
            </w:r>
          </w:p>
        </w:tc>
        <w:tc>
          <w:tcPr>
            <w:tcW w:w="660" w:type="dxa"/>
            <w:vAlign w:val="bottom"/>
          </w:tcPr>
          <w:p>
            <w:pPr>
              <w:jc w:val="right"/>
              <w:spacing w:after="0"/>
              <w:rPr>
                <w:sz w:val="20"/>
                <w:szCs w:val="20"/>
                <w:color w:val="auto"/>
              </w:rPr>
            </w:pPr>
            <w:r>
              <w:rPr>
                <w:rFonts w:ascii="Arial" w:cs="Arial" w:eastAsia="Arial" w:hAnsi="Arial"/>
                <w:sz w:val="14"/>
                <w:szCs w:val="14"/>
                <w:color w:val="auto"/>
              </w:rPr>
              <w:t>36,002</w:t>
            </w:r>
          </w:p>
        </w:tc>
        <w:tc>
          <w:tcPr>
            <w:tcW w:w="1140" w:type="dxa"/>
            <w:vAlign w:val="bottom"/>
            <w:gridSpan w:val="3"/>
          </w:tcPr>
          <w:p>
            <w:pPr>
              <w:jc w:val="right"/>
              <w:ind w:right="300"/>
              <w:spacing w:after="0"/>
              <w:rPr>
                <w:sz w:val="20"/>
                <w:szCs w:val="20"/>
                <w:color w:val="auto"/>
              </w:rPr>
            </w:pPr>
            <w:r>
              <w:rPr>
                <w:rFonts w:ascii="Arial" w:cs="Arial" w:eastAsia="Arial" w:hAnsi="Arial"/>
                <w:sz w:val="14"/>
                <w:szCs w:val="14"/>
                <w:color w:val="auto"/>
              </w:rPr>
              <w:t>36,182</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459"/>
        </w:trPr>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10.75%</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8/28/2012</w:t>
            </w:r>
          </w:p>
        </w:tc>
        <w:tc>
          <w:tcPr>
            <w:tcW w:w="660" w:type="dxa"/>
            <w:vAlign w:val="bottom"/>
          </w:tcPr>
          <w:p>
            <w:pPr>
              <w:jc w:val="right"/>
              <w:spacing w:after="0"/>
              <w:rPr>
                <w:sz w:val="20"/>
                <w:szCs w:val="20"/>
                <w:color w:val="auto"/>
              </w:rPr>
            </w:pPr>
            <w:r>
              <w:rPr>
                <w:rFonts w:ascii="Arial" w:cs="Arial" w:eastAsia="Arial" w:hAnsi="Arial"/>
                <w:sz w:val="14"/>
                <w:szCs w:val="14"/>
                <w:color w:val="auto"/>
              </w:rPr>
              <w:t>4,500</w:t>
            </w:r>
          </w:p>
        </w:tc>
        <w:tc>
          <w:tcPr>
            <w:tcW w:w="1140" w:type="dxa"/>
            <w:vAlign w:val="bottom"/>
            <w:gridSpan w:val="3"/>
          </w:tcPr>
          <w:p>
            <w:pPr>
              <w:jc w:val="right"/>
              <w:ind w:right="300"/>
              <w:spacing w:after="0"/>
              <w:rPr>
                <w:sz w:val="20"/>
                <w:szCs w:val="20"/>
                <w:color w:val="auto"/>
              </w:rPr>
            </w:pPr>
            <w:r>
              <w:rPr>
                <w:rFonts w:ascii="Arial" w:cs="Arial" w:eastAsia="Arial" w:hAnsi="Arial"/>
                <w:sz w:val="14"/>
                <w:szCs w:val="14"/>
                <w:color w:val="auto"/>
              </w:rPr>
              <w:t>4,528</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96"/>
        </w:trPr>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8.50%</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12/31/2012</w:t>
            </w:r>
          </w:p>
        </w:tc>
        <w:tc>
          <w:tcPr>
            <w:tcW w:w="660" w:type="dxa"/>
            <w:vAlign w:val="bottom"/>
          </w:tcPr>
          <w:p>
            <w:pPr>
              <w:jc w:val="right"/>
              <w:spacing w:after="0"/>
              <w:rPr>
                <w:sz w:val="20"/>
                <w:szCs w:val="20"/>
                <w:color w:val="auto"/>
              </w:rPr>
            </w:pPr>
            <w:r>
              <w:rPr>
                <w:rFonts w:ascii="Arial" w:cs="Arial" w:eastAsia="Arial" w:hAnsi="Arial"/>
                <w:sz w:val="14"/>
                <w:szCs w:val="14"/>
                <w:color w:val="auto"/>
              </w:rPr>
              <w:t>21,336</w:t>
            </w:r>
          </w:p>
        </w:tc>
        <w:tc>
          <w:tcPr>
            <w:tcW w:w="300" w:type="dxa"/>
            <w:vAlign w:val="bottom"/>
          </w:tcPr>
          <w:p>
            <w:pPr>
              <w:spacing w:after="0"/>
              <w:rPr>
                <w:sz w:val="24"/>
                <w:szCs w:val="2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21,445</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61,838</w:t>
            </w:r>
          </w:p>
        </w:tc>
        <w:tc>
          <w:tcPr>
            <w:tcW w:w="300" w:type="dxa"/>
            <w:vAlign w:val="bottom"/>
            <w:vMerge w:val="continue"/>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62,155</w:t>
            </w:r>
          </w:p>
        </w:tc>
        <w:tc>
          <w:tcPr>
            <w:tcW w:w="300" w:type="dxa"/>
            <w:vAlign w:val="bottom"/>
            <w:vMerge w:val="continue"/>
          </w:tcPr>
          <w:p>
            <w:pPr>
              <w:spacing w:after="0"/>
              <w:rPr>
                <w:sz w:val="13"/>
                <w:szCs w:val="13"/>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7.75%</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8/31/2011</w:t>
            </w:r>
          </w:p>
        </w:tc>
        <w:tc>
          <w:tcPr>
            <w:tcW w:w="660" w:type="dxa"/>
            <w:vAlign w:val="bottom"/>
          </w:tcPr>
          <w:p>
            <w:pPr>
              <w:jc w:val="right"/>
              <w:spacing w:after="0"/>
              <w:rPr>
                <w:sz w:val="20"/>
                <w:szCs w:val="20"/>
                <w:color w:val="auto"/>
              </w:rPr>
            </w:pPr>
            <w:r>
              <w:rPr>
                <w:rFonts w:ascii="Arial" w:cs="Arial" w:eastAsia="Arial" w:hAnsi="Arial"/>
                <w:sz w:val="14"/>
                <w:szCs w:val="14"/>
                <w:color w:val="auto"/>
              </w:rPr>
              <w:t>43,837</w:t>
            </w:r>
          </w:p>
        </w:tc>
        <w:tc>
          <w:tcPr>
            <w:tcW w:w="300" w:type="dxa"/>
            <w:vAlign w:val="bottom"/>
          </w:tcPr>
          <w:p>
            <w:pPr>
              <w:spacing w:after="0"/>
              <w:rPr>
                <w:sz w:val="24"/>
                <w:szCs w:val="2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45,837</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459"/>
        </w:trPr>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8.50%</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4/11/2013</w:t>
            </w:r>
          </w:p>
        </w:tc>
        <w:tc>
          <w:tcPr>
            <w:tcW w:w="660" w:type="dxa"/>
            <w:vAlign w:val="bottom"/>
          </w:tcPr>
          <w:p>
            <w:pPr>
              <w:jc w:val="right"/>
              <w:spacing w:after="0"/>
              <w:rPr>
                <w:sz w:val="20"/>
                <w:szCs w:val="20"/>
                <w:color w:val="auto"/>
              </w:rPr>
            </w:pPr>
            <w:r>
              <w:rPr>
                <w:rFonts w:ascii="Arial" w:cs="Arial" w:eastAsia="Arial" w:hAnsi="Arial"/>
                <w:sz w:val="14"/>
                <w:szCs w:val="14"/>
                <w:color w:val="auto"/>
              </w:rPr>
              <w:t>65,762</w:t>
            </w:r>
          </w:p>
        </w:tc>
        <w:tc>
          <w:tcPr>
            <w:tcW w:w="1140" w:type="dxa"/>
            <w:vAlign w:val="bottom"/>
            <w:gridSpan w:val="3"/>
          </w:tcPr>
          <w:p>
            <w:pPr>
              <w:jc w:val="right"/>
              <w:ind w:right="300"/>
              <w:spacing w:after="0"/>
              <w:rPr>
                <w:sz w:val="20"/>
                <w:szCs w:val="20"/>
                <w:color w:val="auto"/>
              </w:rPr>
            </w:pPr>
            <w:r>
              <w:rPr>
                <w:rFonts w:ascii="Arial" w:cs="Arial" w:eastAsia="Arial" w:hAnsi="Arial"/>
                <w:sz w:val="14"/>
                <w:szCs w:val="14"/>
                <w:color w:val="auto"/>
              </w:rPr>
              <w:t>66,405</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311"/>
        </w:trPr>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7.25%</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8/13/2012</w:t>
            </w:r>
          </w:p>
        </w:tc>
        <w:tc>
          <w:tcPr>
            <w:tcW w:w="660" w:type="dxa"/>
            <w:vAlign w:val="bottom"/>
          </w:tcPr>
          <w:p>
            <w:pPr>
              <w:jc w:val="right"/>
              <w:spacing w:after="0"/>
              <w:rPr>
                <w:sz w:val="20"/>
                <w:szCs w:val="20"/>
                <w:color w:val="auto"/>
              </w:rPr>
            </w:pPr>
            <w:r>
              <w:rPr>
                <w:rFonts w:ascii="Arial" w:cs="Arial" w:eastAsia="Arial" w:hAnsi="Arial"/>
                <w:sz w:val="14"/>
                <w:szCs w:val="14"/>
                <w:color w:val="auto"/>
              </w:rPr>
              <w:t>29,279</w:t>
            </w:r>
          </w:p>
        </w:tc>
        <w:tc>
          <w:tcPr>
            <w:tcW w:w="1140" w:type="dxa"/>
            <w:vAlign w:val="bottom"/>
            <w:gridSpan w:val="3"/>
          </w:tcPr>
          <w:p>
            <w:pPr>
              <w:jc w:val="right"/>
              <w:ind w:right="300"/>
              <w:spacing w:after="0"/>
              <w:rPr>
                <w:sz w:val="20"/>
                <w:szCs w:val="20"/>
                <w:color w:val="auto"/>
              </w:rPr>
            </w:pPr>
            <w:r>
              <w:rPr>
                <w:rFonts w:ascii="Arial" w:cs="Arial" w:eastAsia="Arial" w:hAnsi="Arial"/>
                <w:sz w:val="14"/>
                <w:szCs w:val="14"/>
                <w:color w:val="auto"/>
              </w:rPr>
              <w:t>29,477</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311"/>
        </w:trPr>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7.25%</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12/18/2013</w:t>
            </w:r>
          </w:p>
        </w:tc>
        <w:tc>
          <w:tcPr>
            <w:tcW w:w="660" w:type="dxa"/>
            <w:vAlign w:val="bottom"/>
          </w:tcPr>
          <w:p>
            <w:pPr>
              <w:jc w:val="right"/>
              <w:spacing w:after="0"/>
              <w:rPr>
                <w:sz w:val="20"/>
                <w:szCs w:val="20"/>
                <w:color w:val="auto"/>
              </w:rPr>
            </w:pPr>
            <w:r>
              <w:rPr>
                <w:rFonts w:ascii="Arial" w:cs="Arial" w:eastAsia="Arial" w:hAnsi="Arial"/>
                <w:sz w:val="14"/>
                <w:szCs w:val="14"/>
                <w:color w:val="auto"/>
              </w:rPr>
              <w:t>41,462</w:t>
            </w:r>
          </w:p>
        </w:tc>
        <w:tc>
          <w:tcPr>
            <w:tcW w:w="1140" w:type="dxa"/>
            <w:vAlign w:val="bottom"/>
            <w:gridSpan w:val="3"/>
          </w:tcPr>
          <w:p>
            <w:pPr>
              <w:jc w:val="right"/>
              <w:ind w:right="300"/>
              <w:spacing w:after="0"/>
              <w:rPr>
                <w:sz w:val="20"/>
                <w:szCs w:val="20"/>
                <w:color w:val="auto"/>
              </w:rPr>
            </w:pPr>
            <w:r>
              <w:rPr>
                <w:rFonts w:ascii="Arial" w:cs="Arial" w:eastAsia="Arial" w:hAnsi="Arial"/>
                <w:sz w:val="14"/>
                <w:szCs w:val="14"/>
                <w:color w:val="auto"/>
              </w:rPr>
              <w:t>41,437</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82"/>
        </w:trPr>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8.75%</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9/12/2013</w:t>
            </w:r>
          </w:p>
        </w:tc>
        <w:tc>
          <w:tcPr>
            <w:tcW w:w="660" w:type="dxa"/>
            <w:vAlign w:val="bottom"/>
          </w:tcPr>
          <w:p>
            <w:pPr>
              <w:jc w:val="right"/>
              <w:spacing w:after="0"/>
              <w:rPr>
                <w:sz w:val="20"/>
                <w:szCs w:val="20"/>
                <w:color w:val="auto"/>
              </w:rPr>
            </w:pPr>
            <w:r>
              <w:rPr>
                <w:rFonts w:ascii="Arial" w:cs="Arial" w:eastAsia="Arial" w:hAnsi="Arial"/>
                <w:sz w:val="14"/>
                <w:szCs w:val="14"/>
                <w:color w:val="auto"/>
              </w:rPr>
              <w:t>29,105</w:t>
            </w:r>
          </w:p>
        </w:tc>
        <w:tc>
          <w:tcPr>
            <w:tcW w:w="300" w:type="dxa"/>
            <w:vAlign w:val="bottom"/>
          </w:tcPr>
          <w:p>
            <w:pPr>
              <w:spacing w:after="0"/>
              <w:rPr>
                <w:sz w:val="24"/>
                <w:szCs w:val="2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29,202</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165,608</w:t>
            </w:r>
          </w:p>
        </w:tc>
        <w:tc>
          <w:tcPr>
            <w:tcW w:w="300" w:type="dxa"/>
            <w:vAlign w:val="bottom"/>
            <w:vMerge w:val="continue"/>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166,521</w:t>
            </w:r>
          </w:p>
        </w:tc>
        <w:tc>
          <w:tcPr>
            <w:tcW w:w="300" w:type="dxa"/>
            <w:vAlign w:val="bottom"/>
            <w:vMerge w:val="continue"/>
          </w:tcPr>
          <w:p>
            <w:pPr>
              <w:spacing w:after="0"/>
              <w:rPr>
                <w:sz w:val="13"/>
                <w:szCs w:val="13"/>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285"/>
        </w:trPr>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14.00%</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0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(incl. 2.00%</w:t>
            </w: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PIK)</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3/2/2012</w:t>
            </w:r>
          </w:p>
        </w:tc>
        <w:tc>
          <w:tcPr>
            <w:tcW w:w="660" w:type="dxa"/>
            <w:vAlign w:val="bottom"/>
          </w:tcPr>
          <w:p>
            <w:pPr>
              <w:jc w:val="right"/>
              <w:spacing w:after="0"/>
              <w:rPr>
                <w:sz w:val="20"/>
                <w:szCs w:val="20"/>
                <w:color w:val="auto"/>
              </w:rPr>
            </w:pPr>
            <w:r>
              <w:rPr>
                <w:rFonts w:ascii="Arial" w:cs="Arial" w:eastAsia="Arial" w:hAnsi="Arial"/>
                <w:sz w:val="14"/>
                <w:szCs w:val="14"/>
                <w:color w:val="auto"/>
              </w:rPr>
              <w:t>46,545</w:t>
            </w:r>
          </w:p>
        </w:tc>
        <w:tc>
          <w:tcPr>
            <w:tcW w:w="1140" w:type="dxa"/>
            <w:vAlign w:val="bottom"/>
            <w:gridSpan w:val="3"/>
          </w:tcPr>
          <w:p>
            <w:pPr>
              <w:jc w:val="right"/>
              <w:ind w:right="300"/>
              <w:spacing w:after="0"/>
              <w:rPr>
                <w:sz w:val="20"/>
                <w:szCs w:val="20"/>
                <w:color w:val="auto"/>
              </w:rPr>
            </w:pPr>
            <w:r>
              <w:rPr>
                <w:rFonts w:ascii="Arial" w:cs="Arial" w:eastAsia="Arial" w:hAnsi="Arial"/>
                <w:sz w:val="14"/>
                <w:szCs w:val="14"/>
                <w:color w:val="auto"/>
              </w:rPr>
              <w:t>51,817</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446"/>
        </w:trPr>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8.50%</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2/8/2013</w:t>
            </w:r>
          </w:p>
        </w:tc>
        <w:tc>
          <w:tcPr>
            <w:tcW w:w="660" w:type="dxa"/>
            <w:vAlign w:val="bottom"/>
          </w:tcPr>
          <w:p>
            <w:pPr>
              <w:jc w:val="right"/>
              <w:spacing w:after="0"/>
              <w:rPr>
                <w:sz w:val="20"/>
                <w:szCs w:val="20"/>
                <w:color w:val="auto"/>
              </w:rPr>
            </w:pPr>
            <w:r>
              <w:rPr>
                <w:rFonts w:ascii="Arial" w:cs="Arial" w:eastAsia="Arial" w:hAnsi="Arial"/>
                <w:sz w:val="14"/>
                <w:szCs w:val="14"/>
                <w:color w:val="auto"/>
              </w:rPr>
              <w:t>46,164</w:t>
            </w:r>
          </w:p>
        </w:tc>
        <w:tc>
          <w:tcPr>
            <w:tcW w:w="1140" w:type="dxa"/>
            <w:vAlign w:val="bottom"/>
            <w:gridSpan w:val="3"/>
          </w:tcPr>
          <w:p>
            <w:pPr>
              <w:jc w:val="right"/>
              <w:ind w:right="300"/>
              <w:spacing w:after="0"/>
              <w:rPr>
                <w:sz w:val="20"/>
                <w:szCs w:val="20"/>
                <w:color w:val="auto"/>
              </w:rPr>
            </w:pPr>
            <w:r>
              <w:rPr>
                <w:rFonts w:ascii="Arial" w:cs="Arial" w:eastAsia="Arial" w:hAnsi="Arial"/>
                <w:sz w:val="14"/>
                <w:szCs w:val="14"/>
                <w:color w:val="auto"/>
              </w:rPr>
              <w:t>47,142</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446"/>
        </w:trPr>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8.75%</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9/30/2013</w:t>
            </w:r>
          </w:p>
        </w:tc>
        <w:tc>
          <w:tcPr>
            <w:tcW w:w="660" w:type="dxa"/>
            <w:vAlign w:val="bottom"/>
          </w:tcPr>
          <w:p>
            <w:pPr>
              <w:jc w:val="right"/>
              <w:spacing w:after="0"/>
              <w:rPr>
                <w:sz w:val="20"/>
                <w:szCs w:val="20"/>
                <w:color w:val="auto"/>
              </w:rPr>
            </w:pPr>
            <w:r>
              <w:rPr>
                <w:rFonts w:ascii="Arial" w:cs="Arial" w:eastAsia="Arial" w:hAnsi="Arial"/>
                <w:sz w:val="14"/>
                <w:szCs w:val="14"/>
                <w:color w:val="auto"/>
              </w:rPr>
              <w:t>28,931</w:t>
            </w:r>
          </w:p>
        </w:tc>
        <w:tc>
          <w:tcPr>
            <w:tcW w:w="1140" w:type="dxa"/>
            <w:vAlign w:val="bottom"/>
            <w:gridSpan w:val="3"/>
          </w:tcPr>
          <w:p>
            <w:pPr>
              <w:jc w:val="right"/>
              <w:ind w:right="300"/>
              <w:spacing w:after="0"/>
              <w:rPr>
                <w:sz w:val="20"/>
                <w:szCs w:val="20"/>
                <w:color w:val="auto"/>
              </w:rPr>
            </w:pPr>
            <w:r>
              <w:rPr>
                <w:rFonts w:ascii="Arial" w:cs="Arial" w:eastAsia="Arial" w:hAnsi="Arial"/>
                <w:sz w:val="14"/>
                <w:szCs w:val="14"/>
                <w:color w:val="auto"/>
              </w:rPr>
              <w:t>29,032</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446"/>
        </w:trPr>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8.00%</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12/28/2012</w:t>
            </w:r>
          </w:p>
        </w:tc>
        <w:tc>
          <w:tcPr>
            <w:tcW w:w="660" w:type="dxa"/>
            <w:vAlign w:val="bottom"/>
          </w:tcPr>
          <w:p>
            <w:pPr>
              <w:jc w:val="right"/>
              <w:spacing w:after="0"/>
              <w:rPr>
                <w:sz w:val="20"/>
                <w:szCs w:val="20"/>
                <w:color w:val="auto"/>
              </w:rPr>
            </w:pPr>
            <w:r>
              <w:rPr>
                <w:rFonts w:ascii="Arial" w:cs="Arial" w:eastAsia="Arial" w:hAnsi="Arial"/>
                <w:sz w:val="14"/>
                <w:szCs w:val="14"/>
                <w:color w:val="auto"/>
              </w:rPr>
              <w:t>41,597</w:t>
            </w:r>
          </w:p>
        </w:tc>
        <w:tc>
          <w:tcPr>
            <w:tcW w:w="1140" w:type="dxa"/>
            <w:vAlign w:val="bottom"/>
            <w:gridSpan w:val="3"/>
          </w:tcPr>
          <w:p>
            <w:pPr>
              <w:jc w:val="right"/>
              <w:ind w:right="300"/>
              <w:spacing w:after="0"/>
              <w:rPr>
                <w:sz w:val="20"/>
                <w:szCs w:val="20"/>
                <w:color w:val="auto"/>
              </w:rPr>
            </w:pPr>
            <w:r>
              <w:rPr>
                <w:rFonts w:ascii="Arial" w:cs="Arial" w:eastAsia="Arial" w:hAnsi="Arial"/>
                <w:sz w:val="14"/>
                <w:szCs w:val="14"/>
                <w:color w:val="auto"/>
              </w:rPr>
              <w:t>42,372</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bl>
    <w:p>
      <w:pPr>
        <w:sectPr>
          <w:pgSz w:w="11900" w:h="16838" w:orient="portrait"/>
          <w:cols w:equalWidth="0" w:num="2">
            <w:col w:w="6360" w:space="220"/>
            <w:col w:w="4800"/>
          </w:cols>
          <w:pgMar w:left="240" w:top="460" w:right="279" w:bottom="1440" w:gutter="0" w:footer="0" w:header="0"/>
          <w:type w:val="continuous"/>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Initial</w:t>
            </w: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3"/>
              </w:rPr>
              <w:t>Amortized</w:t>
            </w:r>
          </w:p>
        </w:tc>
        <w:tc>
          <w:tcPr>
            <w:tcW w:w="8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Fair</w:t>
            </w: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200" w:type="dxa"/>
            <w:vAlign w:val="bottom"/>
          </w:tcPr>
          <w:p>
            <w:pPr>
              <w:spacing w:after="0"/>
              <w:rPr>
                <w:sz w:val="12"/>
                <w:szCs w:val="12"/>
                <w:color w:val="auto"/>
              </w:rPr>
            </w:pPr>
          </w:p>
        </w:tc>
        <w:tc>
          <w:tcPr>
            <w:tcW w:w="194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Investment</w:t>
            </w: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Interest</w:t>
            </w: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94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Date</w:t>
            </w: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2"/>
                <w:szCs w:val="12"/>
                <w:b w:val="1"/>
                <w:bCs w:val="1"/>
                <w:color w:val="auto"/>
              </w:rPr>
              <w:t>(2)</w:t>
            </w: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123"/>
        </w:trPr>
        <w:tc>
          <w:tcPr>
            <w:tcW w:w="454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Rogue Wave Holdings, Inc.</w:t>
            </w:r>
            <w:r>
              <w:rPr>
                <w:rFonts w:ascii="Arial" w:cs="Arial" w:eastAsia="Arial" w:hAnsi="Arial"/>
                <w:sz w:val="12"/>
                <w:szCs w:val="12"/>
                <w:color w:val="auto"/>
              </w:rPr>
              <w:t>(3)(4)(6)</w:t>
            </w:r>
          </w:p>
        </w:tc>
        <w:tc>
          <w:tcPr>
            <w:tcW w:w="200" w:type="dxa"/>
            <w:vAlign w:val="bottom"/>
            <w:tcBorders>
              <w:top w:val="single" w:sz="8" w:color="CCEEFF"/>
            </w:tcBorders>
            <w:shd w:val="clear" w:color="auto" w:fill="CCEEFF"/>
          </w:tcPr>
          <w:p>
            <w:pPr>
              <w:spacing w:after="0"/>
              <w:rPr>
                <w:sz w:val="10"/>
                <w:szCs w:val="10"/>
                <w:color w:val="auto"/>
              </w:rPr>
            </w:pPr>
          </w:p>
        </w:tc>
        <w:tc>
          <w:tcPr>
            <w:tcW w:w="174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First-lien loan ($76,337 par,</w:t>
            </w:r>
          </w:p>
        </w:tc>
        <w:tc>
          <w:tcPr>
            <w:tcW w:w="20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4540" w:type="dxa"/>
            <w:vAlign w:val="bottom"/>
            <w:shd w:val="clear" w:color="auto" w:fill="CCEEFF"/>
          </w:tcPr>
          <w:p>
            <w:pPr>
              <w:spacing w:after="0"/>
              <w:rPr>
                <w:sz w:val="15"/>
                <w:szCs w:val="15"/>
                <w:color w:val="auto"/>
              </w:rPr>
            </w:pPr>
          </w:p>
        </w:tc>
        <w:tc>
          <w:tcPr>
            <w:tcW w:w="21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due 12/2018)</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8.25%</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99"/>
              </w:rPr>
              <w:t>11/21/2012</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74,752</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75,764</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116,349</w:t>
            </w:r>
          </w:p>
        </w:tc>
        <w:tc>
          <w:tcPr>
            <w:tcW w:w="280" w:type="dxa"/>
            <w:vAlign w:val="bottom"/>
            <w:vMerge w:val="continue"/>
          </w:tcPr>
          <w:p>
            <w:pPr>
              <w:spacing w:after="0"/>
              <w:rPr>
                <w:sz w:val="14"/>
                <w:szCs w:val="14"/>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w w:val="98"/>
              </w:rPr>
              <w:t>118,136</w:t>
            </w:r>
          </w:p>
        </w:tc>
        <w:tc>
          <w:tcPr>
            <w:tcW w:w="280" w:type="dxa"/>
            <w:vAlign w:val="bottom"/>
            <w:vMerge w:val="continue"/>
          </w:tcPr>
          <w:p>
            <w:pPr>
              <w:spacing w:after="0"/>
              <w:rPr>
                <w:sz w:val="14"/>
                <w:szCs w:val="14"/>
                <w:color w:val="auto"/>
              </w:rPr>
            </w:pPr>
          </w:p>
        </w:tc>
        <w:tc>
          <w:tcPr>
            <w:tcW w:w="9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Healthcare and pharmaceuticals</w:t>
            </w:r>
          </w:p>
        </w:tc>
        <w:tc>
          <w:tcPr>
            <w:tcW w:w="2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540" w:type="dxa"/>
            <w:vAlign w:val="bottom"/>
          </w:tcPr>
          <w:p>
            <w:pPr>
              <w:spacing w:after="0" w:line="130" w:lineRule="exact"/>
              <w:rPr>
                <w:sz w:val="20"/>
                <w:szCs w:val="20"/>
                <w:color w:val="auto"/>
              </w:rPr>
            </w:pPr>
            <w:r>
              <w:rPr>
                <w:rFonts w:ascii="Arial" w:cs="Arial" w:eastAsia="Arial" w:hAnsi="Arial"/>
                <w:sz w:val="14"/>
                <w:szCs w:val="14"/>
                <w:color w:val="auto"/>
              </w:rPr>
              <w:t>Mediware Information Systems, Inc.</w:t>
            </w:r>
            <w:r>
              <w:rPr>
                <w:rFonts w:ascii="Arial" w:cs="Arial" w:eastAsia="Arial" w:hAnsi="Arial"/>
                <w:sz w:val="12"/>
                <w:szCs w:val="12"/>
                <w:color w:val="auto"/>
              </w:rPr>
              <w:t>(3)(4)(6)</w:t>
            </w:r>
          </w:p>
        </w:tc>
        <w:tc>
          <w:tcPr>
            <w:tcW w:w="214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First-lien loan ($71,634 par,</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140" w:type="dxa"/>
            <w:vAlign w:val="bottom"/>
            <w:gridSpan w:val="3"/>
          </w:tcPr>
          <w:p>
            <w:pPr>
              <w:ind w:left="200"/>
              <w:spacing w:after="0"/>
              <w:rPr>
                <w:sz w:val="20"/>
                <w:szCs w:val="20"/>
                <w:color w:val="auto"/>
              </w:rPr>
            </w:pPr>
            <w:r>
              <w:rPr>
                <w:rFonts w:ascii="Arial" w:cs="Arial" w:eastAsia="Arial" w:hAnsi="Arial"/>
                <w:sz w:val="14"/>
                <w:szCs w:val="14"/>
                <w:color w:val="auto"/>
              </w:rPr>
              <w:t>due 5/2018)</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8.00%</w:t>
            </w: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11/9/2012</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70,120</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71,097</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30"/>
        </w:trPr>
        <w:tc>
          <w:tcPr>
            <w:tcW w:w="4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SRS Software, LLC</w:t>
            </w:r>
            <w:r>
              <w:rPr>
                <w:rFonts w:ascii="Arial" w:cs="Arial" w:eastAsia="Arial" w:hAnsi="Arial"/>
                <w:sz w:val="12"/>
                <w:szCs w:val="12"/>
                <w:color w:val="auto"/>
              </w:rPr>
              <w:t>(3)(4)</w:t>
            </w:r>
          </w:p>
        </w:tc>
        <w:tc>
          <w:tcPr>
            <w:tcW w:w="214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First-lien loan ($35,625 par,</w:t>
            </w: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spacing w:after="0"/>
              <w:rPr>
                <w:sz w:val="14"/>
                <w:szCs w:val="14"/>
                <w:color w:val="auto"/>
              </w:rPr>
            </w:pPr>
          </w:p>
        </w:tc>
        <w:tc>
          <w:tcPr>
            <w:tcW w:w="21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due 12/2017)</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8.75%</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99"/>
              </w:rPr>
              <w:t>12/28/2012</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34,782</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35,625</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30"/>
        </w:trPr>
        <w:tc>
          <w:tcPr>
            <w:tcW w:w="4540" w:type="dxa"/>
            <w:vAlign w:val="bottom"/>
          </w:tcPr>
          <w:p>
            <w:pPr>
              <w:spacing w:after="0"/>
              <w:rPr>
                <w:sz w:val="11"/>
                <w:szCs w:val="11"/>
                <w:color w:val="auto"/>
              </w:rPr>
            </w:pPr>
          </w:p>
        </w:tc>
        <w:tc>
          <w:tcPr>
            <w:tcW w:w="214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First-lien revolving loan</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9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($2,000</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540" w:type="dxa"/>
            <w:vAlign w:val="bottom"/>
          </w:tcPr>
          <w:p>
            <w:pPr>
              <w:spacing w:after="0"/>
              <w:rPr>
                <w:sz w:val="15"/>
                <w:szCs w:val="15"/>
                <w:color w:val="auto"/>
              </w:rPr>
            </w:pPr>
          </w:p>
        </w:tc>
        <w:tc>
          <w:tcPr>
            <w:tcW w:w="2140" w:type="dxa"/>
            <w:vAlign w:val="bottom"/>
            <w:gridSpan w:val="3"/>
          </w:tcPr>
          <w:p>
            <w:pPr>
              <w:ind w:left="200"/>
              <w:spacing w:after="0"/>
              <w:rPr>
                <w:sz w:val="20"/>
                <w:szCs w:val="20"/>
                <w:color w:val="auto"/>
              </w:rPr>
            </w:pPr>
            <w:r>
              <w:rPr>
                <w:rFonts w:ascii="Arial" w:cs="Arial" w:eastAsia="Arial" w:hAnsi="Arial"/>
                <w:sz w:val="14"/>
                <w:szCs w:val="14"/>
                <w:color w:val="auto"/>
              </w:rPr>
              <w:t>par, due 12/2017)</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8.75%</w:t>
            </w: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w w:val="99"/>
              </w:rPr>
              <w:t>12/28/2012</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2,000</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2,000</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106,902</w:t>
            </w: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8"/>
              </w:rPr>
              <w:t>108,722</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56"/>
        </w:trPr>
        <w:tc>
          <w:tcPr>
            <w:tcW w:w="454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Hotel, gaming, and leisure</w:t>
            </w:r>
          </w:p>
        </w:tc>
        <w:tc>
          <w:tcPr>
            <w:tcW w:w="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AMF Bowling Worldwide, Inc.</w:t>
            </w:r>
            <w:r>
              <w:rPr>
                <w:rFonts w:ascii="Arial" w:cs="Arial" w:eastAsia="Arial" w:hAnsi="Arial"/>
                <w:sz w:val="12"/>
                <w:szCs w:val="12"/>
                <w:color w:val="auto"/>
              </w:rPr>
              <w:t>(3)(4)</w:t>
            </w:r>
          </w:p>
        </w:tc>
        <w:tc>
          <w:tcPr>
            <w:tcW w:w="214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First-lien loan ($14,813 par,</w:t>
            </w: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spacing w:after="0"/>
              <w:rPr>
                <w:sz w:val="14"/>
                <w:szCs w:val="14"/>
                <w:color w:val="auto"/>
              </w:rPr>
            </w:pPr>
          </w:p>
        </w:tc>
        <w:tc>
          <w:tcPr>
            <w:tcW w:w="21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due 6/2018)</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8.75%</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7/2/2013</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13,687</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14,821</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30"/>
        </w:trPr>
        <w:tc>
          <w:tcPr>
            <w:tcW w:w="4540" w:type="dxa"/>
            <w:vAlign w:val="bottom"/>
          </w:tcPr>
          <w:p>
            <w:pPr>
              <w:spacing w:after="0" w:line="130" w:lineRule="exact"/>
              <w:rPr>
                <w:sz w:val="20"/>
                <w:szCs w:val="20"/>
                <w:color w:val="auto"/>
              </w:rPr>
            </w:pPr>
            <w:r>
              <w:rPr>
                <w:rFonts w:ascii="Arial" w:cs="Arial" w:eastAsia="Arial" w:hAnsi="Arial"/>
                <w:sz w:val="14"/>
                <w:szCs w:val="14"/>
                <w:color w:val="auto"/>
              </w:rPr>
              <w:t>Centaur, LLC</w:t>
            </w:r>
            <w:r>
              <w:rPr>
                <w:rFonts w:ascii="Arial" w:cs="Arial" w:eastAsia="Arial" w:hAnsi="Arial"/>
                <w:sz w:val="12"/>
                <w:szCs w:val="12"/>
                <w:color w:val="auto"/>
              </w:rPr>
              <w:t>(3)</w:t>
            </w:r>
          </w:p>
        </w:tc>
        <w:tc>
          <w:tcPr>
            <w:tcW w:w="214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Second-lien loan ($10,000</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140" w:type="dxa"/>
            <w:vAlign w:val="bottom"/>
            <w:gridSpan w:val="3"/>
          </w:tcPr>
          <w:p>
            <w:pPr>
              <w:ind w:left="200"/>
              <w:spacing w:after="0"/>
              <w:rPr>
                <w:sz w:val="20"/>
                <w:szCs w:val="20"/>
                <w:color w:val="auto"/>
              </w:rPr>
            </w:pPr>
            <w:r>
              <w:rPr>
                <w:rFonts w:ascii="Arial" w:cs="Arial" w:eastAsia="Arial" w:hAnsi="Arial"/>
                <w:sz w:val="14"/>
                <w:szCs w:val="14"/>
                <w:color w:val="auto"/>
              </w:rPr>
              <w:t>par, due 2/2020)</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8.75%</w:t>
            </w: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2/15/2013</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9,923</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10,250</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30"/>
        </w:trPr>
        <w:tc>
          <w:tcPr>
            <w:tcW w:w="4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Mandalay Baseball Properties, LLC</w:t>
            </w:r>
            <w:r>
              <w:rPr>
                <w:rFonts w:ascii="Arial" w:cs="Arial" w:eastAsia="Arial" w:hAnsi="Arial"/>
                <w:sz w:val="12"/>
                <w:szCs w:val="12"/>
                <w:color w:val="auto"/>
              </w:rPr>
              <w:t>(3)(4)</w:t>
            </w:r>
          </w:p>
        </w:tc>
        <w:tc>
          <w:tcPr>
            <w:tcW w:w="20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12.00%</w:t>
            </w:r>
          </w:p>
        </w:tc>
        <w:tc>
          <w:tcPr>
            <w:tcW w:w="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spacing w:after="0"/>
              <w:rPr>
                <w:sz w:val="12"/>
                <w:szCs w:val="12"/>
                <w:color w:val="auto"/>
              </w:rPr>
            </w:pPr>
          </w:p>
        </w:tc>
        <w:tc>
          <w:tcPr>
            <w:tcW w:w="21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First-lien loan ($34,886 par,</w:t>
            </w: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(incl. 4.50%</w:t>
            </w: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spacing w:after="0"/>
              <w:rPr>
                <w:sz w:val="14"/>
                <w:szCs w:val="14"/>
                <w:color w:val="auto"/>
              </w:rPr>
            </w:pPr>
          </w:p>
        </w:tc>
        <w:tc>
          <w:tcPr>
            <w:tcW w:w="21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due 3/2017)</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PIK)</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4/12/2012</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34,303</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35,758</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30"/>
        </w:trPr>
        <w:tc>
          <w:tcPr>
            <w:tcW w:w="4540" w:type="dxa"/>
            <w:vAlign w:val="bottom"/>
          </w:tcPr>
          <w:p>
            <w:pPr>
              <w:spacing w:after="0" w:line="130" w:lineRule="exact"/>
              <w:rPr>
                <w:sz w:val="20"/>
                <w:szCs w:val="20"/>
                <w:color w:val="auto"/>
              </w:rPr>
            </w:pPr>
            <w:r>
              <w:rPr>
                <w:rFonts w:ascii="Arial" w:cs="Arial" w:eastAsia="Arial" w:hAnsi="Arial"/>
                <w:sz w:val="14"/>
                <w:szCs w:val="14"/>
                <w:color w:val="auto"/>
              </w:rPr>
              <w:t>Soho House</w:t>
            </w:r>
            <w:r>
              <w:rPr>
                <w:rFonts w:ascii="Arial" w:cs="Arial" w:eastAsia="Arial" w:hAnsi="Arial"/>
                <w:sz w:val="12"/>
                <w:szCs w:val="12"/>
                <w:color w:val="auto"/>
              </w:rPr>
              <w:t>(5)</w:t>
            </w:r>
          </w:p>
        </w:tc>
        <w:tc>
          <w:tcPr>
            <w:tcW w:w="214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Second-lien bond (GBP 7,000</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140" w:type="dxa"/>
            <w:vAlign w:val="bottom"/>
            <w:gridSpan w:val="3"/>
          </w:tcPr>
          <w:p>
            <w:pPr>
              <w:ind w:left="200"/>
              <w:spacing w:after="0"/>
              <w:rPr>
                <w:sz w:val="20"/>
                <w:szCs w:val="20"/>
                <w:color w:val="auto"/>
              </w:rPr>
            </w:pPr>
            <w:r>
              <w:rPr>
                <w:rFonts w:ascii="Arial" w:cs="Arial" w:eastAsia="Arial" w:hAnsi="Arial"/>
                <w:sz w:val="14"/>
                <w:szCs w:val="14"/>
                <w:color w:val="auto"/>
              </w:rPr>
              <w:t>par, due 10/2018)</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9.13%</w:t>
            </w: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9/20/2013</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11,200</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11,913</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69,113</w:t>
            </w: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72,742</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56"/>
        </w:trPr>
        <w:tc>
          <w:tcPr>
            <w:tcW w:w="454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Human resource support services</w:t>
            </w:r>
          </w:p>
        </w:tc>
        <w:tc>
          <w:tcPr>
            <w:tcW w:w="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Pai Group, Inc.</w:t>
            </w:r>
            <w:r>
              <w:rPr>
                <w:rFonts w:ascii="Arial" w:cs="Arial" w:eastAsia="Arial" w:hAnsi="Arial"/>
                <w:sz w:val="12"/>
                <w:szCs w:val="12"/>
                <w:color w:val="auto"/>
              </w:rPr>
              <w:t>(3)(4)</w:t>
            </w:r>
          </w:p>
        </w:tc>
        <w:tc>
          <w:tcPr>
            <w:tcW w:w="214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First-lien loan ($34,737 par,</w:t>
            </w: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spacing w:after="0"/>
              <w:rPr>
                <w:sz w:val="14"/>
                <w:szCs w:val="14"/>
                <w:color w:val="auto"/>
              </w:rPr>
            </w:pPr>
          </w:p>
        </w:tc>
        <w:tc>
          <w:tcPr>
            <w:tcW w:w="21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due 5/2018)</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10.50%</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5/8/2013</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33,979</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34,141</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30"/>
        </w:trPr>
        <w:tc>
          <w:tcPr>
            <w:tcW w:w="4540" w:type="dxa"/>
            <w:vAlign w:val="bottom"/>
          </w:tcPr>
          <w:p>
            <w:pPr>
              <w:spacing w:after="0" w:line="130" w:lineRule="exact"/>
              <w:rPr>
                <w:sz w:val="20"/>
                <w:szCs w:val="20"/>
                <w:color w:val="auto"/>
              </w:rPr>
            </w:pPr>
            <w:r>
              <w:rPr>
                <w:rFonts w:ascii="Arial" w:cs="Arial" w:eastAsia="Arial" w:hAnsi="Arial"/>
                <w:sz w:val="14"/>
                <w:szCs w:val="14"/>
                <w:color w:val="auto"/>
              </w:rPr>
              <w:t>SumTotal Systems, LLC</w:t>
            </w:r>
            <w:r>
              <w:rPr>
                <w:rFonts w:ascii="Arial" w:cs="Arial" w:eastAsia="Arial" w:hAnsi="Arial"/>
                <w:sz w:val="12"/>
                <w:szCs w:val="12"/>
                <w:color w:val="auto"/>
              </w:rPr>
              <w:t>(3)(4)</w:t>
            </w:r>
          </w:p>
        </w:tc>
        <w:tc>
          <w:tcPr>
            <w:tcW w:w="214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First-lien loan ($7,483 par,</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140" w:type="dxa"/>
            <w:vAlign w:val="bottom"/>
            <w:gridSpan w:val="3"/>
          </w:tcPr>
          <w:p>
            <w:pPr>
              <w:ind w:left="200"/>
              <w:spacing w:after="0"/>
              <w:rPr>
                <w:sz w:val="20"/>
                <w:szCs w:val="20"/>
                <w:color w:val="auto"/>
              </w:rPr>
            </w:pPr>
            <w:r>
              <w:rPr>
                <w:rFonts w:ascii="Arial" w:cs="Arial" w:eastAsia="Arial" w:hAnsi="Arial"/>
                <w:sz w:val="14"/>
                <w:szCs w:val="14"/>
                <w:color w:val="auto"/>
              </w:rPr>
              <w:t>due 11/2018)</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6.25%</w:t>
            </w: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w w:val="99"/>
              </w:rPr>
              <w:t>11/16/2012</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7,405</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7,371</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0"/>
        </w:trPr>
        <w:tc>
          <w:tcPr>
            <w:tcW w:w="4540" w:type="dxa"/>
            <w:vAlign w:val="bottom"/>
            <w:shd w:val="clear" w:color="auto" w:fill="CCEEFF"/>
          </w:tcPr>
          <w:p>
            <w:pPr>
              <w:spacing w:after="0"/>
              <w:rPr>
                <w:sz w:val="11"/>
                <w:szCs w:val="11"/>
                <w:color w:val="auto"/>
              </w:rPr>
            </w:pPr>
          </w:p>
        </w:tc>
        <w:tc>
          <w:tcPr>
            <w:tcW w:w="214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Second-lien loan ($12,000</w:t>
            </w: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spacing w:after="0"/>
              <w:rPr>
                <w:sz w:val="14"/>
                <w:szCs w:val="14"/>
                <w:color w:val="auto"/>
              </w:rPr>
            </w:pPr>
          </w:p>
        </w:tc>
        <w:tc>
          <w:tcPr>
            <w:tcW w:w="21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par, due 5/2019)</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10.25%</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99"/>
              </w:rPr>
              <w:t>11/16/2012</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11,932</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11,790</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53,316</w:t>
            </w:r>
          </w:p>
        </w:tc>
        <w:tc>
          <w:tcPr>
            <w:tcW w:w="280" w:type="dxa"/>
            <w:vAlign w:val="bottom"/>
            <w:vMerge w:val="continue"/>
          </w:tcPr>
          <w:p>
            <w:pPr>
              <w:spacing w:after="0"/>
              <w:rPr>
                <w:sz w:val="14"/>
                <w:szCs w:val="14"/>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53,302</w:t>
            </w:r>
          </w:p>
        </w:tc>
        <w:tc>
          <w:tcPr>
            <w:tcW w:w="280" w:type="dxa"/>
            <w:vAlign w:val="bottom"/>
            <w:vMerge w:val="continue"/>
          </w:tcPr>
          <w:p>
            <w:pPr>
              <w:spacing w:after="0"/>
              <w:rPr>
                <w:sz w:val="14"/>
                <w:szCs w:val="14"/>
                <w:color w:val="auto"/>
              </w:rPr>
            </w:pPr>
          </w:p>
        </w:tc>
        <w:tc>
          <w:tcPr>
            <w:tcW w:w="9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Insurance</w:t>
            </w:r>
          </w:p>
        </w:tc>
        <w:tc>
          <w:tcPr>
            <w:tcW w:w="2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540" w:type="dxa"/>
            <w:vAlign w:val="bottom"/>
          </w:tcPr>
          <w:p>
            <w:pPr>
              <w:spacing w:after="0" w:line="130" w:lineRule="exact"/>
              <w:rPr>
                <w:sz w:val="20"/>
                <w:szCs w:val="20"/>
                <w:color w:val="auto"/>
              </w:rPr>
            </w:pPr>
            <w:r>
              <w:rPr>
                <w:rFonts w:ascii="Arial" w:cs="Arial" w:eastAsia="Arial" w:hAnsi="Arial"/>
                <w:sz w:val="14"/>
                <w:szCs w:val="14"/>
                <w:color w:val="auto"/>
              </w:rPr>
              <w:t>Infogix, Inc.</w:t>
            </w:r>
            <w:r>
              <w:rPr>
                <w:rFonts w:ascii="Arial" w:cs="Arial" w:eastAsia="Arial" w:hAnsi="Arial"/>
                <w:sz w:val="12"/>
                <w:szCs w:val="12"/>
                <w:color w:val="auto"/>
              </w:rPr>
              <w:t>(3)(4)</w:t>
            </w:r>
          </w:p>
        </w:tc>
        <w:tc>
          <w:tcPr>
            <w:tcW w:w="214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First-lien loan ($31,888 par,</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140" w:type="dxa"/>
            <w:vAlign w:val="bottom"/>
            <w:gridSpan w:val="3"/>
          </w:tcPr>
          <w:p>
            <w:pPr>
              <w:ind w:left="200"/>
              <w:spacing w:after="0"/>
              <w:rPr>
                <w:sz w:val="20"/>
                <w:szCs w:val="20"/>
                <w:color w:val="auto"/>
              </w:rPr>
            </w:pPr>
            <w:r>
              <w:rPr>
                <w:rFonts w:ascii="Arial" w:cs="Arial" w:eastAsia="Arial" w:hAnsi="Arial"/>
                <w:sz w:val="14"/>
                <w:szCs w:val="14"/>
                <w:color w:val="auto"/>
              </w:rPr>
              <w:t>due 6/2017)</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10.00%</w:t>
            </w: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6/1/2012</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31,433</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31,808</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30"/>
        </w:trPr>
        <w:tc>
          <w:tcPr>
            <w:tcW w:w="4540" w:type="dxa"/>
            <w:vAlign w:val="bottom"/>
            <w:shd w:val="clear" w:color="auto" w:fill="CCEEFF"/>
          </w:tcPr>
          <w:p>
            <w:pPr>
              <w:spacing w:after="0"/>
              <w:rPr>
                <w:sz w:val="11"/>
                <w:szCs w:val="11"/>
                <w:color w:val="auto"/>
              </w:rPr>
            </w:pPr>
          </w:p>
        </w:tc>
        <w:tc>
          <w:tcPr>
            <w:tcW w:w="214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First-lien revolving loan</w:t>
            </w: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spacing w:after="0"/>
              <w:rPr>
                <w:sz w:val="14"/>
                <w:szCs w:val="14"/>
                <w:color w:val="auto"/>
              </w:rPr>
            </w:pPr>
          </w:p>
        </w:tc>
        <w:tc>
          <w:tcPr>
            <w:tcW w:w="21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($850 par, due 6/2017)</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10.00%</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6/1/2012</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w:t>
            </w: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w:t>
            </w:r>
          </w:p>
        </w:tc>
        <w:tc>
          <w:tcPr>
            <w:tcW w:w="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32,215</w:t>
            </w:r>
          </w:p>
        </w:tc>
        <w:tc>
          <w:tcPr>
            <w:tcW w:w="280" w:type="dxa"/>
            <w:vAlign w:val="bottom"/>
            <w:vMerge w:val="continue"/>
          </w:tcPr>
          <w:p>
            <w:pPr>
              <w:spacing w:after="0"/>
              <w:rPr>
                <w:sz w:val="14"/>
                <w:szCs w:val="14"/>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32,646</w:t>
            </w:r>
          </w:p>
        </w:tc>
        <w:tc>
          <w:tcPr>
            <w:tcW w:w="280" w:type="dxa"/>
            <w:vAlign w:val="bottom"/>
            <w:vMerge w:val="continue"/>
          </w:tcPr>
          <w:p>
            <w:pPr>
              <w:spacing w:after="0"/>
              <w:rPr>
                <w:sz w:val="14"/>
                <w:szCs w:val="14"/>
                <w:color w:val="auto"/>
              </w:rPr>
            </w:pPr>
          </w:p>
        </w:tc>
        <w:tc>
          <w:tcPr>
            <w:tcW w:w="9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Manufacturing</w:t>
            </w:r>
          </w:p>
        </w:tc>
        <w:tc>
          <w:tcPr>
            <w:tcW w:w="2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540" w:type="dxa"/>
            <w:vAlign w:val="bottom"/>
          </w:tcPr>
          <w:p>
            <w:pPr>
              <w:spacing w:after="0" w:line="130" w:lineRule="exact"/>
              <w:rPr>
                <w:sz w:val="20"/>
                <w:szCs w:val="20"/>
                <w:color w:val="auto"/>
              </w:rPr>
            </w:pPr>
            <w:r>
              <w:rPr>
                <w:rFonts w:ascii="Arial" w:cs="Arial" w:eastAsia="Arial" w:hAnsi="Arial"/>
                <w:sz w:val="14"/>
                <w:szCs w:val="14"/>
                <w:color w:val="auto"/>
              </w:rPr>
              <w:t>Jeeves Information Systems AB</w:t>
            </w:r>
            <w:r>
              <w:rPr>
                <w:rFonts w:ascii="Arial" w:cs="Arial" w:eastAsia="Arial" w:hAnsi="Arial"/>
                <w:sz w:val="12"/>
                <w:szCs w:val="12"/>
                <w:color w:val="auto"/>
              </w:rPr>
              <w:t>(3)(5)</w:t>
            </w:r>
          </w:p>
        </w:tc>
        <w:tc>
          <w:tcPr>
            <w:tcW w:w="214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First-lien loan (SEK 177,161</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140" w:type="dxa"/>
            <w:vAlign w:val="bottom"/>
            <w:gridSpan w:val="3"/>
          </w:tcPr>
          <w:p>
            <w:pPr>
              <w:ind w:left="200"/>
              <w:spacing w:after="0"/>
              <w:rPr>
                <w:sz w:val="20"/>
                <w:szCs w:val="20"/>
                <w:color w:val="auto"/>
              </w:rPr>
            </w:pPr>
            <w:r>
              <w:rPr>
                <w:rFonts w:ascii="Arial" w:cs="Arial" w:eastAsia="Arial" w:hAnsi="Arial"/>
                <w:sz w:val="14"/>
                <w:szCs w:val="14"/>
                <w:color w:val="auto"/>
              </w:rPr>
              <w:t>par, due 6/2018)</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9.25%</w:t>
            </w: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6/5/2013</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26,486</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27,170</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Metals and mining</w:t>
            </w:r>
          </w:p>
        </w:tc>
        <w:tc>
          <w:tcPr>
            <w:tcW w:w="2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540" w:type="dxa"/>
            <w:vAlign w:val="bottom"/>
          </w:tcPr>
          <w:p>
            <w:pPr>
              <w:spacing w:after="0" w:line="130" w:lineRule="exact"/>
              <w:rPr>
                <w:sz w:val="20"/>
                <w:szCs w:val="20"/>
                <w:color w:val="auto"/>
              </w:rPr>
            </w:pPr>
            <w:r>
              <w:rPr>
                <w:rFonts w:ascii="Arial" w:cs="Arial" w:eastAsia="Arial" w:hAnsi="Arial"/>
                <w:sz w:val="14"/>
                <w:szCs w:val="14"/>
                <w:color w:val="auto"/>
              </w:rPr>
              <w:t>Metalico, Inc.</w:t>
            </w:r>
            <w:r>
              <w:rPr>
                <w:rFonts w:ascii="Arial" w:cs="Arial" w:eastAsia="Arial" w:hAnsi="Arial"/>
                <w:sz w:val="12"/>
                <w:szCs w:val="12"/>
                <w:color w:val="auto"/>
              </w:rPr>
              <w:t>(3)(6)</w:t>
            </w:r>
          </w:p>
        </w:tc>
        <w:tc>
          <w:tcPr>
            <w:tcW w:w="214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First-lien loan ($35,650 par,</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540" w:type="dxa"/>
            <w:vAlign w:val="bottom"/>
          </w:tcPr>
          <w:p>
            <w:pPr>
              <w:spacing w:after="0"/>
              <w:rPr>
                <w:sz w:val="15"/>
                <w:szCs w:val="15"/>
                <w:color w:val="auto"/>
              </w:rPr>
            </w:pPr>
          </w:p>
        </w:tc>
        <w:tc>
          <w:tcPr>
            <w:tcW w:w="2140" w:type="dxa"/>
            <w:vAlign w:val="bottom"/>
            <w:gridSpan w:val="3"/>
          </w:tcPr>
          <w:p>
            <w:pPr>
              <w:ind w:left="200"/>
              <w:spacing w:after="0"/>
              <w:rPr>
                <w:sz w:val="20"/>
                <w:szCs w:val="20"/>
                <w:color w:val="auto"/>
              </w:rPr>
            </w:pPr>
            <w:r>
              <w:rPr>
                <w:rFonts w:ascii="Arial" w:cs="Arial" w:eastAsia="Arial" w:hAnsi="Arial"/>
                <w:sz w:val="14"/>
                <w:szCs w:val="14"/>
                <w:color w:val="auto"/>
              </w:rPr>
              <w:t>due 11/2019)</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9.50%</w:t>
            </w: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w w:val="99"/>
              </w:rPr>
              <w:t>11/21/2013</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33,523</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33,841</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Initial</w:t>
            </w: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14"/>
                <w:szCs w:val="14"/>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198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Investment</w:t>
            </w: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0"/>
              </w:rPr>
              <w:t>Interest</w:t>
            </w: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Acquisition</w:t>
            </w:r>
          </w:p>
        </w:tc>
        <w:tc>
          <w:tcPr>
            <w:tcW w:w="6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40" w:type="dxa"/>
            <w:vAlign w:val="bottom"/>
            <w:gridSpan w:val="2"/>
            <w:vMerge w:val="continue"/>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of Net Assets</w:t>
            </w:r>
          </w:p>
        </w:tc>
        <w:tc>
          <w:tcPr>
            <w:tcW w:w="0" w:type="dxa"/>
            <w:vAlign w:val="bottom"/>
          </w:tcPr>
          <w:p>
            <w:pPr>
              <w:spacing w:after="0"/>
              <w:rPr>
                <w:sz w:val="1"/>
                <w:szCs w:val="1"/>
                <w:color w:val="auto"/>
              </w:rPr>
            </w:pPr>
          </w:p>
        </w:tc>
      </w:tr>
      <w:tr>
        <w:trPr>
          <w:trHeight w:val="142"/>
        </w:trPr>
        <w:tc>
          <w:tcPr>
            <w:tcW w:w="4540" w:type="dxa"/>
            <w:vAlign w:val="bottom"/>
            <w:tcBorders>
              <w:top w:val="single" w:sz="8" w:color="auto"/>
            </w:tcBorders>
            <w:shd w:val="clear" w:color="auto" w:fill="CCEEFF"/>
          </w:tcPr>
          <w:p>
            <w:pPr>
              <w:ind w:left="300"/>
              <w:spacing w:after="0" w:line="142" w:lineRule="exact"/>
              <w:rPr>
                <w:sz w:val="20"/>
                <w:szCs w:val="20"/>
                <w:color w:val="auto"/>
              </w:rPr>
            </w:pPr>
            <w:r>
              <w:rPr>
                <w:rFonts w:ascii="Arial" w:cs="Arial" w:eastAsia="Arial" w:hAnsi="Arial"/>
                <w:sz w:val="14"/>
                <w:szCs w:val="14"/>
                <w:b w:val="1"/>
                <w:bCs w:val="1"/>
                <w:color w:val="auto"/>
              </w:rPr>
              <w:t>Office products</w:t>
            </w:r>
          </w:p>
        </w:tc>
        <w:tc>
          <w:tcPr>
            <w:tcW w:w="200" w:type="dxa"/>
            <w:vAlign w:val="bottom"/>
            <w:tcBorders>
              <w:top w:val="single" w:sz="8" w:color="CCEEFF"/>
            </w:tcBorders>
            <w:shd w:val="clear" w:color="auto" w:fill="CCEEFF"/>
          </w:tcPr>
          <w:p>
            <w:pPr>
              <w:spacing w:after="0"/>
              <w:rPr>
                <w:sz w:val="12"/>
                <w:szCs w:val="12"/>
                <w:color w:val="auto"/>
              </w:rPr>
            </w:pPr>
          </w:p>
        </w:tc>
        <w:tc>
          <w:tcPr>
            <w:tcW w:w="1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740" w:type="dxa"/>
            <w:vAlign w:val="bottom"/>
            <w:gridSpan w:val="2"/>
          </w:tcPr>
          <w:p>
            <w:pPr>
              <w:spacing w:after="0" w:line="130" w:lineRule="exact"/>
              <w:rPr>
                <w:sz w:val="20"/>
                <w:szCs w:val="20"/>
                <w:color w:val="auto"/>
              </w:rPr>
            </w:pPr>
            <w:r>
              <w:rPr>
                <w:rFonts w:ascii="Arial" w:cs="Arial" w:eastAsia="Arial" w:hAnsi="Arial"/>
                <w:sz w:val="14"/>
                <w:szCs w:val="14"/>
                <w:color w:val="auto"/>
              </w:rPr>
              <w:t>Ecommerce Industries, Inc.</w:t>
            </w:r>
            <w:r>
              <w:rPr>
                <w:rFonts w:ascii="Arial" w:cs="Arial" w:eastAsia="Arial" w:hAnsi="Arial"/>
                <w:sz w:val="12"/>
                <w:szCs w:val="12"/>
                <w:color w:val="auto"/>
              </w:rPr>
              <w:t>(3)(4)(6)</w:t>
            </w:r>
          </w:p>
        </w:tc>
        <w:tc>
          <w:tcPr>
            <w:tcW w:w="1980" w:type="dxa"/>
            <w:vAlign w:val="bottom"/>
            <w:gridSpan w:val="2"/>
          </w:tcPr>
          <w:p>
            <w:pPr>
              <w:spacing w:after="0" w:line="130" w:lineRule="exact"/>
              <w:rPr>
                <w:sz w:val="20"/>
                <w:szCs w:val="20"/>
                <w:color w:val="auto"/>
              </w:rPr>
            </w:pPr>
            <w:r>
              <w:rPr>
                <w:rFonts w:ascii="Arial" w:cs="Arial" w:eastAsia="Arial" w:hAnsi="Arial"/>
                <w:sz w:val="14"/>
                <w:szCs w:val="14"/>
                <w:color w:val="auto"/>
              </w:rPr>
              <w:t>First-lien loan ($19,936 par,</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2"/>
          </w:tcPr>
          <w:p>
            <w:pPr>
              <w:spacing w:after="0"/>
              <w:rPr>
                <w:sz w:val="20"/>
                <w:szCs w:val="20"/>
                <w:color w:val="auto"/>
              </w:rPr>
            </w:pPr>
            <w:r>
              <w:rPr>
                <w:rFonts w:ascii="Arial" w:cs="Arial" w:eastAsia="Arial" w:hAnsi="Arial"/>
                <w:sz w:val="14"/>
                <w:szCs w:val="14"/>
                <w:color w:val="auto"/>
              </w:rPr>
              <w:t>due 10/2016)</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8.00%</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10/17/2011</w:t>
            </w:r>
          </w:p>
        </w:tc>
        <w:tc>
          <w:tcPr>
            <w:tcW w:w="10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19,764</w:t>
            </w:r>
          </w:p>
        </w:tc>
        <w:tc>
          <w:tcPr>
            <w:tcW w:w="1240" w:type="dxa"/>
            <w:vAlign w:val="bottom"/>
            <w:gridSpan w:val="3"/>
          </w:tcPr>
          <w:p>
            <w:pPr>
              <w:jc w:val="right"/>
              <w:ind w:right="300"/>
              <w:spacing w:after="0"/>
              <w:rPr>
                <w:sz w:val="20"/>
                <w:szCs w:val="20"/>
                <w:color w:val="auto"/>
              </w:rPr>
            </w:pPr>
            <w:r>
              <w:rPr>
                <w:rFonts w:ascii="Arial" w:cs="Arial" w:eastAsia="Arial" w:hAnsi="Arial"/>
                <w:sz w:val="14"/>
                <w:szCs w:val="14"/>
                <w:color w:val="auto"/>
              </w:rPr>
              <w:t>20,086</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47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Oil, gas and consumable fuels</w:t>
            </w:r>
          </w:p>
        </w:tc>
        <w:tc>
          <w:tcPr>
            <w:tcW w:w="1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740" w:type="dxa"/>
            <w:vAlign w:val="bottom"/>
            <w:gridSpan w:val="2"/>
          </w:tcPr>
          <w:p>
            <w:pPr>
              <w:spacing w:after="0" w:line="130" w:lineRule="exact"/>
              <w:rPr>
                <w:sz w:val="20"/>
                <w:szCs w:val="20"/>
                <w:color w:val="auto"/>
              </w:rPr>
            </w:pPr>
            <w:r>
              <w:rPr>
                <w:rFonts w:ascii="Arial" w:cs="Arial" w:eastAsia="Arial" w:hAnsi="Arial"/>
                <w:sz w:val="14"/>
                <w:szCs w:val="14"/>
                <w:color w:val="auto"/>
              </w:rPr>
              <w:t>Global Geophysical</w:t>
            </w:r>
            <w:r>
              <w:rPr>
                <w:rFonts w:ascii="Arial" w:cs="Arial" w:eastAsia="Arial" w:hAnsi="Arial"/>
                <w:sz w:val="12"/>
                <w:szCs w:val="12"/>
                <w:color w:val="auto"/>
              </w:rPr>
              <w:t>(3)(4)</w:t>
            </w:r>
          </w:p>
        </w:tc>
        <w:tc>
          <w:tcPr>
            <w:tcW w:w="1980" w:type="dxa"/>
            <w:vAlign w:val="bottom"/>
            <w:gridSpan w:val="2"/>
          </w:tcPr>
          <w:p>
            <w:pPr>
              <w:spacing w:after="0" w:line="130" w:lineRule="exact"/>
              <w:rPr>
                <w:sz w:val="20"/>
                <w:szCs w:val="20"/>
                <w:color w:val="auto"/>
              </w:rPr>
            </w:pPr>
            <w:r>
              <w:rPr>
                <w:rFonts w:ascii="Arial" w:cs="Arial" w:eastAsia="Arial" w:hAnsi="Arial"/>
                <w:sz w:val="14"/>
                <w:szCs w:val="14"/>
                <w:color w:val="auto"/>
              </w:rPr>
              <w:t>First-lien loan ($40,883 par,</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2"/>
          </w:tcPr>
          <w:p>
            <w:pPr>
              <w:spacing w:after="0"/>
              <w:rPr>
                <w:sz w:val="20"/>
                <w:szCs w:val="20"/>
                <w:color w:val="auto"/>
              </w:rPr>
            </w:pPr>
            <w:r>
              <w:rPr>
                <w:rFonts w:ascii="Arial" w:cs="Arial" w:eastAsia="Arial" w:hAnsi="Arial"/>
                <w:sz w:val="14"/>
                <w:szCs w:val="14"/>
                <w:color w:val="auto"/>
              </w:rPr>
              <w:t>due 9/2016)</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w w:val="96"/>
              </w:rPr>
              <w:t>10.75%</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9/30/2013</w:t>
            </w:r>
          </w:p>
        </w:tc>
        <w:tc>
          <w:tcPr>
            <w:tcW w:w="10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39,617</w:t>
            </w:r>
          </w:p>
        </w:tc>
        <w:tc>
          <w:tcPr>
            <w:tcW w:w="1240" w:type="dxa"/>
            <w:vAlign w:val="bottom"/>
            <w:gridSpan w:val="3"/>
          </w:tcPr>
          <w:p>
            <w:pPr>
              <w:jc w:val="right"/>
              <w:ind w:right="300"/>
              <w:spacing w:after="0"/>
              <w:rPr>
                <w:sz w:val="20"/>
                <w:szCs w:val="20"/>
                <w:color w:val="auto"/>
              </w:rPr>
            </w:pPr>
            <w:r>
              <w:rPr>
                <w:rFonts w:ascii="Arial" w:cs="Arial" w:eastAsia="Arial" w:hAnsi="Arial"/>
                <w:sz w:val="14"/>
                <w:szCs w:val="14"/>
                <w:color w:val="auto"/>
              </w:rPr>
              <w:t>40,065</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9"/>
        </w:trPr>
        <w:tc>
          <w:tcPr>
            <w:tcW w:w="47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Transportation</w:t>
            </w:r>
          </w:p>
        </w:tc>
        <w:tc>
          <w:tcPr>
            <w:tcW w:w="1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740" w:type="dxa"/>
            <w:vAlign w:val="bottom"/>
            <w:gridSpan w:val="2"/>
          </w:tcPr>
          <w:p>
            <w:pPr>
              <w:spacing w:after="0" w:line="130" w:lineRule="exact"/>
              <w:rPr>
                <w:sz w:val="20"/>
                <w:szCs w:val="20"/>
                <w:color w:val="auto"/>
              </w:rPr>
            </w:pPr>
            <w:r>
              <w:rPr>
                <w:rFonts w:ascii="Arial" w:cs="Arial" w:eastAsia="Arial" w:hAnsi="Arial"/>
                <w:sz w:val="14"/>
                <w:szCs w:val="14"/>
                <w:color w:val="auto"/>
              </w:rPr>
              <w:t>Kewill, Ltd.</w:t>
            </w:r>
            <w:r>
              <w:rPr>
                <w:rFonts w:ascii="Arial" w:cs="Arial" w:eastAsia="Arial" w:hAnsi="Arial"/>
                <w:sz w:val="12"/>
                <w:szCs w:val="12"/>
                <w:color w:val="auto"/>
              </w:rPr>
              <w:t>(3)(5)</w:t>
            </w:r>
          </w:p>
        </w:tc>
        <w:tc>
          <w:tcPr>
            <w:tcW w:w="1980" w:type="dxa"/>
            <w:vAlign w:val="bottom"/>
            <w:gridSpan w:val="2"/>
          </w:tcPr>
          <w:p>
            <w:pPr>
              <w:spacing w:after="0" w:line="130" w:lineRule="exact"/>
              <w:rPr>
                <w:sz w:val="20"/>
                <w:szCs w:val="20"/>
                <w:color w:val="auto"/>
              </w:rPr>
            </w:pPr>
            <w:r>
              <w:rPr>
                <w:rFonts w:ascii="Arial" w:cs="Arial" w:eastAsia="Arial" w:hAnsi="Arial"/>
                <w:sz w:val="14"/>
                <w:szCs w:val="14"/>
                <w:color w:val="auto"/>
              </w:rPr>
              <w:t>Second-lien loan ($52,500</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2"/>
          </w:tcPr>
          <w:p>
            <w:pPr>
              <w:spacing w:after="0"/>
              <w:rPr>
                <w:sz w:val="20"/>
                <w:szCs w:val="20"/>
                <w:color w:val="auto"/>
              </w:rPr>
            </w:pPr>
            <w:r>
              <w:rPr>
                <w:rFonts w:ascii="Arial" w:cs="Arial" w:eastAsia="Arial" w:hAnsi="Arial"/>
                <w:sz w:val="14"/>
                <w:szCs w:val="14"/>
                <w:color w:val="auto"/>
              </w:rPr>
              <w:t>par, due 10/2019)</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9.50%</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10/2/2013</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51,482</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51,713</w:t>
            </w:r>
          </w:p>
        </w:tc>
        <w:tc>
          <w:tcPr>
            <w:tcW w:w="30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7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Total Debt Investments</w:t>
            </w:r>
          </w:p>
        </w:tc>
        <w:tc>
          <w:tcPr>
            <w:tcW w:w="1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994,518</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1,014,647</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176.6%</w:t>
            </w:r>
          </w:p>
        </w:tc>
        <w:tc>
          <w:tcPr>
            <w:tcW w:w="0" w:type="dxa"/>
            <w:vAlign w:val="bottom"/>
          </w:tcPr>
          <w:p>
            <w:pPr>
              <w:spacing w:after="0"/>
              <w:rPr>
                <w:sz w:val="1"/>
                <w:szCs w:val="1"/>
                <w:color w:val="auto"/>
              </w:rPr>
            </w:pPr>
          </w:p>
        </w:tc>
      </w:tr>
      <w:tr>
        <w:trPr>
          <w:trHeight w:val="156"/>
        </w:trPr>
        <w:tc>
          <w:tcPr>
            <w:tcW w:w="47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Equity Investments</w:t>
            </w:r>
          </w:p>
        </w:tc>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Business services</w:t>
            </w:r>
          </w:p>
        </w:tc>
        <w:tc>
          <w:tcPr>
            <w:tcW w:w="1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740" w:type="dxa"/>
            <w:vAlign w:val="bottom"/>
            <w:gridSpan w:val="2"/>
          </w:tcPr>
          <w:p>
            <w:pPr>
              <w:spacing w:after="0" w:line="130" w:lineRule="exact"/>
              <w:rPr>
                <w:sz w:val="20"/>
                <w:szCs w:val="20"/>
                <w:color w:val="auto"/>
              </w:rPr>
            </w:pPr>
            <w:r>
              <w:rPr>
                <w:rFonts w:ascii="Arial" w:cs="Arial" w:eastAsia="Arial" w:hAnsi="Arial"/>
                <w:sz w:val="14"/>
                <w:szCs w:val="14"/>
                <w:color w:val="auto"/>
              </w:rPr>
              <w:t>Network Merchants, Inc</w:t>
            </w:r>
          </w:p>
        </w:tc>
        <w:tc>
          <w:tcPr>
            <w:tcW w:w="1980" w:type="dxa"/>
            <w:vAlign w:val="bottom"/>
            <w:gridSpan w:val="2"/>
          </w:tcPr>
          <w:p>
            <w:pPr>
              <w:spacing w:after="0" w:line="130" w:lineRule="exact"/>
              <w:rPr>
                <w:sz w:val="20"/>
                <w:szCs w:val="20"/>
                <w:color w:val="auto"/>
              </w:rPr>
            </w:pPr>
            <w:r>
              <w:rPr>
                <w:rFonts w:ascii="Arial" w:cs="Arial" w:eastAsia="Arial" w:hAnsi="Arial"/>
                <w:sz w:val="14"/>
                <w:szCs w:val="14"/>
                <w:color w:val="auto"/>
              </w:rPr>
              <w:t>Non-Voting Preferred Units</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2"/>
          </w:tcPr>
          <w:p>
            <w:pPr>
              <w:spacing w:after="0"/>
              <w:rPr>
                <w:sz w:val="20"/>
                <w:szCs w:val="20"/>
                <w:color w:val="auto"/>
              </w:rPr>
            </w:pPr>
            <w:r>
              <w:rPr>
                <w:rFonts w:ascii="Arial" w:cs="Arial" w:eastAsia="Arial" w:hAnsi="Arial"/>
                <w:sz w:val="14"/>
                <w:szCs w:val="14"/>
                <w:color w:val="auto"/>
              </w:rPr>
              <w:t>(774,099 units)</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9/12/2013</w:t>
            </w:r>
          </w:p>
        </w:tc>
        <w:tc>
          <w:tcPr>
            <w:tcW w:w="10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780</w:t>
            </w:r>
          </w:p>
        </w:tc>
        <w:tc>
          <w:tcPr>
            <w:tcW w:w="1240" w:type="dxa"/>
            <w:vAlign w:val="bottom"/>
            <w:gridSpan w:val="3"/>
          </w:tcPr>
          <w:p>
            <w:pPr>
              <w:jc w:val="right"/>
              <w:ind w:right="300"/>
              <w:spacing w:after="0"/>
              <w:rPr>
                <w:sz w:val="20"/>
                <w:szCs w:val="20"/>
                <w:color w:val="auto"/>
              </w:rPr>
            </w:pPr>
            <w:r>
              <w:rPr>
                <w:rFonts w:ascii="Arial" w:cs="Arial" w:eastAsia="Arial" w:hAnsi="Arial"/>
                <w:sz w:val="14"/>
                <w:szCs w:val="14"/>
                <w:color w:val="auto"/>
              </w:rPr>
              <w:t>780</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47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Healthcare and pharmaceuticals</w:t>
            </w:r>
          </w:p>
        </w:tc>
        <w:tc>
          <w:tcPr>
            <w:tcW w:w="1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740" w:type="dxa"/>
            <w:vAlign w:val="bottom"/>
            <w:gridSpan w:val="2"/>
          </w:tcPr>
          <w:p>
            <w:pPr>
              <w:spacing w:after="0" w:line="130" w:lineRule="exact"/>
              <w:rPr>
                <w:sz w:val="20"/>
                <w:szCs w:val="20"/>
                <w:color w:val="auto"/>
              </w:rPr>
            </w:pPr>
            <w:r>
              <w:rPr>
                <w:rFonts w:ascii="Arial" w:cs="Arial" w:eastAsia="Arial" w:hAnsi="Arial"/>
                <w:sz w:val="14"/>
                <w:szCs w:val="14"/>
                <w:color w:val="auto"/>
              </w:rPr>
              <w:t>SRS Parent Corp.</w:t>
            </w:r>
          </w:p>
        </w:tc>
        <w:tc>
          <w:tcPr>
            <w:tcW w:w="1980" w:type="dxa"/>
            <w:vAlign w:val="bottom"/>
            <w:gridSpan w:val="2"/>
          </w:tcPr>
          <w:p>
            <w:pPr>
              <w:spacing w:after="0" w:line="130" w:lineRule="exact"/>
              <w:rPr>
                <w:sz w:val="20"/>
                <w:szCs w:val="20"/>
                <w:color w:val="auto"/>
              </w:rPr>
            </w:pPr>
            <w:r>
              <w:rPr>
                <w:rFonts w:ascii="Arial" w:cs="Arial" w:eastAsia="Arial" w:hAnsi="Arial"/>
                <w:sz w:val="14"/>
                <w:szCs w:val="14"/>
                <w:color w:val="auto"/>
              </w:rPr>
              <w:t>Common Shares Class A</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2"/>
          </w:tcPr>
          <w:p>
            <w:pPr>
              <w:spacing w:after="0"/>
              <w:rPr>
                <w:sz w:val="20"/>
                <w:szCs w:val="20"/>
                <w:color w:val="auto"/>
              </w:rPr>
            </w:pPr>
            <w:r>
              <w:rPr>
                <w:rFonts w:ascii="Arial" w:cs="Arial" w:eastAsia="Arial" w:hAnsi="Arial"/>
                <w:sz w:val="14"/>
                <w:szCs w:val="14"/>
                <w:color w:val="auto"/>
              </w:rPr>
              <w:t>(1,980 shares)</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12/28/2012</w:t>
            </w:r>
          </w:p>
        </w:tc>
        <w:tc>
          <w:tcPr>
            <w:tcW w:w="10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1,980</w:t>
            </w:r>
          </w:p>
        </w:tc>
        <w:tc>
          <w:tcPr>
            <w:tcW w:w="1240" w:type="dxa"/>
            <w:vAlign w:val="bottom"/>
            <w:gridSpan w:val="3"/>
          </w:tcPr>
          <w:p>
            <w:pPr>
              <w:jc w:val="right"/>
              <w:ind w:right="300"/>
              <w:spacing w:after="0"/>
              <w:rPr>
                <w:sz w:val="20"/>
                <w:szCs w:val="20"/>
                <w:color w:val="auto"/>
              </w:rPr>
            </w:pPr>
            <w:r>
              <w:rPr>
                <w:rFonts w:ascii="Arial" w:cs="Arial" w:eastAsia="Arial" w:hAnsi="Arial"/>
                <w:sz w:val="14"/>
                <w:szCs w:val="14"/>
                <w:color w:val="auto"/>
              </w:rPr>
              <w:t>1,024</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0"/>
        </w:trPr>
        <w:tc>
          <w:tcPr>
            <w:tcW w:w="4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Common Shares Class B</w:t>
            </w: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(2,953,020 shares)</w:t>
            </w:r>
          </w:p>
        </w:tc>
        <w:tc>
          <w:tcPr>
            <w:tcW w:w="4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w w:val="99"/>
              </w:rPr>
              <w:t>12/28/2012</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2,000</w:t>
            </w:r>
          </w:p>
        </w:tc>
        <w:tc>
          <w:tcPr>
            <w:tcW w:w="2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1,024</w:t>
            </w:r>
          </w:p>
        </w:tc>
        <w:tc>
          <w:tcPr>
            <w:tcW w:w="300" w:type="dxa"/>
            <w:vAlign w:val="bottom"/>
            <w:vMerge w:val="continue"/>
          </w:tcPr>
          <w:p>
            <w:pPr>
              <w:spacing w:after="0"/>
              <w:rPr>
                <w:sz w:val="13"/>
                <w:szCs w:val="13"/>
                <w:color w:val="auto"/>
              </w:rPr>
            </w:pPr>
          </w:p>
        </w:tc>
        <w:tc>
          <w:tcPr>
            <w:tcW w:w="9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7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Total Equity Investments</w:t>
            </w:r>
          </w:p>
        </w:tc>
        <w:tc>
          <w:tcPr>
            <w:tcW w:w="1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2,780</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1,804</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Investments</w:t>
            </w: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40" w:type="dxa"/>
            <w:vAlign w:val="bottom"/>
            <w:gridSpan w:val="2"/>
            <w:vMerge w:val="continue"/>
          </w:tcPr>
          <w:p>
            <w:pPr>
              <w:spacing w:after="0"/>
              <w:rPr>
                <w:sz w:val="13"/>
                <w:szCs w:val="13"/>
                <w:color w:val="auto"/>
              </w:rPr>
            </w:pPr>
          </w:p>
        </w:tc>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997,298</w:t>
            </w:r>
          </w:p>
        </w:tc>
        <w:tc>
          <w:tcPr>
            <w:tcW w:w="2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1,016,451</w:t>
            </w:r>
          </w:p>
        </w:tc>
        <w:tc>
          <w:tcPr>
            <w:tcW w:w="300" w:type="dxa"/>
            <w:vAlign w:val="bottom"/>
            <w:vMerge w:val="continue"/>
          </w:tcPr>
          <w:p>
            <w:pPr>
              <w:spacing w:after="0"/>
              <w:rPr>
                <w:sz w:val="13"/>
                <w:szCs w:val="13"/>
                <w:color w:val="auto"/>
              </w:rPr>
            </w:pPr>
          </w:p>
        </w:tc>
        <w:tc>
          <w:tcPr>
            <w:tcW w:w="980" w:type="dxa"/>
            <w:vAlign w:val="bottom"/>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176.9%</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120" w:hanging="332"/>
        <w:spacing w:after="0" w:line="230" w:lineRule="auto"/>
        <w:tabs>
          <w:tab w:leader="none" w:pos="34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Unless otherwise indicated, the Company’s portfolio companies are domiciled in the United States. As of December 31, 2013, the Company does not “control” any of the portfolio companies nor are any of its portfolio companies considered to be “affiliates” (see Note 4). Certain portfolio company investments are subject to contractual restrictions on sales.</w:t>
      </w:r>
    </w:p>
    <w:p>
      <w:pPr>
        <w:ind w:left="340" w:hanging="332"/>
        <w:spacing w:after="0" w:line="221" w:lineRule="auto"/>
        <w:tabs>
          <w:tab w:leader="none" w:pos="34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The amortized cost represents the original cost adjusted for the amortization of discounts and premiums, as applicable, on debt investments using the effective interest method.</w:t>
      </w:r>
    </w:p>
    <w:p>
      <w:pPr>
        <w:jc w:val="both"/>
        <w:ind w:left="340" w:right="100" w:hanging="332"/>
        <w:spacing w:after="0" w:line="221" w:lineRule="auto"/>
        <w:tabs>
          <w:tab w:leader="none" w:pos="34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the Company has provided the interest rate in effect on the date presented.</w:t>
      </w:r>
    </w:p>
    <w:p>
      <w:pPr>
        <w:ind w:left="340" w:right="120" w:hanging="332"/>
        <w:spacing w:after="0" w:line="221" w:lineRule="auto"/>
        <w:tabs>
          <w:tab w:leader="none" w:pos="34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The investment, or a portion thereof, is held within TPG SL SPV, LLC, a wholly-owned subsidiary of the Company, and is pledged as collateral supporting the amounts outstanding under the SPV Asset Facility (see Note 7).</w:t>
      </w:r>
    </w:p>
    <w:p>
      <w:pPr>
        <w:ind w:left="340" w:right="240" w:hanging="332"/>
        <w:spacing w:after="0" w:line="221" w:lineRule="auto"/>
        <w:tabs>
          <w:tab w:leader="none" w:pos="34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ind w:left="340" w:right="280" w:hanging="332"/>
        <w:spacing w:after="0" w:line="237" w:lineRule="auto"/>
        <w:tabs>
          <w:tab w:leader="none" w:pos="34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6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December 31, 2014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1"/>
              </w:rPr>
              <w:t>December 31, 2013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December 31, 2012</w:t>
            </w:r>
          </w:p>
        </w:tc>
      </w:tr>
      <w:tr>
        <w:trPr>
          <w:trHeight w:val="196"/>
        </w:trPr>
        <w:tc>
          <w:tcPr>
            <w:tcW w:w="6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Increase in Net Assets Resulting from Operations</w:t>
            </w: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Net investment income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104,475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57,501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28,029</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(losses)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(17,722)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7,211</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(1,703)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1,096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4,355</w:t>
            </w:r>
          </w:p>
        </w:tc>
      </w:tr>
      <w:tr>
        <w:trPr>
          <w:trHeight w:val="27"/>
        </w:trPr>
        <w:tc>
          <w:tcPr>
            <w:tcW w:w="6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85,050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66,983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39,595</w:t>
            </w:r>
          </w:p>
        </w:tc>
      </w:tr>
      <w:tr>
        <w:trPr>
          <w:trHeight w:val="223"/>
        </w:trPr>
        <w:tc>
          <w:tcPr>
            <w:tcW w:w="6000" w:type="dxa"/>
            <w:vAlign w:val="bottom"/>
          </w:tcPr>
          <w:p>
            <w:pPr>
              <w:spacing w:after="0"/>
              <w:rPr>
                <w:sz w:val="20"/>
                <w:szCs w:val="20"/>
                <w:color w:val="auto"/>
              </w:rPr>
            </w:pPr>
            <w:r>
              <w:rPr>
                <w:rFonts w:ascii="Arial" w:cs="Arial" w:eastAsia="Arial" w:hAnsi="Arial"/>
                <w:sz w:val="18"/>
                <w:szCs w:val="18"/>
                <w:b w:val="1"/>
                <w:bCs w:val="1"/>
                <w:color w:val="auto"/>
              </w:rPr>
              <w:t>Increase in Net Assets Resulting from Capital Share Transactions</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net of offering and underwriting costs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234,419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56,857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287,692</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Reinvestment of dividends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22,566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26,438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9,194</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from net investment income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(80,077)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(48,301)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(26,997)</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Dividends declared from realized gains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(1,249)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(7,084)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(2,773)</w:t>
            </w:r>
          </w:p>
        </w:tc>
      </w:tr>
      <w:tr>
        <w:trPr>
          <w:trHeight w:val="27"/>
        </w:trPr>
        <w:tc>
          <w:tcPr>
            <w:tcW w:w="6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Increase in Net Assets Resulting from Capital Share Transactions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175,659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27,910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267,116</w:t>
            </w:r>
          </w:p>
        </w:tc>
      </w:tr>
      <w:tr>
        <w:trPr>
          <w:trHeight w:val="223"/>
        </w:trPr>
        <w:tc>
          <w:tcPr>
            <w:tcW w:w="6000" w:type="dxa"/>
            <w:vAlign w:val="bottom"/>
          </w:tcPr>
          <w:p>
            <w:pPr>
              <w:ind w:left="360"/>
              <w:spacing w:after="0"/>
              <w:rPr>
                <w:sz w:val="20"/>
                <w:szCs w:val="20"/>
                <w:color w:val="auto"/>
              </w:rPr>
            </w:pPr>
            <w:r>
              <w:rPr>
                <w:rFonts w:ascii="Arial" w:cs="Arial" w:eastAsia="Arial" w:hAnsi="Arial"/>
                <w:sz w:val="18"/>
                <w:szCs w:val="18"/>
                <w:b w:val="1"/>
                <w:bCs w:val="1"/>
                <w:color w:val="auto"/>
              </w:rPr>
              <w:t>Total Increase in Net Assets</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260,709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94,893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306,711</w:t>
            </w:r>
          </w:p>
        </w:tc>
        <w:tc>
          <w:tcPr>
            <w:tcW w:w="140" w:type="dxa"/>
            <w:vAlign w:val="bottom"/>
          </w:tcPr>
          <w:p>
            <w:pPr>
              <w:spacing w:after="0"/>
              <w:rPr>
                <w:sz w:val="19"/>
                <w:szCs w:val="19"/>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assets, beginning of period</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574,696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479,803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173,092</w:t>
            </w:r>
          </w:p>
        </w:tc>
      </w:tr>
      <w:tr>
        <w:trPr>
          <w:trHeight w:val="223"/>
        </w:trPr>
        <w:tc>
          <w:tcPr>
            <w:tcW w:w="6000" w:type="dxa"/>
            <w:vAlign w:val="bottom"/>
          </w:tcPr>
          <w:p>
            <w:pPr>
              <w:ind w:left="360"/>
              <w:spacing w:after="0"/>
              <w:rPr>
                <w:sz w:val="20"/>
                <w:szCs w:val="20"/>
                <w:color w:val="auto"/>
              </w:rPr>
            </w:pPr>
            <w:r>
              <w:rPr>
                <w:rFonts w:ascii="Arial" w:cs="Arial" w:eastAsia="Arial" w:hAnsi="Arial"/>
                <w:sz w:val="18"/>
                <w:szCs w:val="18"/>
                <w:b w:val="1"/>
                <w:bCs w:val="1"/>
                <w:color w:val="auto"/>
              </w:rPr>
              <w:t>Net Assets, End of Period</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835,405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574,696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479,803</w:t>
            </w:r>
          </w:p>
        </w:tc>
        <w:tc>
          <w:tcPr>
            <w:tcW w:w="140" w:type="dxa"/>
            <w:vAlign w:val="bottom"/>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2"/>
        </w:trPr>
        <w:tc>
          <w:tcPr>
            <w:tcW w:w="600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94"/>
              </w:rPr>
              <w:t>Undistributed Net Investment Income Included in Net Assets at the End of</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34"/>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the Period</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6,555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3,981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1"/>
              </w:rPr>
              <w:t>December 31, 2014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December 31, 2013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December 31, 2012</w:t>
            </w:r>
          </w:p>
        </w:tc>
        <w:tc>
          <w:tcPr>
            <w:tcW w:w="0" w:type="dxa"/>
            <w:vAlign w:val="bottom"/>
          </w:tcPr>
          <w:p>
            <w:pPr>
              <w:spacing w:after="0"/>
              <w:rPr>
                <w:sz w:val="1"/>
                <w:szCs w:val="1"/>
                <w:color w:val="auto"/>
              </w:rPr>
            </w:pPr>
          </w:p>
        </w:tc>
      </w:tr>
      <w:tr>
        <w:trPr>
          <w:trHeight w:val="183"/>
        </w:trPr>
        <w:tc>
          <w:tcPr>
            <w:tcW w:w="61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Cash Flows from Operating Activities</w:t>
            </w:r>
          </w:p>
        </w:tc>
        <w:tc>
          <w:tcPr>
            <w:tcW w:w="12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60" w:type="dxa"/>
            <w:vAlign w:val="bottom"/>
          </w:tcPr>
          <w:p>
            <w:pPr>
              <w:spacing w:after="0"/>
              <w:rPr>
                <w:sz w:val="20"/>
                <w:szCs w:val="20"/>
                <w:color w:val="auto"/>
              </w:rPr>
            </w:pPr>
            <w:r>
              <w:rPr>
                <w:rFonts w:ascii="Arial" w:cs="Arial" w:eastAsia="Arial" w:hAnsi="Arial"/>
                <w:sz w:val="17"/>
                <w:szCs w:val="17"/>
                <w:color w:val="auto"/>
              </w:rPr>
              <w:t>Increase in net assets resulting from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200"/>
              <w:spacing w:after="0"/>
              <w:rPr>
                <w:sz w:val="20"/>
                <w:szCs w:val="20"/>
                <w:color w:val="auto"/>
              </w:rPr>
            </w:pPr>
            <w:r>
              <w:rPr>
                <w:rFonts w:ascii="Arial" w:cs="Arial" w:eastAsia="Arial" w:hAnsi="Arial"/>
                <w:sz w:val="17"/>
                <w:szCs w:val="17"/>
                <w:color w:val="auto"/>
              </w:rPr>
              <w:t>85,050</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66,983</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140"/>
              <w:spacing w:after="0"/>
              <w:rPr>
                <w:sz w:val="20"/>
                <w:szCs w:val="20"/>
                <w:color w:val="auto"/>
              </w:rPr>
            </w:pPr>
            <w:r>
              <w:rPr>
                <w:rFonts w:ascii="Arial" w:cs="Arial" w:eastAsia="Arial" w:hAnsi="Arial"/>
                <w:sz w:val="17"/>
                <w:szCs w:val="17"/>
                <w:color w:val="auto"/>
              </w:rPr>
              <w:t>39,595</w:t>
            </w:r>
          </w:p>
        </w:tc>
        <w:tc>
          <w:tcPr>
            <w:tcW w:w="0" w:type="dxa"/>
            <w:vAlign w:val="bottom"/>
          </w:tcPr>
          <w:p>
            <w:pPr>
              <w:spacing w:after="0"/>
              <w:rPr>
                <w:sz w:val="1"/>
                <w:szCs w:val="1"/>
                <w:color w:val="auto"/>
              </w:rPr>
            </w:pPr>
          </w:p>
        </w:tc>
      </w:tr>
      <w:tr>
        <w:trPr>
          <w:trHeight w:val="185"/>
        </w:trPr>
        <w:tc>
          <w:tcPr>
            <w:tcW w:w="616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w w:val="96"/>
              </w:rPr>
              <w:t>Adjustments to reconcile increase in net assets resulting from operations to net cash</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used in operating activities: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160" w:type="dxa"/>
            <w:vAlign w:val="bottom"/>
          </w:tcPr>
          <w:p>
            <w:pPr>
              <w:ind w:left="360"/>
              <w:spacing w:after="0"/>
              <w:rPr>
                <w:sz w:val="20"/>
                <w:szCs w:val="20"/>
                <w:color w:val="auto"/>
              </w:rPr>
            </w:pPr>
            <w:r>
              <w:rPr>
                <w:rFonts w:ascii="Arial" w:cs="Arial" w:eastAsia="Arial" w:hAnsi="Arial"/>
                <w:sz w:val="17"/>
                <w:szCs w:val="17"/>
                <w:color w:val="auto"/>
              </w:rPr>
              <w:t>Net change in unrealized (gains) losses on investments</w:t>
            </w:r>
          </w:p>
        </w:tc>
        <w:tc>
          <w:tcPr>
            <w:tcW w:w="120" w:type="dxa"/>
            <w:vAlign w:val="bottom"/>
          </w:tcPr>
          <w:p>
            <w:pPr>
              <w:spacing w:after="0"/>
              <w:rPr>
                <w:sz w:val="17"/>
                <w:szCs w:val="17"/>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7"/>
                <w:szCs w:val="17"/>
                <w:color w:val="auto"/>
              </w:rPr>
              <w:t>28,895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7"/>
                <w:szCs w:val="17"/>
                <w:color w:val="auto"/>
              </w:rPr>
              <w:t>(9,630)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7"/>
                <w:szCs w:val="17"/>
                <w:color w:val="auto"/>
              </w:rPr>
              <w:t>(7,211)</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change in unrealized (gains) losses on foreign currency transactions</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(11,173)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1,244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160" w:type="dxa"/>
            <w:vAlign w:val="bottom"/>
          </w:tcPr>
          <w:p>
            <w:pPr>
              <w:ind w:left="360"/>
              <w:spacing w:after="0"/>
              <w:rPr>
                <w:sz w:val="20"/>
                <w:szCs w:val="20"/>
                <w:color w:val="auto"/>
              </w:rPr>
            </w:pPr>
            <w:r>
              <w:rPr>
                <w:rFonts w:ascii="Arial" w:cs="Arial" w:eastAsia="Arial" w:hAnsi="Arial"/>
                <w:sz w:val="17"/>
                <w:szCs w:val="17"/>
                <w:color w:val="auto"/>
              </w:rPr>
              <w:t>Net realized gains on investments</w:t>
            </w:r>
          </w:p>
        </w:tc>
        <w:tc>
          <w:tcPr>
            <w:tcW w:w="12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7"/>
                <w:szCs w:val="17"/>
                <w:color w:val="auto"/>
              </w:rPr>
              <w:t>(83)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7"/>
                <w:szCs w:val="17"/>
                <w:color w:val="auto"/>
              </w:rPr>
              <w:t>(1,061)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7"/>
                <w:szCs w:val="17"/>
                <w:color w:val="auto"/>
              </w:rPr>
              <w:t>(4,355)</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realized gains on foreign currency transactions</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160" w:type="dxa"/>
            <w:vAlign w:val="bottom"/>
          </w:tcPr>
          <w:p>
            <w:pPr>
              <w:ind w:left="360"/>
              <w:spacing w:after="0"/>
              <w:rPr>
                <w:sz w:val="20"/>
                <w:szCs w:val="20"/>
                <w:color w:val="auto"/>
              </w:rPr>
            </w:pPr>
            <w:r>
              <w:rPr>
                <w:rFonts w:ascii="Arial" w:cs="Arial" w:eastAsia="Arial" w:hAnsi="Arial"/>
                <w:sz w:val="17"/>
                <w:szCs w:val="17"/>
                <w:color w:val="auto"/>
              </w:rPr>
              <w:t>Net amortization of discount on securities</w:t>
            </w:r>
          </w:p>
        </w:tc>
        <w:tc>
          <w:tcPr>
            <w:tcW w:w="12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7"/>
                <w:szCs w:val="17"/>
                <w:color w:val="auto"/>
              </w:rPr>
              <w:t>(19,627)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7"/>
                <w:szCs w:val="17"/>
                <w:color w:val="auto"/>
              </w:rPr>
              <w:t>(6,728)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7"/>
                <w:szCs w:val="17"/>
                <w:color w:val="auto"/>
              </w:rPr>
              <w:t>(4,489)</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Amortization of debt issuance costs</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2,553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1,903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1,496</w:t>
            </w:r>
          </w:p>
        </w:tc>
        <w:tc>
          <w:tcPr>
            <w:tcW w:w="0" w:type="dxa"/>
            <w:vAlign w:val="bottom"/>
          </w:tcPr>
          <w:p>
            <w:pPr>
              <w:spacing w:after="0"/>
              <w:rPr>
                <w:sz w:val="1"/>
                <w:szCs w:val="1"/>
                <w:color w:val="auto"/>
              </w:rPr>
            </w:pPr>
          </w:p>
        </w:tc>
      </w:tr>
      <w:tr>
        <w:trPr>
          <w:trHeight w:val="203"/>
        </w:trPr>
        <w:tc>
          <w:tcPr>
            <w:tcW w:w="6160" w:type="dxa"/>
            <w:vAlign w:val="bottom"/>
          </w:tcPr>
          <w:p>
            <w:pPr>
              <w:ind w:left="360"/>
              <w:spacing w:after="0"/>
              <w:rPr>
                <w:sz w:val="20"/>
                <w:szCs w:val="20"/>
                <w:color w:val="auto"/>
              </w:rPr>
            </w:pPr>
            <w:r>
              <w:rPr>
                <w:rFonts w:ascii="Arial" w:cs="Arial" w:eastAsia="Arial" w:hAnsi="Arial"/>
                <w:sz w:val="17"/>
                <w:szCs w:val="17"/>
                <w:color w:val="auto"/>
              </w:rPr>
              <w:t>Accretion of discount on Convertible Senior Notes</w:t>
            </w:r>
          </w:p>
        </w:tc>
        <w:tc>
          <w:tcPr>
            <w:tcW w:w="120" w:type="dxa"/>
            <w:vAlign w:val="bottom"/>
          </w:tcPr>
          <w:p>
            <w:pPr>
              <w:spacing w:after="0"/>
              <w:rPr>
                <w:sz w:val="17"/>
                <w:szCs w:val="17"/>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7"/>
                <w:szCs w:val="17"/>
                <w:color w:val="auto"/>
              </w:rPr>
              <w:t>300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Purchases of investments, net</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(974,824)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(602,988)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(760,668)</w:t>
            </w:r>
          </w:p>
        </w:tc>
        <w:tc>
          <w:tcPr>
            <w:tcW w:w="0" w:type="dxa"/>
            <w:vAlign w:val="bottom"/>
          </w:tcPr>
          <w:p>
            <w:pPr>
              <w:spacing w:after="0"/>
              <w:rPr>
                <w:sz w:val="1"/>
                <w:szCs w:val="1"/>
                <w:color w:val="auto"/>
              </w:rPr>
            </w:pPr>
          </w:p>
        </w:tc>
      </w:tr>
      <w:tr>
        <w:trPr>
          <w:trHeight w:val="203"/>
        </w:trPr>
        <w:tc>
          <w:tcPr>
            <w:tcW w:w="6160" w:type="dxa"/>
            <w:vAlign w:val="bottom"/>
          </w:tcPr>
          <w:p>
            <w:pPr>
              <w:ind w:left="360"/>
              <w:spacing w:after="0"/>
              <w:rPr>
                <w:sz w:val="20"/>
                <w:szCs w:val="20"/>
                <w:color w:val="auto"/>
              </w:rPr>
            </w:pPr>
            <w:r>
              <w:rPr>
                <w:rFonts w:ascii="Arial" w:cs="Arial" w:eastAsia="Arial" w:hAnsi="Arial"/>
                <w:sz w:val="17"/>
                <w:szCs w:val="17"/>
                <w:color w:val="auto"/>
              </w:rPr>
              <w:t>Proceeds from investments, net</w:t>
            </w:r>
          </w:p>
        </w:tc>
        <w:tc>
          <w:tcPr>
            <w:tcW w:w="120" w:type="dxa"/>
            <w:vAlign w:val="bottom"/>
          </w:tcPr>
          <w:p>
            <w:pPr>
              <w:spacing w:after="0"/>
              <w:rPr>
                <w:sz w:val="17"/>
                <w:szCs w:val="17"/>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7"/>
                <w:szCs w:val="17"/>
                <w:color w:val="auto"/>
              </w:rPr>
              <w:t>100,656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46,390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7"/>
                <w:szCs w:val="17"/>
                <w:color w:val="auto"/>
              </w:rPr>
              <w:t>119,126</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Repayments on investments</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620,671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214,293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190,594</w:t>
            </w:r>
          </w:p>
        </w:tc>
        <w:tc>
          <w:tcPr>
            <w:tcW w:w="0" w:type="dxa"/>
            <w:vAlign w:val="bottom"/>
          </w:tcPr>
          <w:p>
            <w:pPr>
              <w:spacing w:after="0"/>
              <w:rPr>
                <w:sz w:val="1"/>
                <w:szCs w:val="1"/>
                <w:color w:val="auto"/>
              </w:rPr>
            </w:pPr>
          </w:p>
        </w:tc>
      </w:tr>
      <w:tr>
        <w:trPr>
          <w:trHeight w:val="203"/>
        </w:trPr>
        <w:tc>
          <w:tcPr>
            <w:tcW w:w="6160" w:type="dxa"/>
            <w:vAlign w:val="bottom"/>
          </w:tcPr>
          <w:p>
            <w:pPr>
              <w:ind w:left="360"/>
              <w:spacing w:after="0"/>
              <w:rPr>
                <w:sz w:val="20"/>
                <w:szCs w:val="20"/>
                <w:color w:val="auto"/>
              </w:rPr>
            </w:pPr>
            <w:r>
              <w:rPr>
                <w:rFonts w:ascii="Arial" w:cs="Arial" w:eastAsia="Arial" w:hAnsi="Arial"/>
                <w:sz w:val="17"/>
                <w:szCs w:val="17"/>
                <w:color w:val="auto"/>
              </w:rPr>
              <w:t>Paid-in-kind interest</w:t>
            </w:r>
          </w:p>
        </w:tc>
        <w:tc>
          <w:tcPr>
            <w:tcW w:w="12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7"/>
                <w:szCs w:val="17"/>
                <w:color w:val="auto"/>
              </w:rPr>
              <w:t>(2,748)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7"/>
                <w:szCs w:val="17"/>
                <w:color w:val="auto"/>
              </w:rPr>
              <w:t>(2,749)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7"/>
                <w:szCs w:val="17"/>
                <w:color w:val="auto"/>
              </w:rPr>
              <w:t>(1,808)</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Changes in operating assets and liabilities:</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tcPr>
          <w:p>
            <w:pPr>
              <w:ind w:left="360"/>
              <w:spacing w:after="0"/>
              <w:rPr>
                <w:sz w:val="20"/>
                <w:szCs w:val="20"/>
                <w:color w:val="auto"/>
              </w:rPr>
            </w:pPr>
            <w:r>
              <w:rPr>
                <w:rFonts w:ascii="Arial" w:cs="Arial" w:eastAsia="Arial" w:hAnsi="Arial"/>
                <w:sz w:val="17"/>
                <w:szCs w:val="17"/>
                <w:color w:val="auto"/>
              </w:rPr>
              <w:t>Interest receivable</w:t>
            </w:r>
          </w:p>
        </w:tc>
        <w:tc>
          <w:tcPr>
            <w:tcW w:w="12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7"/>
                <w:szCs w:val="17"/>
                <w:color w:val="auto"/>
              </w:rPr>
              <w:t>(1,167)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7"/>
                <w:szCs w:val="17"/>
                <w:color w:val="auto"/>
              </w:rPr>
              <w:t>(2,579)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7"/>
                <w:szCs w:val="17"/>
                <w:color w:val="auto"/>
              </w:rPr>
              <w:t>(1,071)</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Interest receivable paid-in-kind</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160" w:type="dxa"/>
            <w:vAlign w:val="bottom"/>
          </w:tcPr>
          <w:p>
            <w:pPr>
              <w:ind w:left="360"/>
              <w:spacing w:after="0"/>
              <w:rPr>
                <w:sz w:val="20"/>
                <w:szCs w:val="20"/>
                <w:color w:val="auto"/>
              </w:rPr>
            </w:pPr>
            <w:r>
              <w:rPr>
                <w:rFonts w:ascii="Arial" w:cs="Arial" w:eastAsia="Arial" w:hAnsi="Arial"/>
                <w:sz w:val="17"/>
                <w:szCs w:val="17"/>
                <w:color w:val="auto"/>
              </w:rPr>
              <w:t>Prepaid expenses and other assets</w:t>
            </w:r>
          </w:p>
        </w:tc>
        <w:tc>
          <w:tcPr>
            <w:tcW w:w="12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7"/>
                <w:szCs w:val="17"/>
                <w:color w:val="auto"/>
              </w:rPr>
              <w:t>(12,443)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443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7"/>
                <w:szCs w:val="17"/>
                <w:color w:val="auto"/>
              </w:rPr>
              <w:t>(6,292)</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Management fees payable to affiliate</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3,307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531</w:t>
            </w:r>
          </w:p>
        </w:tc>
        <w:tc>
          <w:tcPr>
            <w:tcW w:w="0" w:type="dxa"/>
            <w:vAlign w:val="bottom"/>
          </w:tcPr>
          <w:p>
            <w:pPr>
              <w:spacing w:after="0"/>
              <w:rPr>
                <w:sz w:val="1"/>
                <w:szCs w:val="1"/>
                <w:color w:val="auto"/>
              </w:rPr>
            </w:pPr>
          </w:p>
        </w:tc>
      </w:tr>
      <w:tr>
        <w:trPr>
          <w:trHeight w:val="203"/>
        </w:trPr>
        <w:tc>
          <w:tcPr>
            <w:tcW w:w="6160" w:type="dxa"/>
            <w:vAlign w:val="bottom"/>
          </w:tcPr>
          <w:p>
            <w:pPr>
              <w:ind w:left="360"/>
              <w:spacing w:after="0"/>
              <w:rPr>
                <w:sz w:val="20"/>
                <w:szCs w:val="20"/>
                <w:color w:val="auto"/>
              </w:rPr>
            </w:pPr>
            <w:r>
              <w:rPr>
                <w:rFonts w:ascii="Arial" w:cs="Arial" w:eastAsia="Arial" w:hAnsi="Arial"/>
                <w:sz w:val="17"/>
                <w:szCs w:val="17"/>
                <w:color w:val="auto"/>
              </w:rPr>
              <w:t>Incentive fees payable to affiliate</w:t>
            </w:r>
          </w:p>
        </w:tc>
        <w:tc>
          <w:tcPr>
            <w:tcW w:w="12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7"/>
                <w:szCs w:val="17"/>
                <w:color w:val="auto"/>
              </w:rPr>
              <w:t>(181)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2,083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7"/>
                <w:szCs w:val="17"/>
                <w:color w:val="auto"/>
              </w:rPr>
              <w:t>3,706</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Payable to affiliate</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2,188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(577)</w:t>
            </w:r>
          </w:p>
        </w:tc>
        <w:tc>
          <w:tcPr>
            <w:tcW w:w="0" w:type="dxa"/>
            <w:vAlign w:val="bottom"/>
          </w:tcPr>
          <w:p>
            <w:pPr>
              <w:spacing w:after="0"/>
              <w:rPr>
                <w:sz w:val="1"/>
                <w:szCs w:val="1"/>
                <w:color w:val="auto"/>
              </w:rPr>
            </w:pPr>
          </w:p>
        </w:tc>
      </w:tr>
      <w:tr>
        <w:trPr>
          <w:trHeight w:val="203"/>
        </w:trPr>
        <w:tc>
          <w:tcPr>
            <w:tcW w:w="6160" w:type="dxa"/>
            <w:vAlign w:val="bottom"/>
          </w:tcPr>
          <w:p>
            <w:pPr>
              <w:ind w:left="360"/>
              <w:spacing w:after="0"/>
              <w:rPr>
                <w:sz w:val="20"/>
                <w:szCs w:val="20"/>
                <w:color w:val="auto"/>
              </w:rPr>
            </w:pPr>
            <w:r>
              <w:rPr>
                <w:rFonts w:ascii="Arial" w:cs="Arial" w:eastAsia="Arial" w:hAnsi="Arial"/>
                <w:sz w:val="17"/>
                <w:szCs w:val="17"/>
                <w:color w:val="auto"/>
              </w:rPr>
              <w:t>Other liabilities</w:t>
            </w:r>
          </w:p>
        </w:tc>
        <w:tc>
          <w:tcPr>
            <w:tcW w:w="120" w:type="dxa"/>
            <w:vAlign w:val="bottom"/>
          </w:tcPr>
          <w:p>
            <w:pPr>
              <w:spacing w:after="0"/>
              <w:rPr>
                <w:sz w:val="17"/>
                <w:szCs w:val="17"/>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7"/>
                <w:szCs w:val="17"/>
                <w:color w:val="auto"/>
              </w:rPr>
              <w:t>31,972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496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7"/>
                <w:szCs w:val="17"/>
                <w:color w:val="auto"/>
              </w:rPr>
              <w:t>1,324</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b w:val="1"/>
                <w:bCs w:val="1"/>
                <w:color w:val="auto"/>
              </w:rPr>
              <w:t>Net Cash Used in Operating Activities</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(148,831)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(289,631)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(430,099)</w:t>
            </w:r>
          </w:p>
        </w:tc>
        <w:tc>
          <w:tcPr>
            <w:tcW w:w="0" w:type="dxa"/>
            <w:vAlign w:val="bottom"/>
          </w:tcPr>
          <w:p>
            <w:pPr>
              <w:spacing w:after="0"/>
              <w:rPr>
                <w:sz w:val="1"/>
                <w:szCs w:val="1"/>
                <w:color w:val="auto"/>
              </w:rPr>
            </w:pPr>
          </w:p>
        </w:tc>
      </w:tr>
      <w:tr>
        <w:trPr>
          <w:trHeight w:val="206"/>
        </w:trPr>
        <w:tc>
          <w:tcPr>
            <w:tcW w:w="616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Borrowings on debt</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1,108,097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902,000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1,332,688</w:t>
            </w:r>
          </w:p>
        </w:tc>
        <w:tc>
          <w:tcPr>
            <w:tcW w:w="0" w:type="dxa"/>
            <w:vAlign w:val="bottom"/>
          </w:tcPr>
          <w:p>
            <w:pPr>
              <w:spacing w:after="0"/>
              <w:rPr>
                <w:sz w:val="1"/>
                <w:szCs w:val="1"/>
                <w:color w:val="auto"/>
              </w:rPr>
            </w:pPr>
          </w:p>
        </w:tc>
      </w:tr>
      <w:tr>
        <w:trPr>
          <w:trHeight w:val="203"/>
        </w:trPr>
        <w:tc>
          <w:tcPr>
            <w:tcW w:w="6160" w:type="dxa"/>
            <w:vAlign w:val="bottom"/>
          </w:tcPr>
          <w:p>
            <w:pPr>
              <w:spacing w:after="0"/>
              <w:rPr>
                <w:sz w:val="20"/>
                <w:szCs w:val="20"/>
                <w:color w:val="auto"/>
              </w:rPr>
            </w:pPr>
            <w:r>
              <w:rPr>
                <w:rFonts w:ascii="Arial" w:cs="Arial" w:eastAsia="Arial" w:hAnsi="Arial"/>
                <w:sz w:val="17"/>
                <w:szCs w:val="17"/>
                <w:color w:val="auto"/>
              </w:rPr>
              <w:t>Payments on debt</w:t>
            </w:r>
          </w:p>
        </w:tc>
        <w:tc>
          <w:tcPr>
            <w:tcW w:w="12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7"/>
                <w:szCs w:val="17"/>
                <w:color w:val="auto"/>
              </w:rPr>
              <w:t>(1,135,388)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7"/>
                <w:szCs w:val="17"/>
                <w:color w:val="auto"/>
              </w:rPr>
              <w:t>(801,569)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7"/>
                <w:szCs w:val="17"/>
                <w:color w:val="auto"/>
              </w:rPr>
              <w:t>(1,155,852)</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Debt issuance costs</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(6,766)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(1,615)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(5,328)</w:t>
            </w:r>
          </w:p>
        </w:tc>
        <w:tc>
          <w:tcPr>
            <w:tcW w:w="0" w:type="dxa"/>
            <w:vAlign w:val="bottom"/>
          </w:tcPr>
          <w:p>
            <w:pPr>
              <w:spacing w:after="0"/>
              <w:rPr>
                <w:sz w:val="1"/>
                <w:szCs w:val="1"/>
                <w:color w:val="auto"/>
              </w:rPr>
            </w:pPr>
          </w:p>
        </w:tc>
      </w:tr>
      <w:tr>
        <w:trPr>
          <w:trHeight w:val="203"/>
        </w:trPr>
        <w:tc>
          <w:tcPr>
            <w:tcW w:w="6160" w:type="dxa"/>
            <w:vAlign w:val="bottom"/>
          </w:tcPr>
          <w:p>
            <w:pPr>
              <w:spacing w:after="0"/>
              <w:rPr>
                <w:sz w:val="20"/>
                <w:szCs w:val="20"/>
                <w:color w:val="auto"/>
              </w:rPr>
            </w:pPr>
            <w:r>
              <w:rPr>
                <w:rFonts w:ascii="Arial" w:cs="Arial" w:eastAsia="Arial" w:hAnsi="Arial"/>
                <w:sz w:val="17"/>
                <w:szCs w:val="17"/>
                <w:color w:val="auto"/>
              </w:rPr>
              <w:t>Proceeds from issuance of common stock, net of offering and underwriting costs</w:t>
            </w:r>
          </w:p>
        </w:tc>
        <w:tc>
          <w:tcPr>
            <w:tcW w:w="120" w:type="dxa"/>
            <w:vAlign w:val="bottom"/>
          </w:tcPr>
          <w:p>
            <w:pPr>
              <w:spacing w:after="0"/>
              <w:rPr>
                <w:sz w:val="17"/>
                <w:szCs w:val="17"/>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7"/>
                <w:szCs w:val="17"/>
                <w:color w:val="auto"/>
              </w:rPr>
              <w:t>234,419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56,857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7"/>
                <w:szCs w:val="17"/>
                <w:color w:val="auto"/>
              </w:rPr>
              <w:t>287,692</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Dividends paid to stockholders</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(52,589)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(24,396)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(10,968)</w:t>
            </w:r>
          </w:p>
        </w:tc>
        <w:tc>
          <w:tcPr>
            <w:tcW w:w="0" w:type="dxa"/>
            <w:vAlign w:val="bottom"/>
          </w:tcPr>
          <w:p>
            <w:pPr>
              <w:spacing w:after="0"/>
              <w:rPr>
                <w:sz w:val="1"/>
                <w:szCs w:val="1"/>
                <w:color w:val="auto"/>
              </w:rPr>
            </w:pPr>
          </w:p>
        </w:tc>
      </w:tr>
      <w:tr>
        <w:trPr>
          <w:trHeight w:val="217"/>
        </w:trPr>
        <w:tc>
          <w:tcPr>
            <w:tcW w:w="6160" w:type="dxa"/>
            <w:vAlign w:val="bottom"/>
          </w:tcPr>
          <w:p>
            <w:pPr>
              <w:ind w:left="360"/>
              <w:spacing w:after="0"/>
              <w:rPr>
                <w:sz w:val="20"/>
                <w:szCs w:val="20"/>
                <w:color w:val="auto"/>
              </w:rPr>
            </w:pPr>
            <w:r>
              <w:rPr>
                <w:rFonts w:ascii="Arial" w:cs="Arial" w:eastAsia="Arial" w:hAnsi="Arial"/>
                <w:sz w:val="17"/>
                <w:szCs w:val="17"/>
                <w:b w:val="1"/>
                <w:bCs w:val="1"/>
                <w:color w:val="auto"/>
              </w:rPr>
              <w:t>Net Cash Provided by Financing Activities</w:t>
            </w: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147,773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131,277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448,232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b w:val="1"/>
                <w:bCs w:val="1"/>
                <w:color w:val="auto"/>
              </w:rPr>
              <w:t>Net Increase (Decrease) in Cash and Cash Equivalents</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(1,058)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(158,354)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18,133</w:t>
            </w:r>
          </w:p>
        </w:tc>
        <w:tc>
          <w:tcPr>
            <w:tcW w:w="0" w:type="dxa"/>
            <w:vAlign w:val="bottom"/>
          </w:tcPr>
          <w:p>
            <w:pPr>
              <w:spacing w:after="0"/>
              <w:rPr>
                <w:sz w:val="1"/>
                <w:szCs w:val="1"/>
                <w:color w:val="auto"/>
              </w:rPr>
            </w:pPr>
          </w:p>
        </w:tc>
      </w:tr>
      <w:tr>
        <w:trPr>
          <w:trHeight w:val="203"/>
        </w:trPr>
        <w:tc>
          <w:tcPr>
            <w:tcW w:w="6160" w:type="dxa"/>
            <w:vAlign w:val="bottom"/>
          </w:tcPr>
          <w:p>
            <w:pPr>
              <w:spacing w:after="0"/>
              <w:rPr>
                <w:sz w:val="20"/>
                <w:szCs w:val="20"/>
                <w:color w:val="auto"/>
              </w:rPr>
            </w:pPr>
            <w:r>
              <w:rPr>
                <w:rFonts w:ascii="Arial" w:cs="Arial" w:eastAsia="Arial" w:hAnsi="Arial"/>
                <w:sz w:val="17"/>
                <w:szCs w:val="17"/>
                <w:color w:val="auto"/>
              </w:rPr>
              <w:t>Cash and cash equivalents, beginning of period</w:t>
            </w:r>
          </w:p>
        </w:tc>
        <w:tc>
          <w:tcPr>
            <w:tcW w:w="120" w:type="dxa"/>
            <w:vAlign w:val="bottom"/>
          </w:tcPr>
          <w:p>
            <w:pPr>
              <w:spacing w:after="0"/>
              <w:rPr>
                <w:sz w:val="17"/>
                <w:szCs w:val="17"/>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7"/>
                <w:szCs w:val="17"/>
                <w:color w:val="auto"/>
              </w:rPr>
              <w:t>3,471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161,825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7"/>
                <w:szCs w:val="17"/>
                <w:color w:val="auto"/>
              </w:rPr>
              <w:t>143,692</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b w:val="1"/>
                <w:bCs w:val="1"/>
                <w:color w:val="auto"/>
              </w:rPr>
              <w:t>Cash and Cash Equivalents,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2,413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3,471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161,825</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7"/>
                <w:szCs w:val="17"/>
                <w:color w:val="auto"/>
              </w:rPr>
              <w:t>Supplemental Information: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Interest paid during the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11,394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8,792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3,580</w:t>
            </w:r>
          </w:p>
        </w:tc>
        <w:tc>
          <w:tcPr>
            <w:tcW w:w="0" w:type="dxa"/>
            <w:vAlign w:val="bottom"/>
          </w:tcPr>
          <w:p>
            <w:pPr>
              <w:spacing w:after="0"/>
              <w:rPr>
                <w:sz w:val="1"/>
                <w:szCs w:val="1"/>
                <w:color w:val="auto"/>
              </w:rPr>
            </w:pPr>
          </w:p>
        </w:tc>
      </w:tr>
      <w:tr>
        <w:trPr>
          <w:trHeight w:val="203"/>
        </w:trPr>
        <w:tc>
          <w:tcPr>
            <w:tcW w:w="6160" w:type="dxa"/>
            <w:vAlign w:val="bottom"/>
          </w:tcPr>
          <w:p>
            <w:pPr>
              <w:ind w:left="360"/>
              <w:spacing w:after="0"/>
              <w:rPr>
                <w:sz w:val="20"/>
                <w:szCs w:val="20"/>
                <w:color w:val="auto"/>
              </w:rPr>
            </w:pPr>
            <w:r>
              <w:rPr>
                <w:rFonts w:ascii="Arial" w:cs="Arial" w:eastAsia="Arial" w:hAnsi="Arial"/>
                <w:sz w:val="17"/>
                <w:szCs w:val="17"/>
                <w:color w:val="auto"/>
              </w:rPr>
              <w:t>Excise taxes paid during the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200"/>
              <w:spacing w:after="0"/>
              <w:rPr>
                <w:sz w:val="20"/>
                <w:szCs w:val="20"/>
                <w:color w:val="auto"/>
              </w:rPr>
            </w:pPr>
            <w:r>
              <w:rPr>
                <w:rFonts w:ascii="Arial" w:cs="Arial" w:eastAsia="Arial" w:hAnsi="Arial"/>
                <w:sz w:val="17"/>
                <w:szCs w:val="17"/>
                <w:color w:val="auto"/>
              </w:rPr>
              <w:t>199</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46</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Dividends declared during the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81,326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55,385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29,770</w:t>
            </w:r>
          </w:p>
        </w:tc>
        <w:tc>
          <w:tcPr>
            <w:tcW w:w="0" w:type="dxa"/>
            <w:vAlign w:val="bottom"/>
          </w:tcPr>
          <w:p>
            <w:pPr>
              <w:spacing w:after="0"/>
              <w:rPr>
                <w:sz w:val="1"/>
                <w:szCs w:val="1"/>
                <w:color w:val="auto"/>
              </w:rPr>
            </w:pPr>
          </w:p>
        </w:tc>
      </w:tr>
      <w:tr>
        <w:trPr>
          <w:trHeight w:val="203"/>
        </w:trPr>
        <w:tc>
          <w:tcPr>
            <w:tcW w:w="6160" w:type="dxa"/>
            <w:vAlign w:val="bottom"/>
          </w:tcPr>
          <w:p>
            <w:pPr>
              <w:ind w:left="360"/>
              <w:spacing w:after="0"/>
              <w:rPr>
                <w:sz w:val="20"/>
                <w:szCs w:val="20"/>
                <w:color w:val="auto"/>
              </w:rPr>
            </w:pPr>
            <w:r>
              <w:rPr>
                <w:rFonts w:ascii="Arial" w:cs="Arial" w:eastAsia="Arial" w:hAnsi="Arial"/>
                <w:sz w:val="17"/>
                <w:szCs w:val="17"/>
                <w:color w:val="auto"/>
              </w:rPr>
              <w:t>Reinvestment of dividends during the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200"/>
              <w:spacing w:after="0"/>
              <w:rPr>
                <w:sz w:val="20"/>
                <w:szCs w:val="20"/>
                <w:color w:val="auto"/>
              </w:rPr>
            </w:pPr>
            <w:r>
              <w:rPr>
                <w:rFonts w:ascii="Arial" w:cs="Arial" w:eastAsia="Arial" w:hAnsi="Arial"/>
                <w:sz w:val="17"/>
                <w:szCs w:val="17"/>
                <w:color w:val="auto"/>
              </w:rPr>
              <w:t>22,566</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26,438</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140"/>
              <w:spacing w:after="0"/>
              <w:rPr>
                <w:sz w:val="20"/>
                <w:szCs w:val="20"/>
                <w:color w:val="auto"/>
              </w:rPr>
            </w:pPr>
            <w:r>
              <w:rPr>
                <w:rFonts w:ascii="Arial" w:cs="Arial" w:eastAsia="Arial" w:hAnsi="Arial"/>
                <w:sz w:val="17"/>
                <w:szCs w:val="17"/>
                <w:color w:val="auto"/>
              </w:rPr>
              <w:t>9,194</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Subscription receivable from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1,870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unless otherwise indicated)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TPG Specialty Lending, Inc. (“TSL” or the “Company”) is a Delaware corporation formed on July 21, 2010. The Company was formed primarily to lend to, and selectively invest in, middle-market companies in the United States. The Company has elected to be regulated as a business development company (“BDC”) under the Investment Company Act of 1940, as amended (the “1940 Act”). In addition, for tax purposes, the Company has elected to be treated as a regulated investment company (“RIC”) under Subchapter M of the Internal Revenue Code of 1986, as amended (the “Code”). TSL is managed by TSL Advisers, LLC (the “Adviser”). On June 1, 2011, the Company formed a wholly-owned subsidiary, TC Lending, LLC, a Delaware limited liability company. On March 22, 2012, the Company formed a wholly-owned subsidiary, TPG SL SPV, LLC, a Delaware limited liability company (“TPG SL SPV”). On May 19, 2014, the Company formed a wholly-owned subsidiary, TSL MR, LLC, a Delaware limited liability company.</w:t>
      </w:r>
    </w:p>
    <w:p>
      <w:pPr>
        <w:spacing w:after="0" w:line="17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On March 21, 2014, the Company completed its initial public offering (“IPO”), issuing 7,000,000 shares at $16.00 per share, and its concurrent private placement, issuing 3,124,984 shares at $16.00 per share. Net of underwriting fees and offering costs, the Company received total cash proceeds of $151.6 million.</w:t>
      </w:r>
    </w:p>
    <w:p>
      <w:pPr>
        <w:spacing w:after="0" w:line="18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In April 2014, the Company issued a total of 1,050,000 shares of stock pursuant to the exercise of the underwriters’ over-allotment option. Net of underwriting fees and offering costs, the Company received additional total cash proceeds of $15.4 million.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March 21, 2014, the Company’s shares began trading on the New York Stock Exchange (“NYSE”) under the symbol “TSLX.”</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All intercompany balances and transactions have been eliminated in consolidation.</w:t>
      </w:r>
    </w:p>
    <w:p>
      <w:pPr>
        <w:spacing w:after="0" w:line="18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170"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 xml:space="preserve">The Company is an investment company and, therefore, applying the specialized accounting and reporting guidance in Accounting Standards Codification (“ASC”) Topic 946, </w:t>
      </w:r>
      <w:r>
        <w:rPr>
          <w:rFonts w:ascii="Arial" w:cs="Arial" w:eastAsia="Arial" w:hAnsi="Arial"/>
          <w:sz w:val="18"/>
          <w:szCs w:val="18"/>
          <w:i w:val="1"/>
          <w:iCs w:val="1"/>
          <w:color w:val="auto"/>
        </w:rPr>
        <w:t>Financial Services—Investment Companies.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fiscal year ends on December 31.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Cash and cash equivalents may consist of demand deposits and highly liquid investments (e.g., money market funds, U.S. Treasury notes, and similar type instruments) with original maturities of three months or less. Cash and cash equivalents are carried at cost, which approximates fair value. The Company deposits its cash and cash equivalents with highly-rated banking corporations and, at times, cash deposits may exceed the insured limits under applicable law.</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117"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73"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As part of the valuation process, the Board takes into account relevant factors in determining the fair value of its investments, including: the estimated enterprise value of a portfolio company (that is,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31" w:lineRule="exact"/>
        <w:rPr>
          <w:sz w:val="20"/>
          <w:szCs w:val="20"/>
          <w:color w:val="auto"/>
        </w:rPr>
      </w:pPr>
    </w:p>
    <w:p>
      <w:pPr>
        <w:ind w:left="900" w:right="20" w:hanging="325"/>
        <w:spacing w:after="0" w:line="277"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30" w:lineRule="exact"/>
        <w:rPr>
          <w:rFonts w:ascii="Arial" w:cs="Arial" w:eastAsia="Arial" w:hAnsi="Arial"/>
          <w:sz w:val="18"/>
          <w:szCs w:val="18"/>
          <w:color w:val="auto"/>
        </w:rPr>
      </w:pPr>
    </w:p>
    <w:p>
      <w:pPr>
        <w:jc w:val="both"/>
        <w:ind w:left="900" w:right="540" w:hanging="325"/>
        <w:spacing w:after="0" w:line="264"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80"/>
          </w:cols>
          <w:pgMar w:left="240" w:top="459" w:right="27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currently conducts this valuation process on a quarterly basis.</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 At December 31, 2014,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was reasonable.</w:t>
      </w:r>
    </w:p>
    <w:p>
      <w:pPr>
        <w:spacing w:after="0" w:line="18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The Company applies Financial Accounting Standards Board Accounting Standards Codification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73" w:lineRule="exact"/>
        <w:rPr>
          <w:sz w:val="20"/>
          <w:szCs w:val="20"/>
          <w:color w:val="auto"/>
        </w:rPr>
      </w:pPr>
    </w:p>
    <w:p>
      <w:pPr>
        <w:ind w:left="900" w:hanging="325"/>
        <w:spacing w:after="0"/>
        <w:tabs>
          <w:tab w:leader="none" w:pos="9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Level 1—Valuations based on quoted prices in active markets for identical assets or liabilities that the Company has the ability to access.</w:t>
      </w:r>
    </w:p>
    <w:p>
      <w:pPr>
        <w:spacing w:after="0" w:line="142" w:lineRule="exact"/>
        <w:rPr>
          <w:rFonts w:ascii="Arial" w:cs="Arial" w:eastAsia="Arial" w:hAnsi="Arial"/>
          <w:sz w:val="17"/>
          <w:szCs w:val="17"/>
          <w:color w:val="auto"/>
        </w:rPr>
      </w:pPr>
    </w:p>
    <w:p>
      <w:pPr>
        <w:ind w:left="900" w:right="360" w:hanging="325"/>
        <w:spacing w:after="0" w:line="277" w:lineRule="auto"/>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criteria in making the determination as to whether a particular investment would qualify for treatment as a Level 2 or Level 3 investment. For example, the Company reviews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79"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93"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60" w:right="2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117"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volume of derivative trading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policies.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Derivatives, including the Company’s interest rate swaps, for which broker quotes are available are typically valued at those broker quotes.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Company presents the fair value of foreign currency forward contracts and interest rate swaps executed with the same counterparty on a net basis given the Company has the legal right to offset the recognized amounts, and it intends to settle on a net basis.</w:t>
      </w:r>
    </w:p>
    <w:p>
      <w:pPr>
        <w:spacing w:after="0" w:line="170"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 Company has the legal right to offset the recognized amounts, and it intends to either settle on a net basis or realize the asset and settle the liability simultaneously.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131" w:lineRule="exact"/>
        <w:rPr>
          <w:sz w:val="20"/>
          <w:szCs w:val="20"/>
          <w:color w:val="auto"/>
        </w:rPr>
      </w:pPr>
    </w:p>
    <w:p>
      <w:pPr>
        <w:ind w:left="900" w:right="400" w:hanging="325"/>
        <w:spacing w:after="0" w:line="277"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purchases and sales of investments, borrowings and repayments of such borrowings, income and expenses: at the rates of exchange prevailing on the respective dates of such transactions.</w:t>
      </w:r>
    </w:p>
    <w:p>
      <w:pPr>
        <w:spacing w:after="0" w:line="170"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88"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 Expenses</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Company records expenses related to registration statement filings and applicable offering costs as deferred financing costs. To the extent such expenses relate to equity offerings, these expenses are charged as a reduction of capital upon each such offering.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The Company records origination and other expenses related to its debt obligations as deferred financing costs. These expenses are deferred and amortized using the effective yield method, or straight-line method for revolving credit facilities, over the stated maturity life of the obligation.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8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93"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From time to time, the Company may receive fees for services provided to portfolio companies by the Adviser. These fees are generally only available to the Company as a result of closing investments, are normally paid at the closing of the investments, are generally non-recurring and are recognized as revenue when earned upon closing of the investment. The services that the Adviser provides vary by investment, but generally include syndication, structuring or diligence fees, and fees for providing managerial assistance to our portfolio companies.</w:t>
      </w:r>
    </w:p>
    <w:p>
      <w:pPr>
        <w:spacing w:after="0" w:line="17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certain instances where the Company is invited to participate as a co-lender in a transaction and does not provide significant services in connection with the investment, all or a portion of any loan fees received by the Company in such situations will be deferred and amortized over the investment’s life using the effective yield method.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11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costs of successfully completed investments not otherwise reimbursed are borne by the Company and included as a component of the investment’s cost basis. Subsequent to closing, investments are recorded at fair value at each reporting period.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Company has elected to be treated as a BDC under the 1940 Act. The Company also has elected to be treated as a RIC under the Internal Revenue Code.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117"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Dividends to common stockholders are recorded on the record date. The amount to be paid out as a dividend is determined by the Board and is generally based upon the earnings estimated by the Adviser. Net realized long-term capital gains, if any, would be generally distributed at least annually, although the Company may decide to retain such capital gains for investment.</w:t>
      </w:r>
    </w:p>
    <w:p>
      <w:pPr>
        <w:spacing w:after="0" w:line="181" w:lineRule="exact"/>
        <w:rPr>
          <w:sz w:val="20"/>
          <w:szCs w:val="20"/>
          <w:color w:val="auto"/>
        </w:rPr>
      </w:pPr>
    </w:p>
    <w:p>
      <w:pPr>
        <w:jc w:val="both"/>
        <w:ind w:right="200" w:firstLine="456"/>
        <w:spacing w:after="0" w:line="302" w:lineRule="auto"/>
        <w:rPr>
          <w:sz w:val="20"/>
          <w:szCs w:val="20"/>
          <w:color w:val="auto"/>
        </w:rPr>
      </w:pPr>
      <w:r>
        <w:rPr>
          <w:rFonts w:ascii="Arial" w:cs="Arial" w:eastAsia="Arial" w:hAnsi="Arial"/>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implement the dividend reinvestment plan.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In August 2014, the Financial Accounting Standards Board issued Accounting Standards Update 2014–15 (“ASU 2014-15”), “</w:t>
      </w:r>
      <w:r>
        <w:rPr>
          <w:rFonts w:ascii="Arial" w:cs="Arial" w:eastAsia="Arial" w:hAnsi="Arial"/>
          <w:sz w:val="17"/>
          <w:szCs w:val="17"/>
          <w:i w:val="1"/>
          <w:iCs w:val="1"/>
          <w:color w:val="auto"/>
        </w:rPr>
        <w:t>Presentation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Statements—Going Concern (Subtopic 205 – 40): Disclosure of Uncertainties About an Entity’s Ability to Continue as a Going Concern</w:t>
      </w:r>
      <w:r>
        <w:rPr>
          <w:rFonts w:ascii="Arial" w:cs="Arial" w:eastAsia="Arial" w:hAnsi="Arial"/>
          <w:sz w:val="17"/>
          <w:szCs w:val="17"/>
          <w:color w:val="auto"/>
        </w:rPr>
        <w:t>.” ASU</w:t>
      </w:r>
      <w:r>
        <w:rPr>
          <w:rFonts w:ascii="Arial" w:cs="Arial" w:eastAsia="Arial" w:hAnsi="Arial"/>
          <w:sz w:val="17"/>
          <w:szCs w:val="17"/>
          <w:i w:val="1"/>
          <w:iCs w:val="1"/>
          <w:color w:val="auto"/>
        </w:rPr>
        <w:t xml:space="preserve"> </w:t>
      </w:r>
      <w:r>
        <w:rPr>
          <w:rFonts w:ascii="Arial" w:cs="Arial" w:eastAsia="Arial" w:hAnsi="Arial"/>
          <w:sz w:val="17"/>
          <w:szCs w:val="17"/>
          <w:color w:val="auto"/>
        </w:rPr>
        <w:t>2014-15 requires management to evaluate whether there are conditions or events that raise substantial doubt about the entity’s ability to continue as a going concern, and to provide certain disclosures when it is probable that the entity will be unable to meet its obligations as they become due within one year after the date that the financial statements are issued. Since this guidance is primarily around certain disclosures to the financial statements, the Company anticipates no impact on our financial position, results of operations or cash flows from adopting this standard. The Company is currently assessing the additional disclosure requirements, if any, of ASU 2014-15. ASU 2014-15 is effective for the annual period ending after December 31, 2016 and for annual periods and interim periods thereafter, with early adoption permitted.</w:t>
      </w:r>
    </w:p>
    <w:p>
      <w:pPr>
        <w:spacing w:after="0" w:line="17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In May 2014, the Financial Accounting Standards Board issued Accounting Standards Update 2014-09 (“ASU 2014-09”),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with Customers (Topic 606).” </w:t>
      </w:r>
      <w:r>
        <w:rPr>
          <w:rFonts w:ascii="Arial" w:cs="Arial" w:eastAsia="Arial" w:hAnsi="Arial"/>
          <w:sz w:val="18"/>
          <w:szCs w:val="18"/>
          <w:color w:val="auto"/>
        </w:rPr>
        <w:t>The guidance in this ASU supersedes the revenue recognition requirements in Topic 605, Revenue Recognition. Under the new</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an entity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60"/>
          </w:cols>
          <w:pgMar w:left="240" w:top="460" w:right="29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should recognize revenue to depict the transfer of promised goods or services to customers in an amount that reflects the consideration to which the entity expects to be entitled in exchange for those goods or services. The amendments in ASU 2014-09 are effective for annual reporting periods beginning after December 15, 2016, including interim periods within that reporting period. Early application is not permitted. The Company is currently evaluating the impact of adopting this ASU on its consolidated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Agreement</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expenses incurred by any such affiliates or third parties for work done on its behalf.</w:t>
      </w:r>
    </w:p>
    <w:p>
      <w:pPr>
        <w:spacing w:after="0" w:line="17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For the years ended December 31, 2014, 2013 and 2012, the Company incurred expenses of $2.7 million, $1.4 million and $1.0 million, respectively, for administrative services payable to the Adviser under the terms of the Administration Agreement.</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On November 3, 2014, the Board renewed the Administration Agreement. Unless earlier terminated as described below, the Administration Agreement will remain in effect until November 3, 2015, and may be extended subject to required approvals. The Administration Agreement may be terminated by either party without penalty on 60 days’ written notice to the other party.</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will provide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81" w:lineRule="exact"/>
        <w:rPr>
          <w:sz w:val="20"/>
          <w:szCs w:val="20"/>
          <w:color w:val="auto"/>
        </w:rPr>
      </w:pPr>
    </w:p>
    <w:p>
      <w:pPr>
        <w:jc w:val="center"/>
        <w:ind w:right="300"/>
        <w:spacing w:after="0" w:line="449" w:lineRule="auto"/>
        <w:rPr>
          <w:sz w:val="20"/>
          <w:szCs w:val="20"/>
          <w:color w:val="auto"/>
        </w:rPr>
      </w:pPr>
      <w:r>
        <w:rPr>
          <w:rFonts w:ascii="Arial" w:cs="Arial" w:eastAsia="Arial" w:hAnsi="Arial"/>
          <w:sz w:val="18"/>
          <w:szCs w:val="18"/>
          <w:color w:val="auto"/>
        </w:rPr>
        <w:t>For the years ended December 31, 2014, 2013 and 2012, Management Fees were $18.3 million, $13.4 million, and $8.9 million, respectively. F-20</w:t>
      </w:r>
    </w:p>
    <w:p>
      <w:pPr>
        <w:sectPr>
          <w:pgSz w:w="11900" w:h="16838" w:orient="portrait"/>
          <w:cols w:equalWidth="0" w:num="1">
            <w:col w:w="11400"/>
          </w:cols>
          <w:pgMar w:left="240" w:top="459" w:right="2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Until the IPO, the Adviser had waived its right to receive the Management Fee in excess of the sum of (i) 0.25% of aggregate committed but undrawn capital; and, (ii) 0.75% of aggregate drawn capital (including capital drawn to pay Company expenses) as determined as of the end of any calendar quarter.</w:t>
      </w:r>
    </w:p>
    <w:p>
      <w:pPr>
        <w:spacing w:after="0" w:line="124"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For the years ended December 31, 2014, 2013, and 2012, Management Fees of $2.5 million, $7.1 million, and $3.7 million, respectively, were waived. Any waived Management Fees were not subject to recoupment by the Adviser. Following the IPO, the Adviser has not waived its right to receive the full Management Fee and accordingly, the Company will be required to continue to pay the full amount of the Management Fee.</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131" w:lineRule="exact"/>
        <w:rPr>
          <w:sz w:val="20"/>
          <w:szCs w:val="20"/>
          <w:color w:val="auto"/>
        </w:rPr>
      </w:pPr>
    </w:p>
    <w:p>
      <w:pPr>
        <w:ind w:left="900" w:right="80" w:hanging="446"/>
        <w:spacing w:after="0" w:line="254"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first component, payable at the end of each quarter in arrears through March 31, 2014, equals 100% of the pre-Incentive Fee net investment income in excess of a 1.5% quarterly “hurdle rate” the calculation of which is further explained below, until the Adviser has received 15% of the total pre-Incentive Fee net investment income for that quarter and, for pre-Incentive Fee net investment income in excess of 1.76% quarterly, 15% of all remaining pre-Incentive Fee net investment income for that quarter . The 100% “catch-up” provision for pre-Incentive Fee net investment income in excess of the 1.5% “hurdle rate” is intended to provide the Adviser with an incentive fee of 15% on all pre-Incentive Fee net investment income when that amount equals 1.76% in a quarter (7.04% annualized), which is the rate at which catch-up was achieved. Once the “hurdle rate” is reached and catch-up is achieved, 15% of any pre-Incentive Fee net investment income in excess of 1.76% in any quarter is payable to the Adviser.</w:t>
      </w:r>
    </w:p>
    <w:p>
      <w:pPr>
        <w:spacing w:after="0" w:line="97" w:lineRule="exact"/>
        <w:rPr>
          <w:rFonts w:ascii="Arial" w:cs="Arial" w:eastAsia="Arial" w:hAnsi="Arial"/>
          <w:sz w:val="18"/>
          <w:szCs w:val="18"/>
          <w:color w:val="auto"/>
        </w:rPr>
      </w:pPr>
    </w:p>
    <w:p>
      <w:pPr>
        <w:ind w:left="900" w:right="20"/>
        <w:spacing w:after="0" w:line="254" w:lineRule="auto"/>
        <w:rPr>
          <w:rFonts w:ascii="Arial" w:cs="Arial" w:eastAsia="Arial" w:hAnsi="Arial"/>
          <w:sz w:val="18"/>
          <w:szCs w:val="18"/>
          <w:color w:val="auto"/>
        </w:rPr>
      </w:pPr>
      <w:r>
        <w:rPr>
          <w:rFonts w:ascii="Arial" w:cs="Arial" w:eastAsia="Arial" w:hAnsi="Arial"/>
          <w:sz w:val="18"/>
          <w:szCs w:val="18"/>
          <w:color w:val="auto"/>
        </w:rPr>
        <w:t>The first component, payable at the end of each quarter in arrears beginning April 1, 2014,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97" w:lineRule="exact"/>
        <w:rPr>
          <w:rFonts w:ascii="Arial" w:cs="Arial" w:eastAsia="Arial" w:hAnsi="Arial"/>
          <w:sz w:val="18"/>
          <w:szCs w:val="18"/>
          <w:color w:val="auto"/>
        </w:rPr>
      </w:pPr>
    </w:p>
    <w:p>
      <w:pPr>
        <w:ind w:left="900"/>
        <w:spacing w:after="0" w:line="255" w:lineRule="auto"/>
        <w:rPr>
          <w:rFonts w:ascii="Arial" w:cs="Arial" w:eastAsia="Arial" w:hAnsi="Arial"/>
          <w:sz w:val="18"/>
          <w:szCs w:val="18"/>
          <w:color w:val="auto"/>
        </w:rPr>
      </w:pPr>
      <w:r>
        <w:rPr>
          <w:rFonts w:ascii="Arial" w:cs="Arial" w:eastAsia="Arial" w:hAnsi="Arial"/>
          <w:sz w:val="18"/>
          <w:szCs w:val="18"/>
          <w:color w:val="auto"/>
        </w:rPr>
        <w:t>Pre-Incentive Fee net investment income means dividends (including reinvested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appreciation or depreciation.</w:t>
      </w:r>
    </w:p>
    <w:p>
      <w:pPr>
        <w:spacing w:after="0" w:line="94" w:lineRule="exact"/>
        <w:rPr>
          <w:rFonts w:ascii="Arial" w:cs="Arial" w:eastAsia="Arial" w:hAnsi="Arial"/>
          <w:sz w:val="18"/>
          <w:szCs w:val="18"/>
          <w:color w:val="auto"/>
        </w:rPr>
      </w:pPr>
    </w:p>
    <w:p>
      <w:pPr>
        <w:ind w:left="900" w:hanging="446"/>
        <w:spacing w:after="0" w:line="273" w:lineRule="auto"/>
        <w:tabs>
          <w:tab w:leader="none" w:pos="9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second component, payable at the end of each fiscal year in arrears, equaled 15% through March 31, 2014, and beginning April 1, 2014, now equals a weighted percentage of cumulative realized capital gains from the Company’s inception to the end of that fiscal year, less cumulative realized capital losses and unrealized capital depreciation.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appreciation because a capital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60" w:right="2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0"/>
        <w:spacing w:after="0" w:line="259" w:lineRule="auto"/>
        <w:rPr>
          <w:sz w:val="20"/>
          <w:szCs w:val="20"/>
          <w:color w:val="auto"/>
        </w:rPr>
      </w:pPr>
      <w:r>
        <w:rPr>
          <w:rFonts w:ascii="Arial" w:cs="Arial" w:eastAsia="Arial" w:hAnsi="Arial"/>
          <w:sz w:val="18"/>
          <w:szCs w:val="18"/>
          <w:color w:val="auto"/>
        </w:rPr>
        <w:t>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w:t>
      </w:r>
    </w:p>
    <w:p>
      <w:pPr>
        <w:spacing w:after="0" w:line="187"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w:t>
      </w:r>
    </w:p>
    <w:p>
      <w:pPr>
        <w:spacing w:after="0" w:line="29" w:lineRule="exact"/>
        <w:rPr>
          <w:sz w:val="20"/>
          <w:szCs w:val="20"/>
          <w:color w:val="auto"/>
        </w:rPr>
      </w:pPr>
    </w:p>
    <w:p>
      <w:pPr>
        <w:ind w:left="900" w:hanging="325"/>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net assets as of the end of the calendar quarter immediately preceding the day; plus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aggregate amount of capital drawn from investors (or reinvested pursuant to the dividend reinvestment plan) from the beginning of the current quarter to the day; minus</w:t>
      </w:r>
    </w:p>
    <w:p>
      <w:pPr>
        <w:spacing w:after="0" w:line="75" w:lineRule="exact"/>
        <w:rPr>
          <w:rFonts w:ascii="Arial" w:cs="Arial" w:eastAsia="Arial" w:hAnsi="Arial"/>
          <w:sz w:val="18"/>
          <w:szCs w:val="18"/>
          <w:color w:val="auto"/>
        </w:rPr>
      </w:pPr>
    </w:p>
    <w:p>
      <w:pPr>
        <w:ind w:left="900" w:right="240" w:hanging="325"/>
        <w:spacing w:after="0" w:line="308" w:lineRule="auto"/>
        <w:tabs>
          <w:tab w:leader="none" w:pos="9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aggregate amount of distributions (including share repurchases) made by the Company from the beginning of the current quarter to the day (but only to the extent the distributions were not declared and accounted for on our books and records in a previous quarter).</w:t>
      </w:r>
    </w:p>
    <w:p>
      <w:pPr>
        <w:spacing w:after="0" w:line="147" w:lineRule="exact"/>
        <w:rPr>
          <w:sz w:val="20"/>
          <w:szCs w:val="20"/>
          <w:color w:val="auto"/>
        </w:rPr>
      </w:pPr>
    </w:p>
    <w:p>
      <w:pPr>
        <w:ind w:right="600" w:firstLine="456"/>
        <w:spacing w:after="0" w:line="342" w:lineRule="auto"/>
        <w:rPr>
          <w:sz w:val="20"/>
          <w:szCs w:val="20"/>
          <w:color w:val="auto"/>
        </w:rPr>
      </w:pPr>
      <w:r>
        <w:rPr>
          <w:rFonts w:ascii="Arial" w:cs="Arial" w:eastAsia="Arial" w:hAnsi="Arial"/>
          <w:sz w:val="16"/>
          <w:szCs w:val="16"/>
          <w:color w:val="auto"/>
        </w:rPr>
        <w:t>Following the IPO, 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24"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Company accrues the Incentive Fee taking into account unrealized gains and losses; however, Section 205(b)(3) of the Investment Advisers Act of 1940, as amended, prohibits the Adviser from receiving the payment of fees until those gains are realized, if ever. There can be no assurance that such unrealized gains will be realized in the future.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2014, Incentive Fees were $17.8 million, comprised of fees related to pre-incentive fee net investment income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$20.8 million offset by ($2.9) million of incentive fees related to capital gains and losses attributable to unrealized losses on investments and realized losses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foreign exchange transactions. For the year ended December 31, 2013, Incentive Fees were $11.8 million, comprised of fees related to pre-incentive fee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investment income of $10.4 million and $1.4 million of incentive fees related to capital gains and losses. For the year ended December 31, 2012, Incentive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Fees were $7.0 million, comprised of fees related to pre-incentive fee net investment income of $5.3 million and $1.7 million of incentive fees related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capital gains and losses.</w:t>
      </w:r>
    </w:p>
    <w:p>
      <w:pPr>
        <w:spacing w:after="0" w:line="211"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On November 3, 2014, the Board renewed the Investment Advisory Agreement. Unless earlier terminated as described above, the Investment Advisory Agreement will remain in effect until November 3, 2015, and may be extended subject to required approvals. The Investment Advisory Agreement will automatically terminate in the event of an assignment and may be terminated by either party without penalty upon 60 days’ written notice to the other party.</w:t>
      </w:r>
    </w:p>
    <w:p>
      <w:pPr>
        <w:spacing w:after="0" w:line="14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18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2014, the Adviser entered into a purchase agreement (the “Adviser 10b5-1 Plan”), in accordance with Rules 10b5-1 and 10b-18 under the Securities Exchange Act of 1934, as amended (the “Exchange Act”), under which an agent for the Adviser would buy up to $25 million in the aggregate of the Company’s common stock, subject to certain conditions. The Adviser 10b5-1 Plan expired in accordance with its terms on December 31, 2014. During the year ended December 31, 2014, 300 shares were purchased under the Adviser 10b5-1 Plan. These 300 shares were purchased prior to the approval and implementation of the Company 10b5-1 Plan.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affiliated investments.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at fair value consisted of the following at December 31, 2014 and 2013:</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December 31, 2014</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6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4"/>
              </w:rPr>
              <w:t>Amortized Cost</w:t>
            </w:r>
            <w:r>
              <w:rPr>
                <w:rFonts w:ascii="Arial" w:cs="Arial" w:eastAsia="Arial" w:hAnsi="Arial"/>
                <w:sz w:val="12"/>
                <w:szCs w:val="12"/>
                <w:b w:val="1"/>
                <w:bCs w:val="1"/>
                <w:color w:val="auto"/>
                <w:w w:val="94"/>
              </w:rPr>
              <w:t>(1)</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0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1,127,215</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1,124,246</w:t>
            </w: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111,121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111,408</w:t>
            </w: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13,414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12,964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21,502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14,893</w:t>
            </w: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(6,609)</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16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1,273,252</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1,263,511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(9,741)</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December 31, 2013</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4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6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4"/>
              </w:rPr>
              <w:t>Amortized Cost</w:t>
            </w:r>
            <w:r>
              <w:rPr>
                <w:rFonts w:ascii="Arial" w:cs="Arial" w:eastAsia="Arial" w:hAnsi="Arial"/>
                <w:sz w:val="12"/>
                <w:szCs w:val="12"/>
                <w:b w:val="1"/>
                <w:bCs w:val="1"/>
                <w:color w:val="auto"/>
                <w:w w:val="94"/>
              </w:rPr>
              <w:t>(1)</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0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863,436</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877,164</w:t>
            </w: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131,082</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137,482</w:t>
            </w: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6,400</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2,780</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1,805</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16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997,298</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1,016,451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19,153</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40" w:hanging="452"/>
        <w:spacing w:after="0" w:line="277" w:lineRule="auto"/>
        <w:tabs>
          <w:tab w:leader="none" w:pos="4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00"/>
          </w:cols>
          <w:pgMar w:left="240" w:top="460" w:right="3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industry composition of Investments at fair value at December 31, 2014 and 2013 is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310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December 31, 2014</w:t>
            </w:r>
          </w:p>
        </w:tc>
        <w:tc>
          <w:tcPr>
            <w:tcW w:w="1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20"/>
        </w:trPr>
        <w:tc>
          <w:tcPr>
            <w:tcW w:w="3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24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70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Automotive</w:t>
            </w:r>
          </w:p>
        </w:tc>
        <w:tc>
          <w:tcPr>
            <w:tcW w:w="3100" w:type="dxa"/>
            <w:vAlign w:val="bottom"/>
            <w:gridSpan w:val="3"/>
          </w:tcPr>
          <w:p>
            <w:pPr>
              <w:jc w:val="right"/>
              <w:ind w:right="560"/>
              <w:spacing w:after="0"/>
              <w:rPr>
                <w:sz w:val="20"/>
                <w:szCs w:val="20"/>
                <w:color w:val="auto"/>
              </w:rPr>
            </w:pPr>
            <w:r>
              <w:rPr>
                <w:rFonts w:ascii="Arial" w:cs="Arial" w:eastAsia="Arial" w:hAnsi="Arial"/>
                <w:sz w:val="18"/>
                <w:szCs w:val="18"/>
                <w:color w:val="auto"/>
              </w:rPr>
              <w:t>2.7%</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3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6.8%</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Business services</w:t>
            </w:r>
          </w:p>
        </w:tc>
        <w:tc>
          <w:tcPr>
            <w:tcW w:w="3100" w:type="dxa"/>
            <w:vAlign w:val="bottom"/>
            <w:gridSpan w:val="3"/>
          </w:tcPr>
          <w:p>
            <w:pPr>
              <w:jc w:val="right"/>
              <w:ind w:right="560"/>
              <w:spacing w:after="0"/>
              <w:rPr>
                <w:sz w:val="20"/>
                <w:szCs w:val="20"/>
                <w:color w:val="auto"/>
              </w:rPr>
            </w:pPr>
            <w:r>
              <w:rPr>
                <w:rFonts w:ascii="Arial" w:cs="Arial" w:eastAsia="Arial" w:hAnsi="Arial"/>
                <w:sz w:val="18"/>
                <w:szCs w:val="18"/>
                <w:color w:val="auto"/>
              </w:rPr>
              <w:t>10.0%</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3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1.4%</w:t>
            </w:r>
          </w:p>
        </w:tc>
        <w:tc>
          <w:tcPr>
            <w:tcW w:w="5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Construction and building</w:t>
            </w:r>
          </w:p>
        </w:tc>
        <w:tc>
          <w:tcPr>
            <w:tcW w:w="1240" w:type="dxa"/>
            <w:vAlign w:val="bottom"/>
          </w:tcPr>
          <w:p>
            <w:pPr>
              <w:spacing w:after="0"/>
              <w:rPr>
                <w:sz w:val="18"/>
                <w:szCs w:val="18"/>
                <w:color w:val="auto"/>
              </w:rPr>
            </w:pPr>
          </w:p>
        </w:tc>
        <w:tc>
          <w:tcPr>
            <w:tcW w:w="18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Containers and packaging</w:t>
            </w:r>
          </w:p>
        </w:tc>
        <w:tc>
          <w:tcPr>
            <w:tcW w:w="3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3.2%</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Education</w:t>
            </w:r>
          </w:p>
        </w:tc>
        <w:tc>
          <w:tcPr>
            <w:tcW w:w="3100" w:type="dxa"/>
            <w:vAlign w:val="bottom"/>
            <w:gridSpan w:val="3"/>
          </w:tcPr>
          <w:p>
            <w:pPr>
              <w:jc w:val="right"/>
              <w:ind w:right="560"/>
              <w:spacing w:after="0"/>
              <w:rPr>
                <w:sz w:val="20"/>
                <w:szCs w:val="20"/>
                <w:color w:val="auto"/>
              </w:rPr>
            </w:pPr>
            <w:r>
              <w:rPr>
                <w:rFonts w:ascii="Arial" w:cs="Arial" w:eastAsia="Arial" w:hAnsi="Arial"/>
                <w:sz w:val="18"/>
                <w:szCs w:val="18"/>
                <w:color w:val="auto"/>
              </w:rPr>
              <w:t>2.2%</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Electronics</w:t>
            </w:r>
          </w:p>
        </w:tc>
        <w:tc>
          <w:tcPr>
            <w:tcW w:w="3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6.2%</w:t>
            </w:r>
          </w:p>
        </w:tc>
        <w:tc>
          <w:tcPr>
            <w:tcW w:w="5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Financial services</w:t>
            </w:r>
          </w:p>
        </w:tc>
        <w:tc>
          <w:tcPr>
            <w:tcW w:w="3100" w:type="dxa"/>
            <w:vAlign w:val="bottom"/>
            <w:gridSpan w:val="3"/>
          </w:tcPr>
          <w:p>
            <w:pPr>
              <w:jc w:val="right"/>
              <w:ind w:right="560"/>
              <w:spacing w:after="0"/>
              <w:rPr>
                <w:sz w:val="20"/>
                <w:szCs w:val="20"/>
                <w:color w:val="auto"/>
              </w:rPr>
            </w:pPr>
            <w:r>
              <w:rPr>
                <w:rFonts w:ascii="Arial" w:cs="Arial" w:eastAsia="Arial" w:hAnsi="Arial"/>
                <w:sz w:val="18"/>
                <w:szCs w:val="18"/>
                <w:color w:val="auto"/>
              </w:rPr>
              <w:t>8.4%</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3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17.3%</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Hotel, gaming, and leisure</w:t>
            </w:r>
          </w:p>
        </w:tc>
        <w:tc>
          <w:tcPr>
            <w:tcW w:w="3100" w:type="dxa"/>
            <w:vAlign w:val="bottom"/>
            <w:gridSpan w:val="3"/>
          </w:tcPr>
          <w:p>
            <w:pPr>
              <w:jc w:val="right"/>
              <w:ind w:right="560"/>
              <w:spacing w:after="0"/>
              <w:rPr>
                <w:sz w:val="20"/>
                <w:szCs w:val="20"/>
                <w:color w:val="auto"/>
              </w:rPr>
            </w:pPr>
            <w:r>
              <w:rPr>
                <w:rFonts w:ascii="Arial" w:cs="Arial" w:eastAsia="Arial" w:hAnsi="Arial"/>
                <w:sz w:val="18"/>
                <w:szCs w:val="18"/>
                <w:color w:val="auto"/>
              </w:rPr>
              <w:t>5.9%</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Human resource support services</w:t>
            </w:r>
          </w:p>
        </w:tc>
        <w:tc>
          <w:tcPr>
            <w:tcW w:w="12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Insurance</w:t>
            </w:r>
          </w:p>
        </w:tc>
        <w:tc>
          <w:tcPr>
            <w:tcW w:w="3100" w:type="dxa"/>
            <w:vAlign w:val="bottom"/>
            <w:gridSpan w:val="3"/>
          </w:tcPr>
          <w:p>
            <w:pPr>
              <w:jc w:val="right"/>
              <w:ind w:right="560"/>
              <w:spacing w:after="0"/>
              <w:rPr>
                <w:sz w:val="20"/>
                <w:szCs w:val="20"/>
                <w:color w:val="auto"/>
              </w:rPr>
            </w:pPr>
            <w:r>
              <w:rPr>
                <w:rFonts w:ascii="Arial" w:cs="Arial" w:eastAsia="Arial" w:hAnsi="Arial"/>
                <w:sz w:val="18"/>
                <w:szCs w:val="18"/>
                <w:color w:val="auto"/>
              </w:rPr>
              <w:t>8.0%</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Internet services</w:t>
            </w:r>
          </w:p>
        </w:tc>
        <w:tc>
          <w:tcPr>
            <w:tcW w:w="3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3.2%</w:t>
            </w:r>
          </w:p>
        </w:tc>
        <w:tc>
          <w:tcPr>
            <w:tcW w:w="5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Manufacturing</w:t>
            </w:r>
          </w:p>
        </w:tc>
        <w:tc>
          <w:tcPr>
            <w:tcW w:w="3100" w:type="dxa"/>
            <w:vAlign w:val="bottom"/>
            <w:gridSpan w:val="3"/>
          </w:tcPr>
          <w:p>
            <w:pPr>
              <w:jc w:val="right"/>
              <w:ind w:right="560"/>
              <w:spacing w:after="0"/>
              <w:rPr>
                <w:sz w:val="20"/>
                <w:szCs w:val="20"/>
                <w:color w:val="auto"/>
              </w:rPr>
            </w:pPr>
            <w:r>
              <w:rPr>
                <w:rFonts w:ascii="Arial" w:cs="Arial" w:eastAsia="Arial" w:hAnsi="Arial"/>
                <w:sz w:val="18"/>
                <w:szCs w:val="18"/>
                <w:color w:val="auto"/>
              </w:rPr>
              <w:t>3.5%</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Metals and mining</w:t>
            </w:r>
          </w:p>
        </w:tc>
        <w:tc>
          <w:tcPr>
            <w:tcW w:w="3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1.7%</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Office products</w:t>
            </w:r>
          </w:p>
        </w:tc>
        <w:tc>
          <w:tcPr>
            <w:tcW w:w="3100" w:type="dxa"/>
            <w:vAlign w:val="bottom"/>
            <w:gridSpan w:val="3"/>
          </w:tcPr>
          <w:p>
            <w:pPr>
              <w:jc w:val="right"/>
              <w:ind w:right="560"/>
              <w:spacing w:after="0"/>
              <w:rPr>
                <w:sz w:val="20"/>
                <w:szCs w:val="20"/>
                <w:color w:val="auto"/>
              </w:rPr>
            </w:pPr>
            <w:r>
              <w:rPr>
                <w:rFonts w:ascii="Arial" w:cs="Arial" w:eastAsia="Arial" w:hAnsi="Arial"/>
                <w:sz w:val="18"/>
                <w:szCs w:val="18"/>
                <w:color w:val="auto"/>
              </w:rPr>
              <w:t>2.8%</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Oil, gas and consumable fuels</w:t>
            </w:r>
          </w:p>
        </w:tc>
        <w:tc>
          <w:tcPr>
            <w:tcW w:w="3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8.2%</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Other</w:t>
            </w:r>
          </w:p>
        </w:tc>
        <w:tc>
          <w:tcPr>
            <w:tcW w:w="3100" w:type="dxa"/>
            <w:vAlign w:val="bottom"/>
            <w:gridSpan w:val="3"/>
          </w:tcPr>
          <w:p>
            <w:pPr>
              <w:jc w:val="right"/>
              <w:ind w:right="560"/>
              <w:spacing w:after="0"/>
              <w:rPr>
                <w:sz w:val="20"/>
                <w:szCs w:val="20"/>
                <w:color w:val="auto"/>
              </w:rPr>
            </w:pPr>
            <w:r>
              <w:rPr>
                <w:rFonts w:ascii="Arial" w:cs="Arial" w:eastAsia="Arial" w:hAnsi="Arial"/>
                <w:sz w:val="18"/>
                <w:szCs w:val="18"/>
                <w:color w:val="auto"/>
              </w:rPr>
              <w:t>0.4%</w:t>
            </w:r>
          </w:p>
        </w:tc>
        <w:tc>
          <w:tcPr>
            <w:tcW w:w="5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3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3.3%</w:t>
            </w:r>
          </w:p>
        </w:tc>
        <w:tc>
          <w:tcPr>
            <w:tcW w:w="5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Transportation</w:t>
            </w:r>
          </w:p>
        </w:tc>
        <w:tc>
          <w:tcPr>
            <w:tcW w:w="1240" w:type="dxa"/>
            <w:vAlign w:val="bottom"/>
          </w:tcPr>
          <w:p>
            <w:pPr>
              <w:spacing w:after="0"/>
              <w:rPr>
                <w:sz w:val="18"/>
                <w:szCs w:val="18"/>
                <w:color w:val="auto"/>
              </w:rPr>
            </w:pPr>
          </w:p>
        </w:tc>
        <w:tc>
          <w:tcPr>
            <w:tcW w:w="1860" w:type="dxa"/>
            <w:vAlign w:val="bottom"/>
            <w:gridSpan w:val="2"/>
          </w:tcPr>
          <w:p>
            <w:pPr>
              <w:jc w:val="right"/>
              <w:ind w:right="560"/>
              <w:spacing w:after="0"/>
              <w:rPr>
                <w:sz w:val="20"/>
                <w:szCs w:val="20"/>
                <w:color w:val="auto"/>
              </w:rPr>
            </w:pPr>
            <w:r>
              <w:rPr>
                <w:rFonts w:ascii="Arial" w:cs="Arial" w:eastAsia="Arial" w:hAnsi="Arial"/>
                <w:sz w:val="18"/>
                <w:szCs w:val="18"/>
                <w:color w:val="auto"/>
              </w:rPr>
              <w:t>4.8%</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2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100.0%</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composition of Investments at fair value at December 31, 2014 and 2013 is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37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December 31, 2014</w:t>
            </w:r>
          </w:p>
        </w:tc>
        <w:tc>
          <w:tcPr>
            <w:tcW w:w="1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96"/>
        </w:trPr>
        <w:tc>
          <w:tcPr>
            <w:tcW w:w="2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9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360"/>
              <w:spacing w:after="0"/>
              <w:rPr>
                <w:sz w:val="20"/>
                <w:szCs w:val="20"/>
                <w:color w:val="auto"/>
              </w:rPr>
            </w:pPr>
            <w:r>
              <w:rPr>
                <w:rFonts w:ascii="Arial" w:cs="Arial" w:eastAsia="Arial" w:hAnsi="Arial"/>
                <w:sz w:val="18"/>
                <w:szCs w:val="18"/>
                <w:color w:val="auto"/>
              </w:rPr>
              <w:t>Midwest</w:t>
            </w:r>
          </w:p>
        </w:tc>
        <w:tc>
          <w:tcPr>
            <w:tcW w:w="3780" w:type="dxa"/>
            <w:vAlign w:val="bottom"/>
            <w:gridSpan w:val="3"/>
          </w:tcPr>
          <w:p>
            <w:pPr>
              <w:jc w:val="right"/>
              <w:ind w:right="560"/>
              <w:spacing w:after="0"/>
              <w:rPr>
                <w:sz w:val="20"/>
                <w:szCs w:val="20"/>
                <w:color w:val="auto"/>
              </w:rPr>
            </w:pPr>
            <w:r>
              <w:rPr>
                <w:rFonts w:ascii="Arial" w:cs="Arial" w:eastAsia="Arial" w:hAnsi="Arial"/>
                <w:sz w:val="18"/>
                <w:szCs w:val="18"/>
                <w:color w:val="auto"/>
              </w:rPr>
              <w:t>13.1%</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Northeast</w:t>
            </w:r>
          </w:p>
        </w:tc>
        <w:tc>
          <w:tcPr>
            <w:tcW w:w="37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27.1%</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960" w:type="dxa"/>
            <w:vAlign w:val="bottom"/>
          </w:tcPr>
          <w:p>
            <w:pPr>
              <w:ind w:left="360"/>
              <w:spacing w:after="0"/>
              <w:rPr>
                <w:sz w:val="20"/>
                <w:szCs w:val="20"/>
                <w:color w:val="auto"/>
              </w:rPr>
            </w:pPr>
            <w:r>
              <w:rPr>
                <w:rFonts w:ascii="Arial" w:cs="Arial" w:eastAsia="Arial" w:hAnsi="Arial"/>
                <w:sz w:val="18"/>
                <w:szCs w:val="18"/>
                <w:color w:val="auto"/>
              </w:rPr>
              <w:t>South</w:t>
            </w:r>
          </w:p>
        </w:tc>
        <w:tc>
          <w:tcPr>
            <w:tcW w:w="3780" w:type="dxa"/>
            <w:vAlign w:val="bottom"/>
            <w:gridSpan w:val="3"/>
          </w:tcPr>
          <w:p>
            <w:pPr>
              <w:jc w:val="right"/>
              <w:ind w:right="560"/>
              <w:spacing w:after="0"/>
              <w:rPr>
                <w:sz w:val="20"/>
                <w:szCs w:val="20"/>
                <w:color w:val="auto"/>
              </w:rPr>
            </w:pPr>
            <w:r>
              <w:rPr>
                <w:rFonts w:ascii="Arial" w:cs="Arial" w:eastAsia="Arial" w:hAnsi="Arial"/>
                <w:sz w:val="18"/>
                <w:szCs w:val="18"/>
                <w:color w:val="auto"/>
              </w:rPr>
              <w:t>23.6%</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West</w:t>
            </w:r>
          </w:p>
        </w:tc>
        <w:tc>
          <w:tcPr>
            <w:tcW w:w="37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23.6%</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Canada</w:t>
            </w:r>
          </w:p>
        </w:tc>
        <w:tc>
          <w:tcPr>
            <w:tcW w:w="3780" w:type="dxa"/>
            <w:vAlign w:val="bottom"/>
            <w:gridSpan w:val="3"/>
          </w:tcPr>
          <w:p>
            <w:pPr>
              <w:jc w:val="right"/>
              <w:ind w:right="560"/>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9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11.3%</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29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w:t>
            </w:r>
          </w:p>
        </w:tc>
        <w:tc>
          <w:tcPr>
            <w:tcW w:w="190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60" w:type="dxa"/>
            <w:vAlign w:val="bottom"/>
            <w:vMerge w:val="continue"/>
          </w:tcPr>
          <w:p>
            <w:pPr>
              <w:spacing w:after="0"/>
              <w:rPr>
                <w:sz w:val="19"/>
                <w:szCs w:val="19"/>
                <w:color w:val="auto"/>
              </w:rPr>
            </w:pPr>
          </w:p>
        </w:tc>
        <w:tc>
          <w:tcPr>
            <w:tcW w:w="1900" w:type="dxa"/>
            <w:vAlign w:val="bottom"/>
            <w:vMerge w:val="continue"/>
          </w:tcPr>
          <w:p>
            <w:pPr>
              <w:spacing w:after="0"/>
              <w:rPr>
                <w:sz w:val="19"/>
                <w:szCs w:val="19"/>
                <w:color w:val="auto"/>
              </w:rPr>
            </w:pPr>
          </w:p>
        </w:tc>
        <w:tc>
          <w:tcPr>
            <w:tcW w:w="1880" w:type="dxa"/>
            <w:vAlign w:val="bottom"/>
            <w:gridSpan w:val="2"/>
          </w:tcPr>
          <w:p>
            <w:pPr>
              <w:jc w:val="right"/>
              <w:ind w:right="560"/>
              <w:spacing w:after="0"/>
              <w:rPr>
                <w:sz w:val="20"/>
                <w:szCs w:val="20"/>
                <w:color w:val="auto"/>
              </w:rPr>
            </w:pPr>
            <w:r>
              <w:rPr>
                <w:rFonts w:ascii="Arial" w:cs="Arial" w:eastAsia="Arial" w:hAnsi="Arial"/>
                <w:sz w:val="18"/>
                <w:szCs w:val="18"/>
                <w:color w:val="auto"/>
              </w:rPr>
              <w:t>100.0%</w:t>
            </w:r>
          </w:p>
        </w:tc>
        <w:tc>
          <w:tcPr>
            <w:tcW w:w="58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Company enters into foreign currency forward contracts from time to time to facilitate settlement of purchases and sales of investments denominated in foreign currencies or to help mitigate the impact that an adverse change in foreign exchange rates would have on the value of the Company’s investments denominated in foreign currencies. A foreign currency forward contract is a commitment to purchase or sell a foreign currency at a future date at a negotiated forward rate. These contracts are marked-to-market by recognizing the difference between the contract exchange rate and the current market rate as unrealized appreciation or depreciation. Realized gains or losses are recognized when contracts are settled. The Company’s foreign currency forward contracts during the year ended December 31, 2014 generally had terms of approximately two months or less.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40"/>
          </w:cols>
          <w:pgMar w:left="240" w:top="459" w:right="31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volume of open contracts at the end of each reporting period is reflective of the typical volume of transactions during each month. Risks may arise as a result of the potential inability of the counterparties to meet the terms of their contracts. The Company attempts to limit this risk by dealing with only creditworthy counterparties.</w:t>
      </w:r>
    </w:p>
    <w:p>
      <w:pPr>
        <w:spacing w:after="0" w:line="18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During the year ended December 31, 2014, the Company entered into foreign currency forward contracts related to its non-USD investments. The Company did not have any open foreign currency forward contracts as of December 31, 2014.</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details of open foreign currency forward contracts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Depreciation</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presented in</w:t>
            </w:r>
          </w:p>
        </w:tc>
        <w:tc>
          <w:tcPr>
            <w:tcW w:w="0" w:type="dxa"/>
            <w:vAlign w:val="bottom"/>
          </w:tcPr>
          <w:p>
            <w:pPr>
              <w:spacing w:after="0"/>
              <w:rPr>
                <w:sz w:val="1"/>
                <w:szCs w:val="1"/>
                <w:color w:val="auto"/>
              </w:rPr>
            </w:pPr>
          </w:p>
        </w:tc>
      </w:tr>
      <w:tr>
        <w:trPr>
          <w:trHeight w:val="149"/>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w w:val="95"/>
              </w:rPr>
              <w:t>Foreign Currency Forward</w:t>
            </w:r>
          </w:p>
        </w:tc>
        <w:tc>
          <w:tcPr>
            <w:tcW w:w="23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3"/>
            <w:vMerge w:val="restart"/>
          </w:tcPr>
          <w:p>
            <w:pPr>
              <w:jc w:val="right"/>
              <w:ind w:right="345"/>
              <w:spacing w:after="0"/>
              <w:rPr>
                <w:sz w:val="20"/>
                <w:szCs w:val="20"/>
                <w:color w:val="auto"/>
              </w:rPr>
            </w:pPr>
            <w:r>
              <w:rPr>
                <w:rFonts w:ascii="Arial" w:cs="Arial" w:eastAsia="Arial" w:hAnsi="Arial"/>
                <w:sz w:val="14"/>
                <w:szCs w:val="14"/>
                <w:b w:val="1"/>
                <w:bCs w:val="1"/>
                <w:color w:val="auto"/>
                <w:w w:val="98"/>
              </w:rPr>
              <w:t>Amount (in ‘000s)</w:t>
            </w:r>
          </w:p>
        </w:tc>
        <w:tc>
          <w:tcPr>
            <w:tcW w:w="14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USD Value at</w:t>
            </w:r>
          </w:p>
        </w:tc>
        <w:tc>
          <w:tcPr>
            <w:tcW w:w="100" w:type="dxa"/>
            <w:vAlign w:val="bottom"/>
          </w:tcPr>
          <w:p>
            <w:pPr>
              <w:spacing w:after="0"/>
              <w:rPr>
                <w:sz w:val="12"/>
                <w:szCs w:val="12"/>
                <w:color w:val="auto"/>
              </w:rPr>
            </w:pPr>
          </w:p>
        </w:tc>
        <w:tc>
          <w:tcPr>
            <w:tcW w:w="15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USD Value at</w:t>
            </w:r>
          </w:p>
        </w:tc>
        <w:tc>
          <w:tcPr>
            <w:tcW w:w="10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4"/>
        </w:trPr>
        <w:tc>
          <w:tcPr>
            <w:tcW w:w="1700" w:type="dxa"/>
            <w:vAlign w:val="bottom"/>
            <w:vMerge w:val="continue"/>
          </w:tcPr>
          <w:p>
            <w:pPr>
              <w:spacing w:after="0"/>
              <w:rPr>
                <w:sz w:val="12"/>
                <w:szCs w:val="12"/>
                <w:color w:val="auto"/>
              </w:rPr>
            </w:pPr>
          </w:p>
        </w:tc>
        <w:tc>
          <w:tcPr>
            <w:tcW w:w="2300" w:type="dxa"/>
            <w:vAlign w:val="bottom"/>
          </w:tcPr>
          <w:p>
            <w:pPr>
              <w:spacing w:after="0"/>
              <w:rPr>
                <w:sz w:val="12"/>
                <w:szCs w:val="12"/>
                <w:color w:val="auto"/>
              </w:rPr>
            </w:pPr>
          </w:p>
        </w:tc>
        <w:tc>
          <w:tcPr>
            <w:tcW w:w="16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Settlement Date</w:t>
            </w:r>
          </w:p>
        </w:tc>
        <w:tc>
          <w:tcPr>
            <w:tcW w:w="1600" w:type="dxa"/>
            <w:vAlign w:val="bottom"/>
            <w:gridSpan w:val="3"/>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5"/>
              </w:rPr>
              <w:t>Financial</w:t>
            </w:r>
          </w:p>
        </w:tc>
        <w:tc>
          <w:tcPr>
            <w:tcW w:w="0" w:type="dxa"/>
            <w:vAlign w:val="bottom"/>
          </w:tcPr>
          <w:p>
            <w:pPr>
              <w:spacing w:after="0"/>
              <w:rPr>
                <w:sz w:val="1"/>
                <w:szCs w:val="1"/>
                <w:color w:val="auto"/>
              </w:rPr>
            </w:pPr>
          </w:p>
        </w:tc>
      </w:tr>
      <w:tr>
        <w:trPr>
          <w:trHeight w:val="176"/>
        </w:trPr>
        <w:tc>
          <w:tcPr>
            <w:tcW w:w="1700" w:type="dxa"/>
            <w:vAlign w:val="bottom"/>
          </w:tcPr>
          <w:p>
            <w:pPr>
              <w:spacing w:after="0"/>
              <w:rPr>
                <w:sz w:val="20"/>
                <w:szCs w:val="20"/>
                <w:color w:val="auto"/>
              </w:rPr>
            </w:pPr>
            <w:r>
              <w:rPr>
                <w:rFonts w:ascii="Arial" w:cs="Arial" w:eastAsia="Arial" w:hAnsi="Arial"/>
                <w:sz w:val="14"/>
                <w:szCs w:val="14"/>
                <w:b w:val="1"/>
                <w:bCs w:val="1"/>
                <w:color w:val="auto"/>
              </w:rPr>
              <w:t>Contracts</w:t>
            </w:r>
          </w:p>
        </w:tc>
        <w:tc>
          <w:tcPr>
            <w:tcW w:w="230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600" w:type="dxa"/>
            <w:vAlign w:val="bottom"/>
            <w:gridSpan w:val="3"/>
          </w:tcPr>
          <w:p>
            <w:pPr>
              <w:jc w:val="right"/>
              <w:ind w:right="405"/>
              <w:spacing w:after="0"/>
              <w:rPr>
                <w:sz w:val="20"/>
                <w:szCs w:val="20"/>
                <w:color w:val="auto"/>
              </w:rPr>
            </w:pPr>
            <w:r>
              <w:rPr>
                <w:rFonts w:ascii="Arial" w:cs="Arial" w:eastAsia="Arial" w:hAnsi="Arial"/>
                <w:sz w:val="14"/>
                <w:szCs w:val="14"/>
                <w:b w:val="1"/>
                <w:bCs w:val="1"/>
                <w:color w:val="auto"/>
              </w:rPr>
              <w:t>and Transaction</w:t>
            </w: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Settlement Date</w:t>
            </w:r>
          </w:p>
        </w:tc>
        <w:tc>
          <w:tcPr>
            <w:tcW w:w="100" w:type="dxa"/>
            <w:vAlign w:val="bottom"/>
          </w:tcPr>
          <w:p>
            <w:pPr>
              <w:spacing w:after="0"/>
              <w:rPr>
                <w:sz w:val="15"/>
                <w:szCs w:val="15"/>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December 31, 2013</w:t>
            </w:r>
          </w:p>
        </w:tc>
        <w:tc>
          <w:tcPr>
            <w:tcW w:w="10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Statements</w:t>
            </w:r>
          </w:p>
        </w:tc>
        <w:tc>
          <w:tcPr>
            <w:tcW w:w="0" w:type="dxa"/>
            <w:vAlign w:val="bottom"/>
          </w:tcPr>
          <w:p>
            <w:pPr>
              <w:spacing w:after="0"/>
              <w:rPr>
                <w:sz w:val="1"/>
                <w:szCs w:val="1"/>
                <w:color w:val="auto"/>
              </w:rPr>
            </w:pPr>
          </w:p>
        </w:tc>
      </w:tr>
      <w:tr>
        <w:trPr>
          <w:trHeight w:val="210"/>
        </w:trPr>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Swedish Krona (SEK)</w:t>
            </w:r>
          </w:p>
        </w:tc>
        <w:tc>
          <w:tcPr>
            <w:tcW w:w="23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7"/>
              </w:rPr>
              <w:t>January 24, 2014</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188,672 sold</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77"/>
              </w:rPr>
              <w:t>(28,440)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0"/>
              </w:rPr>
              <w:t>(29,366)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w w:val="97"/>
              </w:rPr>
              <w:t>Pound Sterling (GBP)</w:t>
            </w:r>
          </w:p>
        </w:tc>
        <w:tc>
          <w:tcPr>
            <w:tcW w:w="2300" w:type="dxa"/>
            <w:vAlign w:val="bottom"/>
          </w:tcPr>
          <w:p>
            <w:pPr>
              <w:spacing w:after="0"/>
              <w:rPr>
                <w:sz w:val="18"/>
                <w:szCs w:val="18"/>
                <w:color w:val="auto"/>
              </w:rPr>
            </w:pPr>
          </w:p>
        </w:tc>
        <w:tc>
          <w:tcPr>
            <w:tcW w:w="1640" w:type="dxa"/>
            <w:vAlign w:val="bottom"/>
            <w:gridSpan w:val="2"/>
          </w:tcPr>
          <w:p>
            <w:pPr>
              <w:ind w:left="200"/>
              <w:spacing w:after="0"/>
              <w:rPr>
                <w:sz w:val="20"/>
                <w:szCs w:val="20"/>
                <w:color w:val="auto"/>
              </w:rPr>
            </w:pPr>
            <w:r>
              <w:rPr>
                <w:rFonts w:ascii="Arial" w:cs="Arial" w:eastAsia="Arial" w:hAnsi="Arial"/>
                <w:sz w:val="18"/>
                <w:szCs w:val="18"/>
                <w:color w:val="auto"/>
              </w:rPr>
              <w:t>January 24, 2014</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7,000 sold</w:t>
            </w:r>
          </w:p>
        </w:tc>
        <w:tc>
          <w:tcPr>
            <w:tcW w:w="140" w:type="dxa"/>
            <w:vAlign w:val="bottom"/>
          </w:tcPr>
          <w:p>
            <w:pPr>
              <w:spacing w:after="0"/>
              <w:rPr>
                <w:sz w:val="18"/>
                <w:szCs w:val="18"/>
                <w:color w:val="auto"/>
              </w:rPr>
            </w:pPr>
          </w:p>
        </w:tc>
        <w:tc>
          <w:tcPr>
            <w:tcW w:w="1440" w:type="dxa"/>
            <w:vAlign w:val="bottom"/>
            <w:gridSpan w:val="2"/>
          </w:tcPr>
          <w:p>
            <w:pPr>
              <w:ind w:left="660"/>
              <w:spacing w:after="0"/>
              <w:rPr>
                <w:sz w:val="20"/>
                <w:szCs w:val="20"/>
                <w:color w:val="auto"/>
              </w:rPr>
            </w:pPr>
            <w:r>
              <w:rPr>
                <w:rFonts w:ascii="Arial" w:cs="Arial" w:eastAsia="Arial" w:hAnsi="Arial"/>
                <w:sz w:val="18"/>
                <w:szCs w:val="18"/>
                <w:color w:val="auto"/>
              </w:rPr>
              <w:t>(11,274)</w:t>
            </w:r>
          </w:p>
        </w:tc>
        <w:tc>
          <w:tcPr>
            <w:tcW w:w="100" w:type="dxa"/>
            <w:vAlign w:val="bottom"/>
          </w:tcPr>
          <w:p>
            <w:pPr>
              <w:spacing w:after="0"/>
              <w:rPr>
                <w:sz w:val="18"/>
                <w:szCs w:val="18"/>
                <w:color w:val="auto"/>
              </w:rPr>
            </w:pPr>
          </w:p>
        </w:tc>
        <w:tc>
          <w:tcPr>
            <w:tcW w:w="1500" w:type="dxa"/>
            <w:vAlign w:val="bottom"/>
            <w:gridSpan w:val="2"/>
          </w:tcPr>
          <w:p>
            <w:pPr>
              <w:ind w:left="720"/>
              <w:spacing w:after="0"/>
              <w:rPr>
                <w:sz w:val="20"/>
                <w:szCs w:val="20"/>
                <w:color w:val="auto"/>
              </w:rPr>
            </w:pPr>
            <w:r>
              <w:rPr>
                <w:rFonts w:ascii="Arial" w:cs="Arial" w:eastAsia="Arial" w:hAnsi="Arial"/>
                <w:sz w:val="18"/>
                <w:szCs w:val="18"/>
                <w:color w:val="auto"/>
              </w:rPr>
              <w:t>(11,592)</w:t>
            </w: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2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(39,714)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(40,958)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All realized and unrealized gains and losses on foreign currency forward contracts are included in earnings (changes in net assets) and are reported as separate line items within the Company’s consolidated statements of operations. Unrealized gains and losses on foreign currency forward contracts are also reported as a separate line item within the Company’s consolidated balance sheets.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not been required to post cash collateral related to its foreign currency forward contracts, but may be required to do so in the future.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June 2014, the Company entered into two interest rate swap transactions, each with a $57.5 million notional amount. As of December 31, 2014 the Company received fixed rate interest at 4.50% and paid variable rate interest based on the 3-month London Interbank Offered Rate (“LIBOR”) plus 2.529%. The swap transactions mature on December 15, 2019. For the year ended December 31, 2014, the Company recognized $1.0 million in unrealized appreciation on derivatives in the consolidated statement of operations related to the swap transactions. As of December 31, 2014, the swap transactions had a fair value of $1.0 million, which is included in receivable on interest rate swaps on the Company’s consolidated balance sheet.</w:t>
      </w:r>
    </w:p>
    <w:p>
      <w:pPr>
        <w:spacing w:after="0" w:line="173"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During the year ended December 31, 2014, the Company received $2.6 million and paid $1.6 million related to the quarterly settlements of its interest rate swaps. This net amount is a reduction to interest expense in the Company’s consolidated statements of operations.</w:t>
      </w:r>
    </w:p>
    <w:p>
      <w:pPr>
        <w:spacing w:after="0" w:line="17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 is required under the terms of its derivatives agreements to pledge assets as collateral to secure its obligations under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 As of December 31, 2014, $2.3 million of cash is pledged as collateral under the Company’s derivative instruments and is included in restricted cash as a component of other assets on the Company’s consolidated balance sheet. The Company also had less than $0.1 million of cash collateral posted as of December 31, 2014, which is also included in restricted cash as a component of other assets on the Company’s consolidated balance sheet.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may enter into other derivative instruments and incur other exposures with the same or other counterparties in the future.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present fair value measurements of investments as of December 31, 2014 and 2013:</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12"/>
          </w:tcPr>
          <w:p>
            <w:pPr>
              <w:jc w:val="center"/>
              <w:ind w:left="182"/>
              <w:spacing w:after="0"/>
              <w:rPr>
                <w:sz w:val="20"/>
                <w:szCs w:val="20"/>
                <w:color w:val="auto"/>
              </w:rPr>
            </w:pPr>
            <w:r>
              <w:rPr>
                <w:rFonts w:ascii="Arial" w:cs="Arial" w:eastAsia="Arial" w:hAnsi="Arial"/>
                <w:sz w:val="14"/>
                <w:szCs w:val="14"/>
                <w:b w:val="1"/>
                <w:bCs w:val="1"/>
                <w:color w:val="auto"/>
                <w:w w:val="94"/>
              </w:rPr>
              <w:t>Fair Value Hierarchy at December 31, 2014</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74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64,910</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1,059,336</w:t>
            </w:r>
          </w:p>
        </w:tc>
        <w:tc>
          <w:tcPr>
            <w:tcW w:w="5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1,124,246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50,158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8"/>
                <w:szCs w:val="18"/>
                <w:color w:val="auto"/>
              </w:rPr>
              <w:t>61,250</w:t>
            </w: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111,408</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8,444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12,964</w:t>
            </w: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5,525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9,368</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14,893</w:t>
            </w:r>
          </w:p>
        </w:tc>
        <w:tc>
          <w:tcPr>
            <w:tcW w:w="80" w:type="dxa"/>
            <w:vAlign w:val="bottom"/>
          </w:tcPr>
          <w:p>
            <w:pPr>
              <w:spacing w:after="0"/>
              <w:rPr>
                <w:sz w:val="19"/>
                <w:szCs w:val="19"/>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Investments at Fair Value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129,037</w:t>
            </w:r>
          </w:p>
        </w:tc>
        <w:tc>
          <w:tcPr>
            <w:tcW w:w="4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1,134,474</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7"/>
              </w:rPr>
              <w:t>1,263,511</w:t>
            </w: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Receivable on interest rate swaps</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1,020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1,020</w:t>
            </w:r>
          </w:p>
        </w:tc>
        <w:tc>
          <w:tcPr>
            <w:tcW w:w="80" w:type="dxa"/>
            <w:vAlign w:val="bottom"/>
          </w:tcPr>
          <w:p>
            <w:pPr>
              <w:spacing w:after="0"/>
              <w:rPr>
                <w:sz w:val="19"/>
                <w:szCs w:val="19"/>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130,057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1,134,474</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1,264,531</w:t>
            </w:r>
          </w:p>
        </w:tc>
        <w:tc>
          <w:tcPr>
            <w:tcW w:w="80" w:type="dxa"/>
            <w:vAlign w:val="bottom"/>
            <w:shd w:val="clear" w:color="auto" w:fill="CCEEFF"/>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6"/>
        </w:trPr>
        <w:tc>
          <w:tcPr>
            <w:tcW w:w="4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2"/>
          </w:tcPr>
          <w:p>
            <w:pPr>
              <w:jc w:val="right"/>
              <w:ind w:right="180"/>
              <w:spacing w:after="0"/>
              <w:rPr>
                <w:sz w:val="20"/>
                <w:szCs w:val="20"/>
                <w:color w:val="auto"/>
              </w:rPr>
            </w:pPr>
            <w:r>
              <w:rPr>
                <w:rFonts w:ascii="Arial" w:cs="Arial" w:eastAsia="Arial" w:hAnsi="Arial"/>
                <w:sz w:val="14"/>
                <w:szCs w:val="14"/>
                <w:b w:val="1"/>
                <w:bCs w:val="1"/>
                <w:color w:val="auto"/>
              </w:rPr>
              <w:t>Fair Value Hierarchy at December 31, 2013</w:t>
            </w: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4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w w:val="96"/>
              </w:rPr>
              <w:t>Level 1</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1340" w:type="dxa"/>
            <w:vAlign w:val="bottom"/>
            <w:gridSpan w:val="4"/>
          </w:tcPr>
          <w:p>
            <w:pPr>
              <w:jc w:val="right"/>
              <w:ind w:right="80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72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gridSpan w:val="2"/>
          </w:tcPr>
          <w:p>
            <w:pPr>
              <w:spacing w:after="0"/>
              <w:rPr>
                <w:sz w:val="12"/>
                <w:szCs w:val="12"/>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22,192</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854,972</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877,164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ind w:right="120"/>
              <w:spacing w:after="0"/>
              <w:rPr>
                <w:sz w:val="20"/>
                <w:szCs w:val="20"/>
                <w:color w:val="auto"/>
              </w:rPr>
            </w:pPr>
            <w:r>
              <w:rPr>
                <w:rFonts w:ascii="Arial" w:cs="Arial" w:eastAsia="Arial" w:hAnsi="Arial"/>
                <w:sz w:val="18"/>
                <w:szCs w:val="18"/>
                <w:color w:val="auto"/>
              </w:rPr>
              <w:t>33,952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103,530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137,482</w:t>
            </w:r>
          </w:p>
        </w:tc>
        <w:tc>
          <w:tcPr>
            <w:tcW w:w="8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Equity investments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1,805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1,805</w:t>
            </w:r>
          </w:p>
        </w:tc>
        <w:tc>
          <w:tcPr>
            <w:tcW w:w="80" w:type="dxa"/>
            <w:vAlign w:val="bottom"/>
          </w:tcPr>
          <w:p>
            <w:pPr>
              <w:spacing w:after="0"/>
              <w:rPr>
                <w:sz w:val="18"/>
                <w:szCs w:val="18"/>
                <w:color w:val="auto"/>
              </w:rPr>
            </w:pPr>
          </w:p>
        </w:tc>
      </w:tr>
      <w:tr>
        <w:trPr>
          <w:trHeight w:val="27"/>
        </w:trPr>
        <w:tc>
          <w:tcPr>
            <w:tcW w:w="4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 at Fair Value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56,144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960,307</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1,016,451</w:t>
            </w:r>
          </w:p>
        </w:tc>
        <w:tc>
          <w:tcPr>
            <w:tcW w:w="80" w:type="dxa"/>
            <w:vAlign w:val="bottom"/>
            <w:shd w:val="clear" w:color="auto" w:fill="CCEEFF"/>
          </w:tcPr>
          <w:p>
            <w:pPr>
              <w:spacing w:after="0"/>
              <w:rPr>
                <w:sz w:val="18"/>
                <w:szCs w:val="18"/>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Foreign currency forward contracts</w:t>
            </w:r>
          </w:p>
        </w:tc>
        <w:tc>
          <w:tcPr>
            <w:tcW w:w="14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(1,244)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620" w:type="dxa"/>
            <w:vAlign w:val="bottom"/>
            <w:gridSpan w:val="2"/>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100" w:type="dxa"/>
            <w:vAlign w:val="bottom"/>
            <w:gridSpan w:val="2"/>
          </w:tcPr>
          <w:p>
            <w:pPr>
              <w:spacing w:after="0"/>
              <w:rPr>
                <w:sz w:val="20"/>
                <w:szCs w:val="20"/>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70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54,900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960,307</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1,015,207</w:t>
            </w:r>
          </w:p>
        </w:tc>
        <w:tc>
          <w:tcPr>
            <w:tcW w:w="80" w:type="dxa"/>
            <w:vAlign w:val="bottom"/>
            <w:shd w:val="clear" w:color="auto" w:fill="CCEEFF"/>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year ended December 31, 2014 and 2013: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1"/>
              </w:rPr>
              <w:t>December 31, 2014</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First-lien</w:t>
            </w:r>
          </w:p>
        </w:tc>
        <w:tc>
          <w:tcPr>
            <w:tcW w:w="9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Second-lien</w:t>
            </w:r>
          </w:p>
        </w:tc>
        <w:tc>
          <w:tcPr>
            <w:tcW w:w="280" w:type="dxa"/>
            <w:vAlign w:val="bottom"/>
          </w:tcPr>
          <w:p>
            <w:pPr>
              <w:spacing w:after="0"/>
              <w:rPr>
                <w:sz w:val="10"/>
                <w:szCs w:val="10"/>
                <w:color w:val="auto"/>
              </w:rPr>
            </w:pPr>
          </w:p>
        </w:tc>
        <w:tc>
          <w:tcPr>
            <w:tcW w:w="1220" w:type="dxa"/>
            <w:vAlign w:val="bottom"/>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rPr>
              <w:t>Mezzanine</w:t>
            </w:r>
          </w:p>
        </w:tc>
        <w:tc>
          <w:tcPr>
            <w:tcW w:w="122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Equity and</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debt</w:t>
            </w:r>
          </w:p>
        </w:tc>
        <w:tc>
          <w:tcPr>
            <w:tcW w:w="100" w:type="dxa"/>
            <w:vAlign w:val="bottom"/>
          </w:tcPr>
          <w:p>
            <w:pPr>
              <w:spacing w:after="0"/>
              <w:rPr>
                <w:sz w:val="12"/>
                <w:szCs w:val="12"/>
                <w:color w:val="auto"/>
              </w:rPr>
            </w:pPr>
          </w:p>
        </w:tc>
        <w:tc>
          <w:tcPr>
            <w:tcW w:w="8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debt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debt</w:t>
            </w:r>
          </w:p>
        </w:tc>
        <w:tc>
          <w:tcPr>
            <w:tcW w:w="160" w:type="dxa"/>
            <w:vAlign w:val="bottom"/>
          </w:tcPr>
          <w:p>
            <w:pPr>
              <w:spacing w:after="0"/>
              <w:rPr>
                <w:sz w:val="12"/>
                <w:szCs w:val="12"/>
                <w:color w:val="auto"/>
              </w:rPr>
            </w:pPr>
          </w:p>
        </w:tc>
        <w:tc>
          <w:tcPr>
            <w:tcW w:w="106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8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8"/>
              </w:rPr>
              <w:t>investments</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280" w:type="dxa"/>
            <w:vAlign w:val="bottom"/>
          </w:tcPr>
          <w:p>
            <w:pPr>
              <w:spacing w:after="0"/>
              <w:rPr>
                <w:sz w:val="14"/>
                <w:szCs w:val="14"/>
                <w:color w:val="auto"/>
              </w:rPr>
            </w:pPr>
          </w:p>
        </w:tc>
        <w:tc>
          <w:tcPr>
            <w:tcW w:w="12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0"/>
              </w:rPr>
              <w:t>investments</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132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854,972</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103,530</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960,307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Purchases</w:t>
            </w: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770,732</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72,850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4,640</w:t>
            </w:r>
          </w:p>
        </w:tc>
        <w:tc>
          <w:tcPr>
            <w:tcW w:w="16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13,192</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861,414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(94,952)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(94,952)</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(473,178)</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(113,148)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(586,326)</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1,831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199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Net change in unrealized losses</w:t>
            </w: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(15,365)</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(5,681)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(328)</w:t>
            </w:r>
          </w:p>
        </w:tc>
        <w:tc>
          <w:tcPr>
            <w:tcW w:w="16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(5,629)</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(27,003)</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losses</w:t>
            </w: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15,357</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2,981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18,347</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(out of) Level 3</w:t>
            </w: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80" w:type="dxa"/>
            <w:vAlign w:val="bottom"/>
          </w:tcPr>
          <w:p>
            <w:pPr>
              <w:ind w:left="360"/>
              <w:spacing w:after="0"/>
              <w:rPr>
                <w:sz w:val="20"/>
                <w:szCs w:val="20"/>
                <w:color w:val="auto"/>
              </w:rPr>
            </w:pPr>
            <w:r>
              <w:rPr>
                <w:rFonts w:ascii="Arial" w:cs="Arial" w:eastAsia="Arial" w:hAnsi="Arial"/>
                <w:sz w:val="18"/>
                <w:szCs w:val="18"/>
                <w:b w:val="1"/>
                <w:bCs w:val="1"/>
                <w:color w:val="auto"/>
              </w:rPr>
              <w:t>Balance, End of Year</w:t>
            </w:r>
          </w:p>
        </w:tc>
        <w:tc>
          <w:tcPr>
            <w:tcW w:w="1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1,059,336</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61,250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4,520</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9,368</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1,134,474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80" w:type="dxa"/>
            <w:vAlign w:val="bottom"/>
          </w:tcPr>
          <w:p>
            <w:pPr>
              <w:spacing w:after="0"/>
              <w:rPr>
                <w:sz w:val="24"/>
                <w:szCs w:val="24"/>
                <w:color w:val="auto"/>
              </w:rPr>
            </w:pPr>
          </w:p>
        </w:tc>
        <w:tc>
          <w:tcPr>
            <w:tcW w:w="2580" w:type="dxa"/>
            <w:vAlign w:val="bottom"/>
            <w:gridSpan w:val="5"/>
          </w:tcPr>
          <w:p>
            <w:pPr>
              <w:jc w:val="right"/>
              <w:ind w:right="980"/>
              <w:spacing w:after="0"/>
              <w:rPr>
                <w:sz w:val="20"/>
                <w:szCs w:val="20"/>
                <w:color w:val="auto"/>
              </w:rPr>
            </w:pPr>
            <w:r>
              <w:rPr>
                <w:rFonts w:ascii="Arial" w:cs="Arial" w:eastAsia="Arial" w:hAnsi="Arial"/>
                <w:sz w:val="18"/>
                <w:szCs w:val="18"/>
                <w:color w:val="auto"/>
              </w:rPr>
              <w:t>F-26</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December 31, 2013</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3"/>
          </w:tcPr>
          <w:p>
            <w:pPr>
              <w:jc w:val="center"/>
              <w:ind w:right="480"/>
              <w:spacing w:after="0" w:line="119" w:lineRule="exact"/>
              <w:rPr>
                <w:sz w:val="20"/>
                <w:szCs w:val="20"/>
                <w:color w:val="auto"/>
              </w:rPr>
            </w:pPr>
            <w:r>
              <w:rPr>
                <w:rFonts w:ascii="Arial" w:cs="Arial" w:eastAsia="Arial" w:hAnsi="Arial"/>
                <w:sz w:val="13"/>
                <w:szCs w:val="13"/>
                <w:b w:val="1"/>
                <w:bCs w:val="1"/>
                <w:color w:val="auto"/>
              </w:rPr>
              <w:t>First-lien</w:t>
            </w:r>
          </w:p>
        </w:tc>
        <w:tc>
          <w:tcPr>
            <w:tcW w:w="9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Second-lien</w:t>
            </w:r>
          </w:p>
        </w:tc>
        <w:tc>
          <w:tcPr>
            <w:tcW w:w="280" w:type="dxa"/>
            <w:vAlign w:val="bottom"/>
          </w:tcPr>
          <w:p>
            <w:pPr>
              <w:spacing w:after="0"/>
              <w:rPr>
                <w:sz w:val="10"/>
                <w:szCs w:val="10"/>
                <w:color w:val="auto"/>
              </w:rPr>
            </w:pPr>
          </w:p>
        </w:tc>
        <w:tc>
          <w:tcPr>
            <w:tcW w:w="116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Mezzanine</w:t>
            </w:r>
          </w:p>
        </w:tc>
        <w:tc>
          <w:tcPr>
            <w:tcW w:w="160" w:type="dxa"/>
            <w:vAlign w:val="bottom"/>
          </w:tcPr>
          <w:p>
            <w:pPr>
              <w:spacing w:after="0"/>
              <w:rPr>
                <w:sz w:val="10"/>
                <w:szCs w:val="10"/>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Equity</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debt</w:t>
            </w:r>
          </w:p>
        </w:tc>
        <w:tc>
          <w:tcPr>
            <w:tcW w:w="120" w:type="dxa"/>
            <w:vAlign w:val="bottom"/>
          </w:tcPr>
          <w:p>
            <w:pPr>
              <w:spacing w:after="0"/>
              <w:rPr>
                <w:sz w:val="12"/>
                <w:szCs w:val="12"/>
                <w:color w:val="auto"/>
              </w:rPr>
            </w:pPr>
          </w:p>
        </w:tc>
        <w:tc>
          <w:tcPr>
            <w:tcW w:w="7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debt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debt</w:t>
            </w: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5"/>
              </w:rPr>
              <w:t>investments</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2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13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5"/>
              </w:rPr>
              <w:t>investments</w:t>
            </w: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$ 514,104</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53,190</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4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$ 569,294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Purchases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507,056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51,270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ind w:left="440"/>
              <w:spacing w:after="0"/>
              <w:rPr>
                <w:sz w:val="20"/>
                <w:szCs w:val="20"/>
                <w:color w:val="auto"/>
              </w:rPr>
            </w:pPr>
            <w:r>
              <w:rPr>
                <w:rFonts w:ascii="Arial" w:cs="Arial" w:eastAsia="Arial" w:hAnsi="Arial"/>
                <w:sz w:val="18"/>
                <w:szCs w:val="18"/>
                <w:color w:val="auto"/>
              </w:rPr>
              <w:t>780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559,106</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11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(30,615)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(30,615)</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180" w:type="dxa"/>
            <w:vAlign w:val="bottom"/>
            <w:gridSpan w:val="4"/>
          </w:tcPr>
          <w:p>
            <w:pPr>
              <w:jc w:val="right"/>
              <w:ind w:right="380"/>
              <w:spacing w:after="0"/>
              <w:rPr>
                <w:sz w:val="20"/>
                <w:szCs w:val="20"/>
                <w:color w:val="auto"/>
              </w:rPr>
            </w:pPr>
            <w:r>
              <w:rPr>
                <w:rFonts w:ascii="Arial" w:cs="Arial" w:eastAsia="Arial" w:hAnsi="Arial"/>
                <w:sz w:val="18"/>
                <w:szCs w:val="18"/>
                <w:color w:val="auto"/>
              </w:rPr>
              <w:t>(178,831)</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(4,086)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(182,917)</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1,770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6,054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1,865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(975)</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6,944</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5,367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5,679</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(out of) of Level 3</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29,925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29,925</w:t>
            </w:r>
          </w:p>
        </w:tc>
        <w:tc>
          <w:tcPr>
            <w:tcW w:w="0" w:type="dxa"/>
            <w:vAlign w:val="bottom"/>
          </w:tcPr>
          <w:p>
            <w:pPr>
              <w:spacing w:after="0"/>
              <w:rPr>
                <w:sz w:val="1"/>
                <w:szCs w:val="1"/>
                <w:color w:val="auto"/>
              </w:rPr>
            </w:pPr>
          </w:p>
        </w:tc>
      </w:tr>
      <w:tr>
        <w:trPr>
          <w:trHeight w:val="223"/>
        </w:trPr>
        <w:tc>
          <w:tcPr>
            <w:tcW w:w="5740" w:type="dxa"/>
            <w:vAlign w:val="bottom"/>
          </w:tcPr>
          <w:p>
            <w:pPr>
              <w:ind w:left="360"/>
              <w:spacing w:after="0"/>
              <w:rPr>
                <w:sz w:val="20"/>
                <w:szCs w:val="20"/>
                <w:color w:val="auto"/>
              </w:rPr>
            </w:pPr>
            <w:r>
              <w:rPr>
                <w:rFonts w:ascii="Arial" w:cs="Arial" w:eastAsia="Arial" w:hAnsi="Arial"/>
                <w:sz w:val="18"/>
                <w:szCs w:val="18"/>
                <w:b w:val="1"/>
                <w:bCs w:val="1"/>
                <w:color w:val="auto"/>
              </w:rPr>
              <w:t>Balance, End of Year</w:t>
            </w: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$ 854,972</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103,530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1,805</w:t>
            </w:r>
          </w:p>
        </w:tc>
        <w:tc>
          <w:tcPr>
            <w:tcW w:w="4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$ 960,307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Aptean Holdings, Inc., formerly known as Consona Holdings, Inc., transferred into Level 3 during the year ended December 31, 2013, as a result of changes in the observability of inputs into its valuation.</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presents information with respect to net change in unrealized appreciation or depreciation on investments for which Level 3 inputs were used in determining fair value that are still held by the Company at December 31, 2014 and 2013:</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4"/>
              </w:rPr>
              <w:t>Net Change in Unrealized</w:t>
            </w:r>
          </w:p>
        </w:tc>
        <w:tc>
          <w:tcPr>
            <w:tcW w:w="180" w:type="dxa"/>
            <w:vAlign w:val="bottom"/>
          </w:tcPr>
          <w:p>
            <w:pPr>
              <w:spacing w:after="0"/>
              <w:rPr>
                <w:sz w:val="14"/>
                <w:szCs w:val="14"/>
                <w:color w:val="auto"/>
              </w:rPr>
            </w:pPr>
          </w:p>
        </w:tc>
        <w:tc>
          <w:tcPr>
            <w:tcW w:w="2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Net Change in Unrealized</w:t>
            </w:r>
          </w:p>
        </w:tc>
      </w:tr>
      <w:tr>
        <w:trPr>
          <w:trHeight w:val="149"/>
        </w:trPr>
        <w:tc>
          <w:tcPr>
            <w:tcW w:w="4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Appreciation or (Depreciation)</w:t>
            </w:r>
          </w:p>
        </w:tc>
        <w:tc>
          <w:tcPr>
            <w:tcW w:w="180" w:type="dxa"/>
            <w:vAlign w:val="bottom"/>
          </w:tcPr>
          <w:p>
            <w:pPr>
              <w:spacing w:after="0"/>
              <w:rPr>
                <w:sz w:val="12"/>
                <w:szCs w:val="12"/>
                <w:color w:val="auto"/>
              </w:rPr>
            </w:pPr>
          </w:p>
        </w:tc>
        <w:tc>
          <w:tcPr>
            <w:tcW w:w="2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Appreciation or (Depreciation)</w:t>
            </w:r>
          </w:p>
        </w:tc>
      </w:tr>
      <w:tr>
        <w:trPr>
          <w:trHeight w:val="149"/>
        </w:trPr>
        <w:tc>
          <w:tcPr>
            <w:tcW w:w="4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for the Year Ended</w:t>
            </w:r>
          </w:p>
        </w:tc>
        <w:tc>
          <w:tcPr>
            <w:tcW w:w="180" w:type="dxa"/>
            <w:vAlign w:val="bottom"/>
          </w:tcPr>
          <w:p>
            <w:pPr>
              <w:spacing w:after="0"/>
              <w:rPr>
                <w:sz w:val="12"/>
                <w:szCs w:val="12"/>
                <w:color w:val="auto"/>
              </w:rPr>
            </w:pPr>
          </w:p>
        </w:tc>
        <w:tc>
          <w:tcPr>
            <w:tcW w:w="2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for the Year Ended</w:t>
            </w:r>
          </w:p>
        </w:tc>
      </w:tr>
      <w:tr>
        <w:trPr>
          <w:trHeight w:val="149"/>
        </w:trPr>
        <w:tc>
          <w:tcPr>
            <w:tcW w:w="4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December 31, 2014 on</w:t>
            </w:r>
          </w:p>
        </w:tc>
        <w:tc>
          <w:tcPr>
            <w:tcW w:w="180" w:type="dxa"/>
            <w:vAlign w:val="bottom"/>
          </w:tcPr>
          <w:p>
            <w:pPr>
              <w:spacing w:after="0"/>
              <w:rPr>
                <w:sz w:val="12"/>
                <w:szCs w:val="12"/>
                <w:color w:val="auto"/>
              </w:rPr>
            </w:pPr>
          </w:p>
        </w:tc>
        <w:tc>
          <w:tcPr>
            <w:tcW w:w="2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December 31, 2013 on</w:t>
            </w:r>
          </w:p>
        </w:tc>
      </w:tr>
      <w:tr>
        <w:trPr>
          <w:trHeight w:val="149"/>
        </w:trPr>
        <w:tc>
          <w:tcPr>
            <w:tcW w:w="4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Investments Held at</w:t>
            </w:r>
          </w:p>
        </w:tc>
        <w:tc>
          <w:tcPr>
            <w:tcW w:w="180" w:type="dxa"/>
            <w:vAlign w:val="bottom"/>
          </w:tcPr>
          <w:p>
            <w:pPr>
              <w:spacing w:after="0"/>
              <w:rPr>
                <w:sz w:val="12"/>
                <w:szCs w:val="12"/>
                <w:color w:val="auto"/>
              </w:rPr>
            </w:pPr>
          </w:p>
        </w:tc>
        <w:tc>
          <w:tcPr>
            <w:tcW w:w="2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Investments Held at</w:t>
            </w:r>
          </w:p>
        </w:tc>
      </w:tr>
      <w:tr>
        <w:trPr>
          <w:trHeight w:val="171"/>
        </w:trPr>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December 31, 2014</w:t>
            </w:r>
          </w:p>
        </w:tc>
        <w:tc>
          <w:tcPr>
            <w:tcW w:w="180" w:type="dxa"/>
            <w:vAlign w:val="bottom"/>
          </w:tcPr>
          <w:p>
            <w:pPr>
              <w:spacing w:after="0"/>
              <w:rPr>
                <w:sz w:val="14"/>
                <w:szCs w:val="14"/>
                <w:color w:val="auto"/>
              </w:rPr>
            </w:pPr>
          </w:p>
        </w:tc>
        <w:tc>
          <w:tcPr>
            <w:tcW w:w="2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December 31, 2013</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(10,256)</w:t>
            </w:r>
          </w:p>
        </w:tc>
        <w:tc>
          <w:tcPr>
            <w:tcW w:w="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8,468</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60" w:type="dxa"/>
            <w:vAlign w:val="bottom"/>
          </w:tcPr>
          <w:p>
            <w:pPr>
              <w:spacing w:after="0"/>
              <w:rPr>
                <w:sz w:val="18"/>
                <w:szCs w:val="18"/>
                <w:color w:val="auto"/>
              </w:rPr>
            </w:pPr>
          </w:p>
        </w:tc>
        <w:tc>
          <w:tcPr>
            <w:tcW w:w="2720" w:type="dxa"/>
            <w:vAlign w:val="bottom"/>
            <w:gridSpan w:val="2"/>
          </w:tcPr>
          <w:p>
            <w:pPr>
              <w:jc w:val="right"/>
              <w:ind w:right="460"/>
              <w:spacing w:after="0"/>
              <w:rPr>
                <w:sz w:val="20"/>
                <w:szCs w:val="20"/>
                <w:color w:val="auto"/>
              </w:rPr>
            </w:pPr>
            <w:r>
              <w:rPr>
                <w:rFonts w:ascii="Arial" w:cs="Arial" w:eastAsia="Arial" w:hAnsi="Arial"/>
                <w:sz w:val="18"/>
                <w:szCs w:val="18"/>
                <w:color w:val="auto"/>
              </w:rPr>
              <w:t>(408)</w:t>
            </w:r>
          </w:p>
        </w:tc>
        <w:tc>
          <w:tcPr>
            <w:tcW w:w="180" w:type="dxa"/>
            <w:vAlign w:val="bottom"/>
          </w:tcPr>
          <w:p>
            <w:pPr>
              <w:spacing w:after="0"/>
              <w:rPr>
                <w:sz w:val="18"/>
                <w:szCs w:val="18"/>
                <w:color w:val="auto"/>
              </w:rPr>
            </w:pPr>
          </w:p>
        </w:tc>
        <w:tc>
          <w:tcPr>
            <w:tcW w:w="2400" w:type="dxa"/>
            <w:vAlign w:val="bottom"/>
            <w:gridSpan w:val="2"/>
          </w:tcPr>
          <w:p>
            <w:pPr>
              <w:jc w:val="right"/>
              <w:ind w:right="140"/>
              <w:spacing w:after="0"/>
              <w:rPr>
                <w:sz w:val="20"/>
                <w:szCs w:val="20"/>
                <w:color w:val="auto"/>
              </w:rPr>
            </w:pPr>
            <w:r>
              <w:rPr>
                <w:rFonts w:ascii="Arial" w:cs="Arial" w:eastAsia="Arial" w:hAnsi="Arial"/>
                <w:sz w:val="18"/>
                <w:szCs w:val="18"/>
                <w:color w:val="auto"/>
              </w:rPr>
              <w:t>1,865</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6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(328)</w:t>
            </w:r>
          </w:p>
        </w:tc>
        <w:tc>
          <w:tcPr>
            <w:tcW w:w="18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60" w:type="dxa"/>
            <w:vAlign w:val="bottom"/>
          </w:tcPr>
          <w:p>
            <w:pPr>
              <w:spacing w:after="0"/>
              <w:rPr>
                <w:sz w:val="18"/>
                <w:szCs w:val="18"/>
                <w:color w:val="auto"/>
              </w:rPr>
            </w:pPr>
          </w:p>
        </w:tc>
        <w:tc>
          <w:tcPr>
            <w:tcW w:w="2720" w:type="dxa"/>
            <w:vAlign w:val="bottom"/>
            <w:gridSpan w:val="2"/>
          </w:tcPr>
          <w:p>
            <w:pPr>
              <w:jc w:val="right"/>
              <w:ind w:right="460"/>
              <w:spacing w:after="0"/>
              <w:rPr>
                <w:sz w:val="20"/>
                <w:szCs w:val="20"/>
                <w:color w:val="auto"/>
              </w:rPr>
            </w:pPr>
            <w:r>
              <w:rPr>
                <w:rFonts w:ascii="Arial" w:cs="Arial" w:eastAsia="Arial" w:hAnsi="Arial"/>
                <w:sz w:val="18"/>
                <w:szCs w:val="18"/>
                <w:color w:val="auto"/>
              </w:rPr>
              <w:t>(5,629)</w:t>
            </w:r>
          </w:p>
        </w:tc>
        <w:tc>
          <w:tcPr>
            <w:tcW w:w="180" w:type="dxa"/>
            <w:vAlign w:val="bottom"/>
          </w:tcPr>
          <w:p>
            <w:pPr>
              <w:spacing w:after="0"/>
              <w:rPr>
                <w:sz w:val="18"/>
                <w:szCs w:val="18"/>
                <w:color w:val="auto"/>
              </w:rPr>
            </w:pPr>
          </w:p>
        </w:tc>
        <w:tc>
          <w:tcPr>
            <w:tcW w:w="2400" w:type="dxa"/>
            <w:vAlign w:val="bottom"/>
            <w:gridSpan w:val="2"/>
          </w:tcPr>
          <w:p>
            <w:pPr>
              <w:jc w:val="right"/>
              <w:ind w:right="80"/>
              <w:spacing w:after="0"/>
              <w:rPr>
                <w:sz w:val="20"/>
                <w:szCs w:val="20"/>
                <w:color w:val="auto"/>
              </w:rPr>
            </w:pPr>
            <w:r>
              <w:rPr>
                <w:rFonts w:ascii="Arial" w:cs="Arial" w:eastAsia="Arial" w:hAnsi="Arial"/>
                <w:sz w:val="18"/>
                <w:szCs w:val="18"/>
                <w:color w:val="auto"/>
              </w:rPr>
              <w:t>(975)</w:t>
            </w:r>
          </w:p>
        </w:tc>
      </w:tr>
      <w:tr>
        <w:trPr>
          <w:trHeight w:val="27"/>
        </w:trPr>
        <w:tc>
          <w:tcPr>
            <w:tcW w:w="4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2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(16,621)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9,358</w:t>
            </w:r>
          </w:p>
        </w:tc>
      </w:tr>
      <w:tr>
        <w:trPr>
          <w:trHeight w:val="20"/>
        </w:trPr>
        <w:tc>
          <w:tcPr>
            <w:tcW w:w="4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the fair value of Level 3 Investments at fair value and the significant unobservable inputs used in the valuations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and 2013:</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3"/>
              </w:rPr>
              <w:t>December 31, 2014</w:t>
            </w:r>
          </w:p>
        </w:tc>
        <w:tc>
          <w:tcPr>
            <w:tcW w:w="1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Valuation</w:t>
            </w:r>
          </w:p>
        </w:tc>
        <w:tc>
          <w:tcPr>
            <w:tcW w:w="220" w:type="dxa"/>
            <w:vAlign w:val="bottom"/>
          </w:tcPr>
          <w:p>
            <w:pPr>
              <w:spacing w:after="0"/>
              <w:rPr>
                <w:sz w:val="10"/>
                <w:szCs w:val="10"/>
                <w:color w:val="auto"/>
              </w:rPr>
            </w:pPr>
          </w:p>
        </w:tc>
        <w:tc>
          <w:tcPr>
            <w:tcW w:w="144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0"/>
              </w:rPr>
              <w:t>Unobservable</w:t>
            </w:r>
          </w:p>
        </w:tc>
        <w:tc>
          <w:tcPr>
            <w:tcW w:w="16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4"/>
              </w:rPr>
              <w:t>Range (Weighted</w:t>
            </w:r>
          </w:p>
        </w:tc>
        <w:tc>
          <w:tcPr>
            <w:tcW w:w="14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Impact to Valuation</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5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from an Increase to</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ind w:left="380"/>
              <w:spacing w:after="0"/>
              <w:rPr>
                <w:sz w:val="20"/>
                <w:szCs w:val="20"/>
                <w:color w:val="auto"/>
              </w:rPr>
            </w:pPr>
            <w:r>
              <w:rPr>
                <w:rFonts w:ascii="Arial" w:cs="Arial" w:eastAsia="Arial" w:hAnsi="Arial"/>
                <w:sz w:val="14"/>
                <w:szCs w:val="14"/>
                <w:b w:val="1"/>
                <w:bCs w:val="1"/>
                <w:color w:val="auto"/>
              </w:rPr>
              <w:t>Technique</w:t>
            </w:r>
          </w:p>
        </w:tc>
        <w:tc>
          <w:tcPr>
            <w:tcW w:w="220" w:type="dxa"/>
            <w:vAlign w:val="bottom"/>
          </w:tcPr>
          <w:p>
            <w:pPr>
              <w:spacing w:after="0"/>
              <w:rPr>
                <w:sz w:val="14"/>
                <w:szCs w:val="14"/>
                <w:color w:val="auto"/>
              </w:rPr>
            </w:pPr>
          </w:p>
        </w:tc>
        <w:tc>
          <w:tcPr>
            <w:tcW w:w="14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Input</w:t>
            </w:r>
          </w:p>
        </w:tc>
        <w:tc>
          <w:tcPr>
            <w:tcW w:w="16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Average)</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Input</w:t>
            </w:r>
          </w:p>
        </w:tc>
        <w:tc>
          <w:tcPr>
            <w:tcW w:w="0" w:type="dxa"/>
            <w:vAlign w:val="bottom"/>
          </w:tcPr>
          <w:p>
            <w:pPr>
              <w:spacing w:after="0"/>
              <w:rPr>
                <w:sz w:val="1"/>
                <w:szCs w:val="1"/>
                <w:color w:val="auto"/>
              </w:rPr>
            </w:pPr>
          </w:p>
        </w:tc>
      </w:tr>
      <w:tr>
        <w:trPr>
          <w:trHeight w:val="195"/>
        </w:trPr>
        <w:tc>
          <w:tcPr>
            <w:tcW w:w="39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Income</w:t>
            </w:r>
          </w:p>
        </w:tc>
        <w:tc>
          <w:tcPr>
            <w:tcW w:w="2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8.00% —</w:t>
            </w:r>
          </w:p>
        </w:tc>
        <w:tc>
          <w:tcPr>
            <w:tcW w:w="32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1,059,336</w:t>
            </w:r>
          </w:p>
        </w:tc>
        <w:tc>
          <w:tcPr>
            <w:tcW w:w="1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approach</w:t>
            </w:r>
            <w:r>
              <w:rPr>
                <w:rFonts w:ascii="Arial" w:cs="Arial" w:eastAsia="Arial" w:hAnsi="Arial"/>
                <w:sz w:val="15"/>
                <w:szCs w:val="15"/>
                <w:color w:val="auto"/>
              </w:rPr>
              <w:t>(1)</w:t>
            </w:r>
          </w:p>
        </w:tc>
        <w:tc>
          <w:tcPr>
            <w:tcW w:w="16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Market yield</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15.35% (10.86%)</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02"/>
        </w:trPr>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Income</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10.97% —</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9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61,250</w:t>
            </w: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approach</w:t>
            </w:r>
          </w:p>
        </w:tc>
        <w:tc>
          <w:tcPr>
            <w:tcW w:w="1660" w:type="dxa"/>
            <w:vAlign w:val="bottom"/>
            <w:gridSpan w:val="4"/>
          </w:tcPr>
          <w:p>
            <w:pPr>
              <w:ind w:left="220"/>
              <w:spacing w:after="0"/>
              <w:rPr>
                <w:sz w:val="20"/>
                <w:szCs w:val="20"/>
                <w:color w:val="auto"/>
              </w:rPr>
            </w:pPr>
            <w:r>
              <w:rPr>
                <w:rFonts w:ascii="Arial" w:cs="Arial" w:eastAsia="Arial" w:hAnsi="Arial"/>
                <w:sz w:val="18"/>
                <w:szCs w:val="18"/>
                <w:color w:val="auto"/>
              </w:rPr>
              <w:t>Market yield</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10.97% (10.97%)</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02"/>
        </w:trPr>
        <w:tc>
          <w:tcPr>
            <w:tcW w:w="3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Income</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20.78% —</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1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approach</w:t>
            </w:r>
          </w:p>
        </w:tc>
        <w:tc>
          <w:tcPr>
            <w:tcW w:w="16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Market yield</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20.78% (20.78%)</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02"/>
        </w:trPr>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Market Multiple,</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Discounted Cash</w:t>
            </w:r>
          </w:p>
        </w:tc>
        <w:tc>
          <w:tcPr>
            <w:tcW w:w="1660" w:type="dxa"/>
            <w:vAlign w:val="bottom"/>
            <w:gridSpan w:val="4"/>
          </w:tcPr>
          <w:p>
            <w:pPr>
              <w:ind w:left="220"/>
              <w:spacing w:after="0"/>
              <w:rPr>
                <w:sz w:val="20"/>
                <w:szCs w:val="20"/>
                <w:color w:val="auto"/>
              </w:rPr>
            </w:pPr>
            <w:r>
              <w:rPr>
                <w:rFonts w:ascii="Arial" w:cs="Arial" w:eastAsia="Arial" w:hAnsi="Arial"/>
                <w:sz w:val="18"/>
                <w:szCs w:val="18"/>
                <w:color w:val="auto"/>
              </w:rPr>
              <w:t>Comparable</w:t>
            </w:r>
          </w:p>
        </w:tc>
        <w:tc>
          <w:tcPr>
            <w:tcW w:w="16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7.9x — 13.0x</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Flow or Black</w:t>
            </w:r>
          </w:p>
        </w:tc>
        <w:tc>
          <w:tcPr>
            <w:tcW w:w="1660" w:type="dxa"/>
            <w:vAlign w:val="bottom"/>
            <w:gridSpan w:val="4"/>
          </w:tcPr>
          <w:p>
            <w:pPr>
              <w:ind w:left="220"/>
              <w:spacing w:after="0" w:line="202" w:lineRule="exact"/>
              <w:rPr>
                <w:sz w:val="20"/>
                <w:szCs w:val="20"/>
                <w:color w:val="auto"/>
              </w:rPr>
            </w:pPr>
            <w:r>
              <w:rPr>
                <w:rFonts w:ascii="Arial" w:cs="Arial" w:eastAsia="Arial" w:hAnsi="Arial"/>
                <w:sz w:val="18"/>
                <w:szCs w:val="18"/>
                <w:color w:val="auto"/>
              </w:rPr>
              <w:t>multiple,</w:t>
            </w:r>
          </w:p>
        </w:tc>
        <w:tc>
          <w:tcPr>
            <w:tcW w:w="1640" w:type="dxa"/>
            <w:vAlign w:val="bottom"/>
            <w:gridSpan w:val="2"/>
            <w:vMerge w:val="continue"/>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Scholes Option</w:t>
            </w:r>
          </w:p>
        </w:tc>
        <w:tc>
          <w:tcPr>
            <w:tcW w:w="1660" w:type="dxa"/>
            <w:vAlign w:val="bottom"/>
            <w:gridSpan w:val="4"/>
          </w:tcPr>
          <w:p>
            <w:pPr>
              <w:ind w:left="220"/>
              <w:spacing w:after="0"/>
              <w:rPr>
                <w:sz w:val="20"/>
                <w:szCs w:val="20"/>
                <w:color w:val="auto"/>
              </w:rPr>
            </w:pPr>
            <w:r>
              <w:rPr>
                <w:rFonts w:ascii="Arial" w:cs="Arial" w:eastAsia="Arial" w:hAnsi="Arial"/>
                <w:sz w:val="18"/>
                <w:szCs w:val="18"/>
                <w:color w:val="auto"/>
              </w:rPr>
              <w:t>discount rate</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(10.4x) or 14.4%</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Increase or</w:t>
            </w:r>
          </w:p>
        </w:tc>
        <w:tc>
          <w:tcPr>
            <w:tcW w:w="0" w:type="dxa"/>
            <w:vAlign w:val="bottom"/>
          </w:tcPr>
          <w:p>
            <w:pPr>
              <w:spacing w:after="0"/>
              <w:rPr>
                <w:sz w:val="1"/>
                <w:szCs w:val="1"/>
                <w:color w:val="auto"/>
              </w:rPr>
            </w:pPr>
          </w:p>
        </w:tc>
      </w:tr>
      <w:tr>
        <w:trPr>
          <w:trHeight w:val="244"/>
        </w:trPr>
        <w:tc>
          <w:tcPr>
            <w:tcW w:w="398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9,368</w:t>
            </w:r>
          </w:p>
        </w:tc>
        <w:tc>
          <w:tcPr>
            <w:tcW w:w="160" w:type="dxa"/>
            <w:vAlign w:val="bottom"/>
          </w:tcPr>
          <w:p>
            <w:pPr>
              <w:spacing w:after="0"/>
              <w:rPr>
                <w:sz w:val="21"/>
                <w:szCs w:val="21"/>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Model</w:t>
            </w:r>
          </w:p>
        </w:tc>
        <w:tc>
          <w:tcPr>
            <w:tcW w:w="1660" w:type="dxa"/>
            <w:vAlign w:val="bottom"/>
            <w:gridSpan w:val="4"/>
          </w:tcPr>
          <w:p>
            <w:pPr>
              <w:ind w:left="220"/>
              <w:spacing w:after="0"/>
              <w:rPr>
                <w:sz w:val="20"/>
                <w:szCs w:val="20"/>
                <w:color w:val="auto"/>
              </w:rPr>
            </w:pPr>
            <w:r>
              <w:rPr>
                <w:rFonts w:ascii="Arial" w:cs="Arial" w:eastAsia="Arial" w:hAnsi="Arial"/>
                <w:sz w:val="18"/>
                <w:szCs w:val="18"/>
                <w:color w:val="auto"/>
              </w:rPr>
              <w:t>or volatility</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or 40%</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40" w:hanging="452"/>
        <w:spacing w:after="0" w:line="277" w:lineRule="auto"/>
        <w:tabs>
          <w:tab w:leader="none" w:pos="4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Includes $15.6 million of first-lien debt investments which, due to the proximity of the transactions relative to the measurement date, were valued using the cost of the investments.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w w:val="95"/>
              </w:rPr>
              <w:t>December 31, 2013</w:t>
            </w:r>
          </w:p>
        </w:tc>
        <w:tc>
          <w:tcPr>
            <w:tcW w:w="1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Valuation</w:t>
            </w:r>
          </w:p>
        </w:tc>
        <w:tc>
          <w:tcPr>
            <w:tcW w:w="200" w:type="dxa"/>
            <w:vAlign w:val="bottom"/>
          </w:tcPr>
          <w:p>
            <w:pPr>
              <w:spacing w:after="0"/>
              <w:rPr>
                <w:sz w:val="10"/>
                <w:szCs w:val="10"/>
                <w:color w:val="auto"/>
              </w:rPr>
            </w:pPr>
          </w:p>
        </w:tc>
        <w:tc>
          <w:tcPr>
            <w:tcW w:w="15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Unobservable</w:t>
            </w:r>
          </w:p>
        </w:tc>
        <w:tc>
          <w:tcPr>
            <w:tcW w:w="16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Range (Weighted</w:t>
            </w:r>
          </w:p>
        </w:tc>
        <w:tc>
          <w:tcPr>
            <w:tcW w:w="14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Impact to Valuation</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9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from an Increase to</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ind w:left="420"/>
              <w:spacing w:after="0"/>
              <w:rPr>
                <w:sz w:val="20"/>
                <w:szCs w:val="20"/>
                <w:color w:val="auto"/>
              </w:rPr>
            </w:pPr>
            <w:r>
              <w:rPr>
                <w:rFonts w:ascii="Arial" w:cs="Arial" w:eastAsia="Arial" w:hAnsi="Arial"/>
                <w:sz w:val="14"/>
                <w:szCs w:val="14"/>
                <w:b w:val="1"/>
                <w:bCs w:val="1"/>
                <w:color w:val="auto"/>
              </w:rPr>
              <w:t>Technique</w:t>
            </w:r>
          </w:p>
        </w:tc>
        <w:tc>
          <w:tcPr>
            <w:tcW w:w="200" w:type="dxa"/>
            <w:vAlign w:val="bottom"/>
          </w:tcPr>
          <w:p>
            <w:pPr>
              <w:spacing w:after="0"/>
              <w:rPr>
                <w:sz w:val="14"/>
                <w:szCs w:val="14"/>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Input</w:t>
            </w:r>
          </w:p>
        </w:tc>
        <w:tc>
          <w:tcPr>
            <w:tcW w:w="16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Average)</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Input</w:t>
            </w:r>
          </w:p>
        </w:tc>
        <w:tc>
          <w:tcPr>
            <w:tcW w:w="0" w:type="dxa"/>
            <w:vAlign w:val="bottom"/>
          </w:tcPr>
          <w:p>
            <w:pPr>
              <w:spacing w:after="0"/>
              <w:rPr>
                <w:sz w:val="1"/>
                <w:szCs w:val="1"/>
                <w:color w:val="auto"/>
              </w:rPr>
            </w:pPr>
          </w:p>
        </w:tc>
      </w:tr>
      <w:tr>
        <w:trPr>
          <w:trHeight w:val="195"/>
        </w:trPr>
        <w:tc>
          <w:tcPr>
            <w:tcW w:w="39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5.50% —</w:t>
            </w:r>
          </w:p>
        </w:tc>
        <w:tc>
          <w:tcPr>
            <w:tcW w:w="32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13.12%</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854,972</w:t>
            </w:r>
          </w:p>
        </w:tc>
        <w:tc>
          <w:tcPr>
            <w:tcW w:w="1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Approach</w:t>
            </w:r>
          </w:p>
        </w:tc>
        <w:tc>
          <w:tcPr>
            <w:tcW w:w="17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Market Yield</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(9.81%)</w:t>
            </w:r>
          </w:p>
        </w:tc>
        <w:tc>
          <w:tcPr>
            <w:tcW w:w="15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8"/>
              </w:rPr>
              <w:t>Decrease</w:t>
            </w:r>
          </w:p>
        </w:tc>
        <w:tc>
          <w:tcPr>
            <w:tcW w:w="0" w:type="dxa"/>
            <w:vAlign w:val="bottom"/>
          </w:tcPr>
          <w:p>
            <w:pPr>
              <w:spacing w:after="0"/>
              <w:rPr>
                <w:sz w:val="1"/>
                <w:szCs w:val="1"/>
                <w:color w:val="auto"/>
              </w:rPr>
            </w:pPr>
          </w:p>
        </w:tc>
      </w:tr>
      <w:tr>
        <w:trPr>
          <w:trHeight w:val="202"/>
        </w:trPr>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9.32% —</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103,530</w:t>
            </w:r>
          </w:p>
        </w:tc>
        <w:tc>
          <w:tcPr>
            <w:tcW w:w="1600" w:type="dxa"/>
            <w:vAlign w:val="bottom"/>
            <w:gridSpan w:val="2"/>
          </w:tcPr>
          <w:p>
            <w:pPr>
              <w:ind w:left="140"/>
              <w:spacing w:after="0"/>
              <w:rPr>
                <w:sz w:val="20"/>
                <w:szCs w:val="20"/>
                <w:color w:val="auto"/>
              </w:rPr>
            </w:pPr>
            <w:r>
              <w:rPr>
                <w:rFonts w:ascii="Arial" w:cs="Arial" w:eastAsia="Arial" w:hAnsi="Arial"/>
                <w:sz w:val="18"/>
                <w:szCs w:val="18"/>
                <w:color w:val="auto"/>
              </w:rPr>
              <w:t>Income Approach</w:t>
            </w:r>
          </w:p>
        </w:tc>
        <w:tc>
          <w:tcPr>
            <w:tcW w:w="1780" w:type="dxa"/>
            <w:vAlign w:val="bottom"/>
            <w:gridSpan w:val="3"/>
          </w:tcPr>
          <w:p>
            <w:pPr>
              <w:ind w:left="200"/>
              <w:spacing w:after="0"/>
              <w:rPr>
                <w:sz w:val="20"/>
                <w:szCs w:val="20"/>
                <w:color w:val="auto"/>
              </w:rPr>
            </w:pPr>
            <w:r>
              <w:rPr>
                <w:rFonts w:ascii="Arial" w:cs="Arial" w:eastAsia="Arial" w:hAnsi="Arial"/>
                <w:sz w:val="18"/>
                <w:szCs w:val="18"/>
                <w:color w:val="auto"/>
              </w:rPr>
              <w:t>Market Yield</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9.87% (9.59%)</w:t>
            </w:r>
          </w:p>
        </w:tc>
        <w:tc>
          <w:tcPr>
            <w:tcW w:w="1520" w:type="dxa"/>
            <w:vAlign w:val="bottom"/>
            <w:gridSpan w:val="2"/>
          </w:tcPr>
          <w:p>
            <w:pPr>
              <w:ind w:left="740"/>
              <w:spacing w:after="0"/>
              <w:rPr>
                <w:sz w:val="20"/>
                <w:szCs w:val="20"/>
                <w:color w:val="auto"/>
              </w:rPr>
            </w:pPr>
            <w:r>
              <w:rPr>
                <w:rFonts w:ascii="Arial" w:cs="Arial" w:eastAsia="Arial" w:hAnsi="Arial"/>
                <w:sz w:val="18"/>
                <w:szCs w:val="18"/>
                <w:color w:val="auto"/>
                <w:w w:val="98"/>
              </w:rPr>
              <w:t>Decrease</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8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Weighted</w:t>
            </w: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80" w:type="dxa"/>
            <w:vAlign w:val="bottom"/>
            <w:gridSpan w:val="3"/>
          </w:tcPr>
          <w:p>
            <w:pPr>
              <w:ind w:left="200"/>
              <w:spacing w:after="0"/>
              <w:rPr>
                <w:sz w:val="20"/>
                <w:szCs w:val="20"/>
                <w:color w:val="auto"/>
              </w:rPr>
            </w:pPr>
            <w:r>
              <w:rPr>
                <w:rFonts w:ascii="Arial" w:cs="Arial" w:eastAsia="Arial" w:hAnsi="Arial"/>
                <w:sz w:val="18"/>
                <w:szCs w:val="18"/>
                <w:color w:val="auto"/>
              </w:rPr>
              <w:t>Average Cost of</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12.1% —</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Equity investments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1,805</w:t>
            </w:r>
          </w:p>
        </w:tc>
        <w:tc>
          <w:tcPr>
            <w:tcW w:w="1600" w:type="dxa"/>
            <w:vAlign w:val="bottom"/>
            <w:gridSpan w:val="2"/>
          </w:tcPr>
          <w:p>
            <w:pPr>
              <w:ind w:left="140"/>
              <w:spacing w:after="0"/>
              <w:rPr>
                <w:sz w:val="20"/>
                <w:szCs w:val="20"/>
                <w:color w:val="auto"/>
              </w:rPr>
            </w:pPr>
            <w:r>
              <w:rPr>
                <w:rFonts w:ascii="Arial" w:cs="Arial" w:eastAsia="Arial" w:hAnsi="Arial"/>
                <w:sz w:val="18"/>
                <w:szCs w:val="18"/>
                <w:color w:val="auto"/>
              </w:rPr>
              <w:t>Income Approach</w:t>
            </w:r>
          </w:p>
        </w:tc>
        <w:tc>
          <w:tcPr>
            <w:tcW w:w="1780" w:type="dxa"/>
            <w:vAlign w:val="bottom"/>
            <w:gridSpan w:val="3"/>
          </w:tcPr>
          <w:p>
            <w:pPr>
              <w:ind w:left="200"/>
              <w:spacing w:after="0"/>
              <w:rPr>
                <w:sz w:val="20"/>
                <w:szCs w:val="20"/>
                <w:color w:val="auto"/>
              </w:rPr>
            </w:pPr>
            <w:r>
              <w:rPr>
                <w:rFonts w:ascii="Arial" w:cs="Arial" w:eastAsia="Arial" w:hAnsi="Arial"/>
                <w:sz w:val="18"/>
                <w:szCs w:val="18"/>
                <w:color w:val="auto"/>
              </w:rPr>
              <w:t>Capital (WACC)</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15.3% (14.0%)</w:t>
            </w:r>
          </w:p>
        </w:tc>
        <w:tc>
          <w:tcPr>
            <w:tcW w:w="1520" w:type="dxa"/>
            <w:vAlign w:val="bottom"/>
            <w:gridSpan w:val="2"/>
          </w:tcPr>
          <w:p>
            <w:pPr>
              <w:ind w:left="740"/>
              <w:spacing w:after="0"/>
              <w:rPr>
                <w:sz w:val="20"/>
                <w:szCs w:val="20"/>
                <w:color w:val="auto"/>
              </w:rPr>
            </w:pPr>
            <w:r>
              <w:rPr>
                <w:rFonts w:ascii="Arial" w:cs="Arial" w:eastAsia="Arial" w:hAnsi="Arial"/>
                <w:sz w:val="18"/>
                <w:szCs w:val="18"/>
                <w:color w:val="auto"/>
                <w:w w:val="98"/>
              </w:rPr>
              <w:t>Decrease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8"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Significant unobservable quantitative inputs typically used in the fair value measurement of the Company’s Level 3 debt investments primarily include current market yields, including relevant market indices, but may also include quotes from brokers, dealers, and pricing services as indicated by comparable investments. For the Company’s Level 3 equity investments, multiples of similar companies’ revenues, earnings before income taxes, depreciation and amortization (“EBITDA”) or some combination thereof and comparable market transactions are typically used.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fair value of the Company’s revolving credit facilities, which are categorized as Level 3 within the fair value hierarchy, as of December 31, 2014 and 2013, approximates their carrying value as the outstanding balances are callable at carrying value.</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fair value of the Company’s Convertible Senior Notes, which is categorized as Level 2 within the fair value hierarchy, as of December 31, 2014, was $112.2 million, based on broker quotes received by the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117"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The carrying amounts of the Company’s assets and liabilities, other than investments at fair value,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debt, are classified as Level 2.</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In accordance with the 1940 Act, with certain limitations, the Company is allowed to borrow amounts such that its asset coverage, as defined in the 1940 Act, is at least 200% after such borrowing. As of December 31, 2014 and 2013, the Company’s asset coverage was 311.0% and 232.9%, respectively.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December 31, 2014 and 2013:</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December 31, 2014</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Aggregate Principal</w:t>
            </w:r>
          </w:p>
        </w:tc>
        <w:tc>
          <w:tcPr>
            <w:tcW w:w="136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Outstanding</w:t>
            </w:r>
          </w:p>
        </w:tc>
        <w:tc>
          <w:tcPr>
            <w:tcW w:w="120" w:type="dxa"/>
            <w:vAlign w:val="bottom"/>
          </w:tcPr>
          <w:p>
            <w:pPr>
              <w:spacing w:after="0"/>
              <w:rPr>
                <w:sz w:val="10"/>
                <w:szCs w:val="10"/>
                <w:color w:val="auto"/>
              </w:rPr>
            </w:pPr>
          </w:p>
        </w:tc>
        <w:tc>
          <w:tcPr>
            <w:tcW w:w="1120" w:type="dxa"/>
            <w:vAlign w:val="bottom"/>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r>
      <w:tr>
        <w:trPr>
          <w:trHeight w:val="171"/>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Amount Committed</w:t>
            </w:r>
          </w:p>
        </w:tc>
        <w:tc>
          <w:tcPr>
            <w:tcW w:w="12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Principal</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Available</w:t>
            </w:r>
            <w:r>
              <w:rPr>
                <w:rFonts w:ascii="Arial" w:cs="Arial" w:eastAsia="Arial" w:hAnsi="Arial"/>
                <w:sz w:val="12"/>
                <w:szCs w:val="12"/>
                <w:b w:val="1"/>
                <w:bCs w:val="1"/>
                <w:color w:val="auto"/>
              </w:rPr>
              <w:t>(1)</w:t>
            </w:r>
          </w:p>
        </w:tc>
        <w:tc>
          <w:tcPr>
            <w:tcW w:w="8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SPV Asset Facility</w:t>
            </w:r>
            <w:r>
              <w:rPr>
                <w:rFonts w:ascii="Arial" w:cs="Arial" w:eastAsia="Arial" w:hAnsi="Arial"/>
                <w:sz w:val="15"/>
                <w:szCs w:val="15"/>
                <w:color w:val="auto"/>
              </w:rPr>
              <w:t>(2)</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106,725</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45,279</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1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781,250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177,216</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466,189</w:t>
            </w: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177,216</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115,000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115,000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111,923</w:t>
            </w:r>
          </w:p>
        </w:tc>
      </w:tr>
      <w:tr>
        <w:trPr>
          <w:trHeight w:val="223"/>
        </w:trPr>
        <w:tc>
          <w:tcPr>
            <w:tcW w:w="4200" w:type="dxa"/>
            <w:vAlign w:val="bottom"/>
          </w:tcPr>
          <w:p>
            <w:pPr>
              <w:ind w:left="360"/>
              <w:spacing w:after="0"/>
              <w:rPr>
                <w:sz w:val="20"/>
                <w:szCs w:val="20"/>
                <w:color w:val="auto"/>
              </w:rPr>
            </w:pPr>
            <w:r>
              <w:rPr>
                <w:rFonts w:ascii="Arial" w:cs="Arial" w:eastAsia="Arial" w:hAnsi="Arial"/>
                <w:sz w:val="18"/>
                <w:szCs w:val="18"/>
                <w:b w:val="1"/>
                <w:bCs w:val="1"/>
                <w:color w:val="auto"/>
              </w:rPr>
              <w:t>Total Debt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1,071,250</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398,941</w:t>
            </w:r>
          </w:p>
        </w:tc>
        <w:tc>
          <w:tcPr>
            <w:tcW w:w="46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$ 511,468</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395,864</w:t>
            </w:r>
          </w:p>
        </w:tc>
        <w:tc>
          <w:tcPr>
            <w:tcW w:w="10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December 31, 2013</w:t>
            </w: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9"/>
        </w:trPr>
        <w:tc>
          <w:tcPr>
            <w:tcW w:w="4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Aggregate Principal</w:t>
            </w:r>
          </w:p>
        </w:tc>
        <w:tc>
          <w:tcPr>
            <w:tcW w:w="136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Outstanding</w:t>
            </w:r>
          </w:p>
        </w:tc>
        <w:tc>
          <w:tcPr>
            <w:tcW w:w="120" w:type="dxa"/>
            <w:vAlign w:val="bottom"/>
          </w:tcPr>
          <w:p>
            <w:pPr>
              <w:spacing w:after="0"/>
              <w:rPr>
                <w:sz w:val="10"/>
                <w:szCs w:val="10"/>
                <w:color w:val="auto"/>
              </w:rPr>
            </w:pPr>
          </w:p>
        </w:tc>
        <w:tc>
          <w:tcPr>
            <w:tcW w:w="1120" w:type="dxa"/>
            <w:vAlign w:val="bottom"/>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r>
      <w:tr>
        <w:trPr>
          <w:trHeight w:val="171"/>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Amount Committed</w:t>
            </w:r>
          </w:p>
        </w:tc>
        <w:tc>
          <w:tcPr>
            <w:tcW w:w="12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Principal</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Available</w:t>
            </w:r>
            <w:r>
              <w:rPr>
                <w:rFonts w:ascii="Arial" w:cs="Arial" w:eastAsia="Arial" w:hAnsi="Arial"/>
                <w:sz w:val="12"/>
                <w:szCs w:val="12"/>
                <w:b w:val="1"/>
                <w:bCs w:val="1"/>
                <w:color w:val="auto"/>
              </w:rPr>
              <w:t>(1)</w:t>
            </w:r>
          </w:p>
        </w:tc>
        <w:tc>
          <w:tcPr>
            <w:tcW w:w="8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 Credit Facility</w:t>
            </w:r>
            <w:r>
              <w:rPr>
                <w:rFonts w:ascii="Arial" w:cs="Arial" w:eastAsia="Arial" w:hAnsi="Arial"/>
                <w:sz w:val="15"/>
                <w:szCs w:val="15"/>
                <w:color w:val="auto"/>
              </w:rPr>
              <w:t>(3)</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SPV Asset Facility</w:t>
            </w:r>
          </w:p>
        </w:tc>
        <w:tc>
          <w:tcPr>
            <w:tcW w:w="1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77,767</w:t>
            </w:r>
          </w:p>
        </w:tc>
        <w:tc>
          <w:tcPr>
            <w:tcW w:w="1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77,767</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400,000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322,500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77,500</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322,500</w:t>
            </w:r>
          </w:p>
        </w:tc>
      </w:tr>
      <w:tr>
        <w:trPr>
          <w:trHeight w:val="223"/>
        </w:trPr>
        <w:tc>
          <w:tcPr>
            <w:tcW w:w="4200" w:type="dxa"/>
            <w:vAlign w:val="bottom"/>
          </w:tcPr>
          <w:p>
            <w:pPr>
              <w:ind w:left="360"/>
              <w:spacing w:after="0"/>
              <w:rPr>
                <w:sz w:val="20"/>
                <w:szCs w:val="20"/>
                <w:color w:val="auto"/>
              </w:rPr>
            </w:pPr>
            <w:r>
              <w:rPr>
                <w:rFonts w:ascii="Arial" w:cs="Arial" w:eastAsia="Arial" w:hAnsi="Arial"/>
                <w:sz w:val="18"/>
                <w:szCs w:val="18"/>
                <w:b w:val="1"/>
                <w:bCs w:val="1"/>
                <w:color w:val="auto"/>
              </w:rPr>
              <w:t>Total Debt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600,000</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432,267</w:t>
            </w:r>
          </w:p>
        </w:tc>
        <w:tc>
          <w:tcPr>
            <w:tcW w:w="46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$ 145,500</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432,267</w:t>
            </w:r>
          </w:p>
        </w:tc>
        <w:tc>
          <w:tcPr>
            <w:tcW w:w="10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reinvestment period under the SPV Asset Facility terminated on January 21, 2015 and accordingly any undrawn availability under the facility also terminated.</w:t>
      </w:r>
    </w:p>
    <w:p>
      <w:pPr>
        <w:ind w:left="460" w:right="20" w:hanging="452"/>
        <w:spacing w:after="0" w:line="261" w:lineRule="auto"/>
        <w:tabs>
          <w:tab w:leader="none" w:pos="4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On February 27, 2014, the Company terminated the Subscription Credit Facility, effective March 4, 2014. The outstanding balance was paid down prior to terminating the facility.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years ended December 31, 2014, 2013 and 2012, the components of interest expense were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15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1"/>
              </w:rPr>
              <w:t>December 31, 2014</w:t>
            </w:r>
          </w:p>
        </w:tc>
        <w:tc>
          <w:tcPr>
            <w:tcW w:w="220" w:type="dxa"/>
            <w:vAlign w:val="bottom"/>
          </w:tcPr>
          <w:p>
            <w:pPr>
              <w:spacing w:after="0"/>
              <w:rPr>
                <w:sz w:val="14"/>
                <w:szCs w:val="14"/>
                <w:color w:val="auto"/>
              </w:rPr>
            </w:pPr>
          </w:p>
        </w:tc>
        <w:tc>
          <w:tcPr>
            <w:tcW w:w="16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3"/>
              </w:rPr>
              <w:t>December 31, 2013</w:t>
            </w:r>
          </w:p>
        </w:tc>
        <w:tc>
          <w:tcPr>
            <w:tcW w:w="220" w:type="dxa"/>
            <w:vAlign w:val="bottom"/>
          </w:tcPr>
          <w:p>
            <w:pPr>
              <w:spacing w:after="0"/>
              <w:rPr>
                <w:sz w:val="14"/>
                <w:szCs w:val="14"/>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3"/>
              </w:rPr>
              <w:t>December 31, 2012</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9,962</w:t>
            </w: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7,168</w:t>
            </w: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Commitment fees</w:t>
            </w:r>
          </w:p>
        </w:tc>
        <w:tc>
          <w:tcPr>
            <w:tcW w:w="16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2,263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1,398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2,553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Interest Expense</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15,078</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10,469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6,020</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Average debt outstanding (in millions)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vMerge w:val="continue"/>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377.1</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266.1</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111.2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On August 23, 2012, the Company entered into a senior secured revolving credit agreement with SunTrust Bank, as administrative agent, and J.P. Morgan Chase Bank, N.A., as syndication agent, and certain other lenders. On July 2, 2013, the Company entered into an agreement to amend and restate the agreement, effective on July 3, 2013. The amended and restated facility, among other things, increased the size of the facility from $200 million to $350 million. The facility included an uncommitted accordion feature that allowed the Company, under certain circumstances, to increase the size of the facility up to $550 million. On September 30, 2013, the Company exercised its right under the accordion feature and increased the size of the facility to $400 million. On January 27, 2014, the Company again exercised its right under the accordion feature and increased the size of the facility to $420 million.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On February 27, 2014, the Company further amended and restated the agreement. The second amended and restated agreement (the Revolving Credit Facility), among other things:</w:t>
      </w:r>
    </w:p>
    <w:p>
      <w:pPr>
        <w:spacing w:after="0" w:line="76" w:lineRule="exact"/>
        <w:rPr>
          <w:sz w:val="20"/>
          <w:szCs w:val="20"/>
          <w:color w:val="auto"/>
        </w:rPr>
      </w:pPr>
    </w:p>
    <w:p>
      <w:pPr>
        <w:ind w:left="900" w:hanging="325"/>
        <w:spacing w:after="0"/>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the Company, under certain circumstances to increase the size of the facility up to $956.3 million;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30" w:lineRule="exact"/>
        <w:rPr>
          <w:rFonts w:ascii="Arial" w:cs="Arial" w:eastAsia="Arial" w:hAnsi="Arial"/>
          <w:sz w:val="18"/>
          <w:szCs w:val="18"/>
          <w:color w:val="auto"/>
        </w:rPr>
      </w:pPr>
    </w:p>
    <w:p>
      <w:pPr>
        <w:ind w:left="1480" w:right="180" w:hanging="446"/>
        <w:spacing w:after="0" w:line="277" w:lineRule="auto"/>
        <w:tabs>
          <w:tab w:leader="none" w:pos="148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the Company, subject to certain conditions, may make borrowings under the facility,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On May 30, 2014, the Company entered into agreements with various financial institutions pursuant to which each of the institutions agreed to provide commitments through the accordion feature of the Revolving Credit Facility, increasing the aggregate commitments from $581.3 million to $781.3 million.</w:t>
      </w:r>
    </w:p>
    <w:p>
      <w:pPr>
        <w:spacing w:after="0" w:line="12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On June 27, 2014, the Company further amended the Revolving Credit Facility to extend the $36.3 million in commitments not previously extended such that the revolving period as it related to all outstanding commitments would expire on February 27, 2018 and the stated maturity date as it related to all outstanding commitments would be February 27, 2019.</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17, 2014, the Company entered into a third amendment to the Revolving Credit Facility:</w:t>
      </w:r>
    </w:p>
    <w:p>
      <w:pPr>
        <w:spacing w:after="0" w:line="131" w:lineRule="exact"/>
        <w:rPr>
          <w:sz w:val="20"/>
          <w:szCs w:val="20"/>
          <w:color w:val="auto"/>
        </w:rPr>
      </w:pPr>
    </w:p>
    <w:p>
      <w:pPr>
        <w:ind w:left="900" w:right="240" w:hanging="325"/>
        <w:spacing w:after="0" w:line="342" w:lineRule="auto"/>
        <w:tabs>
          <w:tab w:leader="none" w:pos="90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decreasing the applicable margin with respect to (i) any loan bearing interest at a rate determined by reference to the Alternate Base Rate from 1.25% to 1.00% and (ii) any loan bearing interest at a rate determined by reference to the Adjusted LIBO Rate from 2.25% to 2.00%;</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decreasing the aggregate commitments from $781.3 million to $766.3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extending the revolving period from February 27, 2018 to October 17, 2018;</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extending the stated maturity date from February 27, 2019 to October 17, 2019;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increasing the sublimit applicable to letters of credit from $20 million to $100 million.</w:t>
      </w:r>
    </w:p>
    <w:p>
      <w:pPr>
        <w:spacing w:after="0" w:line="22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On October 23, 2014, the Company entered into an agreement with a financial institution pursuant to which the institution agreed to provide commitments through the accordion feature, increasing the aggregate commitments from $766.3 million to $776.3 million. On November 3, 2014, an existing lender agreed to increase their commitment through the accordion feature, increasing aggregate commitments from $776.3 million to $781.3 million.</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Revolving Credit Facility continues to include the accordion feature, which would allow the Company, under certain circumstances, to increase the size to a maximum of $956.3 million.</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Company may borrow amounts in U.S. dollars or certain other permitted currencies. As of December 31, 2014, the Company had outstanding debt denominated in Swedish Krona (SEK) of 205.8 million, Euro (EUR) of 28.1 million and Pound Sterling (GBP) of 14.1 million on its Revolving Credit Facility, included in the Outstanding Principal amount in the table above.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380"/>
          </w:cols>
          <w:pgMar w:left="240" w:top="460" w:right="27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Amounts drawn under the Revolving Credit Facility, including amounts drawn in respect of letters of credit, bear interest at either LIBOR plus a margin, or the prime rate plus a margin. The Company may elect either the LIBOR or prime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Revolving Credit Facility is guaranteed by TC Lending, LLC and TSL MR, LLC and may be guaranteed by certain domestic subsidiaries that are formed or acquired by the Company in the future.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8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76" w:lineRule="exact"/>
        <w:rPr>
          <w:sz w:val="20"/>
          <w:szCs w:val="20"/>
          <w:color w:val="auto"/>
        </w:rPr>
      </w:pPr>
    </w:p>
    <w:p>
      <w:pPr>
        <w:ind w:left="900" w:hanging="325"/>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30" w:lineRule="exact"/>
        <w:rPr>
          <w:rFonts w:ascii="Arial" w:cs="Arial" w:eastAsia="Arial" w:hAnsi="Arial"/>
          <w:sz w:val="18"/>
          <w:szCs w:val="18"/>
          <w:color w:val="auto"/>
        </w:rPr>
      </w:pPr>
    </w:p>
    <w:p>
      <w:pPr>
        <w:ind w:left="900" w:right="380" w:hanging="325"/>
        <w:spacing w:after="0" w:line="264"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 liquidity test under which the Company must maintain cash and liquid investments of at least 10% of the covered debt amount under circumstances where the Company’s adjusted covered debt balance is greater than 90% of the Company’s adjusted borrowing base under the facility;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October 17, 2014.</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Net proceeds received from the Company’s IPO, the exercise of the underwriters’ over-allotment option from the IPO, and net proceeds received from the issuance of the Convertible Senior Notes were used to pay down borrowings on the Revolving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SPV Asset Facility</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On May 8, 2012, the “Closing Date,” the Company’s wholly owned subsidiary TPG SL SPV, LLC, a Delaware limited liability company, entered into a credit and security agreement with Natixis, New York Branch. Also on May 8, 2012, the Company contributed certain investments to TPG SL SPV pursuant to the terms of a Master Sale and Contribution Agreement by and between the Company and TPG SL SPV. The Company consolidates TPG SL SPV in its consolidated financial statements, and no gain or loss was recognized as a result of the contribution. Proceeds from the SPV Asset Facility may be used to finance the acquisition of eligible assets by TPG SL SPV, including the purchase of such assets from the Company. The Company retains a residual interest in assets contributed to or acquired by TPG SL SPV through its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7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Proceeds received by TPG SL SPV from interest, dividends or fees on assets are required to be used to pay expenses and interest on outstanding borrowings, and the excess can be returned to the Company, subject to certain conditions, on a quarterly basis. Prior to the Commitment Termination Date, proceeds received from principal on assets could be used to pay down borrowings or make additional investments. Following the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January 21, 2014, TPG SL SPV entered into an agreement to amend and restate the credit and security agreement (as amended, SPV Asset Facility).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amended and restated facility, among other things:</w:t>
      </w:r>
    </w:p>
    <w:p>
      <w:pPr>
        <w:spacing w:after="0" w:line="116" w:lineRule="exact"/>
        <w:rPr>
          <w:sz w:val="20"/>
          <w:szCs w:val="20"/>
          <w:color w:val="auto"/>
        </w:rPr>
      </w:pPr>
    </w:p>
    <w:p>
      <w:pPr>
        <w:ind w:left="900" w:hanging="325"/>
        <w:spacing w:after="0"/>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increased the size of the facility from $100 million to $175 million;</w:t>
      </w:r>
    </w:p>
    <w:p>
      <w:pPr>
        <w:spacing w:after="0" w:line="130"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reopened the reinvestment period thereunder for an additional period of six months following the closing date of January 21, 2014, which reinvestment period was subsequently extended by the borrower for an additional six month period (pursuant to an extension right exercisable by the borrower) so that the reinvestment period would remain open until January 21, 2015;</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extended the stated maturity date from May 8, 2020 to January 21, 2021;</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modified pricing;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made certain changes to the eligibility criteria and concentration limits.</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reinvestment period under the SPV Asset Facility terminated on January 21, 2015 and accordingly any undrawn availability under the facility also terminated.</w:t>
      </w:r>
    </w:p>
    <w:p>
      <w:pPr>
        <w:spacing w:after="0" w:line="17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Amounts drawn under the original credit and security agreement bore interest at LIBOR plus a margin or base rate plus a margin, in each case at TPG SL SPV’s option. Amounts drawn under the amended and restated SPV Asset Facility bear interest at LIBOR plus a margin, base rate plus a margin or the lenders’ cost of funds plus a margin, in each case at TPG SL SPV’s option. TPG SL SPV’s ability to borrow at lenders’ cost of funds plus a margin under the amended and restated SPV Asset Facility lowered the interest rate currently applicable on the Company’s borrowings under the SPV Asset Facility. The undrawn portion of the commitment bore an unutilized commitment fee of 0.75%. This fee ceased to accrue on January 21, 2015 when the reinvestment period ended. The SPV Asset Facility contains customary covenants, including covenants relating to separateness from the Adviser and its affiliates and long-term credit ratings with respect to the underlying collateral obligations, and events of default. The SPV Asset Facility is secured by a perfected first priority security interest in the assets of TPG SL SPV and on any payments received by TPG SL SPV in respect of such assets, which accordingly are not available to pay the Company’s other debt obligations</w:t>
      </w:r>
    </w:p>
    <w:p>
      <w:pPr>
        <w:spacing w:after="0" w:line="18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December 31, 2014, and 2013 TPG SL SPV had $334.0 million and $184.3 million, respectively, in investments at fair value, and $108.8 million and $78.3 million, respectively, in liabilities, including the outstanding borrowings, on its balance sheet. As of December 31, 2014, and 2013 TPG SL SPV had $10.2 million and $6.3 million, respectively, in restricted cash, a component of prepaid expenses and other assets, in the accompanying consolidated financial statements.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of TPG SL SPV are considered the Company’s borrowings for purposes of complying with the asset coverage requirements of the 1940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June 10, 2014, the Company issued $115 million aggregate principal amount convertible senior notes due December 2019 (the “Convertible Senior Notes”). The Convertible Senior Notes were issued in a private placement only to qualified institutional buyers pursuant to Rule 144A under the Securities Act of 1933, as amended. The Convertible Senior Notes are unsecured, and bear interest at a rate of 4.50% per year, payable semiannually. The Convertible Senior Notes will mature on December 15, 2019. In certain circumstances, the Convertible Senior Notes will be convertible into cash, shares of the Company’s common stock or a combination of cash and shares of the Company’s common stock, at the Company’s election, at an initial conversion rate of 38.7162 shares of common stock per $1,000 principal amount of Convertible Senior Notes, which is equivalent to an initial conversion price of approximately $25.83 per share of the Company’s common stock, subject to customary anti-dilution adjustments. The sale of the Convertible Senior Notes generated net proceeds of approximately $110.8 million. The Company used the net proceeds of the offering to pay down debt under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Revolving Credit Facility. In connection with the offering of Convertible Senior Notes, the Company entered into interest rate swaps to continue to align the interest rates of its liabilities with its investment portfolio, which consists of predominately floating rate loans. As a result of the swaps, as of December 31, 2014, the Company’s effective interest rate on the Convertible Senior Notes was three-month LIBOR plus 252.9 basis points. See Note 5 for further information related to the Company’s interest rate swaps.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Holders may convert their Convertible Senior Notes at their option at any time prior to June 15, 2019 only under the following circumstances:</w:t>
      </w:r>
    </w:p>
    <w:p>
      <w:pPr>
        <w:spacing w:after="0" w:line="35" w:lineRule="exact"/>
        <w:rPr>
          <w:sz w:val="20"/>
          <w:szCs w:val="20"/>
          <w:color w:val="auto"/>
        </w:rPr>
      </w:pPr>
    </w:p>
    <w:p>
      <w:pPr>
        <w:ind w:right="40" w:firstLine="8"/>
        <w:spacing w:after="0" w:line="281" w:lineRule="auto"/>
        <w:tabs>
          <w:tab w:leader="none" w:pos="255" w:val="left"/>
        </w:tabs>
        <w:numPr>
          <w:ilvl w:val="0"/>
          <w:numId w:val="154"/>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2" w:lineRule="exact"/>
        <w:rPr>
          <w:rFonts w:ascii="Arial" w:cs="Arial" w:eastAsia="Arial" w:hAnsi="Arial"/>
          <w:sz w:val="16"/>
          <w:szCs w:val="16"/>
          <w:color w:val="auto"/>
        </w:rPr>
      </w:pPr>
    </w:p>
    <w:p>
      <w:pPr>
        <w:ind w:firstLine="8"/>
        <w:spacing w:after="0" w:line="271" w:lineRule="auto"/>
        <w:tabs>
          <w:tab w:leader="none" w:pos="25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during the five business day period after any five consecutive trading day period (the “measurement period”) in which the trading price (as defined in the indenture governing the Convertible Senior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179"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notes are senior unsecured obligations and rank senior in right of payment to the Company’s future indebtedness that is expressly subordinated in right of payment to the notes; equal in right of payment to the Company’s existing and future indebtedness that is not so subordinated; effectively junior in right of payment to any of the Company’s secured indebtedness (including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 ended December 31, 2014, the components of interest expense related to the Convertible Senior Notes were as follows: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2014</w:t>
            </w:r>
          </w:p>
        </w:tc>
      </w:tr>
      <w:tr>
        <w:trPr>
          <w:trHeight w:val="210"/>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18"/>
                <w:szCs w:val="18"/>
                <w:color w:val="auto"/>
              </w:rPr>
            </w:pPr>
          </w:p>
        </w:tc>
      </w:tr>
      <w:tr>
        <w:trPr>
          <w:trHeight w:val="223"/>
        </w:trPr>
        <w:tc>
          <w:tcPr>
            <w:tcW w:w="6200" w:type="dxa"/>
            <w:vAlign w:val="bottom"/>
          </w:tcPr>
          <w:p>
            <w:pPr>
              <w:ind w:left="360"/>
              <w:spacing w:after="0"/>
              <w:rPr>
                <w:sz w:val="20"/>
                <w:szCs w:val="20"/>
                <w:color w:val="auto"/>
              </w:rPr>
            </w:pPr>
            <w:r>
              <w:rPr>
                <w:rFonts w:ascii="Arial" w:cs="Arial" w:eastAsia="Arial" w:hAnsi="Arial"/>
                <w:sz w:val="18"/>
                <w:szCs w:val="18"/>
                <w:b w:val="1"/>
                <w:bCs w:val="1"/>
                <w:color w:val="auto"/>
              </w:rPr>
              <w:t>Total Interest Expense</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3,606</w:t>
            </w:r>
          </w:p>
        </w:tc>
        <w:tc>
          <w:tcPr>
            <w:tcW w:w="12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Total interest expense in the table above does not include the effect of the interest rate swaps. During the year ended December 31, 2014, the Company received $2.6 million and paid $1.6 million related to the quarterly settlement of its interest rate swaps. This net amount is a reduction to interest expense in the Company’s consolidated statements of operations. Please see Note 5 for further information about the Company’s interest rate swaps.</w:t>
      </w:r>
    </w:p>
    <w:p>
      <w:pPr>
        <w:spacing w:after="0" w:line="14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As of December 31, 2014, the principal amount of the Convertible Senior Notes exceeded the value of the underlying shares multiplied by the per share closing price of the Company’s common stock.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60" w:right="2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December 31, 2014, the components of the carrying value of the Convertible Senior Notes and the stated interest rate were as follows:</w:t>
      </w:r>
    </w:p>
    <w:p>
      <w:pPr>
        <w:spacing w:after="0" w:line="24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December 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Senior Notes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Principal amount of debt</w:t>
            </w:r>
          </w:p>
        </w:tc>
        <w:tc>
          <w:tcPr>
            <w:tcW w:w="1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(3,077)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of debt</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111,923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Stated interest rate</w:t>
            </w: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80" w:type="dxa"/>
            <w:vAlign w:val="bottom"/>
            <w:gridSpan w:val="2"/>
            <w:vMerge w:val="continue"/>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The stated interest rate in the table above does not include the effect of the interest rate swaps. The Company’s swap-adjusted interest rate as of December 31, 2014 was three-month LIBOR plus 252.9 basis points. Please see Note 5 for further information about the Company’s interest rate swaps.</w:t>
      </w:r>
    </w:p>
    <w:p>
      <w:pPr>
        <w:spacing w:after="0" w:line="124"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Convertible Senior Notes Indenture contains certain covenants, including covenants requiring the Company to comply with the requirement under the 1940 Act that the Company’s asset coverage ratio, as defined in the 1940 Act, equal at least 200% and to provide financial information to the holders of the Convertible Senior Notes under certain circumstances. These covenants are subject to important limitations and exceptions that are described in the Convertible Senior Notes Indenture. As of December 31, 2014, the Company was in compliance with the terms of the Convertible Senior Notes Indenture.</w:t>
      </w:r>
    </w:p>
    <w:p>
      <w:pPr>
        <w:spacing w:after="0" w:line="15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Convertible Senior Notes are accounted for in accordance with Accounting Standards Codification (“ASC”) 470-20. Upon conversion of any of the Convertible Senior Notes, the Company intends to pay the outstanding principal amount in cash and, to the extent that the conversion value exceeds the principal amount, the Company has the option to pay in cash or shares of the Company’s common stock (or a combination of cash and shares) in respect of the excess amount, subject to the requirements of the Convertible Senior Notes Indenture. The Company has determined that the embedded conversion options in the Convertible Senior Notes are not required to be separately accounted for as a derivative under U.S. GAAP. In accounting for the Convertible Senior Notes, the Company estimated at the time of issuance separate debt and equity components of the Convertible Senior Notes. An original issue discount equal to the equity components of the Convertible Senior Notes was recorded in “additional paid-in capital” in the accompanying consolidated balance sheet. Additionally, the issuance costs associated with the Convertible Senior Notes were allocated to the debt and equity components in proportion to the allocation of the proceeds and accounted for as debt issuance costs and equity issuance costs, respectively.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Credit Facility</w:t>
      </w:r>
    </w:p>
    <w:p>
      <w:pPr>
        <w:spacing w:after="0" w:line="11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On February 27, 2014, the Company terminated its Subscription Credit Facility with Deutsche Bank Trust Company Americas, effective March 4, 2014. At the time of the termination, the maximum principal amount of the facility was $100 million, and the outstanding balance was paid down prior to terminating the facility.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2014 and December 31, 2013, the Company was in compliance with the terms of its debt obligations.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17"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From time to time, the Company may enter into commitments to fund investments. As of December 31, 2014 and 2013, the Company had the following commitments to fund investments: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right"/>
              <w:ind w:right="114"/>
              <w:spacing w:after="0"/>
              <w:rPr>
                <w:sz w:val="20"/>
                <w:szCs w:val="20"/>
                <w:color w:val="auto"/>
              </w:rPr>
            </w:pPr>
            <w:r>
              <w:rPr>
                <w:rFonts w:ascii="Arial" w:cs="Arial" w:eastAsia="Arial" w:hAnsi="Arial"/>
                <w:sz w:val="14"/>
                <w:szCs w:val="14"/>
                <w:b w:val="1"/>
                <w:bCs w:val="1"/>
                <w:color w:val="auto"/>
                <w:w w:val="95"/>
              </w:rPr>
              <w:t>December 31, 2014</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2013</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revolving loan commitments</w:t>
            </w: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34,242</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18,374</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13,816</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36,600</w:t>
            </w:r>
          </w:p>
        </w:tc>
        <w:tc>
          <w:tcPr>
            <w:tcW w:w="120" w:type="dxa"/>
            <w:vAlign w:val="bottom"/>
          </w:tcPr>
          <w:p>
            <w:pPr>
              <w:spacing w:after="0"/>
              <w:rPr>
                <w:sz w:val="19"/>
                <w:szCs w:val="19"/>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Portfolio Company Commitments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54,974</w:t>
            </w:r>
          </w:p>
        </w:tc>
        <w:tc>
          <w:tcPr>
            <w:tcW w:w="120" w:type="dxa"/>
            <w:vAlign w:val="bottom"/>
            <w:shd w:val="clear" w:color="auto" w:fill="CCEEFF"/>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As of December 31, 2013 the Company had $1.5 billion in total capital commitments from investors (over $0.9 billion unfunded). Of this amount, $117.1 million was from the Adviser and its affiliates ($76.7 million unfunded). Unfunded capital commitments terminated upon the completion of the Company’s IPO.</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December 31, 2014, management is not aware of any pending or threatened litigation.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121" w:lineRule="exact"/>
        <w:rPr>
          <w:sz w:val="20"/>
          <w:szCs w:val="20"/>
          <w:color w:val="auto"/>
        </w:rPr>
      </w:pPr>
    </w:p>
    <w:p>
      <w:pPr>
        <w:ind w:right="540" w:firstLine="456"/>
        <w:spacing w:after="0" w:line="342" w:lineRule="auto"/>
        <w:rPr>
          <w:sz w:val="20"/>
          <w:szCs w:val="20"/>
          <w:color w:val="auto"/>
        </w:rPr>
      </w:pPr>
      <w:r>
        <w:rPr>
          <w:rFonts w:ascii="Arial" w:cs="Arial" w:eastAsia="Arial" w:hAnsi="Arial"/>
          <w:sz w:val="16"/>
          <w:szCs w:val="16"/>
          <w:color w:val="auto"/>
        </w:rPr>
        <w:t>On March 21, 2014, the Company completed its IPO, issuing 7,000,000 shares at $16.00 per share, and its concurrent private placement, issuing 3,124,984 shares at $16.00 per share. Net of underwriting fees and offering costs, the Company received total cash proceeds of $151.6 million.</w:t>
      </w:r>
    </w:p>
    <w:p>
      <w:pPr>
        <w:spacing w:after="0" w:line="12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April 2014, the Company issued a total of 1,050,000 shares of stock pursuant to the exercise of the underwriters’ over-allotment option in connection with the Company’s IPO. Net of underwriting fees and offering costs, the Company received total cash proceeds of $15.4 million.</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Prior to December 31, 2013, the Company entered into subscription agreements (collectively, the “Subscription Agreements”) with several investors, including the Adviser and its affiliates, providing for the private placement of the Company’s common stock. Under the terms of the Subscription Agreements, investors were required to fund drawdowns to purchase the Company’s common stock up to the amount of their respective capital commitments on an as-needed basis as determined by the Company with a minimum of 10 business days’ prior notice. Offering costs associated with the private placements were absorbed by the Adviser. The remaining unfunded capital commitments related to these subscription agreements terminated upon the completion of the Company’s IPO.</w:t>
      </w:r>
    </w:p>
    <w:p>
      <w:pPr>
        <w:spacing w:after="0" w:line="193"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following tables summarize the total shares issued and proceeds received related to capital drawdowns delivered pursuant to the Subscription Agreements during the years ended December 31, 2014 and 2013:</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gridSpan w:val="2"/>
          </w:tcPr>
          <w:p>
            <w:pPr>
              <w:jc w:val="right"/>
              <w:ind w:right="366"/>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3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300" w:type="dxa"/>
            <w:vAlign w:val="bottom"/>
            <w:tcBorders>
              <w:bottom w:val="single" w:sz="8" w:color="auto"/>
            </w:tcBorders>
            <w:gridSpan w:val="3"/>
          </w:tcPr>
          <w:p>
            <w:pPr>
              <w:jc w:val="right"/>
              <w:ind w:right="146"/>
              <w:spacing w:after="0"/>
              <w:rPr>
                <w:sz w:val="20"/>
                <w:szCs w:val="20"/>
                <w:color w:val="auto"/>
              </w:rPr>
            </w:pPr>
            <w:r>
              <w:rPr>
                <w:rFonts w:ascii="Arial" w:cs="Arial" w:eastAsia="Arial" w:hAnsi="Arial"/>
                <w:sz w:val="14"/>
                <w:szCs w:val="14"/>
                <w:b w:val="1"/>
                <w:bCs w:val="1"/>
                <w:color w:val="auto"/>
              </w:rPr>
              <w:t>December 31, 2014</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240" w:type="dxa"/>
            <w:vAlign w:val="bottom"/>
            <w:tcBorders>
              <w:bottom w:val="single" w:sz="8" w:color="CCEEFF"/>
            </w:tcBorders>
          </w:tcPr>
          <w:p>
            <w:pPr>
              <w:spacing w:after="0"/>
              <w:rPr>
                <w:sz w:val="12"/>
                <w:szCs w:val="12"/>
                <w:color w:val="auto"/>
              </w:rPr>
            </w:pPr>
          </w:p>
        </w:tc>
        <w:tc>
          <w:tcPr>
            <w:tcW w:w="230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Shares Issued</w:t>
            </w:r>
          </w:p>
        </w:tc>
        <w:tc>
          <w:tcPr>
            <w:tcW w:w="600" w:type="dxa"/>
            <w:vAlign w:val="bottom"/>
            <w:tcBorders>
              <w:bottom w:val="single" w:sz="8" w:color="CCEEFF"/>
            </w:tcBorders>
          </w:tcPr>
          <w:p>
            <w:pPr>
              <w:spacing w:after="0"/>
              <w:rPr>
                <w:sz w:val="12"/>
                <w:szCs w:val="12"/>
                <w:color w:val="auto"/>
              </w:rPr>
            </w:pPr>
          </w:p>
        </w:tc>
        <w:tc>
          <w:tcPr>
            <w:tcW w:w="1480" w:type="dxa"/>
            <w:vAlign w:val="bottom"/>
            <w:tcBorders>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w w:val="99"/>
              </w:rPr>
              <w:t>Proceeds Received</w:t>
            </w:r>
          </w:p>
        </w:tc>
        <w:tc>
          <w:tcPr>
            <w:tcW w:w="120" w:type="dxa"/>
            <w:vAlign w:val="bottom"/>
            <w:tcBorders>
              <w:bottom w:val="single" w:sz="8" w:color="CCEEFF"/>
            </w:tcBorders>
          </w:tcPr>
          <w:p>
            <w:pPr>
              <w:spacing w:after="0"/>
              <w:rPr>
                <w:sz w:val="12"/>
                <w:szCs w:val="12"/>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January 15, 2014</w:t>
            </w:r>
          </w:p>
        </w:tc>
        <w:tc>
          <w:tcPr>
            <w:tcW w:w="23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4,234,501</w:t>
            </w:r>
          </w:p>
        </w:tc>
        <w:tc>
          <w:tcPr>
            <w:tcW w:w="6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0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20" w:type="dxa"/>
            <w:vAlign w:val="bottom"/>
            <w:shd w:val="clear" w:color="auto" w:fill="CCEEFF"/>
          </w:tcPr>
          <w:p>
            <w:pPr>
              <w:spacing w:after="0"/>
              <w:rPr>
                <w:sz w:val="18"/>
                <w:szCs w:val="18"/>
                <w:color w:val="auto"/>
              </w:rPr>
            </w:pPr>
          </w:p>
        </w:tc>
      </w:tr>
      <w:tr>
        <w:trPr>
          <w:trHeight w:val="223"/>
        </w:trPr>
        <w:tc>
          <w:tcPr>
            <w:tcW w:w="3240" w:type="dxa"/>
            <w:vAlign w:val="bottom"/>
          </w:tcPr>
          <w:p>
            <w:pPr>
              <w:ind w:left="360"/>
              <w:spacing w:after="0"/>
              <w:rPr>
                <w:sz w:val="20"/>
                <w:szCs w:val="20"/>
                <w:color w:val="auto"/>
              </w:rPr>
            </w:pPr>
            <w:r>
              <w:rPr>
                <w:rFonts w:ascii="Arial" w:cs="Arial" w:eastAsia="Arial" w:hAnsi="Arial"/>
                <w:sz w:val="18"/>
                <w:szCs w:val="18"/>
                <w:b w:val="1"/>
                <w:bCs w:val="1"/>
                <w:color w:val="auto"/>
              </w:rPr>
              <w:t>Total Capital Drawdowns</w:t>
            </w:r>
          </w:p>
        </w:tc>
        <w:tc>
          <w:tcPr>
            <w:tcW w:w="23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4,234,501</w:t>
            </w:r>
          </w:p>
        </w:tc>
        <w:tc>
          <w:tcPr>
            <w:tcW w:w="600" w:type="dxa"/>
            <w:vAlign w:val="bottom"/>
          </w:tcPr>
          <w:p>
            <w:pPr>
              <w:spacing w:after="0"/>
              <w:rPr>
                <w:sz w:val="19"/>
                <w:szCs w:val="19"/>
                <w:color w:val="auto"/>
              </w:rPr>
            </w:pPr>
          </w:p>
        </w:tc>
        <w:tc>
          <w:tcPr>
            <w:tcW w:w="760" w:type="dxa"/>
            <w:vAlign w:val="bottom"/>
            <w:tcBorders>
              <w:bottom w:val="single" w:sz="8" w:color="auto"/>
            </w:tcBorders>
          </w:tcPr>
          <w:p>
            <w:pPr>
              <w:jc w:val="right"/>
              <w:ind w:right="60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65,000</w:t>
            </w:r>
          </w:p>
        </w:tc>
        <w:tc>
          <w:tcPr>
            <w:tcW w:w="120" w:type="dxa"/>
            <w:vAlign w:val="bottom"/>
          </w:tcPr>
          <w:p>
            <w:pPr>
              <w:spacing w:after="0"/>
              <w:rPr>
                <w:sz w:val="19"/>
                <w:szCs w:val="19"/>
                <w:color w:val="auto"/>
              </w:rPr>
            </w:pPr>
          </w:p>
        </w:tc>
      </w:tr>
      <w:tr>
        <w:trPr>
          <w:trHeight w:val="20"/>
        </w:trPr>
        <w:tc>
          <w:tcPr>
            <w:tcW w:w="3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3240" w:type="dxa"/>
            <w:vAlign w:val="bottom"/>
          </w:tcPr>
          <w:p>
            <w:pPr>
              <w:spacing w:after="0"/>
              <w:rPr>
                <w:sz w:val="24"/>
                <w:szCs w:val="24"/>
                <w:color w:val="auto"/>
              </w:rPr>
            </w:pPr>
          </w:p>
        </w:tc>
        <w:tc>
          <w:tcPr>
            <w:tcW w:w="3240" w:type="dxa"/>
            <w:vAlign w:val="bottom"/>
            <w:gridSpan w:val="2"/>
          </w:tcPr>
          <w:p>
            <w:pPr>
              <w:jc w:val="right"/>
              <w:ind w:right="1899"/>
              <w:spacing w:after="0"/>
              <w:rPr>
                <w:sz w:val="20"/>
                <w:szCs w:val="20"/>
                <w:color w:val="auto"/>
              </w:rPr>
            </w:pPr>
            <w:r>
              <w:rPr>
                <w:rFonts w:ascii="Arial" w:cs="Arial" w:eastAsia="Arial" w:hAnsi="Arial"/>
                <w:sz w:val="18"/>
                <w:szCs w:val="18"/>
                <w:color w:val="auto"/>
              </w:rPr>
              <w:t>F-35</w:t>
            </w: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gridSpan w:val="2"/>
          </w:tcPr>
          <w:p>
            <w:pPr>
              <w:jc w:val="right"/>
              <w:ind w:right="347"/>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540" w:type="dxa"/>
            <w:vAlign w:val="bottom"/>
          </w:tcPr>
          <w:p>
            <w:pPr>
              <w:spacing w:after="0"/>
              <w:rPr>
                <w:sz w:val="14"/>
                <w:szCs w:val="14"/>
                <w:color w:val="auto"/>
              </w:rPr>
            </w:pPr>
          </w:p>
        </w:tc>
        <w:tc>
          <w:tcPr>
            <w:tcW w:w="2300" w:type="dxa"/>
            <w:vAlign w:val="bottom"/>
            <w:tcBorders>
              <w:bottom w:val="single" w:sz="8" w:color="auto"/>
            </w:tcBorders>
            <w:gridSpan w:val="3"/>
          </w:tcPr>
          <w:p>
            <w:pPr>
              <w:jc w:val="right"/>
              <w:ind w:right="147"/>
              <w:spacing w:after="0"/>
              <w:rPr>
                <w:sz w:val="20"/>
                <w:szCs w:val="20"/>
                <w:color w:val="auto"/>
              </w:rPr>
            </w:pPr>
            <w:r>
              <w:rPr>
                <w:rFonts w:ascii="Arial" w:cs="Arial" w:eastAsia="Arial" w:hAnsi="Arial"/>
                <w:sz w:val="14"/>
                <w:szCs w:val="14"/>
                <w:b w:val="1"/>
                <w:bCs w:val="1"/>
                <w:color w:val="auto"/>
              </w:rPr>
              <w:t>December 31, 2013</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54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Shares Issued</w:t>
            </w:r>
            <w:r>
              <w:rPr>
                <w:rFonts w:ascii="Arial" w:cs="Arial" w:eastAsia="Arial" w:hAnsi="Arial"/>
                <w:sz w:val="12"/>
                <w:szCs w:val="12"/>
                <w:b w:val="1"/>
                <w:bCs w:val="1"/>
                <w:color w:val="auto"/>
                <w:w w:val="89"/>
              </w:rPr>
              <w:t>(1)</w:t>
            </w:r>
          </w:p>
        </w:tc>
        <w:tc>
          <w:tcPr>
            <w:tcW w:w="62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w w:val="96"/>
              </w:rPr>
              <w:t>Proceeds Received</w:t>
            </w:r>
          </w:p>
        </w:tc>
        <w:tc>
          <w:tcPr>
            <w:tcW w:w="120" w:type="dxa"/>
            <w:vAlign w:val="bottom"/>
            <w:tcBorders>
              <w:bottom w:val="single" w:sz="8" w:color="CCEEFF"/>
            </w:tcBorders>
          </w:tcPr>
          <w:p>
            <w:pPr>
              <w:spacing w:after="0"/>
              <w:rPr>
                <w:sz w:val="12"/>
                <w:szCs w:val="12"/>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February 20, 2013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2,079,224</w:t>
            </w: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31,857</w:t>
            </w:r>
          </w:p>
        </w:tc>
        <w:tc>
          <w:tcPr>
            <w:tcW w:w="120" w:type="dxa"/>
            <w:vAlign w:val="bottom"/>
            <w:shd w:val="clear" w:color="auto" w:fill="CCEEFF"/>
          </w:tcPr>
          <w:p>
            <w:pPr>
              <w:spacing w:after="0"/>
              <w:rPr>
                <w:sz w:val="18"/>
                <w:szCs w:val="18"/>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September 26, 2013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1,633,829</w:t>
            </w:r>
          </w:p>
        </w:tc>
        <w:tc>
          <w:tcPr>
            <w:tcW w:w="6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9"/>
                <w:szCs w:val="19"/>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Capital Drawdowns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3,713,053</w:t>
            </w:r>
          </w:p>
        </w:tc>
        <w:tc>
          <w:tcPr>
            <w:tcW w:w="1280" w:type="dxa"/>
            <w:vAlign w:val="bottom"/>
            <w:gridSpan w:val="2"/>
            <w:shd w:val="clear" w:color="auto" w:fill="CCEEFF"/>
          </w:tcPr>
          <w:p>
            <w:pPr>
              <w:jc w:val="right"/>
              <w:ind w:right="50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56,857</w:t>
            </w:r>
          </w:p>
        </w:tc>
        <w:tc>
          <w:tcPr>
            <w:tcW w:w="120" w:type="dxa"/>
            <w:vAlign w:val="bottom"/>
            <w:shd w:val="clear" w:color="auto" w:fill="CCEEFF"/>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400" w:hanging="452"/>
        <w:spacing w:after="0" w:line="277" w:lineRule="auto"/>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spacing w:after="0" w:line="170"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asked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2"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Pursuant to the Company’s dividend reinvestment plan, the following tables summarize the shares issued to stockholders who have not opted out of the Company’s dividend reinvestment plan during the year ended December 31, 2014 and 2013. All shares issued to stockholders in the tables below are newly issued shares.</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40" w:type="dxa"/>
            <w:vAlign w:val="bottom"/>
            <w:gridSpan w:val="3"/>
          </w:tcPr>
          <w:p>
            <w:pPr>
              <w:jc w:val="center"/>
              <w:ind w:right="112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jc w:val="center"/>
              <w:ind w:right="820"/>
              <w:spacing w:after="0"/>
              <w:rPr>
                <w:sz w:val="20"/>
                <w:szCs w:val="20"/>
                <w:color w:val="auto"/>
              </w:rPr>
            </w:pPr>
            <w:r>
              <w:rPr>
                <w:rFonts w:ascii="Arial" w:cs="Arial" w:eastAsia="Arial" w:hAnsi="Arial"/>
                <w:sz w:val="14"/>
                <w:szCs w:val="14"/>
                <w:b w:val="1"/>
                <w:bCs w:val="1"/>
                <w:color w:val="auto"/>
                <w:w w:val="91"/>
              </w:rPr>
              <w:t>December 31, 2014</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140" w:type="dxa"/>
            <w:vAlign w:val="bottom"/>
            <w:vMerge w:val="restart"/>
          </w:tcPr>
          <w:p>
            <w:pPr>
              <w:spacing w:after="0"/>
              <w:rPr>
                <w:sz w:val="10"/>
                <w:szCs w:val="10"/>
                <w:color w:val="auto"/>
              </w:rPr>
            </w:pPr>
          </w:p>
        </w:tc>
        <w:tc>
          <w:tcPr>
            <w:tcW w:w="17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Record Date</w:t>
            </w:r>
          </w:p>
        </w:tc>
        <w:tc>
          <w:tcPr>
            <w:tcW w:w="200" w:type="dxa"/>
            <w:vAlign w:val="bottom"/>
            <w:vMerge w:val="restart"/>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4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Date</w:t>
            </w:r>
          </w:p>
        </w:tc>
        <w:tc>
          <w:tcPr>
            <w:tcW w:w="120" w:type="dxa"/>
            <w:vAlign w:val="bottom"/>
          </w:tcPr>
          <w:p>
            <w:pPr>
              <w:spacing w:after="0"/>
              <w:rPr>
                <w:sz w:val="10"/>
                <w:szCs w:val="10"/>
                <w:color w:val="auto"/>
              </w:rPr>
            </w:pPr>
          </w:p>
        </w:tc>
        <w:tc>
          <w:tcPr>
            <w:tcW w:w="102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4"/>
              </w:rPr>
              <w:t>Shares Issued</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vMerge w:val="continue"/>
          </w:tcPr>
          <w:p>
            <w:pPr>
              <w:spacing w:after="0"/>
              <w:rPr>
                <w:sz w:val="14"/>
                <w:szCs w:val="14"/>
                <w:color w:val="auto"/>
              </w:rPr>
            </w:pPr>
          </w:p>
        </w:tc>
        <w:tc>
          <w:tcPr>
            <w:tcW w:w="3140" w:type="dxa"/>
            <w:vAlign w:val="bottom"/>
            <w:tcBorders>
              <w:bottom w:val="single" w:sz="8" w:color="CCEEFF"/>
            </w:tcBorders>
            <w:vMerge w:val="continue"/>
          </w:tcPr>
          <w:p>
            <w:pPr>
              <w:spacing w:after="0"/>
              <w:rPr>
                <w:sz w:val="14"/>
                <w:szCs w:val="14"/>
                <w:color w:val="auto"/>
              </w:rPr>
            </w:pPr>
          </w:p>
        </w:tc>
        <w:tc>
          <w:tcPr>
            <w:tcW w:w="176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Shares Issued</w:t>
            </w: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December 31, 2013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8"/>
              </w:rPr>
              <w:t>February 13, 2014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March 26, 2014</w:t>
            </w:r>
          </w:p>
        </w:tc>
        <w:tc>
          <w:tcPr>
            <w:tcW w:w="1960" w:type="dxa"/>
            <w:vAlign w:val="bottom"/>
            <w:gridSpan w:val="3"/>
          </w:tcPr>
          <w:p>
            <w:pPr>
              <w:jc w:val="right"/>
              <w:ind w:right="200"/>
              <w:spacing w:after="0"/>
              <w:rPr>
                <w:sz w:val="20"/>
                <w:szCs w:val="20"/>
                <w:color w:val="auto"/>
              </w:rPr>
            </w:pPr>
            <w:r>
              <w:rPr>
                <w:rFonts w:ascii="Arial" w:cs="Arial" w:eastAsia="Arial" w:hAnsi="Arial"/>
                <w:sz w:val="18"/>
                <w:szCs w:val="18"/>
                <w:color w:val="auto"/>
              </w:rPr>
              <w:t>March 31, 2014</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40" w:type="dxa"/>
            <w:vAlign w:val="bottom"/>
            <w:gridSpan w:val="3"/>
          </w:tcPr>
          <w:p>
            <w:pPr>
              <w:jc w:val="right"/>
              <w:ind w:right="380"/>
              <w:spacing w:after="0"/>
              <w:rPr>
                <w:sz w:val="20"/>
                <w:szCs w:val="20"/>
                <w:color w:val="auto"/>
              </w:rPr>
            </w:pPr>
            <w:r>
              <w:rPr>
                <w:rFonts w:ascii="Arial" w:cs="Arial" w:eastAsia="Arial" w:hAnsi="Arial"/>
                <w:sz w:val="18"/>
                <w:szCs w:val="18"/>
                <w:color w:val="auto"/>
              </w:rPr>
              <w:t>May 1, 2014</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410,183</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6, 2014</w:t>
            </w:r>
          </w:p>
        </w:tc>
        <w:tc>
          <w:tcPr>
            <w:tcW w:w="1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June 30, 2014</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August 1, 2014</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218,892</w:t>
            </w:r>
          </w:p>
        </w:tc>
        <w:tc>
          <w:tcPr>
            <w:tcW w:w="0" w:type="dxa"/>
            <w:vAlign w:val="bottom"/>
          </w:tcPr>
          <w:p>
            <w:pPr>
              <w:spacing w:after="0"/>
              <w:rPr>
                <w:sz w:val="1"/>
                <w:szCs w:val="1"/>
                <w:color w:val="auto"/>
              </w:rPr>
            </w:pPr>
          </w:p>
        </w:tc>
      </w:tr>
      <w:tr>
        <w:trPr>
          <w:trHeight w:val="223"/>
        </w:trPr>
        <w:tc>
          <w:tcPr>
            <w:tcW w:w="4020" w:type="dxa"/>
            <w:vAlign w:val="bottom"/>
            <w:gridSpan w:val="2"/>
          </w:tcPr>
          <w:p>
            <w:pPr>
              <w:spacing w:after="0"/>
              <w:rPr>
                <w:sz w:val="20"/>
                <w:szCs w:val="20"/>
                <w:color w:val="auto"/>
              </w:rPr>
            </w:pPr>
            <w:r>
              <w:rPr>
                <w:rFonts w:ascii="Arial" w:cs="Arial" w:eastAsia="Arial" w:hAnsi="Arial"/>
                <w:sz w:val="18"/>
                <w:szCs w:val="18"/>
                <w:color w:val="auto"/>
              </w:rPr>
              <w:t>August 4, 2014</w:t>
            </w:r>
          </w:p>
        </w:tc>
        <w:tc>
          <w:tcPr>
            <w:tcW w:w="1960" w:type="dxa"/>
            <w:vAlign w:val="bottom"/>
            <w:gridSpan w:val="3"/>
          </w:tcPr>
          <w:p>
            <w:pPr>
              <w:jc w:val="right"/>
              <w:ind w:right="200"/>
              <w:spacing w:after="0"/>
              <w:rPr>
                <w:sz w:val="20"/>
                <w:szCs w:val="20"/>
                <w:color w:val="auto"/>
              </w:rPr>
            </w:pPr>
            <w:r>
              <w:rPr>
                <w:rFonts w:ascii="Arial" w:cs="Arial" w:eastAsia="Arial" w:hAnsi="Arial"/>
                <w:sz w:val="18"/>
                <w:szCs w:val="18"/>
                <w:color w:val="auto"/>
              </w:rPr>
              <w:t>September 30, 2014</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40" w:type="dxa"/>
            <w:vAlign w:val="bottom"/>
            <w:gridSpan w:val="3"/>
          </w:tcPr>
          <w:p>
            <w:pPr>
              <w:jc w:val="right"/>
              <w:ind w:right="380"/>
              <w:spacing w:after="0"/>
              <w:rPr>
                <w:sz w:val="20"/>
                <w:szCs w:val="20"/>
                <w:color w:val="auto"/>
              </w:rPr>
            </w:pPr>
            <w:r>
              <w:rPr>
                <w:rFonts w:ascii="Arial" w:cs="Arial" w:eastAsia="Arial" w:hAnsi="Arial"/>
                <w:sz w:val="18"/>
                <w:szCs w:val="18"/>
                <w:color w:val="auto"/>
              </w:rPr>
              <w:t>November 3, 2014</w:t>
            </w: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230,575</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Shares Issued</w:t>
            </w:r>
          </w:p>
        </w:tc>
        <w:tc>
          <w:tcPr>
            <w:tcW w:w="1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1,361,850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gridSpan w:val="3"/>
            <w:vMerge w:val="restart"/>
          </w:tcPr>
          <w:p>
            <w:pPr>
              <w:jc w:val="center"/>
              <w:ind w:right="112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4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jc w:val="center"/>
              <w:ind w:right="820"/>
              <w:spacing w:after="0"/>
              <w:rPr>
                <w:sz w:val="20"/>
                <w:szCs w:val="20"/>
                <w:color w:val="auto"/>
              </w:rPr>
            </w:pPr>
            <w:r>
              <w:rPr>
                <w:rFonts w:ascii="Arial" w:cs="Arial" w:eastAsia="Arial" w:hAnsi="Arial"/>
                <w:sz w:val="14"/>
                <w:szCs w:val="14"/>
                <w:b w:val="1"/>
                <w:bCs w:val="1"/>
                <w:color w:val="auto"/>
                <w:w w:val="91"/>
              </w:rPr>
              <w:t>December 31, 2013</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140" w:type="dxa"/>
            <w:vAlign w:val="bottom"/>
            <w:vMerge w:val="restart"/>
          </w:tcPr>
          <w:p>
            <w:pPr>
              <w:spacing w:after="0"/>
              <w:rPr>
                <w:sz w:val="10"/>
                <w:szCs w:val="10"/>
                <w:color w:val="auto"/>
              </w:rPr>
            </w:pPr>
          </w:p>
        </w:tc>
        <w:tc>
          <w:tcPr>
            <w:tcW w:w="172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Record Date</w:t>
            </w:r>
          </w:p>
        </w:tc>
        <w:tc>
          <w:tcPr>
            <w:tcW w:w="240" w:type="dxa"/>
            <w:vAlign w:val="bottom"/>
            <w:gridSpan w:val="2"/>
            <w:vMerge w:val="restart"/>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40" w:type="dxa"/>
            <w:vAlign w:val="bottom"/>
            <w:gridSpan w:val="3"/>
          </w:tcPr>
          <w:p>
            <w:pPr>
              <w:jc w:val="right"/>
              <w:ind w:right="1140"/>
              <w:spacing w:after="0" w:line="119" w:lineRule="exact"/>
              <w:rPr>
                <w:sz w:val="20"/>
                <w:szCs w:val="20"/>
                <w:color w:val="auto"/>
              </w:rPr>
            </w:pPr>
            <w:r>
              <w:rPr>
                <w:rFonts w:ascii="Arial" w:cs="Arial" w:eastAsia="Arial" w:hAnsi="Arial"/>
                <w:sz w:val="13"/>
                <w:szCs w:val="13"/>
                <w:b w:val="1"/>
                <w:bCs w:val="1"/>
                <w:color w:val="auto"/>
              </w:rPr>
              <w:t>Date</w:t>
            </w: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Shares Issued</w:t>
            </w:r>
            <w:r>
              <w:rPr>
                <w:rFonts w:ascii="Arial" w:cs="Arial" w:eastAsia="Arial" w:hAnsi="Arial"/>
                <w:sz w:val="12"/>
                <w:szCs w:val="12"/>
                <w:b w:val="1"/>
                <w:bCs w:val="1"/>
                <w:color w:val="auto"/>
                <w:w w:val="94"/>
              </w:rPr>
              <w:t>(1)</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vMerge w:val="continue"/>
          </w:tcPr>
          <w:p>
            <w:pPr>
              <w:spacing w:after="0"/>
              <w:rPr>
                <w:sz w:val="14"/>
                <w:szCs w:val="14"/>
                <w:color w:val="auto"/>
              </w:rPr>
            </w:pPr>
          </w:p>
        </w:tc>
        <w:tc>
          <w:tcPr>
            <w:tcW w:w="3140" w:type="dxa"/>
            <w:vAlign w:val="bottom"/>
            <w:tcBorders>
              <w:bottom w:val="single" w:sz="8" w:color="CCEEFF"/>
            </w:tcBorders>
            <w:vMerge w:val="continue"/>
          </w:tcPr>
          <w:p>
            <w:pPr>
              <w:spacing w:after="0"/>
              <w:rPr>
                <w:sz w:val="14"/>
                <w:szCs w:val="14"/>
                <w:color w:val="auto"/>
              </w:rPr>
            </w:pPr>
          </w:p>
        </w:tc>
        <w:tc>
          <w:tcPr>
            <w:tcW w:w="17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gridSpan w:val="2"/>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Shares Issued</w:t>
            </w:r>
          </w:p>
        </w:tc>
        <w:tc>
          <w:tcPr>
            <w:tcW w:w="480" w:type="dxa"/>
            <w:vAlign w:val="bottom"/>
            <w:tcBorders>
              <w:bottom w:val="single" w:sz="8" w:color="CCEEFF"/>
            </w:tcBorders>
            <w:gridSpan w:val="2"/>
          </w:tcPr>
          <w:p>
            <w:pPr>
              <w:spacing w:after="0"/>
              <w:rPr>
                <w:sz w:val="14"/>
                <w:szCs w:val="14"/>
                <w:color w:val="auto"/>
              </w:rPr>
            </w:pPr>
          </w:p>
        </w:tc>
        <w:tc>
          <w:tcPr>
            <w:tcW w:w="114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31, 2012</w:t>
            </w:r>
          </w:p>
        </w:tc>
        <w:tc>
          <w:tcPr>
            <w:tcW w:w="2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12, 2013</w:t>
            </w:r>
          </w:p>
        </w:tc>
        <w:tc>
          <w:tcPr>
            <w:tcW w:w="48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343,981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March 12, 2013</w:t>
            </w:r>
          </w:p>
        </w:tc>
        <w:tc>
          <w:tcPr>
            <w:tcW w:w="1960" w:type="dxa"/>
            <w:vAlign w:val="bottom"/>
            <w:gridSpan w:val="3"/>
          </w:tcPr>
          <w:p>
            <w:pPr>
              <w:jc w:val="right"/>
              <w:ind w:right="240"/>
              <w:spacing w:after="0"/>
              <w:rPr>
                <w:sz w:val="20"/>
                <w:szCs w:val="20"/>
                <w:color w:val="auto"/>
              </w:rPr>
            </w:pPr>
            <w:r>
              <w:rPr>
                <w:rFonts w:ascii="Arial" w:cs="Arial" w:eastAsia="Arial" w:hAnsi="Arial"/>
                <w:sz w:val="18"/>
                <w:szCs w:val="18"/>
                <w:color w:val="auto"/>
              </w:rPr>
              <w:t>March 31, 2013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40" w:type="dxa"/>
            <w:vAlign w:val="bottom"/>
            <w:gridSpan w:val="3"/>
          </w:tcPr>
          <w:p>
            <w:pPr>
              <w:jc w:val="right"/>
              <w:ind w:right="480"/>
              <w:spacing w:after="0"/>
              <w:rPr>
                <w:sz w:val="20"/>
                <w:szCs w:val="20"/>
                <w:color w:val="auto"/>
              </w:rPr>
            </w:pPr>
            <w:r>
              <w:rPr>
                <w:rFonts w:ascii="Arial" w:cs="Arial" w:eastAsia="Arial" w:hAnsi="Arial"/>
                <w:sz w:val="18"/>
                <w:szCs w:val="18"/>
                <w:color w:val="auto"/>
              </w:rPr>
              <w:t>May 7, 2013</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436,728</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2013</w:t>
            </w:r>
          </w:p>
        </w:tc>
        <w:tc>
          <w:tcPr>
            <w:tcW w:w="1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June 30, 2013</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August 6, 2013</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469,799</w:t>
            </w:r>
          </w:p>
        </w:tc>
        <w:tc>
          <w:tcPr>
            <w:tcW w:w="0" w:type="dxa"/>
            <w:vAlign w:val="bottom"/>
          </w:tcPr>
          <w:p>
            <w:pPr>
              <w:spacing w:after="0"/>
              <w:rPr>
                <w:sz w:val="1"/>
                <w:szCs w:val="1"/>
                <w:color w:val="auto"/>
              </w:rPr>
            </w:pPr>
          </w:p>
        </w:tc>
      </w:tr>
      <w:tr>
        <w:trPr>
          <w:trHeight w:val="223"/>
        </w:trPr>
        <w:tc>
          <w:tcPr>
            <w:tcW w:w="4020" w:type="dxa"/>
            <w:vAlign w:val="bottom"/>
            <w:gridSpan w:val="2"/>
          </w:tcPr>
          <w:p>
            <w:pPr>
              <w:spacing w:after="0"/>
              <w:rPr>
                <w:sz w:val="20"/>
                <w:szCs w:val="20"/>
                <w:color w:val="auto"/>
              </w:rPr>
            </w:pPr>
            <w:r>
              <w:rPr>
                <w:rFonts w:ascii="Arial" w:cs="Arial" w:eastAsia="Arial" w:hAnsi="Arial"/>
                <w:sz w:val="18"/>
                <w:szCs w:val="18"/>
                <w:color w:val="auto"/>
              </w:rPr>
              <w:t>September 30, 2013</w:t>
            </w:r>
          </w:p>
        </w:tc>
        <w:tc>
          <w:tcPr>
            <w:tcW w:w="1960" w:type="dxa"/>
            <w:vAlign w:val="bottom"/>
            <w:gridSpan w:val="3"/>
          </w:tcPr>
          <w:p>
            <w:pPr>
              <w:jc w:val="right"/>
              <w:ind w:right="240"/>
              <w:spacing w:after="0"/>
              <w:rPr>
                <w:sz w:val="20"/>
                <w:szCs w:val="20"/>
                <w:color w:val="auto"/>
              </w:rPr>
            </w:pPr>
            <w:r>
              <w:rPr>
                <w:rFonts w:ascii="Arial" w:cs="Arial" w:eastAsia="Arial" w:hAnsi="Arial"/>
                <w:sz w:val="18"/>
                <w:szCs w:val="18"/>
                <w:color w:val="auto"/>
              </w:rPr>
              <w:t>September 30, 2013</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40" w:type="dxa"/>
            <w:vAlign w:val="bottom"/>
            <w:gridSpan w:val="3"/>
          </w:tcPr>
          <w:p>
            <w:pPr>
              <w:jc w:val="right"/>
              <w:ind w:right="480"/>
              <w:spacing w:after="0"/>
              <w:rPr>
                <w:sz w:val="20"/>
                <w:szCs w:val="20"/>
                <w:color w:val="auto"/>
              </w:rPr>
            </w:pPr>
            <w:r>
              <w:rPr>
                <w:rFonts w:ascii="Arial" w:cs="Arial" w:eastAsia="Arial" w:hAnsi="Arial"/>
                <w:sz w:val="18"/>
                <w:szCs w:val="18"/>
                <w:color w:val="auto"/>
              </w:rPr>
              <w:t>November 5, 2013</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479,534</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Shares Issued</w:t>
            </w:r>
          </w:p>
        </w:tc>
        <w:tc>
          <w:tcPr>
            <w:tcW w:w="1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1,730,042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77" w:lineRule="auto"/>
        <w:tabs>
          <w:tab w:leader="none" w:pos="4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460" w:right="2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Prior to the Company’s IPO, the number of shares issued through the dividend reinvestment plan was determined by dividing the total dollar amount of the dividend payable to such stockholder by the net asset value per share of the common stock on the record date of the dividend. The common stock issued through the dividend reinvestment plan was rounded down to the nearest whole share to avoid the issuance of fractional shares, and fractional shares were paid in cash.</w:t>
      </w:r>
    </w:p>
    <w:p>
      <w:pPr>
        <w:spacing w:after="0" w:line="18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On November 3, 2014, the Company’s Board of Directors approved a stock repurchase plan (the “Company 10b5-1 Plan”) to acquire up to $50 million in the aggregate of the Company’s common stock at prices below the Company’s net asset value per share, in accordance with the guidelines specified in Rule 10b-18 and Rule 10b5-1 of the Exchange Act.</w:t>
      </w:r>
    </w:p>
    <w:p>
      <w:pPr>
        <w:spacing w:after="0" w:line="18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Company 10b5-1 Plan is designed to allow the Company to repurchase its common stock at times when it otherwise might be prevented from doing so under insider trading laws. The Company 10b5-1 Plan requires an agent selected by the Company to repurchase shares of common stock on the Company’s behalf when the market price per share is below the most recently reported net asset value per share (including any updates, corrections or adjustments publicly announced by the Company to any previously announced net asset value per share). Under the Company 10b5-1 Plan, the agent will increase the volume of purchases made as the price of the Company’s common stock declines, subject to volume restrictions. The timing and amount of any stock repurchases will depend on the terms and conditions of the Company 10b5-1 Plan, the market price of the common stock and trading volumes, and no assurance can be given that any particular amount of common stock will be repurchased.</w:t>
      </w:r>
    </w:p>
    <w:p>
      <w:pPr>
        <w:spacing w:after="0" w:line="16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Unless extended or terminated by the Board of Directors, the Company 10b5-1 Plan will be in effect through the earlier of May 4, 2015 or such time as the approved $50 million repurchase amount has been fully utilized, subject to certain conditions. On February 20, 2015, the Company’s Board of Directors authorized the extension of the termination date of the Company 10b5-1 Plan from May 4, 2015 to June 30, 2015.</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2014, no shares had been repurchased under the Company 10b5-1 Plan.</w:t>
      </w:r>
    </w:p>
    <w:p>
      <w:pPr>
        <w:spacing w:after="0" w:line="225"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On December 3, 2013, the Board approved a stock split in the form of a stock dividend pursuant to which the Company’s stockholders of record as of December 4, 2013 received 65.676 additional shares of common stock for each share of common stock held. The Company distributed the shares on December 5, 2013 and paid cash for fractional shares without interest or deduction. The Company has retroactively applied the effect of the stock split to the financial information presented herein by multiplying numbers of shares outstanding by 66.676 and dividing per share amounts by 66.676.</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460" w:right="2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2"/>
          </w:tcPr>
          <w:p>
            <w:pPr>
              <w:jc w:val="center"/>
              <w:ind w:right="1260"/>
              <w:spacing w:after="0"/>
              <w:rPr>
                <w:sz w:val="20"/>
                <w:szCs w:val="20"/>
                <w:color w:val="auto"/>
              </w:rPr>
            </w:pPr>
            <w:r>
              <w:rPr>
                <w:rFonts w:ascii="Arial" w:cs="Arial" w:eastAsia="Arial" w:hAnsi="Arial"/>
                <w:sz w:val="14"/>
                <w:szCs w:val="14"/>
                <w:b w:val="1"/>
                <w:bCs w:val="1"/>
                <w:color w:val="auto"/>
                <w:w w:val="93"/>
              </w:rPr>
              <w:t>Year Ended</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440" w:type="dxa"/>
            <w:vAlign w:val="bottom"/>
          </w:tcPr>
          <w:p>
            <w:pPr>
              <w:spacing w:after="0"/>
              <w:rPr>
                <w:sz w:val="12"/>
                <w:szCs w:val="12"/>
                <w:color w:val="auto"/>
              </w:rPr>
            </w:pPr>
          </w:p>
        </w:tc>
        <w:tc>
          <w:tcPr>
            <w:tcW w:w="1800" w:type="dxa"/>
            <w:vAlign w:val="bottom"/>
            <w:gridSpan w:val="3"/>
          </w:tcPr>
          <w:p>
            <w:pPr>
              <w:jc w:val="right"/>
              <w:ind w:right="580"/>
              <w:spacing w:after="0" w:line="142" w:lineRule="exact"/>
              <w:rPr>
                <w:sz w:val="20"/>
                <w:szCs w:val="20"/>
                <w:color w:val="auto"/>
              </w:rPr>
            </w:pPr>
            <w:r>
              <w:rPr>
                <w:rFonts w:ascii="Arial" w:cs="Arial" w:eastAsia="Arial" w:hAnsi="Arial"/>
                <w:sz w:val="14"/>
                <w:szCs w:val="14"/>
                <w:b w:val="1"/>
                <w:bCs w:val="1"/>
                <w:color w:val="auto"/>
                <w:w w:val="95"/>
              </w:rPr>
              <w:t>December 31, 2014</w:t>
            </w:r>
          </w:p>
        </w:tc>
        <w:tc>
          <w:tcPr>
            <w:tcW w:w="540" w:type="dxa"/>
            <w:vAlign w:val="bottom"/>
          </w:tcPr>
          <w:p>
            <w:pPr>
              <w:spacing w:after="0"/>
              <w:rPr>
                <w:sz w:val="12"/>
                <w:szCs w:val="12"/>
                <w:color w:val="auto"/>
              </w:rPr>
            </w:pPr>
          </w:p>
        </w:tc>
        <w:tc>
          <w:tcPr>
            <w:tcW w:w="2360" w:type="dxa"/>
            <w:vAlign w:val="bottom"/>
            <w:gridSpan w:val="3"/>
          </w:tcPr>
          <w:p>
            <w:pPr>
              <w:jc w:val="center"/>
              <w:ind w:right="1080"/>
              <w:spacing w:after="0" w:line="142" w:lineRule="exact"/>
              <w:rPr>
                <w:sz w:val="20"/>
                <w:szCs w:val="20"/>
                <w:color w:val="auto"/>
              </w:rPr>
            </w:pPr>
            <w:r>
              <w:rPr>
                <w:rFonts w:ascii="Arial" w:cs="Arial" w:eastAsia="Arial" w:hAnsi="Arial"/>
                <w:sz w:val="14"/>
                <w:szCs w:val="14"/>
                <w:b w:val="1"/>
                <w:bCs w:val="1"/>
                <w:color w:val="auto"/>
                <w:w w:val="91"/>
              </w:rPr>
              <w:t>December 31, 2013</w:t>
            </w:r>
          </w:p>
        </w:tc>
        <w:tc>
          <w:tcPr>
            <w:tcW w:w="12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December 31, 2012</w:t>
            </w:r>
          </w:p>
        </w:tc>
        <w:tc>
          <w:tcPr>
            <w:tcW w:w="100" w:type="dxa"/>
            <w:vAlign w:val="bottom"/>
          </w:tcPr>
          <w:p>
            <w:pPr>
              <w:spacing w:after="0"/>
              <w:rPr>
                <w:sz w:val="12"/>
                <w:szCs w:val="12"/>
                <w:color w:val="auto"/>
              </w:rPr>
            </w:pP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28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85,050</w:t>
            </w:r>
          </w:p>
        </w:tc>
        <w:tc>
          <w:tcPr>
            <w:tcW w:w="5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66,983</w:t>
            </w:r>
          </w:p>
        </w:tc>
        <w:tc>
          <w:tcPr>
            <w:tcW w:w="10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4440" w:type="dxa"/>
            <w:vAlign w:val="bottom"/>
          </w:tcPr>
          <w:p>
            <w:pPr>
              <w:spacing w:after="0" w:line="201" w:lineRule="exact"/>
              <w:rPr>
                <w:sz w:val="20"/>
                <w:szCs w:val="20"/>
                <w:color w:val="auto"/>
              </w:rPr>
            </w:pPr>
            <w:r>
              <w:rPr>
                <w:rFonts w:ascii="Arial" w:cs="Arial" w:eastAsia="Arial" w:hAnsi="Arial"/>
                <w:sz w:val="18"/>
                <w:szCs w:val="18"/>
                <w:color w:val="auto"/>
              </w:rPr>
              <w:t>Weighted average shares of common stock</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440" w:type="dxa"/>
            <w:vAlign w:val="bottom"/>
          </w:tcPr>
          <w:p>
            <w:pPr>
              <w:ind w:left="180"/>
              <w:spacing w:after="0"/>
              <w:rPr>
                <w:sz w:val="20"/>
                <w:szCs w:val="20"/>
                <w:color w:val="auto"/>
              </w:rPr>
            </w:pPr>
            <w:r>
              <w:rPr>
                <w:rFonts w:ascii="Arial" w:cs="Arial" w:eastAsia="Arial" w:hAnsi="Arial"/>
                <w:sz w:val="18"/>
                <w:szCs w:val="18"/>
                <w:color w:val="auto"/>
              </w:rPr>
              <w:t>outstanding—basic and diluted</w:t>
            </w:r>
            <w:r>
              <w:rPr>
                <w:rFonts w:ascii="Arial" w:cs="Arial" w:eastAsia="Arial" w:hAnsi="Arial"/>
                <w:sz w:val="15"/>
                <w:szCs w:val="15"/>
                <w:color w:val="auto"/>
              </w:rPr>
              <w:t>(1)</w:t>
            </w:r>
          </w:p>
        </w:tc>
        <w:tc>
          <w:tcPr>
            <w:tcW w:w="280" w:type="dxa"/>
            <w:vAlign w:val="bottom"/>
          </w:tcPr>
          <w:p>
            <w:pPr>
              <w:spacing w:after="0"/>
              <w:rPr>
                <w:sz w:val="20"/>
                <w:szCs w:val="20"/>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50,509,692</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gridSpan w:val="2"/>
          </w:tcPr>
          <w:p>
            <w:pPr>
              <w:jc w:val="right"/>
              <w:ind w:right="1080"/>
              <w:spacing w:after="0"/>
              <w:rPr>
                <w:sz w:val="20"/>
                <w:szCs w:val="20"/>
                <w:color w:val="auto"/>
              </w:rPr>
            </w:pPr>
            <w:r>
              <w:rPr>
                <w:rFonts w:ascii="Arial" w:cs="Arial" w:eastAsia="Arial" w:hAnsi="Arial"/>
                <w:sz w:val="18"/>
                <w:szCs w:val="18"/>
                <w:color w:val="auto"/>
              </w:rPr>
              <w:t>34,635,208</w:t>
            </w: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20,541,475</w:t>
            </w:r>
          </w:p>
        </w:tc>
      </w:tr>
      <w:tr>
        <w:trPr>
          <w:trHeight w:val="202"/>
        </w:trPr>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Earnings per common share—basic and</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(1)</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1.93</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r>
    </w:tbl>
    <w:p>
      <w:pPr>
        <w:spacing w:after="0" w:line="229" w:lineRule="exact"/>
        <w:rPr>
          <w:sz w:val="20"/>
          <w:szCs w:val="20"/>
          <w:color w:val="auto"/>
        </w:rPr>
      </w:pPr>
    </w:p>
    <w:p>
      <w:pPr>
        <w:ind w:left="460" w:right="160" w:hanging="452"/>
        <w:spacing w:after="0" w:line="277" w:lineRule="auto"/>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periods prior to December 3, 2013 have been retroactively adjusted for the stock split which was effected in the form of a stock dividend.</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the purpose of calculating diluted earnings per common share, the average closing price of the Company’s common stock for the year ended December 31, 2014 was less than the conversion price for the Convertible Senior Notes outstanding as of December 31, 2014. Therefore, for all periods presented in the financial statements, the underlying shares for the intrinsic value of the embedded options in the Convertible Senior Notes have no impact on the computation of diluted earnings per common share.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Dividends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dividends declared during the years ended December 31, 2014 and 2013:</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20" w:type="dxa"/>
            <w:vAlign w:val="bottom"/>
            <w:gridSpan w:val="2"/>
          </w:tcPr>
          <w:p>
            <w:pPr>
              <w:ind w:left="340"/>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w w:val="99"/>
              </w:rPr>
              <w:t>December 31, 2014</w:t>
            </w: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40" w:type="dxa"/>
            <w:vAlign w:val="bottom"/>
            <w:vMerge w:val="continue"/>
          </w:tcPr>
          <w:p>
            <w:pPr>
              <w:spacing w:after="0"/>
              <w:rPr>
                <w:sz w:val="12"/>
                <w:szCs w:val="12"/>
                <w:color w:val="auto"/>
              </w:rPr>
            </w:pPr>
          </w:p>
        </w:tc>
        <w:tc>
          <w:tcPr>
            <w:tcW w:w="2300" w:type="dxa"/>
            <w:vAlign w:val="bottom"/>
            <w:gridSpan w:val="2"/>
          </w:tcPr>
          <w:p>
            <w:pPr>
              <w:jc w:val="right"/>
              <w:ind w:right="1020"/>
              <w:spacing w:after="0" w:line="142" w:lineRule="exact"/>
              <w:rPr>
                <w:sz w:val="20"/>
                <w:szCs w:val="20"/>
                <w:color w:val="auto"/>
              </w:rPr>
            </w:pPr>
            <w:r>
              <w:rPr>
                <w:rFonts w:ascii="Arial" w:cs="Arial" w:eastAsia="Arial" w:hAnsi="Arial"/>
                <w:sz w:val="14"/>
                <w:szCs w:val="14"/>
                <w:b w:val="1"/>
                <w:bCs w:val="1"/>
                <w:color w:val="auto"/>
              </w:rPr>
              <w:t>Record Date</w:t>
            </w:r>
          </w:p>
        </w:tc>
        <w:tc>
          <w:tcPr>
            <w:tcW w:w="1820" w:type="dxa"/>
            <w:vAlign w:val="bottom"/>
            <w:gridSpan w:val="2"/>
          </w:tcPr>
          <w:p>
            <w:pPr>
              <w:ind w:left="360"/>
              <w:spacing w:after="0" w:line="142" w:lineRule="exact"/>
              <w:rPr>
                <w:sz w:val="20"/>
                <w:szCs w:val="20"/>
                <w:color w:val="auto"/>
              </w:rPr>
            </w:pPr>
            <w:r>
              <w:rPr>
                <w:rFonts w:ascii="Arial" w:cs="Arial" w:eastAsia="Arial" w:hAnsi="Arial"/>
                <w:sz w:val="14"/>
                <w:szCs w:val="14"/>
                <w:b w:val="1"/>
                <w:bCs w:val="1"/>
                <w:color w:val="auto"/>
              </w:rPr>
              <w:t>Payment Date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Dividend per Share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26, 2014</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31, 2014</w:t>
            </w:r>
          </w:p>
        </w:tc>
        <w:tc>
          <w:tcPr>
            <w:tcW w:w="5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April 30, 2014</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May 6, 2014</w:t>
            </w:r>
          </w:p>
        </w:tc>
        <w:tc>
          <w:tcPr>
            <w:tcW w:w="2300" w:type="dxa"/>
            <w:vAlign w:val="bottom"/>
            <w:gridSpan w:val="2"/>
          </w:tcPr>
          <w:p>
            <w:pPr>
              <w:jc w:val="right"/>
              <w:ind w:right="500"/>
              <w:spacing w:after="0"/>
              <w:rPr>
                <w:sz w:val="20"/>
                <w:szCs w:val="20"/>
                <w:color w:val="auto"/>
              </w:rPr>
            </w:pPr>
            <w:r>
              <w:rPr>
                <w:rFonts w:ascii="Arial" w:cs="Arial" w:eastAsia="Arial" w:hAnsi="Arial"/>
                <w:sz w:val="18"/>
                <w:szCs w:val="18"/>
                <w:color w:val="auto"/>
              </w:rPr>
              <w:t>June 30, 2014</w:t>
            </w: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July 31, 2014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August 4, 2014</w:t>
            </w:r>
          </w:p>
        </w:tc>
        <w:tc>
          <w:tcPr>
            <w:tcW w:w="2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September 30, 2014</w:t>
            </w: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October 31, 2014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November 3, 2014</w:t>
            </w:r>
          </w:p>
        </w:tc>
        <w:tc>
          <w:tcPr>
            <w:tcW w:w="2300" w:type="dxa"/>
            <w:vAlign w:val="bottom"/>
            <w:gridSpan w:val="2"/>
          </w:tcPr>
          <w:p>
            <w:pPr>
              <w:jc w:val="right"/>
              <w:ind w:right="500"/>
              <w:spacing w:after="0"/>
              <w:rPr>
                <w:sz w:val="20"/>
                <w:szCs w:val="20"/>
                <w:color w:val="auto"/>
              </w:rPr>
            </w:pPr>
            <w:r>
              <w:rPr>
                <w:rFonts w:ascii="Arial" w:cs="Arial" w:eastAsia="Arial" w:hAnsi="Arial"/>
                <w:sz w:val="18"/>
                <w:szCs w:val="18"/>
                <w:color w:val="auto"/>
              </w:rPr>
              <w:t>December 31, 2014</w:t>
            </w: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January 30, 2015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3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w w:val="99"/>
              </w:rPr>
              <w:t>December 31, 2013</w:t>
            </w: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40" w:type="dxa"/>
            <w:vAlign w:val="bottom"/>
            <w:vMerge w:val="continue"/>
          </w:tcPr>
          <w:p>
            <w:pPr>
              <w:spacing w:after="0"/>
              <w:rPr>
                <w:sz w:val="12"/>
                <w:szCs w:val="12"/>
                <w:color w:val="auto"/>
              </w:rPr>
            </w:pPr>
          </w:p>
        </w:tc>
        <w:tc>
          <w:tcPr>
            <w:tcW w:w="2300" w:type="dxa"/>
            <w:vAlign w:val="bottom"/>
            <w:gridSpan w:val="2"/>
          </w:tcPr>
          <w:p>
            <w:pPr>
              <w:jc w:val="right"/>
              <w:ind w:right="1020"/>
              <w:spacing w:after="0" w:line="142" w:lineRule="exact"/>
              <w:rPr>
                <w:sz w:val="20"/>
                <w:szCs w:val="20"/>
                <w:color w:val="auto"/>
              </w:rPr>
            </w:pPr>
            <w:r>
              <w:rPr>
                <w:rFonts w:ascii="Arial" w:cs="Arial" w:eastAsia="Arial" w:hAnsi="Arial"/>
                <w:sz w:val="14"/>
                <w:szCs w:val="14"/>
                <w:b w:val="1"/>
                <w:bCs w:val="1"/>
                <w:color w:val="auto"/>
              </w:rPr>
              <w:t>Record Date</w:t>
            </w:r>
          </w:p>
        </w:tc>
        <w:tc>
          <w:tcPr>
            <w:tcW w:w="1820" w:type="dxa"/>
            <w:vAlign w:val="bottom"/>
            <w:gridSpan w:val="2"/>
          </w:tcPr>
          <w:p>
            <w:pPr>
              <w:ind w:left="360"/>
              <w:spacing w:after="0" w:line="142" w:lineRule="exact"/>
              <w:rPr>
                <w:sz w:val="20"/>
                <w:szCs w:val="20"/>
                <w:color w:val="auto"/>
              </w:rPr>
            </w:pPr>
            <w:r>
              <w:rPr>
                <w:rFonts w:ascii="Arial" w:cs="Arial" w:eastAsia="Arial" w:hAnsi="Arial"/>
                <w:sz w:val="14"/>
                <w:szCs w:val="14"/>
                <w:b w:val="1"/>
                <w:bCs w:val="1"/>
                <w:color w:val="auto"/>
              </w:rPr>
              <w:t>Payment Date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w w:val="94"/>
              </w:rPr>
              <w:t>Dividend per Share</w:t>
            </w:r>
            <w:r>
              <w:rPr>
                <w:rFonts w:ascii="Arial" w:cs="Arial" w:eastAsia="Arial" w:hAnsi="Arial"/>
                <w:sz w:val="12"/>
                <w:szCs w:val="12"/>
                <w:b w:val="1"/>
                <w:bCs w:val="1"/>
                <w:color w:val="auto"/>
                <w:w w:val="94"/>
              </w:rPr>
              <w:t>(2)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12, 2013</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31, 2013</w:t>
            </w:r>
          </w:p>
        </w:tc>
        <w:tc>
          <w:tcPr>
            <w:tcW w:w="5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6, 2013</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June 30, 2013</w:t>
            </w:r>
          </w:p>
        </w:tc>
        <w:tc>
          <w:tcPr>
            <w:tcW w:w="2300" w:type="dxa"/>
            <w:vAlign w:val="bottom"/>
            <w:gridSpan w:val="2"/>
          </w:tcPr>
          <w:p>
            <w:pPr>
              <w:jc w:val="right"/>
              <w:ind w:right="500"/>
              <w:spacing w:after="0"/>
              <w:rPr>
                <w:sz w:val="20"/>
                <w:szCs w:val="20"/>
                <w:color w:val="auto"/>
              </w:rPr>
            </w:pPr>
            <w:r>
              <w:rPr>
                <w:rFonts w:ascii="Arial" w:cs="Arial" w:eastAsia="Arial" w:hAnsi="Arial"/>
                <w:sz w:val="18"/>
                <w:szCs w:val="18"/>
                <w:color w:val="auto"/>
              </w:rPr>
              <w:t>June 30, 2013</w:t>
            </w: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July 31, 2013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2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September 30, 2013</w:t>
            </w: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October 31, 2013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December 31, 2013</w:t>
            </w:r>
            <w:r>
              <w:rPr>
                <w:rFonts w:ascii="Arial" w:cs="Arial" w:eastAsia="Arial" w:hAnsi="Arial"/>
                <w:sz w:val="15"/>
                <w:szCs w:val="15"/>
                <w:color w:val="auto"/>
              </w:rPr>
              <w:t>(1)</w:t>
            </w:r>
          </w:p>
        </w:tc>
        <w:tc>
          <w:tcPr>
            <w:tcW w:w="2300" w:type="dxa"/>
            <w:vAlign w:val="bottom"/>
            <w:gridSpan w:val="2"/>
          </w:tcPr>
          <w:p>
            <w:pPr>
              <w:jc w:val="right"/>
              <w:ind w:right="500"/>
              <w:spacing w:after="0"/>
              <w:rPr>
                <w:sz w:val="20"/>
                <w:szCs w:val="20"/>
                <w:color w:val="auto"/>
              </w:rPr>
            </w:pPr>
            <w:r>
              <w:rPr>
                <w:rFonts w:ascii="Arial" w:cs="Arial" w:eastAsia="Arial" w:hAnsi="Arial"/>
                <w:sz w:val="18"/>
                <w:szCs w:val="18"/>
                <w:color w:val="auto"/>
              </w:rPr>
              <w:t>December 31, 2013</w:t>
            </w: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January 30, 2014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Dividends Declared</w:t>
            </w:r>
          </w:p>
        </w:tc>
        <w:tc>
          <w:tcPr>
            <w:tcW w:w="1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December 31, 2013 declared dividend includes a special dividend of $0.03 per share.</w:t>
      </w:r>
    </w:p>
    <w:p>
      <w:pPr>
        <w:spacing w:after="0" w:line="23" w:lineRule="exact"/>
        <w:rPr>
          <w:rFonts w:ascii="Arial" w:cs="Arial" w:eastAsia="Arial" w:hAnsi="Arial"/>
          <w:sz w:val="18"/>
          <w:szCs w:val="18"/>
          <w:color w:val="auto"/>
        </w:rPr>
      </w:pPr>
    </w:p>
    <w:p>
      <w:pPr>
        <w:ind w:left="460" w:hanging="452"/>
        <w:spacing w:after="0" w:line="261" w:lineRule="auto"/>
        <w:tabs>
          <w:tab w:leader="none" w:pos="4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184"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dividends declared during the years ended December 31, 2014 and December 31, 2013, were derived from net investment income and long-term capital gains, determined on a tax basis.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00"/>
          </w:cols>
          <w:pgMar w:left="240" w:top="460" w:right="2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character of shareholder distributions attributable to the fiscal years ended December 31, 2014, 2013 and 2012 were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9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6"/>
              </w:rPr>
              <w:t>Year Ended</w:t>
            </w:r>
          </w:p>
        </w:tc>
        <w:tc>
          <w:tcPr>
            <w:tcW w:w="140" w:type="dxa"/>
            <w:vAlign w:val="bottom"/>
          </w:tcPr>
          <w:p>
            <w:pPr>
              <w:spacing w:after="0"/>
              <w:rPr>
                <w:sz w:val="14"/>
                <w:szCs w:val="14"/>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2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5"/>
              </w:rPr>
              <w:t>December 31, 2014</w:t>
            </w:r>
          </w:p>
        </w:tc>
        <w:tc>
          <w:tcPr>
            <w:tcW w:w="140" w:type="dxa"/>
            <w:vAlign w:val="bottom"/>
          </w:tcPr>
          <w:p>
            <w:pPr>
              <w:spacing w:after="0"/>
              <w:rPr>
                <w:sz w:val="14"/>
                <w:szCs w:val="14"/>
                <w:color w:val="auto"/>
              </w:rPr>
            </w:pPr>
          </w:p>
        </w:tc>
        <w:tc>
          <w:tcPr>
            <w:tcW w:w="19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1"/>
              </w:rPr>
              <w:t>December 31, 2013</w:t>
            </w:r>
          </w:p>
        </w:tc>
        <w:tc>
          <w:tcPr>
            <w:tcW w:w="140" w:type="dxa"/>
            <w:vAlign w:val="bottom"/>
          </w:tcPr>
          <w:p>
            <w:pPr>
              <w:spacing w:after="0"/>
              <w:rPr>
                <w:sz w:val="14"/>
                <w:szCs w:val="14"/>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December 31, 2012</w:t>
            </w:r>
          </w:p>
        </w:tc>
      </w:tr>
      <w:tr>
        <w:trPr>
          <w:trHeight w:val="210"/>
        </w:trPr>
        <w:tc>
          <w:tcPr>
            <w:tcW w:w="2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Ordinary Income</w:t>
            </w:r>
            <w:r>
              <w:rPr>
                <w:rFonts w:ascii="Arial" w:cs="Arial" w:eastAsia="Arial" w:hAnsi="Arial"/>
                <w:sz w:val="15"/>
                <w:szCs w:val="15"/>
                <w:color w:val="auto"/>
              </w:rPr>
              <w:t>(1)</w:t>
            </w:r>
          </w:p>
        </w:tc>
        <w:tc>
          <w:tcPr>
            <w:tcW w:w="1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80,077</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51,476</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27,994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Capital Gains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1,249</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3,909</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1,776</w:t>
            </w:r>
          </w:p>
        </w:tc>
      </w:tr>
      <w:tr>
        <w:trPr>
          <w:trHeight w:val="27"/>
        </w:trPr>
        <w:tc>
          <w:tcPr>
            <w:tcW w:w="2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81,326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55,385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29,770</w:t>
            </w:r>
          </w:p>
        </w:tc>
      </w:tr>
      <w:tr>
        <w:trPr>
          <w:trHeight w:val="20"/>
        </w:trPr>
        <w:tc>
          <w:tcPr>
            <w:tcW w:w="2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60" w:hanging="452"/>
        <w:spacing w:after="0" w:line="277" w:lineRule="auto"/>
        <w:tabs>
          <w:tab w:leader="none" w:pos="4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For the years ended December 31, 2014, 2013 and 2012, 78.85%, 91.52% and 78.08% of ordinary income qualified as interest related dividend which is exempt from U.S. withholding tax applicable to non U.S. shareholders.</w:t>
      </w:r>
    </w:p>
    <w:p>
      <w:pPr>
        <w:spacing w:after="0" w:line="17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following reconciles increase in net assets resulting from operations for the fiscal years ended December 31, 2014, 2013 and 2012, to taxable income at December 31, 2014, 2013 and 2012:</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98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93"/>
              </w:rPr>
              <w:t>December 31, 2014</w:t>
            </w:r>
          </w:p>
        </w:tc>
        <w:tc>
          <w:tcPr>
            <w:tcW w:w="140" w:type="dxa"/>
            <w:vAlign w:val="bottom"/>
          </w:tcPr>
          <w:p>
            <w:pPr>
              <w:spacing w:after="0"/>
              <w:rPr>
                <w:sz w:val="14"/>
                <w:szCs w:val="14"/>
                <w:color w:val="auto"/>
              </w:rPr>
            </w:pPr>
          </w:p>
        </w:tc>
        <w:tc>
          <w:tcPr>
            <w:tcW w:w="19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3"/>
              </w:rPr>
              <w:t>December 31, 2013</w:t>
            </w:r>
          </w:p>
        </w:tc>
        <w:tc>
          <w:tcPr>
            <w:tcW w:w="120" w:type="dxa"/>
            <w:vAlign w:val="bottom"/>
          </w:tcPr>
          <w:p>
            <w:pPr>
              <w:spacing w:after="0"/>
              <w:rPr>
                <w:sz w:val="14"/>
                <w:szCs w:val="14"/>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December 31, 2012</w:t>
            </w:r>
          </w:p>
        </w:tc>
      </w:tr>
      <w:tr>
        <w:trPr>
          <w:trHeight w:val="182"/>
        </w:trPr>
        <w:tc>
          <w:tcPr>
            <w:tcW w:w="37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Increase in net assets resulting from</w:t>
            </w:r>
          </w:p>
        </w:tc>
        <w:tc>
          <w:tcPr>
            <w:tcW w:w="14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r>
      <w:tr>
        <w:trPr>
          <w:trHeight w:val="230"/>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85,050</w:t>
            </w: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66,983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39,595</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Adjustments:</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loss on investments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17,722</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(8,386)</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(7,211)</w:t>
            </w:r>
          </w:p>
        </w:tc>
      </w:tr>
      <w:tr>
        <w:trPr>
          <w:trHeight w:val="202"/>
        </w:trPr>
        <w:tc>
          <w:tcPr>
            <w:tcW w:w="3720" w:type="dxa"/>
            <w:vAlign w:val="bottom"/>
          </w:tcPr>
          <w:p>
            <w:pPr>
              <w:ind w:left="360"/>
              <w:spacing w:after="0" w:line="201" w:lineRule="exact"/>
              <w:rPr>
                <w:sz w:val="20"/>
                <w:szCs w:val="20"/>
                <w:color w:val="auto"/>
              </w:rPr>
            </w:pPr>
            <w:r>
              <w:rPr>
                <w:rFonts w:ascii="Arial" w:cs="Arial" w:eastAsia="Arial" w:hAnsi="Arial"/>
                <w:sz w:val="18"/>
                <w:szCs w:val="18"/>
                <w:color w:val="auto"/>
              </w:rPr>
              <w:t>Other income (expense) for tax</w:t>
            </w: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3720" w:type="dxa"/>
            <w:vAlign w:val="bottom"/>
          </w:tcPr>
          <w:p>
            <w:pPr>
              <w:ind w:left="540"/>
              <w:spacing w:after="0"/>
              <w:rPr>
                <w:sz w:val="20"/>
                <w:szCs w:val="20"/>
                <w:color w:val="auto"/>
              </w:rPr>
            </w:pPr>
            <w:r>
              <w:rPr>
                <w:rFonts w:ascii="Arial" w:cs="Arial" w:eastAsia="Arial" w:hAnsi="Arial"/>
                <w:sz w:val="18"/>
                <w:szCs w:val="18"/>
                <w:color w:val="auto"/>
              </w:rPr>
              <w:t>purposes, not book</w:t>
            </w:r>
          </w:p>
        </w:tc>
        <w:tc>
          <w:tcPr>
            <w:tcW w:w="14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2"/>
          </w:tcPr>
          <w:p>
            <w:pPr>
              <w:jc w:val="right"/>
              <w:ind w:right="600"/>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20"/>
                <w:szCs w:val="20"/>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(670)</w:t>
            </w:r>
          </w:p>
        </w:tc>
      </w:tr>
      <w:tr>
        <w:trPr>
          <w:trHeight w:val="216"/>
        </w:trPr>
        <w:tc>
          <w:tcPr>
            <w:tcW w:w="3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organization costs</w:t>
            </w:r>
          </w:p>
        </w:tc>
        <w:tc>
          <w:tcPr>
            <w:tcW w:w="14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02"/>
        </w:trPr>
        <w:tc>
          <w:tcPr>
            <w:tcW w:w="3720" w:type="dxa"/>
            <w:vAlign w:val="bottom"/>
          </w:tcPr>
          <w:p>
            <w:pPr>
              <w:ind w:left="360"/>
              <w:spacing w:after="0" w:line="201" w:lineRule="exact"/>
              <w:rPr>
                <w:sz w:val="20"/>
                <w:szCs w:val="20"/>
                <w:color w:val="auto"/>
              </w:rPr>
            </w:pPr>
            <w:r>
              <w:rPr>
                <w:rFonts w:ascii="Arial" w:cs="Arial" w:eastAsia="Arial" w:hAnsi="Arial"/>
                <w:sz w:val="18"/>
                <w:szCs w:val="18"/>
                <w:color w:val="auto"/>
              </w:rPr>
              <w:t>Other expenses not currently</w:t>
            </w: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3720" w:type="dxa"/>
            <w:vAlign w:val="bottom"/>
          </w:tcPr>
          <w:p>
            <w:pPr>
              <w:ind w:left="540"/>
              <w:spacing w:after="0"/>
              <w:rPr>
                <w:sz w:val="20"/>
                <w:szCs w:val="20"/>
                <w:color w:val="auto"/>
              </w:rPr>
            </w:pPr>
            <w:r>
              <w:rPr>
                <w:rFonts w:ascii="Arial" w:cs="Arial" w:eastAsia="Arial" w:hAnsi="Arial"/>
                <w:sz w:val="18"/>
                <w:szCs w:val="18"/>
                <w:color w:val="auto"/>
              </w:rPr>
              <w:t>deductible</w:t>
            </w:r>
          </w:p>
        </w:tc>
        <w:tc>
          <w:tcPr>
            <w:tcW w:w="14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1,156</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2"/>
          </w:tcPr>
          <w:p>
            <w:pPr>
              <w:jc w:val="right"/>
              <w:ind w:right="60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r>
      <w:tr>
        <w:trPr>
          <w:trHeight w:val="216"/>
        </w:trPr>
        <w:tc>
          <w:tcPr>
            <w:tcW w:w="3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book-tax differences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(901)</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w:t>
            </w:r>
          </w:p>
        </w:tc>
      </w:tr>
      <w:tr>
        <w:trPr>
          <w:trHeight w:val="223"/>
        </w:trPr>
        <w:tc>
          <w:tcPr>
            <w:tcW w:w="3720" w:type="dxa"/>
            <w:vAlign w:val="bottom"/>
          </w:tcPr>
          <w:p>
            <w:pPr>
              <w:ind w:left="720"/>
              <w:spacing w:after="0"/>
              <w:rPr>
                <w:sz w:val="20"/>
                <w:szCs w:val="20"/>
                <w:color w:val="auto"/>
              </w:rPr>
            </w:pPr>
            <w:r>
              <w:rPr>
                <w:rFonts w:ascii="Arial" w:cs="Arial" w:eastAsia="Arial" w:hAnsi="Arial"/>
                <w:sz w:val="18"/>
                <w:szCs w:val="18"/>
                <w:b w:val="1"/>
                <w:bCs w:val="1"/>
                <w:color w:val="auto"/>
              </w:rPr>
              <w:t>Taxable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104,020</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58,401</w:t>
            </w: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31,755</w:t>
            </w:r>
          </w:p>
        </w:tc>
        <w:tc>
          <w:tcPr>
            <w:tcW w:w="14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 Taxable income is an estimate and is not fully determined until the Company’s tax return is filed.</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makes certain adjustments to the classification of stockholders’ equity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undistributed net investment income or undistributed net realized gains on investments, as appropriate. In addition, due to the Company’s differing fiscal, tax, and excise tax year ends, the best estimates available are recorded to the above accounts in the period that such differences arise or are identifiable.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59"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During the year ended December 31, 2014, permanent differences were principally related to $19.9 million of recharacterization of prepayment penalties for tax purposes between ordinary income and capital gains, $1.1 million attributable to accrued U.S. federal excise taxes, and $0.2 million attributable to the foreign currency reclassifications. During the year ended December 31, 2013, permanent differences were principally related to $0.2 million attributable to accrued U.S. federal excise taxes, $3.0 million of recharacterization of prepayment penalties for tax purposes between ordinary income and capital gains and $1.4 million on the disposition of investments with PIK earnings not previously recognized for tax purposes. During the year ended December 31, 2012, permanent differences of $46 thousand were principally attributable to accrued U.S. federal excise taxes.</w:t>
      </w:r>
    </w:p>
    <w:p>
      <w:pPr>
        <w:spacing w:after="0" w:line="178"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 xml:space="preserve">The Company neither has any uncertain tax positions that met the recognition or measurement criteria of ASC 740-10-25, </w:t>
      </w:r>
      <w:r>
        <w:rPr>
          <w:rFonts w:ascii="Arial" w:cs="Arial" w:eastAsia="Arial" w:hAnsi="Arial"/>
          <w:sz w:val="17"/>
          <w:szCs w:val="17"/>
          <w:i w:val="1"/>
          <w:iCs w:val="1"/>
          <w:color w:val="auto"/>
        </w:rPr>
        <w:t>Income Taxes</w:t>
      </w:r>
      <w:r>
        <w:rPr>
          <w:rFonts w:ascii="Arial" w:cs="Arial" w:eastAsia="Arial" w:hAnsi="Arial"/>
          <w:sz w:val="17"/>
          <w:szCs w:val="17"/>
          <w:color w:val="auto"/>
        </w:rPr>
        <w:t>, nor did the Company have any unrecognized tax benefits as of the periods presented herein. Although the Company files federal and state tax returns, our major tax jurisdiction is federal. Our inception-to-date federal tax year remains subject to examination by the Internal Revenue Service.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cost of the Company’s investments as of December 31, 2014 and 2013, approximates their amortized cost.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Highlights</w:t>
      </w:r>
    </w:p>
    <w:p>
      <w:pPr>
        <w:spacing w:after="0" w:line="12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The following per share data and ratios have been derived from information provided in the consolidated financial statements. The following are the financial highlights for one share of common stock outstanding during the years ended December 31, 2014, 2013, 2012, and 2011. There was no activity for the period from July 21, 2010 (inception) to December 31, 2010 other than the initial issuance of Common Stock.</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2"/>
                <w:szCs w:val="12"/>
                <w:color w:val="auto"/>
              </w:rPr>
            </w:pPr>
          </w:p>
        </w:tc>
        <w:tc>
          <w:tcPr>
            <w:tcW w:w="14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2"/>
                <w:szCs w:val="12"/>
                <w:color w:val="auto"/>
              </w:rPr>
            </w:pPr>
          </w:p>
        </w:tc>
        <w:tc>
          <w:tcPr>
            <w:tcW w:w="13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Year Ended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July 21, 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2"/>
                <w:szCs w:val="12"/>
                <w:color w:val="auto"/>
              </w:rPr>
            </w:pPr>
          </w:p>
        </w:tc>
        <w:tc>
          <w:tcPr>
            <w:tcW w:w="14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37"/>
              <w:spacing w:after="0"/>
              <w:rPr>
                <w:sz w:val="20"/>
                <w:szCs w:val="20"/>
                <w:color w:val="auto"/>
              </w:rPr>
            </w:pPr>
            <w:r>
              <w:rPr>
                <w:rFonts w:ascii="Arial" w:cs="Arial" w:eastAsia="Arial" w:hAnsi="Arial"/>
                <w:sz w:val="14"/>
                <w:szCs w:val="14"/>
                <w:b w:val="1"/>
                <w:bCs w:val="1"/>
                <w:color w:val="auto"/>
                <w:w w:val="96"/>
              </w:rPr>
              <w:t>2014</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77"/>
              <w:spacing w:after="0"/>
              <w:rPr>
                <w:sz w:val="20"/>
                <w:szCs w:val="20"/>
                <w:color w:val="auto"/>
              </w:rPr>
            </w:pPr>
            <w:r>
              <w:rPr>
                <w:rFonts w:ascii="Arial" w:cs="Arial" w:eastAsia="Arial" w:hAnsi="Arial"/>
                <w:sz w:val="14"/>
                <w:szCs w:val="14"/>
                <w:b w:val="1"/>
                <w:bCs w:val="1"/>
                <w:color w:val="auto"/>
                <w:w w:val="89"/>
              </w:rPr>
              <w:t>2013</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2012</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2011</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38"/>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
        </w:trPr>
        <w:tc>
          <w:tcPr>
            <w:tcW w:w="20" w:type="dxa"/>
            <w:vAlign w:val="bottom"/>
          </w:tcPr>
          <w:p>
            <w:pPr>
              <w:spacing w:after="0" w:line="20" w:lineRule="exact"/>
              <w:rPr>
                <w:sz w:val="1"/>
                <w:szCs w:val="1"/>
                <w:color w:val="auto"/>
              </w:rPr>
            </w:pPr>
          </w:p>
        </w:tc>
        <w:tc>
          <w:tcPr>
            <w:tcW w:w="2640" w:type="dxa"/>
            <w:vAlign w:val="bottom"/>
            <w:shd w:val="clear" w:color="auto" w:fill="CCEEFF"/>
          </w:tcPr>
          <w:p>
            <w:pPr>
              <w:spacing w:after="0" w:line="6" w:lineRule="exact"/>
              <w:rPr>
                <w:sz w:val="20"/>
                <w:szCs w:val="20"/>
                <w:color w:val="auto"/>
              </w:rPr>
            </w:pPr>
            <w:r>
              <w:rPr>
                <w:rFonts w:ascii="Arial" w:cs="Arial" w:eastAsia="Arial" w:hAnsi="Arial"/>
                <w:sz w:val="1"/>
                <w:szCs w:val="1"/>
                <w:b w:val="1"/>
                <w:bCs w:val="1"/>
                <w:color w:val="auto"/>
              </w:rPr>
              <w:t>Per Share Data</w:t>
            </w: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640" w:type="dxa"/>
            <w:vAlign w:val="bottom"/>
            <w:shd w:val="clear" w:color="auto" w:fill="CCEEFF"/>
          </w:tcPr>
          <w:p>
            <w:pPr>
              <w:ind w:left="1100"/>
              <w:spacing w:after="0"/>
              <w:rPr>
                <w:sz w:val="20"/>
                <w:szCs w:val="20"/>
                <w:color w:val="auto"/>
              </w:rPr>
            </w:pPr>
            <w:r>
              <w:rPr>
                <w:rFonts w:ascii="Arial" w:cs="Arial" w:eastAsia="Arial" w:hAnsi="Arial"/>
                <w:sz w:val="15"/>
                <w:szCs w:val="15"/>
                <w:b w:val="1"/>
                <w:bCs w:val="1"/>
                <w:color w:val="auto"/>
              </w:rPr>
              <w:t>(5)</w:t>
            </w: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40" w:type="dxa"/>
            <w:vAlign w:val="bottom"/>
          </w:tcPr>
          <w:p>
            <w:pPr>
              <w:spacing w:after="0" w:line="185" w:lineRule="exact"/>
              <w:rPr>
                <w:sz w:val="20"/>
                <w:szCs w:val="20"/>
                <w:color w:val="auto"/>
              </w:rPr>
            </w:pPr>
            <w:r>
              <w:rPr>
                <w:rFonts w:ascii="Arial" w:cs="Arial" w:eastAsia="Arial" w:hAnsi="Arial"/>
                <w:sz w:val="17"/>
                <w:szCs w:val="17"/>
                <w:color w:val="auto"/>
              </w:rPr>
              <w:t>Net asset value,</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7"/>
                <w:szCs w:val="17"/>
                <w:color w:val="auto"/>
              </w:rPr>
              <w:t>beginning of period</w:t>
            </w: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580"/>
              <w:spacing w:after="0"/>
              <w:rPr>
                <w:sz w:val="20"/>
                <w:szCs w:val="20"/>
                <w:color w:val="auto"/>
              </w:rPr>
            </w:pPr>
            <w:r>
              <w:rPr>
                <w:rFonts w:ascii="Arial" w:cs="Arial" w:eastAsia="Arial" w:hAnsi="Arial"/>
                <w:sz w:val="17"/>
                <w:szCs w:val="17"/>
                <w:color w:val="auto"/>
              </w:rPr>
              <w:t>15.52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360"/>
              <w:spacing w:after="0"/>
              <w:rPr>
                <w:sz w:val="20"/>
                <w:szCs w:val="20"/>
                <w:color w:val="auto"/>
              </w:rPr>
            </w:pPr>
            <w:r>
              <w:rPr>
                <w:rFonts w:ascii="Arial" w:cs="Arial" w:eastAsia="Arial" w:hAnsi="Arial"/>
                <w:sz w:val="17"/>
                <w:szCs w:val="17"/>
                <w:color w:val="auto"/>
              </w:rPr>
              <w:t>15.19</w:t>
            </w: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680" w:type="dxa"/>
            <w:vAlign w:val="bottom"/>
            <w:gridSpan w:val="2"/>
          </w:tcPr>
          <w:p>
            <w:pPr>
              <w:jc w:val="right"/>
              <w:ind w:right="600"/>
              <w:spacing w:after="0"/>
              <w:rPr>
                <w:sz w:val="20"/>
                <w:szCs w:val="20"/>
                <w:color w:val="auto"/>
              </w:rPr>
            </w:pPr>
            <w:r>
              <w:rPr>
                <w:rFonts w:ascii="Arial" w:cs="Arial" w:eastAsia="Arial" w:hAnsi="Arial"/>
                <w:sz w:val="17"/>
                <w:szCs w:val="17"/>
                <w:color w:val="auto"/>
              </w:rPr>
              <w:t>14.71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7"/>
                <w:szCs w:val="17"/>
                <w:color w:val="auto"/>
              </w:rPr>
              <w:t>0.01</w:t>
            </w: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investment</w:t>
            </w: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40" w:type="dxa"/>
            <w:vAlign w:val="bottom"/>
            <w:gridSpan w:val="2"/>
            <w:vMerge w:val="restart"/>
            <w:shd w:val="clear" w:color="auto" w:fill="CCEEFF"/>
          </w:tcPr>
          <w:p>
            <w:pPr>
              <w:jc w:val="right"/>
              <w:ind w:right="580"/>
              <w:spacing w:after="0"/>
              <w:rPr>
                <w:sz w:val="20"/>
                <w:szCs w:val="20"/>
                <w:color w:val="auto"/>
              </w:rPr>
            </w:pPr>
            <w:r>
              <w:rPr>
                <w:rFonts w:ascii="Arial" w:cs="Arial" w:eastAsia="Arial" w:hAnsi="Arial"/>
                <w:sz w:val="17"/>
                <w:szCs w:val="17"/>
                <w:color w:val="auto"/>
              </w:rPr>
              <w:t>2.07</w:t>
            </w:r>
          </w:p>
        </w:tc>
        <w:tc>
          <w:tcPr>
            <w:tcW w:w="140" w:type="dxa"/>
            <w:vAlign w:val="bottom"/>
            <w:shd w:val="clear" w:color="auto" w:fill="CCEEFF"/>
          </w:tcPr>
          <w:p>
            <w:pPr>
              <w:spacing w:after="0"/>
              <w:rPr>
                <w:sz w:val="16"/>
                <w:szCs w:val="16"/>
                <w:color w:val="auto"/>
              </w:rPr>
            </w:pPr>
          </w:p>
        </w:tc>
        <w:tc>
          <w:tcPr>
            <w:tcW w:w="144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7"/>
                <w:szCs w:val="17"/>
                <w:color w:val="auto"/>
              </w:rPr>
              <w:t>1.66</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80" w:type="dxa"/>
            <w:vAlign w:val="bottom"/>
            <w:gridSpan w:val="2"/>
            <w:vMerge w:val="restart"/>
            <w:shd w:val="clear" w:color="auto" w:fill="CCEEFF"/>
          </w:tcPr>
          <w:p>
            <w:pPr>
              <w:jc w:val="right"/>
              <w:ind w:right="600"/>
              <w:spacing w:after="0"/>
              <w:rPr>
                <w:sz w:val="20"/>
                <w:szCs w:val="20"/>
                <w:color w:val="auto"/>
              </w:rPr>
            </w:pPr>
            <w:r>
              <w:rPr>
                <w:rFonts w:ascii="Arial" w:cs="Arial" w:eastAsia="Arial" w:hAnsi="Arial"/>
                <w:sz w:val="17"/>
                <w:szCs w:val="17"/>
                <w:color w:val="auto"/>
              </w:rPr>
              <w:t>1.36</w:t>
            </w:r>
          </w:p>
        </w:tc>
        <w:tc>
          <w:tcPr>
            <w:tcW w:w="120" w:type="dxa"/>
            <w:vAlign w:val="bottom"/>
            <w:shd w:val="clear" w:color="auto" w:fill="CCEEFF"/>
          </w:tcPr>
          <w:p>
            <w:pPr>
              <w:spacing w:after="0"/>
              <w:rPr>
                <w:sz w:val="16"/>
                <w:szCs w:val="16"/>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7"/>
                <w:szCs w:val="17"/>
                <w:color w:val="auto"/>
              </w:rPr>
              <w:t>(0.44)</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640" w:type="dxa"/>
            <w:vAlign w:val="bottom"/>
            <w:shd w:val="clear" w:color="auto" w:fill="CCEEFF"/>
          </w:tcPr>
          <w:p>
            <w:pPr>
              <w:ind w:left="160"/>
              <w:spacing w:after="0"/>
              <w:rPr>
                <w:sz w:val="20"/>
                <w:szCs w:val="20"/>
                <w:color w:val="auto"/>
              </w:rPr>
            </w:pPr>
            <w:r>
              <w:rPr>
                <w:rFonts w:ascii="Arial" w:cs="Arial" w:eastAsia="Arial" w:hAnsi="Arial"/>
                <w:sz w:val="2"/>
                <w:szCs w:val="2"/>
                <w:color w:val="auto"/>
              </w:rPr>
              <w:t>income (loss)</w:t>
            </w: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gridSpan w:val="2"/>
            <w:vMerge w:val="continue"/>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40" w:type="dxa"/>
            <w:vAlign w:val="bottom"/>
            <w:gridSpan w:val="2"/>
            <w:vMerge w:val="continue"/>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80" w:type="dxa"/>
            <w:vAlign w:val="bottom"/>
            <w:gridSpan w:val="2"/>
            <w:vMerge w:val="continue"/>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gridSpan w:val="2"/>
            <w:vMerge w:val="continue"/>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gridSpan w:val="2"/>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640" w:type="dxa"/>
            <w:vAlign w:val="bottom"/>
            <w:shd w:val="clear" w:color="auto" w:fill="CCEEFF"/>
          </w:tcPr>
          <w:p>
            <w:pPr>
              <w:ind w:left="1080"/>
              <w:spacing w:after="0"/>
              <w:rPr>
                <w:sz w:val="20"/>
                <w:szCs w:val="20"/>
                <w:color w:val="auto"/>
              </w:rPr>
            </w:pPr>
            <w:r>
              <w:rPr>
                <w:rFonts w:ascii="Arial" w:cs="Arial" w:eastAsia="Arial" w:hAnsi="Arial"/>
                <w:sz w:val="15"/>
                <w:szCs w:val="15"/>
                <w:color w:val="auto"/>
              </w:rPr>
              <w:t>(1)</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40" w:type="dxa"/>
            <w:vAlign w:val="bottom"/>
          </w:tcPr>
          <w:p>
            <w:pPr>
              <w:spacing w:after="0" w:line="185" w:lineRule="exact"/>
              <w:rPr>
                <w:sz w:val="20"/>
                <w:szCs w:val="20"/>
                <w:color w:val="auto"/>
              </w:rPr>
            </w:pPr>
            <w:r>
              <w:rPr>
                <w:rFonts w:ascii="Arial" w:cs="Arial" w:eastAsia="Arial" w:hAnsi="Arial"/>
                <w:sz w:val="17"/>
                <w:szCs w:val="17"/>
                <w:color w:val="auto"/>
              </w:rPr>
              <w:t>Net realized and</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7"/>
                <w:szCs w:val="17"/>
                <w:color w:val="auto"/>
              </w:rPr>
              <w:t>unrealized gain (loss)</w:t>
            </w:r>
            <w:r>
              <w:rPr>
                <w:rFonts w:ascii="Arial" w:cs="Arial" w:eastAsia="Arial" w:hAnsi="Arial"/>
                <w:sz w:val="14"/>
                <w:szCs w:val="14"/>
                <w:color w:val="auto"/>
              </w:rPr>
              <w:t>(1)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520"/>
              <w:spacing w:after="0"/>
              <w:rPr>
                <w:sz w:val="20"/>
                <w:szCs w:val="20"/>
                <w:color w:val="auto"/>
              </w:rPr>
            </w:pPr>
            <w:r>
              <w:rPr>
                <w:rFonts w:ascii="Arial" w:cs="Arial" w:eastAsia="Arial" w:hAnsi="Arial"/>
                <w:sz w:val="17"/>
                <w:szCs w:val="17"/>
                <w:color w:val="auto"/>
              </w:rPr>
              <w:t>(0.33)</w:t>
            </w:r>
          </w:p>
        </w:tc>
        <w:tc>
          <w:tcPr>
            <w:tcW w:w="140" w:type="dxa"/>
            <w:vAlign w:val="bottom"/>
          </w:tcPr>
          <w:p>
            <w:pPr>
              <w:spacing w:after="0"/>
              <w:rPr>
                <w:sz w:val="18"/>
                <w:szCs w:val="18"/>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7"/>
                <w:szCs w:val="17"/>
                <w:color w:val="auto"/>
              </w:rPr>
              <w:t>0.23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600"/>
              <w:spacing w:after="0"/>
              <w:rPr>
                <w:sz w:val="20"/>
                <w:szCs w:val="20"/>
                <w:color w:val="auto"/>
              </w:rPr>
            </w:pPr>
            <w:r>
              <w:rPr>
                <w:rFonts w:ascii="Arial" w:cs="Arial" w:eastAsia="Arial" w:hAnsi="Arial"/>
                <w:sz w:val="17"/>
                <w:szCs w:val="17"/>
                <w:color w:val="auto"/>
              </w:rPr>
              <w:t>0.29</w:t>
            </w:r>
          </w:p>
        </w:tc>
        <w:tc>
          <w:tcPr>
            <w:tcW w:w="1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7"/>
                <w:szCs w:val="17"/>
                <w:color w:val="auto"/>
              </w:rPr>
              <w:t>0.22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from operations</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1.65</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(0.22)</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40" w:type="dxa"/>
            <w:vAlign w:val="bottom"/>
          </w:tcPr>
          <w:p>
            <w:pPr>
              <w:spacing w:after="0" w:line="185" w:lineRule="exact"/>
              <w:rPr>
                <w:sz w:val="20"/>
                <w:szCs w:val="20"/>
                <w:color w:val="auto"/>
              </w:rPr>
            </w:pPr>
            <w:r>
              <w:rPr>
                <w:rFonts w:ascii="Arial" w:cs="Arial" w:eastAsia="Arial" w:hAnsi="Arial"/>
                <w:sz w:val="17"/>
                <w:szCs w:val="17"/>
                <w:color w:val="auto"/>
              </w:rPr>
              <w:t>Issuance of common</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Pr>
          <w:p>
            <w:pPr>
              <w:ind w:left="160"/>
              <w:spacing w:after="0"/>
              <w:rPr>
                <w:sz w:val="20"/>
                <w:szCs w:val="20"/>
                <w:color w:val="auto"/>
              </w:rPr>
            </w:pPr>
            <w:r>
              <w:rPr>
                <w:rFonts w:ascii="Arial" w:cs="Arial" w:eastAsia="Arial" w:hAnsi="Arial"/>
                <w:sz w:val="17"/>
                <w:szCs w:val="17"/>
                <w:color w:val="auto"/>
              </w:rPr>
              <w:t>stock, net of offering</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7"/>
                <w:szCs w:val="17"/>
                <w:color w:val="auto"/>
              </w:rPr>
              <w:t>costs</w:t>
            </w:r>
            <w:r>
              <w:rPr>
                <w:rFonts w:ascii="Arial" w:cs="Arial" w:eastAsia="Arial" w:hAnsi="Arial"/>
                <w:sz w:val="14"/>
                <w:szCs w:val="14"/>
                <w:color w:val="auto"/>
              </w:rPr>
              <w:t>(1)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520"/>
              <w:spacing w:after="0"/>
              <w:rPr>
                <w:sz w:val="20"/>
                <w:szCs w:val="20"/>
                <w:color w:val="auto"/>
              </w:rPr>
            </w:pPr>
            <w:r>
              <w:rPr>
                <w:rFonts w:ascii="Arial" w:cs="Arial" w:eastAsia="Arial" w:hAnsi="Arial"/>
                <w:sz w:val="17"/>
                <w:szCs w:val="17"/>
                <w:color w:val="auto"/>
              </w:rPr>
              <w:t>(0.20)</w:t>
            </w:r>
          </w:p>
        </w:tc>
        <w:tc>
          <w:tcPr>
            <w:tcW w:w="14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6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7"/>
                <w:szCs w:val="17"/>
                <w:color w:val="auto"/>
              </w:rPr>
              <w:t>14.98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Dividends declared</w:t>
            </w: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from net investment income</w:t>
            </w:r>
            <w:r>
              <w:rPr>
                <w:rFonts w:ascii="Arial" w:cs="Arial" w:eastAsia="Arial" w:hAnsi="Arial"/>
                <w:sz w:val="14"/>
                <w:szCs w:val="14"/>
                <w:color w:val="auto"/>
              </w:rPr>
              <w:t>(2)</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(1.51)</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(1.36)</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(1.06)</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(0.06)</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40" w:type="dxa"/>
            <w:vAlign w:val="bottom"/>
          </w:tcPr>
          <w:p>
            <w:pPr>
              <w:spacing w:after="0" w:line="185" w:lineRule="exact"/>
              <w:rPr>
                <w:sz w:val="20"/>
                <w:szCs w:val="20"/>
                <w:color w:val="auto"/>
              </w:rPr>
            </w:pPr>
            <w:r>
              <w:rPr>
                <w:rFonts w:ascii="Arial" w:cs="Arial" w:eastAsia="Arial" w:hAnsi="Arial"/>
                <w:sz w:val="17"/>
                <w:szCs w:val="17"/>
                <w:color w:val="auto"/>
              </w:rPr>
              <w:t>Dividends declared</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640" w:type="dxa"/>
            <w:vAlign w:val="bottom"/>
          </w:tcPr>
          <w:p>
            <w:pPr>
              <w:ind w:left="160"/>
              <w:spacing w:after="0"/>
              <w:rPr>
                <w:sz w:val="20"/>
                <w:szCs w:val="20"/>
                <w:color w:val="auto"/>
              </w:rPr>
            </w:pPr>
            <w:r>
              <w:rPr>
                <w:rFonts w:ascii="Arial" w:cs="Arial" w:eastAsia="Arial" w:hAnsi="Arial"/>
                <w:sz w:val="17"/>
                <w:szCs w:val="17"/>
                <w:color w:val="auto"/>
              </w:rPr>
              <w:t>from realized gains</w:t>
            </w:r>
            <w:r>
              <w:rPr>
                <w:rFonts w:ascii="Arial" w:cs="Arial" w:eastAsia="Arial" w:hAnsi="Arial"/>
                <w:sz w:val="14"/>
                <w:szCs w:val="14"/>
                <w:color w:val="auto"/>
              </w:rPr>
              <w:t>(2)</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520"/>
              <w:spacing w:after="0"/>
              <w:rPr>
                <w:sz w:val="20"/>
                <w:szCs w:val="20"/>
                <w:color w:val="auto"/>
              </w:rPr>
            </w:pPr>
            <w:r>
              <w:rPr>
                <w:rFonts w:ascii="Arial" w:cs="Arial" w:eastAsia="Arial" w:hAnsi="Arial"/>
                <w:sz w:val="17"/>
                <w:szCs w:val="17"/>
                <w:color w:val="auto"/>
              </w:rPr>
              <w:t>(0.02)</w:t>
            </w:r>
          </w:p>
        </w:tc>
        <w:tc>
          <w:tcPr>
            <w:tcW w:w="14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7"/>
                <w:szCs w:val="17"/>
                <w:color w:val="auto"/>
              </w:rPr>
              <w:t>(0.20)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7"/>
                <w:szCs w:val="17"/>
                <w:color w:val="auto"/>
              </w:rPr>
              <w:t>(0.11)</w:t>
            </w:r>
          </w:p>
        </w:tc>
        <w:tc>
          <w:tcPr>
            <w:tcW w:w="120" w:type="dxa"/>
            <w:vAlign w:val="bottom"/>
          </w:tcPr>
          <w:p>
            <w:pPr>
              <w:spacing w:after="0"/>
              <w:rPr>
                <w:sz w:val="19"/>
                <w:szCs w:val="19"/>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40" w:type="dxa"/>
            <w:vAlign w:val="bottom"/>
            <w:shd w:val="clear" w:color="auto" w:fill="CCEEFF"/>
          </w:tcPr>
          <w:p>
            <w:pPr>
              <w:ind w:left="340"/>
              <w:spacing w:after="0" w:line="185" w:lineRule="exact"/>
              <w:rPr>
                <w:sz w:val="20"/>
                <w:szCs w:val="20"/>
                <w:color w:val="auto"/>
              </w:rPr>
            </w:pPr>
            <w:r>
              <w:rPr>
                <w:rFonts w:ascii="Arial" w:cs="Arial" w:eastAsia="Arial" w:hAnsi="Arial"/>
                <w:sz w:val="17"/>
                <w:szCs w:val="17"/>
                <w:color w:val="auto"/>
              </w:rPr>
              <w:t>Total increase in</w:t>
            </w:r>
          </w:p>
        </w:tc>
        <w:tc>
          <w:tcPr>
            <w:tcW w:w="4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40" w:type="dxa"/>
            <w:vAlign w:val="bottom"/>
            <w:shd w:val="clear" w:color="auto" w:fill="CCEEFF"/>
          </w:tcPr>
          <w:p>
            <w:pPr>
              <w:ind w:left="500"/>
              <w:spacing w:after="0"/>
              <w:rPr>
                <w:sz w:val="20"/>
                <w:szCs w:val="20"/>
                <w:color w:val="auto"/>
              </w:rPr>
            </w:pPr>
            <w:r>
              <w:rPr>
                <w:rFonts w:ascii="Arial" w:cs="Arial" w:eastAsia="Arial" w:hAnsi="Arial"/>
                <w:sz w:val="17"/>
                <w:szCs w:val="17"/>
                <w:color w:val="auto"/>
              </w:rPr>
              <w:t>net assets</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0.01</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0.33</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0.48</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14.70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640" w:type="dxa"/>
            <w:vAlign w:val="bottom"/>
          </w:tcPr>
          <w:p>
            <w:pPr>
              <w:ind w:left="340"/>
              <w:spacing w:after="0" w:line="186" w:lineRule="exact"/>
              <w:rPr>
                <w:sz w:val="20"/>
                <w:szCs w:val="20"/>
                <w:color w:val="auto"/>
              </w:rPr>
            </w:pPr>
            <w:r>
              <w:rPr>
                <w:rFonts w:ascii="Arial" w:cs="Arial" w:eastAsia="Arial" w:hAnsi="Arial"/>
                <w:sz w:val="17"/>
                <w:szCs w:val="17"/>
                <w:b w:val="1"/>
                <w:bCs w:val="1"/>
                <w:color w:val="auto"/>
              </w:rPr>
              <w:t>Net Asset Value,</w:t>
            </w:r>
          </w:p>
        </w:tc>
        <w:tc>
          <w:tcPr>
            <w:tcW w:w="4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640" w:type="dxa"/>
            <w:vAlign w:val="bottom"/>
          </w:tcPr>
          <w:p>
            <w:pPr>
              <w:ind w:left="500"/>
              <w:spacing w:after="0"/>
              <w:rPr>
                <w:sz w:val="20"/>
                <w:szCs w:val="20"/>
                <w:color w:val="auto"/>
              </w:rPr>
            </w:pPr>
            <w:r>
              <w:rPr>
                <w:rFonts w:ascii="Arial" w:cs="Arial" w:eastAsia="Arial" w:hAnsi="Arial"/>
                <w:sz w:val="17"/>
                <w:szCs w:val="17"/>
                <w:b w:val="1"/>
                <w:bCs w:val="1"/>
                <w:color w:val="auto"/>
              </w:rPr>
              <w:t>End of Period</w:t>
            </w: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580"/>
              <w:spacing w:after="0"/>
              <w:rPr>
                <w:sz w:val="20"/>
                <w:szCs w:val="20"/>
                <w:color w:val="auto"/>
              </w:rPr>
            </w:pPr>
            <w:r>
              <w:rPr>
                <w:rFonts w:ascii="Arial" w:cs="Arial" w:eastAsia="Arial" w:hAnsi="Arial"/>
                <w:sz w:val="17"/>
                <w:szCs w:val="17"/>
                <w:color w:val="auto"/>
              </w:rPr>
              <w:t>15.53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360"/>
              <w:spacing w:after="0"/>
              <w:rPr>
                <w:sz w:val="20"/>
                <w:szCs w:val="20"/>
                <w:color w:val="auto"/>
              </w:rPr>
            </w:pPr>
            <w:r>
              <w:rPr>
                <w:rFonts w:ascii="Arial" w:cs="Arial" w:eastAsia="Arial" w:hAnsi="Arial"/>
                <w:sz w:val="17"/>
                <w:szCs w:val="17"/>
                <w:color w:val="auto"/>
              </w:rPr>
              <w:t>15.52</w:t>
            </w: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680" w:type="dxa"/>
            <w:vAlign w:val="bottom"/>
            <w:gridSpan w:val="2"/>
          </w:tcPr>
          <w:p>
            <w:pPr>
              <w:jc w:val="right"/>
              <w:ind w:right="600"/>
              <w:spacing w:after="0"/>
              <w:rPr>
                <w:sz w:val="20"/>
                <w:szCs w:val="20"/>
                <w:color w:val="auto"/>
              </w:rPr>
            </w:pPr>
            <w:r>
              <w:rPr>
                <w:rFonts w:ascii="Arial" w:cs="Arial" w:eastAsia="Arial" w:hAnsi="Arial"/>
                <w:sz w:val="17"/>
                <w:szCs w:val="17"/>
                <w:color w:val="auto"/>
              </w:rPr>
              <w:t>15.19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7"/>
                <w:szCs w:val="17"/>
                <w:color w:val="auto"/>
              </w:rPr>
              <w:t>14.71</w:t>
            </w: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4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Per share market</w:t>
            </w:r>
          </w:p>
        </w:tc>
        <w:tc>
          <w:tcPr>
            <w:tcW w:w="4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value at end of period</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16.82</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40" w:type="dxa"/>
            <w:vAlign w:val="bottom"/>
          </w:tcPr>
          <w:p>
            <w:pPr>
              <w:spacing w:after="0" w:line="185" w:lineRule="exact"/>
              <w:rPr>
                <w:sz w:val="20"/>
                <w:szCs w:val="20"/>
                <w:color w:val="auto"/>
              </w:rPr>
            </w:pPr>
            <w:r>
              <w:rPr>
                <w:rFonts w:ascii="Arial" w:cs="Arial" w:eastAsia="Arial" w:hAnsi="Arial"/>
                <w:sz w:val="17"/>
                <w:szCs w:val="17"/>
                <w:color w:val="auto"/>
              </w:rPr>
              <w:t>Total return based</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2"/>
            <w:vMerge w:val="restart"/>
          </w:tcPr>
          <w:p>
            <w:pPr>
              <w:jc w:val="right"/>
              <w:ind w:right="440"/>
              <w:spacing w:after="0"/>
              <w:rPr>
                <w:sz w:val="20"/>
                <w:szCs w:val="20"/>
                <w:color w:val="auto"/>
              </w:rPr>
            </w:pPr>
            <w:r>
              <w:rPr>
                <w:rFonts w:ascii="Arial" w:cs="Arial" w:eastAsia="Arial" w:hAnsi="Arial"/>
                <w:sz w:val="17"/>
                <w:szCs w:val="17"/>
                <w:color w:val="auto"/>
              </w:rPr>
              <w:t>14.7%</w:t>
            </w:r>
          </w:p>
        </w:tc>
        <w:tc>
          <w:tcPr>
            <w:tcW w:w="140" w:type="dxa"/>
            <w:vAlign w:val="bottom"/>
          </w:tcPr>
          <w:p>
            <w:pPr>
              <w:spacing w:after="0"/>
              <w:rPr>
                <w:sz w:val="16"/>
                <w:szCs w:val="16"/>
                <w:color w:val="auto"/>
              </w:rPr>
            </w:pPr>
          </w:p>
        </w:tc>
        <w:tc>
          <w:tcPr>
            <w:tcW w:w="1440" w:type="dxa"/>
            <w:vAlign w:val="bottom"/>
            <w:gridSpan w:val="2"/>
            <w:vMerge w:val="restart"/>
          </w:tcPr>
          <w:p>
            <w:pPr>
              <w:jc w:val="right"/>
              <w:ind w:right="4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2"/>
            <w:vMerge w:val="restart"/>
          </w:tcPr>
          <w:p>
            <w:pPr>
              <w:jc w:val="right"/>
              <w:ind w:right="6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360" w:type="dxa"/>
            <w:vAlign w:val="bottom"/>
            <w:gridSpan w:val="2"/>
            <w:vMerge w:val="restart"/>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640" w:type="dxa"/>
            <w:vAlign w:val="bottom"/>
          </w:tcPr>
          <w:p>
            <w:pPr>
              <w:ind w:left="160"/>
              <w:spacing w:after="0"/>
              <w:rPr>
                <w:sz w:val="20"/>
                <w:szCs w:val="20"/>
                <w:color w:val="auto"/>
              </w:rPr>
            </w:pPr>
            <w:r>
              <w:rPr>
                <w:rFonts w:ascii="Arial" w:cs="Arial" w:eastAsia="Arial" w:hAnsi="Arial"/>
                <w:sz w:val="2"/>
                <w:szCs w:val="2"/>
                <w:color w:val="auto"/>
              </w:rPr>
              <w:t>on market value</w:t>
            </w: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660" w:type="dxa"/>
            <w:vAlign w:val="bottom"/>
            <w:gridSpan w:val="2"/>
          </w:tcPr>
          <w:p>
            <w:pPr>
              <w:jc w:val="right"/>
              <w:ind w:right="1143"/>
              <w:spacing w:after="0"/>
              <w:rPr>
                <w:sz w:val="20"/>
                <w:szCs w:val="20"/>
                <w:color w:val="auto"/>
              </w:rPr>
            </w:pPr>
            <w:r>
              <w:rPr>
                <w:rFonts w:ascii="Arial" w:cs="Arial" w:eastAsia="Arial" w:hAnsi="Arial"/>
                <w:sz w:val="15"/>
                <w:szCs w:val="15"/>
                <w:color w:val="auto"/>
              </w:rPr>
              <w:t>(3)</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7"/>
                <w:szCs w:val="17"/>
                <w:color w:val="auto"/>
              </w:rPr>
              <w:t>Total return based on</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asset value</w:t>
            </w:r>
            <w:r>
              <w:rPr>
                <w:rFonts w:ascii="Arial" w:cs="Arial" w:eastAsia="Arial" w:hAnsi="Arial"/>
                <w:sz w:val="14"/>
                <w:szCs w:val="14"/>
                <w:color w:val="auto"/>
              </w:rPr>
              <w:t>(4)</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9.9%</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11.3%</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n.m.</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40" w:type="dxa"/>
            <w:vAlign w:val="bottom"/>
          </w:tcPr>
          <w:p>
            <w:pPr>
              <w:spacing w:after="0" w:line="185" w:lineRule="exact"/>
              <w:rPr>
                <w:sz w:val="20"/>
                <w:szCs w:val="20"/>
                <w:color w:val="auto"/>
              </w:rPr>
            </w:pPr>
            <w:r>
              <w:rPr>
                <w:rFonts w:ascii="Arial" w:cs="Arial" w:eastAsia="Arial" w:hAnsi="Arial"/>
                <w:sz w:val="17"/>
                <w:szCs w:val="17"/>
                <w:color w:val="auto"/>
              </w:rPr>
              <w:t>Shares Outstanding,</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7"/>
                <w:szCs w:val="17"/>
                <w:color w:val="auto"/>
              </w:rPr>
              <w:t>End of Period</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7"/>
                <w:szCs w:val="17"/>
                <w:color w:val="auto"/>
              </w:rPr>
              <w:t>53,797,358</w:t>
            </w:r>
          </w:p>
        </w:tc>
        <w:tc>
          <w:tcPr>
            <w:tcW w:w="140" w:type="dxa"/>
            <w:vAlign w:val="bottom"/>
          </w:tcPr>
          <w:p>
            <w:pPr>
              <w:spacing w:after="0"/>
              <w:rPr>
                <w:sz w:val="18"/>
                <w:szCs w:val="18"/>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7"/>
                <w:szCs w:val="17"/>
                <w:color w:val="auto"/>
              </w:rPr>
              <w:t>37,026,023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31,582,954</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7"/>
                <w:szCs w:val="17"/>
                <w:color w:val="auto"/>
              </w:rPr>
              <w:t>11,770,514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66,676</w:t>
            </w:r>
          </w:p>
        </w:tc>
        <w:tc>
          <w:tcPr>
            <w:tcW w:w="0" w:type="dxa"/>
            <w:vAlign w:val="bottom"/>
          </w:tcPr>
          <w:p>
            <w:pPr>
              <w:spacing w:after="0"/>
              <w:rPr>
                <w:sz w:val="1"/>
                <w:szCs w:val="1"/>
                <w:color w:val="auto"/>
              </w:rPr>
            </w:pPr>
          </w:p>
        </w:tc>
      </w:tr>
    </w:tbl>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8"/>
              </w:rPr>
              <w:t>Year Ended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2"/>
                <w:szCs w:val="12"/>
                <w:color w:val="auto"/>
              </w:rPr>
            </w:pPr>
          </w:p>
        </w:tc>
        <w:tc>
          <w:tcPr>
            <w:tcW w:w="154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2"/>
                <w:szCs w:val="12"/>
                <w:color w:val="auto"/>
              </w:rPr>
            </w:pPr>
          </w:p>
        </w:tc>
        <w:tc>
          <w:tcPr>
            <w:tcW w:w="158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w w:val="98"/>
              </w:rPr>
              <w:t>Year Ended</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July 21, 2010</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20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17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0"/>
              </w:rPr>
              <w:t>December 31, 2011</w:t>
            </w: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2010</w:t>
            </w:r>
          </w:p>
        </w:tc>
        <w:tc>
          <w:tcPr>
            <w:tcW w:w="0" w:type="dxa"/>
            <w:vAlign w:val="bottom"/>
          </w:tcPr>
          <w:p>
            <w:pPr>
              <w:spacing w:after="0"/>
              <w:rPr>
                <w:sz w:val="1"/>
                <w:szCs w:val="1"/>
                <w:color w:val="auto"/>
              </w:rPr>
            </w:pPr>
          </w:p>
        </w:tc>
      </w:tr>
      <w:tr>
        <w:trPr>
          <w:trHeight w:val="183"/>
        </w:trPr>
        <w:tc>
          <w:tcPr>
            <w:tcW w:w="31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Ratios / Supplemental Data</w:t>
            </w: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Arial" w:cs="Arial" w:eastAsia="Arial" w:hAnsi="Arial"/>
                <w:sz w:val="17"/>
                <w:szCs w:val="17"/>
                <w:color w:val="auto"/>
                <w:w w:val="93"/>
              </w:rPr>
              <w:t>Ratio of net expenses to average net assets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7.5%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7"/>
                <w:szCs w:val="17"/>
                <w:color w:val="auto"/>
              </w:rPr>
              <w:t>6.4%</w:t>
            </w:r>
          </w:p>
        </w:tc>
        <w:tc>
          <w:tcPr>
            <w:tcW w:w="160" w:type="dxa"/>
            <w:vAlign w:val="bottom"/>
          </w:tcPr>
          <w:p>
            <w:pPr>
              <w:spacing w:after="0"/>
              <w:rPr>
                <w:sz w:val="17"/>
                <w:szCs w:val="17"/>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7"/>
                <w:szCs w:val="17"/>
                <w:color w:val="auto"/>
              </w:rPr>
              <w:t>6.9%</w:t>
            </w:r>
          </w:p>
        </w:tc>
        <w:tc>
          <w:tcPr>
            <w:tcW w:w="160" w:type="dxa"/>
            <w:vAlign w:val="bottom"/>
          </w:tcPr>
          <w:p>
            <w:pPr>
              <w:spacing w:after="0"/>
              <w:rPr>
                <w:sz w:val="17"/>
                <w:szCs w:val="17"/>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7"/>
                <w:szCs w:val="17"/>
                <w:color w:val="auto"/>
              </w:rPr>
              <w:t>10.9%</w:t>
            </w: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185"/>
        </w:trPr>
        <w:tc>
          <w:tcPr>
            <w:tcW w:w="31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Ratio of net investment income (loss) to</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average net assets</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12.3%</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8.4%</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(2.4%)</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Arial" w:cs="Arial" w:eastAsia="Arial" w:hAnsi="Arial"/>
                <w:sz w:val="17"/>
                <w:szCs w:val="17"/>
                <w:color w:val="auto"/>
              </w:rPr>
              <w:t>Portfolio turnover</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53.2%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7"/>
                <w:szCs w:val="17"/>
                <w:color w:val="auto"/>
              </w:rPr>
              <w:t>27.0%</w:t>
            </w:r>
          </w:p>
        </w:tc>
        <w:tc>
          <w:tcPr>
            <w:tcW w:w="160" w:type="dxa"/>
            <w:vAlign w:val="bottom"/>
          </w:tcPr>
          <w:p>
            <w:pPr>
              <w:spacing w:after="0"/>
              <w:rPr>
                <w:sz w:val="17"/>
                <w:szCs w:val="17"/>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7"/>
                <w:szCs w:val="17"/>
                <w:color w:val="auto"/>
              </w:rPr>
              <w:t>45.7%</w:t>
            </w:r>
          </w:p>
        </w:tc>
        <w:tc>
          <w:tcPr>
            <w:tcW w:w="160" w:type="dxa"/>
            <w:vAlign w:val="bottom"/>
          </w:tcPr>
          <w:p>
            <w:pPr>
              <w:spacing w:after="0"/>
              <w:rPr>
                <w:sz w:val="17"/>
                <w:szCs w:val="17"/>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7"/>
                <w:szCs w:val="17"/>
                <w:color w:val="auto"/>
              </w:rPr>
              <w:t>n.m.</w:t>
            </w: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Net assets, end of period</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835,405</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574,696</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479,803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173,092</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Total return based on market value is calculated as the change in market value per share during the period plus declared dividends per share, divided by the beginning market value per share.</w:t>
      </w:r>
    </w:p>
    <w:p>
      <w:pPr>
        <w:ind w:left="460" w:right="60" w:hanging="452"/>
        <w:spacing w:after="0" w:line="250" w:lineRule="auto"/>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Total return based on net asset value is calculated as the change in net asset value per share during the period plus declared dividends per share, divided by the beginning net asset value per share.</w:t>
      </w:r>
    </w:p>
    <w:p>
      <w:pPr>
        <w:ind w:left="460" w:right="20" w:hanging="452"/>
        <w:spacing w:after="0" w:line="261" w:lineRule="auto"/>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Selected Quarterly Financial Data (Unaudited)</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780"/>
              <w:spacing w:after="0" w:line="142" w:lineRule="exact"/>
              <w:rPr>
                <w:sz w:val="20"/>
                <w:szCs w:val="20"/>
                <w:color w:val="auto"/>
              </w:rPr>
            </w:pPr>
            <w:r>
              <w:rPr>
                <w:rFonts w:ascii="Arial" w:cs="Arial" w:eastAsia="Arial" w:hAnsi="Arial"/>
                <w:sz w:val="14"/>
                <w:szCs w:val="14"/>
                <w:b w:val="1"/>
                <w:bCs w:val="1"/>
                <w:color w:val="auto"/>
                <w:w w:val="96"/>
              </w:rPr>
              <w:t>Q4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rPr>
              <w:t>Q3</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ind w:right="500"/>
              <w:spacing w:after="0" w:line="142" w:lineRule="exact"/>
              <w:rPr>
                <w:sz w:val="20"/>
                <w:szCs w:val="20"/>
                <w:color w:val="auto"/>
              </w:rPr>
            </w:pPr>
            <w:r>
              <w:rPr>
                <w:rFonts w:ascii="Arial" w:cs="Arial" w:eastAsia="Arial" w:hAnsi="Arial"/>
                <w:sz w:val="14"/>
                <w:szCs w:val="14"/>
                <w:b w:val="1"/>
                <w:bCs w:val="1"/>
                <w:color w:val="auto"/>
              </w:rPr>
              <w:t>Q2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91"/>
              </w:rPr>
              <w:t>$ 45,778</w:t>
            </w:r>
          </w:p>
        </w:tc>
        <w:tc>
          <w:tcPr>
            <w:tcW w:w="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$38,404</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6"/>
              </w:rPr>
              <w:t>$45,657</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33,481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Net Expenses</w:t>
            </w:r>
          </w:p>
        </w:tc>
        <w:tc>
          <w:tcPr>
            <w:tcW w:w="1820" w:type="dxa"/>
            <w:vAlign w:val="bottom"/>
            <w:gridSpan w:val="5"/>
          </w:tcPr>
          <w:p>
            <w:pPr>
              <w:ind w:left="1120"/>
              <w:spacing w:after="0"/>
              <w:rPr>
                <w:sz w:val="20"/>
                <w:szCs w:val="20"/>
                <w:color w:val="auto"/>
              </w:rPr>
            </w:pPr>
            <w:r>
              <w:rPr>
                <w:rFonts w:ascii="Arial" w:cs="Arial" w:eastAsia="Arial" w:hAnsi="Arial"/>
                <w:sz w:val="18"/>
                <w:szCs w:val="18"/>
                <w:color w:val="auto"/>
                <w:w w:val="96"/>
              </w:rPr>
              <w:t>$ 15,094</w:t>
            </w:r>
          </w:p>
        </w:tc>
        <w:tc>
          <w:tcPr>
            <w:tcW w:w="500" w:type="dxa"/>
            <w:vAlign w:val="bottom"/>
          </w:tcPr>
          <w:p>
            <w:pPr>
              <w:spacing w:after="0"/>
              <w:rPr>
                <w:sz w:val="18"/>
                <w:szCs w:val="18"/>
                <w:color w:val="auto"/>
              </w:rPr>
            </w:pP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w w:val="86"/>
              </w:rPr>
              <w:t>$15,288</w:t>
            </w:r>
          </w:p>
        </w:tc>
        <w:tc>
          <w:tcPr>
            <w:tcW w:w="40" w:type="dxa"/>
            <w:vAlign w:val="bottom"/>
          </w:tcPr>
          <w:p>
            <w:pPr>
              <w:spacing w:after="0"/>
              <w:rPr>
                <w:sz w:val="18"/>
                <w:szCs w:val="18"/>
                <w:color w:val="auto"/>
              </w:rPr>
            </w:pPr>
          </w:p>
        </w:tc>
        <w:tc>
          <w:tcPr>
            <w:tcW w:w="1060" w:type="dxa"/>
            <w:vAlign w:val="bottom"/>
            <w:gridSpan w:val="5"/>
          </w:tcPr>
          <w:p>
            <w:pPr>
              <w:jc w:val="right"/>
              <w:ind w:right="20"/>
              <w:spacing w:after="0"/>
              <w:rPr>
                <w:sz w:val="20"/>
                <w:szCs w:val="20"/>
                <w:color w:val="auto"/>
              </w:rPr>
            </w:pPr>
            <w:r>
              <w:rPr>
                <w:rFonts w:ascii="Arial" w:cs="Arial" w:eastAsia="Arial" w:hAnsi="Arial"/>
                <w:sz w:val="18"/>
                <w:szCs w:val="18"/>
                <w:color w:val="auto"/>
              </w:rPr>
              <w:t>$16,224</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12,239</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820" w:type="dxa"/>
            <w:vAlign w:val="bottom"/>
            <w:gridSpan w:val="5"/>
            <w:shd w:val="clear" w:color="auto" w:fill="CCEEFF"/>
          </w:tcPr>
          <w:p>
            <w:pPr>
              <w:ind w:left="1120"/>
              <w:spacing w:after="0"/>
              <w:rPr>
                <w:sz w:val="20"/>
                <w:szCs w:val="20"/>
                <w:color w:val="auto"/>
              </w:rPr>
            </w:pPr>
            <w:r>
              <w:rPr>
                <w:rFonts w:ascii="Arial" w:cs="Arial" w:eastAsia="Arial" w:hAnsi="Arial"/>
                <w:sz w:val="18"/>
                <w:szCs w:val="18"/>
                <w:color w:val="auto"/>
                <w:w w:val="96"/>
              </w:rPr>
              <w:t>$ 30,684</w:t>
            </w:r>
          </w:p>
        </w:tc>
        <w:tc>
          <w:tcPr>
            <w:tcW w:w="5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6"/>
              </w:rPr>
              <w:t>$23,116</w:t>
            </w:r>
          </w:p>
        </w:tc>
        <w:tc>
          <w:tcPr>
            <w:tcW w:w="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$29,433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21,242</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2320" w:type="dxa"/>
            <w:vAlign w:val="bottom"/>
            <w:gridSpan w:val="6"/>
          </w:tcPr>
          <w:p>
            <w:pPr>
              <w:ind w:left="1120"/>
              <w:spacing w:after="0"/>
              <w:rPr>
                <w:sz w:val="20"/>
                <w:szCs w:val="20"/>
                <w:color w:val="auto"/>
              </w:rPr>
            </w:pPr>
            <w:r>
              <w:rPr>
                <w:rFonts w:ascii="Arial" w:cs="Arial" w:eastAsia="Arial" w:hAnsi="Arial"/>
                <w:sz w:val="18"/>
                <w:szCs w:val="18"/>
                <w:color w:val="auto"/>
              </w:rPr>
              <w:t>$(16,879)</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(4,513)</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w w:val="91"/>
              </w:rPr>
              <w:t>(2,139)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4,106</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1820" w:type="dxa"/>
            <w:vAlign w:val="bottom"/>
            <w:gridSpan w:val="5"/>
            <w:shd w:val="clear" w:color="auto" w:fill="CCEEFF"/>
          </w:tcPr>
          <w:p>
            <w:pPr>
              <w:ind w:left="1120"/>
              <w:spacing w:after="0"/>
              <w:rPr>
                <w:sz w:val="20"/>
                <w:szCs w:val="20"/>
                <w:color w:val="auto"/>
              </w:rPr>
            </w:pPr>
            <w:r>
              <w:rPr>
                <w:rFonts w:ascii="Arial" w:cs="Arial" w:eastAsia="Arial" w:hAnsi="Arial"/>
                <w:sz w:val="18"/>
                <w:szCs w:val="18"/>
                <w:color w:val="auto"/>
                <w:w w:val="96"/>
              </w:rPr>
              <w:t>$ 13,805</w:t>
            </w:r>
          </w:p>
        </w:tc>
        <w:tc>
          <w:tcPr>
            <w:tcW w:w="5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6"/>
              </w:rPr>
              <w:t>$18,603</w:t>
            </w:r>
          </w:p>
        </w:tc>
        <w:tc>
          <w:tcPr>
            <w:tcW w:w="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$27,294</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25,348</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220" w:type="dxa"/>
            <w:vAlign w:val="bottom"/>
            <w:gridSpan w:val="2"/>
          </w:tcPr>
          <w:p>
            <w:pPr>
              <w:ind w:left="112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0"/>
                <w:szCs w:val="20"/>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15.53</w:t>
            </w:r>
          </w:p>
        </w:tc>
        <w:tc>
          <w:tcPr>
            <w:tcW w:w="500" w:type="dxa"/>
            <w:vAlign w:val="bottom"/>
          </w:tcPr>
          <w:p>
            <w:pPr>
              <w:spacing w:after="0"/>
              <w:rPr>
                <w:sz w:val="20"/>
                <w:szCs w:val="20"/>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15.66</w:t>
            </w:r>
          </w:p>
        </w:tc>
        <w:tc>
          <w:tcPr>
            <w:tcW w:w="4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15.70</w:t>
            </w:r>
          </w:p>
        </w:tc>
        <w:tc>
          <w:tcPr>
            <w:tcW w:w="28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15.51</w:t>
            </w:r>
          </w:p>
        </w:tc>
      </w:tr>
      <w:tr>
        <w:trPr>
          <w:trHeight w:val="377"/>
        </w:trPr>
        <w:tc>
          <w:tcPr>
            <w:tcW w:w="5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700"/>
              <w:spacing w:after="0" w:line="142" w:lineRule="exact"/>
              <w:rPr>
                <w:sz w:val="20"/>
                <w:szCs w:val="20"/>
                <w:color w:val="auto"/>
              </w:rPr>
            </w:pPr>
            <w:r>
              <w:rPr>
                <w:rFonts w:ascii="Arial" w:cs="Arial" w:eastAsia="Arial" w:hAnsi="Arial"/>
                <w:sz w:val="14"/>
                <w:szCs w:val="14"/>
                <w:b w:val="1"/>
                <w:bCs w:val="1"/>
                <w:color w:val="auto"/>
              </w:rPr>
              <w:t>Q4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Q3</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rPr>
              <w:t>Q2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22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$27,569</w:t>
            </w:r>
          </w:p>
        </w:tc>
        <w:tc>
          <w:tcPr>
            <w:tcW w:w="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23,298</w:t>
            </w:r>
          </w:p>
        </w:tc>
        <w:tc>
          <w:tcPr>
            <w:tcW w:w="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20,940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20,802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Net Expenses</w:t>
            </w:r>
          </w:p>
        </w:tc>
        <w:tc>
          <w:tcPr>
            <w:tcW w:w="2320" w:type="dxa"/>
            <w:vAlign w:val="bottom"/>
            <w:gridSpan w:val="6"/>
          </w:tcPr>
          <w:p>
            <w:pPr>
              <w:jc w:val="right"/>
              <w:ind w:right="500"/>
              <w:spacing w:after="0"/>
              <w:rPr>
                <w:sz w:val="20"/>
                <w:szCs w:val="20"/>
                <w:color w:val="auto"/>
              </w:rPr>
            </w:pPr>
            <w:r>
              <w:rPr>
                <w:rFonts w:ascii="Arial" w:cs="Arial" w:eastAsia="Arial" w:hAnsi="Arial"/>
                <w:sz w:val="18"/>
                <w:szCs w:val="18"/>
                <w:color w:val="auto"/>
              </w:rPr>
              <w:t>$10,576</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8,713</w:t>
            </w:r>
          </w:p>
        </w:tc>
        <w:tc>
          <w:tcPr>
            <w:tcW w:w="560" w:type="dxa"/>
            <w:vAlign w:val="bottom"/>
            <w:gridSpan w:val="3"/>
          </w:tcPr>
          <w:p>
            <w:pPr>
              <w:ind w:left="46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8,123</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7,696</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320" w:type="dxa"/>
            <w:vAlign w:val="bottom"/>
            <w:gridSpan w:val="6"/>
            <w:shd w:val="clear" w:color="auto" w:fill="CCEEFF"/>
          </w:tcPr>
          <w:p>
            <w:pPr>
              <w:jc w:val="right"/>
              <w:ind w:right="500"/>
              <w:spacing w:after="0"/>
              <w:rPr>
                <w:sz w:val="20"/>
                <w:szCs w:val="20"/>
                <w:color w:val="auto"/>
              </w:rPr>
            </w:pPr>
            <w:r>
              <w:rPr>
                <w:rFonts w:ascii="Arial" w:cs="Arial" w:eastAsia="Arial" w:hAnsi="Arial"/>
                <w:sz w:val="18"/>
                <w:szCs w:val="18"/>
                <w:color w:val="auto"/>
              </w:rPr>
              <w:t>$16,993</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14,585</w:t>
            </w:r>
          </w:p>
        </w:tc>
        <w:tc>
          <w:tcPr>
            <w:tcW w:w="5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7"/>
              </w:rPr>
              <w:t>12,817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13,106</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Total unrealized and realized gains</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500"/>
              <w:spacing w:after="0"/>
              <w:rPr>
                <w:sz w:val="20"/>
                <w:szCs w:val="20"/>
                <w:color w:val="auto"/>
              </w:rPr>
            </w:pPr>
            <w:r>
              <w:rPr>
                <w:rFonts w:ascii="Arial" w:cs="Arial" w:eastAsia="Arial" w:hAnsi="Arial"/>
                <w:sz w:val="18"/>
                <w:szCs w:val="18"/>
                <w:color w:val="auto"/>
              </w:rPr>
              <w:t>4,063</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1,674</w:t>
            </w:r>
          </w:p>
        </w:tc>
        <w:tc>
          <w:tcPr>
            <w:tcW w:w="560" w:type="dxa"/>
            <w:vAlign w:val="bottom"/>
            <w:gridSpan w:val="3"/>
          </w:tcPr>
          <w:p>
            <w:pPr>
              <w:ind w:left="46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1,391</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2,355</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2320" w:type="dxa"/>
            <w:vAlign w:val="bottom"/>
            <w:gridSpan w:val="6"/>
            <w:shd w:val="clear" w:color="auto" w:fill="CCEEFF"/>
          </w:tcPr>
          <w:p>
            <w:pPr>
              <w:jc w:val="right"/>
              <w:ind w:right="500"/>
              <w:spacing w:after="0"/>
              <w:rPr>
                <w:sz w:val="20"/>
                <w:szCs w:val="20"/>
                <w:color w:val="auto"/>
              </w:rPr>
            </w:pPr>
            <w:r>
              <w:rPr>
                <w:rFonts w:ascii="Arial" w:cs="Arial" w:eastAsia="Arial" w:hAnsi="Arial"/>
                <w:sz w:val="18"/>
                <w:szCs w:val="18"/>
                <w:color w:val="auto"/>
              </w:rPr>
              <w:t>$21,056</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16,259</w:t>
            </w:r>
          </w:p>
        </w:tc>
        <w:tc>
          <w:tcPr>
            <w:tcW w:w="5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7"/>
              </w:rPr>
              <w:t>14,208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15,461</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r>
              <w:rPr>
                <w:rFonts w:ascii="Arial" w:cs="Arial" w:eastAsia="Arial" w:hAnsi="Arial"/>
                <w:sz w:val="15"/>
                <w:szCs w:val="15"/>
                <w:color w:val="auto"/>
              </w:rPr>
              <w:t>(1)</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500"/>
              <w:spacing w:after="0"/>
              <w:rPr>
                <w:sz w:val="20"/>
                <w:szCs w:val="20"/>
                <w:color w:val="auto"/>
              </w:rPr>
            </w:pPr>
            <w:r>
              <w:rPr>
                <w:rFonts w:ascii="Arial" w:cs="Arial" w:eastAsia="Arial" w:hAnsi="Arial"/>
                <w:sz w:val="18"/>
                <w:szCs w:val="18"/>
                <w:color w:val="auto"/>
              </w:rPr>
              <w:t>15.52</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15.35</w:t>
            </w:r>
          </w:p>
        </w:tc>
        <w:tc>
          <w:tcPr>
            <w:tcW w:w="560" w:type="dxa"/>
            <w:vAlign w:val="bottom"/>
            <w:gridSpan w:val="3"/>
          </w:tcPr>
          <w:p>
            <w:pPr>
              <w:ind w:left="46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15.29</w:t>
            </w:r>
          </w:p>
        </w:tc>
        <w:tc>
          <w:tcPr>
            <w:tcW w:w="28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15.27</w:t>
            </w:r>
          </w:p>
        </w:tc>
      </w:tr>
      <w:tr>
        <w:trPr>
          <w:trHeight w:val="350"/>
        </w:trPr>
        <w:tc>
          <w:tcPr>
            <w:tcW w:w="5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700"/>
              <w:spacing w:after="0" w:line="142" w:lineRule="exact"/>
              <w:rPr>
                <w:sz w:val="20"/>
                <w:szCs w:val="20"/>
                <w:color w:val="auto"/>
              </w:rPr>
            </w:pPr>
            <w:r>
              <w:rPr>
                <w:rFonts w:ascii="Arial" w:cs="Arial" w:eastAsia="Arial" w:hAnsi="Arial"/>
                <w:sz w:val="14"/>
                <w:szCs w:val="14"/>
                <w:b w:val="1"/>
                <w:bCs w:val="1"/>
                <w:color w:val="auto"/>
              </w:rPr>
              <w:t>Q4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Q3</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rPr>
              <w:t>Q2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22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$18,169</w:t>
            </w:r>
          </w:p>
        </w:tc>
        <w:tc>
          <w:tcPr>
            <w:tcW w:w="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14,554</w:t>
            </w:r>
          </w:p>
        </w:tc>
        <w:tc>
          <w:tcPr>
            <w:tcW w:w="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11,314</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Net Expenses</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500"/>
              <w:spacing w:after="0"/>
              <w:rPr>
                <w:sz w:val="20"/>
                <w:szCs w:val="20"/>
                <w:color w:val="auto"/>
              </w:rPr>
            </w:pPr>
            <w:r>
              <w:rPr>
                <w:rFonts w:ascii="Arial" w:cs="Arial" w:eastAsia="Arial" w:hAnsi="Arial"/>
                <w:sz w:val="18"/>
                <w:szCs w:val="18"/>
                <w:color w:val="auto"/>
              </w:rPr>
              <w:t>7,277</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6,637</w:t>
            </w:r>
          </w:p>
        </w:tc>
        <w:tc>
          <w:tcPr>
            <w:tcW w:w="560" w:type="dxa"/>
            <w:vAlign w:val="bottom"/>
            <w:gridSpan w:val="3"/>
          </w:tcPr>
          <w:p>
            <w:pPr>
              <w:ind w:left="460"/>
              <w:spacing w:after="0"/>
              <w:rPr>
                <w:sz w:val="20"/>
                <w:szCs w:val="20"/>
                <w:color w:val="auto"/>
              </w:rPr>
            </w:pPr>
            <w:r>
              <w:rPr>
                <w:rFonts w:ascii="Arial" w:cs="Arial" w:eastAsia="Arial" w:hAnsi="Arial"/>
                <w:sz w:val="18"/>
                <w:szCs w:val="18"/>
                <w:color w:val="auto"/>
                <w:w w:val="79"/>
              </w:rPr>
              <w:t>$</w:t>
            </w:r>
          </w:p>
        </w:tc>
        <w:tc>
          <w:tcPr>
            <w:tcW w:w="780" w:type="dxa"/>
            <w:vAlign w:val="bottom"/>
            <w:gridSpan w:val="3"/>
          </w:tcPr>
          <w:p>
            <w:pPr>
              <w:jc w:val="right"/>
              <w:ind w:right="280"/>
              <w:spacing w:after="0"/>
              <w:rPr>
                <w:sz w:val="20"/>
                <w:szCs w:val="20"/>
                <w:color w:val="auto"/>
              </w:rPr>
            </w:pPr>
            <w:r>
              <w:rPr>
                <w:rFonts w:ascii="Arial" w:cs="Arial" w:eastAsia="Arial" w:hAnsi="Arial"/>
                <w:sz w:val="18"/>
                <w:szCs w:val="18"/>
                <w:color w:val="auto"/>
              </w:rPr>
              <w:t>4,711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4,357</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320" w:type="dxa"/>
            <w:vAlign w:val="bottom"/>
            <w:gridSpan w:val="6"/>
            <w:shd w:val="clear" w:color="auto" w:fill="CCEEFF"/>
          </w:tcPr>
          <w:p>
            <w:pPr>
              <w:jc w:val="right"/>
              <w:ind w:right="500"/>
              <w:spacing w:after="0"/>
              <w:rPr>
                <w:sz w:val="20"/>
                <w:szCs w:val="20"/>
                <w:color w:val="auto"/>
              </w:rPr>
            </w:pPr>
            <w:r>
              <w:rPr>
                <w:rFonts w:ascii="Arial" w:cs="Arial" w:eastAsia="Arial" w:hAnsi="Arial"/>
                <w:sz w:val="18"/>
                <w:szCs w:val="18"/>
                <w:color w:val="auto"/>
              </w:rPr>
              <w:t>$10,892</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7,917</w:t>
            </w:r>
          </w:p>
        </w:tc>
        <w:tc>
          <w:tcPr>
            <w:tcW w:w="5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2,617</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Total unrealized and realized gains</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500"/>
              <w:spacing w:after="0"/>
              <w:rPr>
                <w:sz w:val="20"/>
                <w:szCs w:val="20"/>
                <w:color w:val="auto"/>
              </w:rPr>
            </w:pPr>
            <w:r>
              <w:rPr>
                <w:rFonts w:ascii="Arial" w:cs="Arial" w:eastAsia="Arial" w:hAnsi="Arial"/>
                <w:sz w:val="18"/>
                <w:szCs w:val="18"/>
                <w:color w:val="auto"/>
              </w:rPr>
              <w:t>1,568</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5,664</w:t>
            </w:r>
          </w:p>
        </w:tc>
        <w:tc>
          <w:tcPr>
            <w:tcW w:w="560" w:type="dxa"/>
            <w:vAlign w:val="bottom"/>
            <w:gridSpan w:val="3"/>
          </w:tcPr>
          <w:p>
            <w:pPr>
              <w:ind w:left="46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1,165</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3,169</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2320" w:type="dxa"/>
            <w:vAlign w:val="bottom"/>
            <w:gridSpan w:val="6"/>
            <w:shd w:val="clear" w:color="auto" w:fill="CCEEFF"/>
          </w:tcPr>
          <w:p>
            <w:pPr>
              <w:jc w:val="right"/>
              <w:ind w:right="500"/>
              <w:spacing w:after="0"/>
              <w:rPr>
                <w:sz w:val="20"/>
                <w:szCs w:val="20"/>
                <w:color w:val="auto"/>
              </w:rPr>
            </w:pPr>
            <w:r>
              <w:rPr>
                <w:rFonts w:ascii="Arial" w:cs="Arial" w:eastAsia="Arial" w:hAnsi="Arial"/>
                <w:sz w:val="18"/>
                <w:szCs w:val="18"/>
                <w:color w:val="auto"/>
              </w:rPr>
              <w:t>$12,460</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13,581</w:t>
            </w:r>
          </w:p>
        </w:tc>
        <w:tc>
          <w:tcPr>
            <w:tcW w:w="5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7,768</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5,786</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r>
              <w:rPr>
                <w:rFonts w:ascii="Arial" w:cs="Arial" w:eastAsia="Arial" w:hAnsi="Arial"/>
                <w:sz w:val="15"/>
                <w:szCs w:val="15"/>
                <w:color w:val="auto"/>
              </w:rPr>
              <w:t>(1)</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500"/>
              <w:spacing w:after="0"/>
              <w:rPr>
                <w:sz w:val="20"/>
                <w:szCs w:val="20"/>
                <w:color w:val="auto"/>
              </w:rPr>
            </w:pPr>
            <w:r>
              <w:rPr>
                <w:rFonts w:ascii="Arial" w:cs="Arial" w:eastAsia="Arial" w:hAnsi="Arial"/>
                <w:sz w:val="18"/>
                <w:szCs w:val="18"/>
                <w:color w:val="auto"/>
              </w:rPr>
              <w:t>15.19</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15.12</w:t>
            </w:r>
          </w:p>
        </w:tc>
        <w:tc>
          <w:tcPr>
            <w:tcW w:w="560" w:type="dxa"/>
            <w:vAlign w:val="bottom"/>
            <w:gridSpan w:val="3"/>
          </w:tcPr>
          <w:p>
            <w:pPr>
              <w:ind w:left="46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14.92</w:t>
            </w:r>
          </w:p>
        </w:tc>
        <w:tc>
          <w:tcPr>
            <w:tcW w:w="28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14.88</w:t>
            </w:r>
          </w:p>
        </w:tc>
      </w:tr>
    </w:tbl>
    <w:p>
      <w:pPr>
        <w:spacing w:after="0" w:line="214" w:lineRule="exact"/>
        <w:rPr>
          <w:sz w:val="20"/>
          <w:szCs w:val="20"/>
          <w:color w:val="auto"/>
        </w:rPr>
      </w:pPr>
    </w:p>
    <w:p>
      <w:pPr>
        <w:ind w:left="460" w:right="180" w:hanging="452"/>
        <w:spacing w:after="0" w:line="277" w:lineRule="auto"/>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periods prior to December 3, 2013 have been retroactively adjusted for the stock split which was effected in the form of a stock dividend.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Company’s management has evaluated subsequent events through the date of issuance of the consolidated financial statements included herein. There have been no subsequent events that occurred during such period that would require disclosure in this Form 10-K or would be required to be recognized in the Consolidated Financial Statements as of and for the year ended December 31, 2014.</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00"/>
          </w:cols>
          <w:pgMar w:left="240" w:top="460" w:right="2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 (amortized cost of $1,295,328 and $1,225,672,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1,285,623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1,221,875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Controlled, affiliated investments (amortized cost of $50,709 and $47,580, respectively)</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45,370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41,636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 (amortized cost of $1,346,037 and $1,273,252, respectively)</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1,330,993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1,263,511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3,329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7,282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Receivable for interest rate swaps</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31,488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7"/>
              </w:rPr>
              <w:t>1,373,759</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1,303,731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Debt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485,223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395,864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payable to affiliate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4,950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5,007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21,044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7,440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Payables to affiliate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1,561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7,004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8,704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532,229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468,326</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Commitments and contingencies (Note 8)</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$0.01 par value; 400,000,000 shares authorized, 53,960,847 and 53,798,357 shares issued, respectively;</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53,959,848 and 53,797,358 shares outstanding, respectively</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810,422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808,053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999 shares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6,818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1,747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Undistributed net realized gains</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22,004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20,072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841,530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835,405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70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7"/>
              </w:rPr>
              <w:t>1,373,759</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1,303,731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15.60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59" w:right="2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2"/>
          </w:tcPr>
          <w:p>
            <w:pPr>
              <w:jc w:val="right"/>
              <w:ind w:right="1320"/>
              <w:spacing w:after="0"/>
              <w:rPr>
                <w:sz w:val="20"/>
                <w:szCs w:val="20"/>
                <w:color w:val="auto"/>
              </w:rPr>
            </w:pPr>
            <w:r>
              <w:rPr>
                <w:rFonts w:ascii="Arial" w:cs="Arial" w:eastAsia="Arial" w:hAnsi="Arial"/>
                <w:sz w:val="14"/>
                <w:szCs w:val="14"/>
                <w:b w:val="1"/>
                <w:bCs w:val="1"/>
                <w:color w:val="auto"/>
                <w:w w:val="96"/>
              </w:rPr>
              <w:t>March 31, 2015</w:t>
            </w:r>
          </w:p>
        </w:tc>
        <w:tc>
          <w:tcPr>
            <w:tcW w:w="14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March 31, 2014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8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from investments</w:t>
            </w:r>
          </w:p>
        </w:tc>
        <w:tc>
          <w:tcPr>
            <w:tcW w:w="9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3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32,879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2"/>
          </w:tcPr>
          <w:p>
            <w:pPr>
              <w:jc w:val="right"/>
              <w:ind w:right="1140"/>
              <w:spacing w:after="0"/>
              <w:rPr>
                <w:sz w:val="20"/>
                <w:szCs w:val="20"/>
                <w:color w:val="auto"/>
              </w:rPr>
            </w:pPr>
            <w:r>
              <w:rPr>
                <w:rFonts w:ascii="Arial" w:cs="Arial" w:eastAsia="Arial" w:hAnsi="Arial"/>
                <w:sz w:val="18"/>
                <w:szCs w:val="18"/>
                <w:color w:val="auto"/>
              </w:rPr>
              <w:t>3,377</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investment income from non-controlled, non-affiliated investments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36,256</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Investment income from controlled, affiliated investments: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from investments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1,417</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investment income from controlled, affiliated investments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1,474</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tcPr>
          <w:p>
            <w:pPr>
              <w:ind w:left="1060"/>
              <w:spacing w:after="0"/>
              <w:rPr>
                <w:sz w:val="20"/>
                <w:szCs w:val="20"/>
                <w:color w:val="auto"/>
              </w:rPr>
            </w:pPr>
            <w:r>
              <w:rPr>
                <w:rFonts w:ascii="Arial" w:cs="Arial" w:eastAsia="Arial" w:hAnsi="Arial"/>
                <w:sz w:val="18"/>
                <w:szCs w:val="18"/>
                <w:b w:val="1"/>
                <w:bCs w:val="1"/>
                <w:color w:val="auto"/>
              </w:rPr>
              <w:t>Total Investment Income</w:t>
            </w:r>
          </w:p>
        </w:tc>
        <w:tc>
          <w:tcPr>
            <w:tcW w:w="8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37,730</w:t>
            </w:r>
          </w:p>
        </w:tc>
        <w:tc>
          <w:tcPr>
            <w:tcW w:w="1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Interest</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2"/>
          </w:tcPr>
          <w:p>
            <w:pPr>
              <w:jc w:val="right"/>
              <w:ind w:right="1140"/>
              <w:spacing w:after="0"/>
              <w:rPr>
                <w:sz w:val="20"/>
                <w:szCs w:val="20"/>
                <w:color w:val="auto"/>
              </w:rPr>
            </w:pPr>
            <w:r>
              <w:rPr>
                <w:rFonts w:ascii="Arial" w:cs="Arial" w:eastAsia="Arial" w:hAnsi="Arial"/>
                <w:sz w:val="18"/>
                <w:szCs w:val="18"/>
                <w:color w:val="auto"/>
              </w:rPr>
              <w:t>4,220</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4,950</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Incentive fees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2"/>
          </w:tcPr>
          <w:p>
            <w:pPr>
              <w:jc w:val="right"/>
              <w:ind w:right="1140"/>
              <w:spacing w:after="0"/>
              <w:rPr>
                <w:sz w:val="20"/>
                <w:szCs w:val="20"/>
                <w:color w:val="auto"/>
              </w:rPr>
            </w:pPr>
            <w:r>
              <w:rPr>
                <w:rFonts w:ascii="Arial" w:cs="Arial" w:eastAsia="Arial" w:hAnsi="Arial"/>
                <w:sz w:val="18"/>
                <w:szCs w:val="18"/>
                <w:color w:val="auto"/>
              </w:rPr>
              <w:t>5,007</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1,209</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Directors’ fees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1,156</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tcPr>
          <w:p>
            <w:pPr>
              <w:ind w:left="700"/>
              <w:spacing w:after="0"/>
              <w:rPr>
                <w:sz w:val="20"/>
                <w:szCs w:val="20"/>
                <w:color w:val="auto"/>
              </w:rPr>
            </w:pPr>
            <w:r>
              <w:rPr>
                <w:rFonts w:ascii="Arial" w:cs="Arial" w:eastAsia="Arial" w:hAnsi="Arial"/>
                <w:sz w:val="18"/>
                <w:szCs w:val="18"/>
                <w:color w:val="auto"/>
              </w:rPr>
              <w:t>Total expenses</w:t>
            </w:r>
          </w:p>
        </w:tc>
        <w:tc>
          <w:tcPr>
            <w:tcW w:w="8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16,638</w:t>
            </w:r>
          </w:p>
        </w:tc>
        <w:tc>
          <w:tcPr>
            <w:tcW w:w="1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waived (Note 3)</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tcPr>
          <w:p>
            <w:pPr>
              <w:ind w:left="1060"/>
              <w:spacing w:after="0"/>
              <w:rPr>
                <w:sz w:val="20"/>
                <w:szCs w:val="20"/>
                <w:color w:val="auto"/>
              </w:rPr>
            </w:pPr>
            <w:r>
              <w:rPr>
                <w:rFonts w:ascii="Arial" w:cs="Arial" w:eastAsia="Arial" w:hAnsi="Arial"/>
                <w:sz w:val="18"/>
                <w:szCs w:val="18"/>
                <w:b w:val="1"/>
                <w:bCs w:val="1"/>
                <w:color w:val="auto"/>
              </w:rPr>
              <w:t>Net Expenses</w:t>
            </w:r>
          </w:p>
        </w:tc>
        <w:tc>
          <w:tcPr>
            <w:tcW w:w="8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16,638</w:t>
            </w:r>
          </w:p>
        </w:tc>
        <w:tc>
          <w:tcPr>
            <w:tcW w:w="1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Investment Income Before Income Taxes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21,092</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Income taxes, including excise taxes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2"/>
          </w:tcPr>
          <w:p>
            <w:pPr>
              <w:jc w:val="right"/>
              <w:ind w:right="1140"/>
              <w:spacing w:after="0"/>
              <w:rPr>
                <w:sz w:val="20"/>
                <w:szCs w:val="20"/>
                <w:color w:val="auto"/>
              </w:rPr>
            </w:pPr>
            <w:r>
              <w:rPr>
                <w:rFonts w:ascii="Arial" w:cs="Arial" w:eastAsia="Arial" w:hAnsi="Arial"/>
                <w:sz w:val="18"/>
                <w:szCs w:val="18"/>
                <w:color w:val="auto"/>
              </w:rPr>
              <w:t>305</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Investment Income</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20,787</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b w:val="1"/>
                <w:bCs w:val="1"/>
                <w:color w:val="auto"/>
              </w:rPr>
              <w:t>Unrealized and Realized Gains (Losses)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(losses):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2"/>
          </w:tcPr>
          <w:p>
            <w:pPr>
              <w:jc w:val="right"/>
              <w:ind w:right="1080"/>
              <w:spacing w:after="0"/>
              <w:rPr>
                <w:sz w:val="20"/>
                <w:szCs w:val="20"/>
                <w:color w:val="auto"/>
              </w:rPr>
            </w:pPr>
            <w:r>
              <w:rPr>
                <w:rFonts w:ascii="Arial" w:cs="Arial" w:eastAsia="Arial" w:hAnsi="Arial"/>
                <w:sz w:val="18"/>
                <w:szCs w:val="18"/>
                <w:color w:val="auto"/>
              </w:rPr>
              <w:t>(5,907)</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Controlled, affiliated investments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605</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340"/>
              <w:spacing w:after="0"/>
              <w:rPr>
                <w:sz w:val="20"/>
                <w:szCs w:val="20"/>
                <w:color w:val="auto"/>
              </w:rPr>
            </w:pPr>
            <w:r>
              <w:rPr>
                <w:rFonts w:ascii="Arial" w:cs="Arial" w:eastAsia="Arial" w:hAnsi="Arial"/>
                <w:sz w:val="18"/>
                <w:szCs w:val="18"/>
                <w:color w:val="auto"/>
              </w:rPr>
              <w:t>Translation of assets and liabilities in foreign currencies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2"/>
          </w:tcPr>
          <w:p>
            <w:pPr>
              <w:jc w:val="right"/>
              <w:ind w:right="1140"/>
              <w:spacing w:after="0"/>
              <w:rPr>
                <w:sz w:val="20"/>
                <w:szCs w:val="20"/>
                <w:color w:val="auto"/>
              </w:rPr>
            </w:pPr>
            <w:r>
              <w:rPr>
                <w:rFonts w:ascii="Arial" w:cs="Arial" w:eastAsia="Arial" w:hAnsi="Arial"/>
                <w:sz w:val="18"/>
                <w:szCs w:val="18"/>
                <w:color w:val="auto"/>
              </w:rPr>
              <w:t>7,215</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rate swaps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(353)</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tcPr>
          <w:p>
            <w:pPr>
              <w:ind w:left="700"/>
              <w:spacing w:after="0"/>
              <w:rPr>
                <w:sz w:val="20"/>
                <w:szCs w:val="20"/>
                <w:color w:val="auto"/>
              </w:rPr>
            </w:pPr>
            <w:r>
              <w:rPr>
                <w:rFonts w:ascii="Arial" w:cs="Arial" w:eastAsia="Arial" w:hAnsi="Arial"/>
                <w:sz w:val="18"/>
                <w:szCs w:val="18"/>
                <w:color w:val="auto"/>
              </w:rPr>
              <w:t>Total net change in unrealized gains</w:t>
            </w:r>
          </w:p>
        </w:tc>
        <w:tc>
          <w:tcPr>
            <w:tcW w:w="8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1,560</w:t>
            </w:r>
          </w:p>
        </w:tc>
        <w:tc>
          <w:tcPr>
            <w:tcW w:w="1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Realized gains (losses):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2"/>
          </w:tcPr>
          <w:p>
            <w:pPr>
              <w:jc w:val="right"/>
              <w:ind w:right="1140"/>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rate swaps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1,852</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340"/>
              <w:spacing w:after="0"/>
              <w:rPr>
                <w:sz w:val="20"/>
                <w:szCs w:val="20"/>
                <w:color w:val="auto"/>
              </w:rPr>
            </w:pPr>
            <w:r>
              <w:rPr>
                <w:rFonts w:ascii="Arial" w:cs="Arial" w:eastAsia="Arial" w:hAnsi="Arial"/>
                <w:sz w:val="18"/>
                <w:szCs w:val="18"/>
                <w:color w:val="auto"/>
              </w:rPr>
              <w:t>Foreign currency transactions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2"/>
          </w:tcPr>
          <w:p>
            <w:pPr>
              <w:jc w:val="right"/>
              <w:ind w:right="11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realized gains (losses)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2,121</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tcPr>
          <w:p>
            <w:pPr>
              <w:ind w:left="1060"/>
              <w:spacing w:after="0"/>
              <w:rPr>
                <w:sz w:val="20"/>
                <w:szCs w:val="20"/>
                <w:color w:val="auto"/>
              </w:rPr>
            </w:pPr>
            <w:r>
              <w:rPr>
                <w:rFonts w:ascii="Arial" w:cs="Arial" w:eastAsia="Arial" w:hAnsi="Arial"/>
                <w:sz w:val="18"/>
                <w:szCs w:val="18"/>
                <w:b w:val="1"/>
                <w:bCs w:val="1"/>
                <w:color w:val="auto"/>
              </w:rPr>
              <w:t>Total Unrealized and Realized Gains</w:t>
            </w:r>
          </w:p>
        </w:tc>
        <w:tc>
          <w:tcPr>
            <w:tcW w:w="8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3,681</w:t>
            </w:r>
          </w:p>
        </w:tc>
        <w:tc>
          <w:tcPr>
            <w:tcW w:w="1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9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3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24,468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25,348</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share—basic and diluted</w:t>
            </w:r>
          </w:p>
        </w:tc>
        <w:tc>
          <w:tcPr>
            <w:tcW w:w="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6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11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outstanding—basic and diluted</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53,902,074</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41,539,083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as of March 31, 2015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Initial</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Amortized</w:t>
            </w:r>
          </w:p>
        </w:tc>
        <w:tc>
          <w:tcPr>
            <w:tcW w:w="400" w:type="dxa"/>
            <w:vAlign w:val="bottom"/>
          </w:tcPr>
          <w:p>
            <w:pPr>
              <w:spacing w:after="0"/>
              <w:rPr>
                <w:sz w:val="14"/>
                <w:szCs w:val="14"/>
                <w:color w:val="auto"/>
              </w:rPr>
            </w:pPr>
          </w:p>
        </w:tc>
        <w:tc>
          <w:tcPr>
            <w:tcW w:w="9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320" w:type="dxa"/>
            <w:vAlign w:val="bottom"/>
          </w:tcPr>
          <w:p>
            <w:pPr>
              <w:spacing w:after="0"/>
              <w:rPr>
                <w:sz w:val="12"/>
                <w:szCs w:val="12"/>
                <w:color w:val="auto"/>
              </w:rPr>
            </w:pPr>
          </w:p>
        </w:tc>
        <w:tc>
          <w:tcPr>
            <w:tcW w:w="196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Investment</w:t>
            </w:r>
          </w:p>
        </w:tc>
        <w:tc>
          <w:tcPr>
            <w:tcW w:w="11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Interest</w:t>
            </w: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6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Date</w:t>
            </w: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2"/>
                <w:szCs w:val="12"/>
                <w:b w:val="1"/>
                <w:bCs w:val="1"/>
                <w:color w:val="auto"/>
              </w:rPr>
              <w:t>(2)</w:t>
            </w:r>
          </w:p>
        </w:tc>
        <w:tc>
          <w:tcPr>
            <w:tcW w:w="400" w:type="dxa"/>
            <w:vAlign w:val="bottom"/>
          </w:tcPr>
          <w:p>
            <w:pPr>
              <w:spacing w:after="0"/>
              <w:rPr>
                <w:sz w:val="14"/>
                <w:szCs w:val="1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142"/>
        </w:trPr>
        <w:tc>
          <w:tcPr>
            <w:tcW w:w="38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Debt Investments</w:t>
            </w:r>
          </w:p>
        </w:tc>
        <w:tc>
          <w:tcPr>
            <w:tcW w:w="320" w:type="dxa"/>
            <w:vAlign w:val="bottom"/>
            <w:tcBorders>
              <w:top w:val="single" w:sz="8" w:color="CCEEFF"/>
            </w:tcBorders>
            <w:shd w:val="clear" w:color="auto" w:fill="CCEEFF"/>
          </w:tcPr>
          <w:p>
            <w:pPr>
              <w:spacing w:after="0"/>
              <w:rPr>
                <w:sz w:val="12"/>
                <w:szCs w:val="12"/>
                <w:color w:val="auto"/>
              </w:rPr>
            </w:pPr>
          </w:p>
        </w:tc>
        <w:tc>
          <w:tcPr>
            <w:tcW w:w="16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left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Automotive</w:t>
            </w:r>
          </w:p>
        </w:tc>
        <w:tc>
          <w:tcPr>
            <w:tcW w:w="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Heartland Automotive Holdings, LLC</w:t>
            </w:r>
            <w:r>
              <w:rPr>
                <w:rFonts w:ascii="Arial" w:cs="Arial" w:eastAsia="Arial" w:hAnsi="Arial"/>
                <w:sz w:val="12"/>
                <w:szCs w:val="12"/>
                <w:color w:val="auto"/>
              </w:rPr>
              <w:t>(3)(4)</w:t>
            </w:r>
          </w:p>
        </w:tc>
        <w:tc>
          <w:tcPr>
            <w:tcW w:w="2280" w:type="dxa"/>
            <w:vAlign w:val="bottom"/>
            <w:gridSpan w:val="3"/>
            <w:shd w:val="clear" w:color="auto" w:fill="CCEEFF"/>
          </w:tcPr>
          <w:p>
            <w:pPr>
              <w:ind w:left="320"/>
              <w:spacing w:after="0" w:line="130" w:lineRule="exact"/>
              <w:rPr>
                <w:sz w:val="20"/>
                <w:szCs w:val="20"/>
                <w:color w:val="auto"/>
              </w:rPr>
            </w:pPr>
            <w:r>
              <w:rPr>
                <w:rFonts w:ascii="Arial" w:cs="Arial" w:eastAsia="Arial" w:hAnsi="Arial"/>
                <w:sz w:val="14"/>
                <w:szCs w:val="14"/>
                <w:color w:val="auto"/>
              </w:rPr>
              <w:t>First-lien loan ($32,826 par,</w:t>
            </w:r>
          </w:p>
        </w:tc>
        <w:tc>
          <w:tcPr>
            <w:tcW w:w="7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tcBorders>
              <w:lef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880" w:type="dxa"/>
            <w:vAlign w:val="bottom"/>
            <w:shd w:val="clear" w:color="auto" w:fill="CCEEFF"/>
          </w:tcPr>
          <w:p>
            <w:pPr>
              <w:spacing w:after="0"/>
              <w:rPr>
                <w:sz w:val="15"/>
                <w:szCs w:val="15"/>
                <w:color w:val="auto"/>
              </w:rPr>
            </w:pP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due 6/2017)</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9.75%</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8/28/2012</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32,383</w:t>
            </w:r>
          </w:p>
        </w:tc>
        <w:tc>
          <w:tcPr>
            <w:tcW w:w="1360" w:type="dxa"/>
            <w:vAlign w:val="bottom"/>
            <w:tcBorders>
              <w:lef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$ 29,872</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30"/>
        </w:trPr>
        <w:tc>
          <w:tcPr>
            <w:tcW w:w="3880" w:type="dxa"/>
            <w:vAlign w:val="bottom"/>
          </w:tcPr>
          <w:p>
            <w:pPr>
              <w:spacing w:after="0"/>
              <w:rPr>
                <w:sz w:val="11"/>
                <w:szCs w:val="11"/>
                <w:color w:val="auto"/>
              </w:rPr>
            </w:pPr>
          </w:p>
        </w:tc>
        <w:tc>
          <w:tcPr>
            <w:tcW w:w="2280" w:type="dxa"/>
            <w:vAlign w:val="bottom"/>
            <w:gridSpan w:val="3"/>
          </w:tcPr>
          <w:p>
            <w:pPr>
              <w:ind w:left="320"/>
              <w:spacing w:after="0" w:line="130" w:lineRule="exact"/>
              <w:rPr>
                <w:sz w:val="20"/>
                <w:szCs w:val="20"/>
                <w:color w:val="auto"/>
              </w:rPr>
            </w:pPr>
            <w:r>
              <w:rPr>
                <w:rFonts w:ascii="Arial" w:cs="Arial" w:eastAsia="Arial" w:hAnsi="Arial"/>
                <w:sz w:val="14"/>
                <w:szCs w:val="14"/>
                <w:color w:val="auto"/>
              </w:rPr>
              <w:t>First-lien revolving loan</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2280" w:type="dxa"/>
            <w:vAlign w:val="bottom"/>
            <w:gridSpan w:val="3"/>
          </w:tcPr>
          <w:p>
            <w:pPr>
              <w:ind w:left="320"/>
              <w:spacing w:after="0"/>
              <w:rPr>
                <w:sz w:val="20"/>
                <w:szCs w:val="20"/>
                <w:color w:val="auto"/>
              </w:rPr>
            </w:pPr>
            <w:r>
              <w:rPr>
                <w:rFonts w:ascii="Arial" w:cs="Arial" w:eastAsia="Arial" w:hAnsi="Arial"/>
                <w:sz w:val="14"/>
                <w:szCs w:val="14"/>
                <w:color w:val="auto"/>
              </w:rPr>
              <w:t>($4,278 par, due 6/2017)</w:t>
            </w:r>
          </w:p>
        </w:tc>
        <w:tc>
          <w:tcPr>
            <w:tcW w:w="1160" w:type="dxa"/>
            <w:vAlign w:val="bottom"/>
            <w:gridSpan w:val="2"/>
          </w:tcPr>
          <w:p>
            <w:pPr>
              <w:jc w:val="right"/>
              <w:ind w:right="420"/>
              <w:spacing w:after="0"/>
              <w:rPr>
                <w:sz w:val="20"/>
                <w:szCs w:val="20"/>
                <w:color w:val="auto"/>
              </w:rPr>
            </w:pPr>
            <w:r>
              <w:rPr>
                <w:rFonts w:ascii="Arial" w:cs="Arial" w:eastAsia="Arial" w:hAnsi="Arial"/>
                <w:sz w:val="14"/>
                <w:szCs w:val="14"/>
                <w:color w:val="auto"/>
              </w:rPr>
              <w:t>10.75%</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8/28/2012</w:t>
            </w:r>
          </w:p>
        </w:tc>
        <w:tc>
          <w:tcPr>
            <w:tcW w:w="660" w:type="dxa"/>
            <w:vAlign w:val="bottom"/>
          </w:tcPr>
          <w:p>
            <w:pPr>
              <w:jc w:val="right"/>
              <w:spacing w:after="0"/>
              <w:rPr>
                <w:sz w:val="20"/>
                <w:szCs w:val="20"/>
                <w:color w:val="auto"/>
              </w:rPr>
            </w:pPr>
            <w:r>
              <w:rPr>
                <w:rFonts w:ascii="Arial" w:cs="Arial" w:eastAsia="Arial" w:hAnsi="Arial"/>
                <w:sz w:val="14"/>
                <w:szCs w:val="14"/>
                <w:color w:val="auto"/>
              </w:rPr>
              <w:t>4,207</w:t>
            </w:r>
          </w:p>
        </w:tc>
        <w:tc>
          <w:tcPr>
            <w:tcW w:w="4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3,778</w:t>
            </w:r>
          </w:p>
        </w:tc>
        <w:tc>
          <w:tcPr>
            <w:tcW w:w="40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36,590</w:t>
            </w:r>
          </w:p>
        </w:tc>
        <w:tc>
          <w:tcPr>
            <w:tcW w:w="400" w:type="dxa"/>
            <w:vAlign w:val="bottom"/>
            <w:tcBorders>
              <w:left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33,650</w:t>
            </w:r>
          </w:p>
        </w:tc>
        <w:tc>
          <w:tcPr>
            <w:tcW w:w="4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56"/>
        </w:trPr>
        <w:tc>
          <w:tcPr>
            <w:tcW w:w="388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Beverage, food and tobacco</w:t>
            </w:r>
          </w:p>
        </w:tc>
        <w:tc>
          <w:tcPr>
            <w:tcW w:w="3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AFS Technologies, Inc.</w:t>
            </w:r>
            <w:r>
              <w:rPr>
                <w:rFonts w:ascii="Arial" w:cs="Arial" w:eastAsia="Arial" w:hAnsi="Arial"/>
                <w:sz w:val="12"/>
                <w:szCs w:val="12"/>
                <w:color w:val="auto"/>
              </w:rPr>
              <w:t>(3)(4)(6)</w:t>
            </w:r>
          </w:p>
        </w:tc>
        <w:tc>
          <w:tcPr>
            <w:tcW w:w="2280" w:type="dxa"/>
            <w:vAlign w:val="bottom"/>
            <w:gridSpan w:val="3"/>
            <w:shd w:val="clear" w:color="auto" w:fill="CCEEFF"/>
          </w:tcPr>
          <w:p>
            <w:pPr>
              <w:ind w:left="320"/>
              <w:spacing w:after="0" w:line="130" w:lineRule="exact"/>
              <w:rPr>
                <w:sz w:val="20"/>
                <w:szCs w:val="20"/>
                <w:color w:val="auto"/>
              </w:rPr>
            </w:pPr>
            <w:r>
              <w:rPr>
                <w:rFonts w:ascii="Arial" w:cs="Arial" w:eastAsia="Arial" w:hAnsi="Arial"/>
                <w:sz w:val="14"/>
                <w:szCs w:val="14"/>
                <w:color w:val="auto"/>
              </w:rPr>
              <w:t>First-lien loan ($64,098 par,</w:t>
            </w:r>
          </w:p>
        </w:tc>
        <w:tc>
          <w:tcPr>
            <w:tcW w:w="7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tcBorders>
              <w:lef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shd w:val="clear" w:color="auto" w:fill="CCEEFF"/>
          </w:tcPr>
          <w:p>
            <w:pPr>
              <w:spacing w:after="0"/>
              <w:rPr>
                <w:sz w:val="14"/>
                <w:szCs w:val="14"/>
                <w:color w:val="auto"/>
              </w:rPr>
            </w:pP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due 3/2020)</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6.25%</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3/3/2014</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62,856</w:t>
            </w:r>
          </w:p>
        </w:tc>
        <w:tc>
          <w:tcPr>
            <w:tcW w:w="1360" w:type="dxa"/>
            <w:vAlign w:val="bottom"/>
            <w:tcBorders>
              <w:lef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62,816</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30"/>
        </w:trPr>
        <w:tc>
          <w:tcPr>
            <w:tcW w:w="3880" w:type="dxa"/>
            <w:vAlign w:val="bottom"/>
          </w:tcPr>
          <w:p>
            <w:pPr>
              <w:spacing w:after="0" w:line="130" w:lineRule="exact"/>
              <w:rPr>
                <w:sz w:val="20"/>
                <w:szCs w:val="20"/>
                <w:color w:val="auto"/>
              </w:rPr>
            </w:pPr>
            <w:r>
              <w:rPr>
                <w:rFonts w:ascii="Arial" w:cs="Arial" w:eastAsia="Arial" w:hAnsi="Arial"/>
                <w:sz w:val="14"/>
                <w:szCs w:val="14"/>
                <w:color w:val="auto"/>
              </w:rPr>
              <w:t>Great Atlantic &amp; Pacific Tea Co. Inc.</w:t>
            </w:r>
            <w:r>
              <w:rPr>
                <w:rFonts w:ascii="Arial" w:cs="Arial" w:eastAsia="Arial" w:hAnsi="Arial"/>
                <w:sz w:val="12"/>
                <w:szCs w:val="12"/>
                <w:color w:val="auto"/>
              </w:rPr>
              <w:t>(3)(4)</w:t>
            </w:r>
          </w:p>
        </w:tc>
        <w:tc>
          <w:tcPr>
            <w:tcW w:w="2280" w:type="dxa"/>
            <w:vAlign w:val="bottom"/>
            <w:gridSpan w:val="3"/>
          </w:tcPr>
          <w:p>
            <w:pPr>
              <w:ind w:left="320"/>
              <w:spacing w:after="0" w:line="130" w:lineRule="exact"/>
              <w:rPr>
                <w:sz w:val="20"/>
                <w:szCs w:val="20"/>
                <w:color w:val="auto"/>
              </w:rPr>
            </w:pPr>
            <w:r>
              <w:rPr>
                <w:rFonts w:ascii="Arial" w:cs="Arial" w:eastAsia="Arial" w:hAnsi="Arial"/>
                <w:sz w:val="14"/>
                <w:szCs w:val="14"/>
                <w:color w:val="auto"/>
              </w:rPr>
              <w:t>First-lien loan ($22,574 par,</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880" w:type="dxa"/>
            <w:vAlign w:val="bottom"/>
          </w:tcPr>
          <w:p>
            <w:pPr>
              <w:spacing w:after="0"/>
              <w:rPr>
                <w:sz w:val="15"/>
                <w:szCs w:val="15"/>
                <w:color w:val="auto"/>
              </w:rPr>
            </w:pPr>
          </w:p>
        </w:tc>
        <w:tc>
          <w:tcPr>
            <w:tcW w:w="2280" w:type="dxa"/>
            <w:vAlign w:val="bottom"/>
            <w:gridSpan w:val="3"/>
          </w:tcPr>
          <w:p>
            <w:pPr>
              <w:ind w:left="320"/>
              <w:spacing w:after="0"/>
              <w:rPr>
                <w:sz w:val="20"/>
                <w:szCs w:val="20"/>
                <w:color w:val="auto"/>
              </w:rPr>
            </w:pPr>
            <w:r>
              <w:rPr>
                <w:rFonts w:ascii="Arial" w:cs="Arial" w:eastAsia="Arial" w:hAnsi="Arial"/>
                <w:sz w:val="14"/>
                <w:szCs w:val="14"/>
                <w:color w:val="auto"/>
              </w:rPr>
              <w:t>due 9/2019)</w:t>
            </w:r>
          </w:p>
        </w:tc>
        <w:tc>
          <w:tcPr>
            <w:tcW w:w="1160" w:type="dxa"/>
            <w:vAlign w:val="bottom"/>
            <w:gridSpan w:val="2"/>
          </w:tcPr>
          <w:p>
            <w:pPr>
              <w:jc w:val="right"/>
              <w:ind w:right="420"/>
              <w:spacing w:after="0"/>
              <w:rPr>
                <w:sz w:val="20"/>
                <w:szCs w:val="20"/>
                <w:color w:val="auto"/>
              </w:rPr>
            </w:pPr>
            <w:r>
              <w:rPr>
                <w:rFonts w:ascii="Arial" w:cs="Arial" w:eastAsia="Arial" w:hAnsi="Arial"/>
                <w:sz w:val="14"/>
                <w:szCs w:val="14"/>
                <w:color w:val="auto"/>
              </w:rPr>
              <w:t>9.85%</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9/17/2014</w:t>
            </w:r>
          </w:p>
        </w:tc>
        <w:tc>
          <w:tcPr>
            <w:tcW w:w="660" w:type="dxa"/>
            <w:vAlign w:val="bottom"/>
          </w:tcPr>
          <w:p>
            <w:pPr>
              <w:jc w:val="right"/>
              <w:spacing w:after="0"/>
              <w:rPr>
                <w:sz w:val="20"/>
                <w:szCs w:val="20"/>
                <w:color w:val="auto"/>
              </w:rPr>
            </w:pPr>
            <w:r>
              <w:rPr>
                <w:rFonts w:ascii="Arial" w:cs="Arial" w:eastAsia="Arial" w:hAnsi="Arial"/>
                <w:sz w:val="14"/>
                <w:szCs w:val="14"/>
                <w:color w:val="auto"/>
              </w:rPr>
              <w:t>22,231</w:t>
            </w:r>
          </w:p>
        </w:tc>
        <w:tc>
          <w:tcPr>
            <w:tcW w:w="4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22,405</w:t>
            </w:r>
          </w:p>
        </w:tc>
        <w:tc>
          <w:tcPr>
            <w:tcW w:w="40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85,087</w:t>
            </w:r>
          </w:p>
        </w:tc>
        <w:tc>
          <w:tcPr>
            <w:tcW w:w="400" w:type="dxa"/>
            <w:vAlign w:val="bottom"/>
            <w:tcBorders>
              <w:left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85,221</w:t>
            </w:r>
          </w:p>
        </w:tc>
        <w:tc>
          <w:tcPr>
            <w:tcW w:w="4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56"/>
        </w:trPr>
        <w:tc>
          <w:tcPr>
            <w:tcW w:w="388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Business services</w:t>
            </w:r>
          </w:p>
        </w:tc>
        <w:tc>
          <w:tcPr>
            <w:tcW w:w="3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Actian Corporation</w:t>
            </w:r>
            <w:r>
              <w:rPr>
                <w:rFonts w:ascii="Arial" w:cs="Arial" w:eastAsia="Arial" w:hAnsi="Arial"/>
                <w:sz w:val="12"/>
                <w:szCs w:val="12"/>
                <w:color w:val="auto"/>
              </w:rPr>
              <w:t>(3)(4)(6)</w:t>
            </w:r>
          </w:p>
        </w:tc>
        <w:tc>
          <w:tcPr>
            <w:tcW w:w="2280" w:type="dxa"/>
            <w:vAlign w:val="bottom"/>
            <w:gridSpan w:val="3"/>
            <w:shd w:val="clear" w:color="auto" w:fill="CCEEFF"/>
          </w:tcPr>
          <w:p>
            <w:pPr>
              <w:ind w:left="320"/>
              <w:spacing w:after="0" w:line="130" w:lineRule="exact"/>
              <w:rPr>
                <w:sz w:val="20"/>
                <w:szCs w:val="20"/>
                <w:color w:val="auto"/>
              </w:rPr>
            </w:pPr>
            <w:r>
              <w:rPr>
                <w:rFonts w:ascii="Arial" w:cs="Arial" w:eastAsia="Arial" w:hAnsi="Arial"/>
                <w:sz w:val="14"/>
                <w:szCs w:val="14"/>
                <w:color w:val="auto"/>
              </w:rPr>
              <w:t>First-lien loan ($62,915 par,</w:t>
            </w:r>
          </w:p>
        </w:tc>
        <w:tc>
          <w:tcPr>
            <w:tcW w:w="7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tcBorders>
              <w:lef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shd w:val="clear" w:color="auto" w:fill="CCEEFF"/>
          </w:tcPr>
          <w:p>
            <w:pPr>
              <w:spacing w:after="0"/>
              <w:rPr>
                <w:sz w:val="14"/>
                <w:szCs w:val="14"/>
                <w:color w:val="auto"/>
              </w:rPr>
            </w:pP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due 4/2018)</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7.50%</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4/11/2013</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61,394</w:t>
            </w:r>
          </w:p>
        </w:tc>
        <w:tc>
          <w:tcPr>
            <w:tcW w:w="1360" w:type="dxa"/>
            <w:vAlign w:val="bottom"/>
            <w:tcBorders>
              <w:lef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63,387</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30"/>
        </w:trPr>
        <w:tc>
          <w:tcPr>
            <w:tcW w:w="3880" w:type="dxa"/>
            <w:vAlign w:val="bottom"/>
          </w:tcPr>
          <w:p>
            <w:pPr>
              <w:spacing w:after="0" w:line="130" w:lineRule="exact"/>
              <w:rPr>
                <w:sz w:val="20"/>
                <w:szCs w:val="20"/>
                <w:color w:val="auto"/>
              </w:rPr>
            </w:pPr>
            <w:r>
              <w:rPr>
                <w:rFonts w:ascii="Arial" w:cs="Arial" w:eastAsia="Arial" w:hAnsi="Arial"/>
                <w:sz w:val="14"/>
                <w:szCs w:val="14"/>
                <w:color w:val="auto"/>
              </w:rPr>
              <w:t>Leaf US Holdings, Inc.</w:t>
            </w:r>
            <w:r>
              <w:rPr>
                <w:rFonts w:ascii="Arial" w:cs="Arial" w:eastAsia="Arial" w:hAnsi="Arial"/>
                <w:sz w:val="12"/>
                <w:szCs w:val="12"/>
                <w:color w:val="auto"/>
              </w:rPr>
              <w:t>(3)(4)(5)</w:t>
            </w:r>
          </w:p>
        </w:tc>
        <w:tc>
          <w:tcPr>
            <w:tcW w:w="2280" w:type="dxa"/>
            <w:vAlign w:val="bottom"/>
            <w:gridSpan w:val="3"/>
          </w:tcPr>
          <w:p>
            <w:pPr>
              <w:ind w:left="320"/>
              <w:spacing w:after="0" w:line="130" w:lineRule="exact"/>
              <w:rPr>
                <w:sz w:val="20"/>
                <w:szCs w:val="20"/>
                <w:color w:val="auto"/>
              </w:rPr>
            </w:pPr>
            <w:r>
              <w:rPr>
                <w:rFonts w:ascii="Arial" w:cs="Arial" w:eastAsia="Arial" w:hAnsi="Arial"/>
                <w:sz w:val="14"/>
                <w:szCs w:val="14"/>
                <w:color w:val="auto"/>
              </w:rPr>
              <w:t>First-lien loan ($29,376 par,</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2280" w:type="dxa"/>
            <w:vAlign w:val="bottom"/>
            <w:gridSpan w:val="3"/>
          </w:tcPr>
          <w:p>
            <w:pPr>
              <w:ind w:left="320"/>
              <w:spacing w:after="0"/>
              <w:rPr>
                <w:sz w:val="20"/>
                <w:szCs w:val="20"/>
                <w:color w:val="auto"/>
              </w:rPr>
            </w:pPr>
            <w:r>
              <w:rPr>
                <w:rFonts w:ascii="Arial" w:cs="Arial" w:eastAsia="Arial" w:hAnsi="Arial"/>
                <w:sz w:val="14"/>
                <w:szCs w:val="14"/>
                <w:color w:val="auto"/>
              </w:rPr>
              <w:t>due 6/2019)</w:t>
            </w:r>
          </w:p>
        </w:tc>
        <w:tc>
          <w:tcPr>
            <w:tcW w:w="1160" w:type="dxa"/>
            <w:vAlign w:val="bottom"/>
            <w:gridSpan w:val="2"/>
          </w:tcPr>
          <w:p>
            <w:pPr>
              <w:jc w:val="right"/>
              <w:ind w:right="420"/>
              <w:spacing w:after="0"/>
              <w:rPr>
                <w:sz w:val="20"/>
                <w:szCs w:val="20"/>
                <w:color w:val="auto"/>
              </w:rPr>
            </w:pPr>
            <w:r>
              <w:rPr>
                <w:rFonts w:ascii="Arial" w:cs="Arial" w:eastAsia="Arial" w:hAnsi="Arial"/>
                <w:sz w:val="14"/>
                <w:szCs w:val="14"/>
                <w:color w:val="auto"/>
              </w:rPr>
              <w:t>7.50%</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6/30/2014</w:t>
            </w:r>
          </w:p>
        </w:tc>
        <w:tc>
          <w:tcPr>
            <w:tcW w:w="660" w:type="dxa"/>
            <w:vAlign w:val="bottom"/>
          </w:tcPr>
          <w:p>
            <w:pPr>
              <w:jc w:val="right"/>
              <w:spacing w:after="0"/>
              <w:rPr>
                <w:sz w:val="20"/>
                <w:szCs w:val="20"/>
                <w:color w:val="auto"/>
              </w:rPr>
            </w:pPr>
            <w:r>
              <w:rPr>
                <w:rFonts w:ascii="Arial" w:cs="Arial" w:eastAsia="Arial" w:hAnsi="Arial"/>
                <w:sz w:val="14"/>
                <w:szCs w:val="14"/>
                <w:color w:val="auto"/>
              </w:rPr>
              <w:t>28,793</w:t>
            </w:r>
          </w:p>
        </w:tc>
        <w:tc>
          <w:tcPr>
            <w:tcW w:w="1360" w:type="dxa"/>
            <w:vAlign w:val="bottom"/>
            <w:gridSpan w:val="3"/>
          </w:tcPr>
          <w:p>
            <w:pPr>
              <w:jc w:val="right"/>
              <w:ind w:right="400"/>
              <w:spacing w:after="0"/>
              <w:rPr>
                <w:sz w:val="20"/>
                <w:szCs w:val="20"/>
                <w:color w:val="auto"/>
              </w:rPr>
            </w:pPr>
            <w:r>
              <w:rPr>
                <w:rFonts w:ascii="Arial" w:cs="Arial" w:eastAsia="Arial" w:hAnsi="Arial"/>
                <w:sz w:val="14"/>
                <w:szCs w:val="14"/>
                <w:color w:val="auto"/>
              </w:rPr>
              <w:t>28,984</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30"/>
        </w:trPr>
        <w:tc>
          <w:tcPr>
            <w:tcW w:w="3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Network Merchants, Inc</w:t>
            </w:r>
            <w:r>
              <w:rPr>
                <w:rFonts w:ascii="Arial" w:cs="Arial" w:eastAsia="Arial" w:hAnsi="Arial"/>
                <w:sz w:val="12"/>
                <w:szCs w:val="12"/>
                <w:color w:val="auto"/>
              </w:rPr>
              <w:t>(3)(4)</w:t>
            </w:r>
          </w:p>
        </w:tc>
        <w:tc>
          <w:tcPr>
            <w:tcW w:w="2280" w:type="dxa"/>
            <w:vAlign w:val="bottom"/>
            <w:gridSpan w:val="3"/>
            <w:shd w:val="clear" w:color="auto" w:fill="CCEEFF"/>
          </w:tcPr>
          <w:p>
            <w:pPr>
              <w:ind w:left="320"/>
              <w:spacing w:after="0" w:line="130" w:lineRule="exact"/>
              <w:rPr>
                <w:sz w:val="20"/>
                <w:szCs w:val="20"/>
                <w:color w:val="auto"/>
              </w:rPr>
            </w:pPr>
            <w:r>
              <w:rPr>
                <w:rFonts w:ascii="Arial" w:cs="Arial" w:eastAsia="Arial" w:hAnsi="Arial"/>
                <w:sz w:val="14"/>
                <w:szCs w:val="14"/>
                <w:color w:val="auto"/>
              </w:rPr>
              <w:t>First-lien loan ($29,659 par,</w:t>
            </w:r>
          </w:p>
        </w:tc>
        <w:tc>
          <w:tcPr>
            <w:tcW w:w="7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tcBorders>
              <w:lef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shd w:val="clear" w:color="auto" w:fill="CCEEFF"/>
          </w:tcPr>
          <w:p>
            <w:pPr>
              <w:spacing w:after="0"/>
              <w:rPr>
                <w:sz w:val="14"/>
                <w:szCs w:val="14"/>
                <w:color w:val="auto"/>
              </w:rPr>
            </w:pP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due 9/2018)</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8.75%</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9/12/2013</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29,230</w:t>
            </w:r>
          </w:p>
        </w:tc>
        <w:tc>
          <w:tcPr>
            <w:tcW w:w="1360" w:type="dxa"/>
            <w:vAlign w:val="bottom"/>
            <w:tcBorders>
              <w:lef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29,582</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30"/>
        </w:trPr>
        <w:tc>
          <w:tcPr>
            <w:tcW w:w="3880" w:type="dxa"/>
            <w:vAlign w:val="bottom"/>
          </w:tcPr>
          <w:p>
            <w:pPr>
              <w:spacing w:after="0" w:line="130" w:lineRule="exact"/>
              <w:rPr>
                <w:sz w:val="20"/>
                <w:szCs w:val="20"/>
                <w:color w:val="auto"/>
              </w:rPr>
            </w:pPr>
            <w:r>
              <w:rPr>
                <w:rFonts w:ascii="Arial" w:cs="Arial" w:eastAsia="Arial" w:hAnsi="Arial"/>
                <w:sz w:val="14"/>
                <w:szCs w:val="14"/>
                <w:color w:val="auto"/>
              </w:rPr>
              <w:t>ScentAir Technologies, Inc</w:t>
            </w:r>
            <w:r>
              <w:rPr>
                <w:rFonts w:ascii="Arial" w:cs="Arial" w:eastAsia="Arial" w:hAnsi="Arial"/>
                <w:sz w:val="12"/>
                <w:szCs w:val="12"/>
                <w:color w:val="auto"/>
              </w:rPr>
              <w:t>(3)(4)</w:t>
            </w:r>
          </w:p>
        </w:tc>
        <w:tc>
          <w:tcPr>
            <w:tcW w:w="2280" w:type="dxa"/>
            <w:vAlign w:val="bottom"/>
            <w:gridSpan w:val="3"/>
          </w:tcPr>
          <w:p>
            <w:pPr>
              <w:ind w:left="320"/>
              <w:spacing w:after="0" w:line="130" w:lineRule="exact"/>
              <w:rPr>
                <w:sz w:val="20"/>
                <w:szCs w:val="20"/>
                <w:color w:val="auto"/>
              </w:rPr>
            </w:pPr>
            <w:r>
              <w:rPr>
                <w:rFonts w:ascii="Arial" w:cs="Arial" w:eastAsia="Arial" w:hAnsi="Arial"/>
                <w:sz w:val="14"/>
                <w:szCs w:val="14"/>
                <w:color w:val="auto"/>
              </w:rPr>
              <w:t>First-lien loan ($17,143 par,</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2280" w:type="dxa"/>
            <w:vAlign w:val="bottom"/>
            <w:gridSpan w:val="3"/>
          </w:tcPr>
          <w:p>
            <w:pPr>
              <w:ind w:left="320"/>
              <w:spacing w:after="0"/>
              <w:rPr>
                <w:sz w:val="20"/>
                <w:szCs w:val="20"/>
                <w:color w:val="auto"/>
              </w:rPr>
            </w:pPr>
            <w:r>
              <w:rPr>
                <w:rFonts w:ascii="Arial" w:cs="Arial" w:eastAsia="Arial" w:hAnsi="Arial"/>
                <w:sz w:val="14"/>
                <w:szCs w:val="14"/>
                <w:color w:val="auto"/>
              </w:rPr>
              <w:t>due 12/2019)</w:t>
            </w:r>
          </w:p>
        </w:tc>
        <w:tc>
          <w:tcPr>
            <w:tcW w:w="1160" w:type="dxa"/>
            <w:vAlign w:val="bottom"/>
            <w:gridSpan w:val="2"/>
          </w:tcPr>
          <w:p>
            <w:pPr>
              <w:jc w:val="right"/>
              <w:ind w:right="420"/>
              <w:spacing w:after="0"/>
              <w:rPr>
                <w:sz w:val="20"/>
                <w:szCs w:val="20"/>
                <w:color w:val="auto"/>
              </w:rPr>
            </w:pPr>
            <w:r>
              <w:rPr>
                <w:rFonts w:ascii="Arial" w:cs="Arial" w:eastAsia="Arial" w:hAnsi="Arial"/>
                <w:sz w:val="14"/>
                <w:szCs w:val="14"/>
                <w:color w:val="auto"/>
              </w:rPr>
              <w:t>7.50%</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w w:val="99"/>
              </w:rPr>
              <w:t>12/30/2014</w:t>
            </w:r>
          </w:p>
        </w:tc>
        <w:tc>
          <w:tcPr>
            <w:tcW w:w="660" w:type="dxa"/>
            <w:vAlign w:val="bottom"/>
          </w:tcPr>
          <w:p>
            <w:pPr>
              <w:jc w:val="right"/>
              <w:spacing w:after="0"/>
              <w:rPr>
                <w:sz w:val="20"/>
                <w:szCs w:val="20"/>
                <w:color w:val="auto"/>
              </w:rPr>
            </w:pPr>
            <w:r>
              <w:rPr>
                <w:rFonts w:ascii="Arial" w:cs="Arial" w:eastAsia="Arial" w:hAnsi="Arial"/>
                <w:sz w:val="14"/>
                <w:szCs w:val="14"/>
                <w:color w:val="auto"/>
              </w:rPr>
              <w:t>16,737</w:t>
            </w:r>
          </w:p>
        </w:tc>
        <w:tc>
          <w:tcPr>
            <w:tcW w:w="4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16,862</w:t>
            </w:r>
          </w:p>
        </w:tc>
        <w:tc>
          <w:tcPr>
            <w:tcW w:w="40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136,154</w:t>
            </w:r>
          </w:p>
        </w:tc>
        <w:tc>
          <w:tcPr>
            <w:tcW w:w="400" w:type="dxa"/>
            <w:vAlign w:val="bottom"/>
            <w:tcBorders>
              <w:left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138,815</w:t>
            </w:r>
          </w:p>
        </w:tc>
        <w:tc>
          <w:tcPr>
            <w:tcW w:w="4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56"/>
        </w:trPr>
        <w:tc>
          <w:tcPr>
            <w:tcW w:w="388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Chemicals</w:t>
            </w:r>
          </w:p>
        </w:tc>
        <w:tc>
          <w:tcPr>
            <w:tcW w:w="3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Vertellus Specialties, Inc.</w:t>
            </w:r>
            <w:r>
              <w:rPr>
                <w:rFonts w:ascii="Arial" w:cs="Arial" w:eastAsia="Arial" w:hAnsi="Arial"/>
                <w:sz w:val="12"/>
                <w:szCs w:val="12"/>
                <w:color w:val="auto"/>
              </w:rPr>
              <w:t>(3)(4)</w:t>
            </w:r>
          </w:p>
        </w:tc>
        <w:tc>
          <w:tcPr>
            <w:tcW w:w="2280" w:type="dxa"/>
            <w:vAlign w:val="bottom"/>
            <w:gridSpan w:val="3"/>
            <w:shd w:val="clear" w:color="auto" w:fill="CCEEFF"/>
          </w:tcPr>
          <w:p>
            <w:pPr>
              <w:ind w:left="320"/>
              <w:spacing w:after="0" w:line="130" w:lineRule="exact"/>
              <w:rPr>
                <w:sz w:val="20"/>
                <w:szCs w:val="20"/>
                <w:color w:val="auto"/>
              </w:rPr>
            </w:pPr>
            <w:r>
              <w:rPr>
                <w:rFonts w:ascii="Arial" w:cs="Arial" w:eastAsia="Arial" w:hAnsi="Arial"/>
                <w:sz w:val="14"/>
                <w:szCs w:val="14"/>
                <w:color w:val="auto"/>
              </w:rPr>
              <w:t>First-lien loan ($19,900 par,</w:t>
            </w:r>
          </w:p>
        </w:tc>
        <w:tc>
          <w:tcPr>
            <w:tcW w:w="7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tcBorders>
              <w:lef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shd w:val="clear" w:color="auto" w:fill="CCEEFF"/>
          </w:tcPr>
          <w:p>
            <w:pPr>
              <w:spacing w:after="0"/>
              <w:rPr>
                <w:sz w:val="14"/>
                <w:szCs w:val="14"/>
                <w:color w:val="auto"/>
              </w:rPr>
            </w:pP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due 10/2019)</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10.50%</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w w:val="99"/>
              </w:rPr>
              <w:t>10/31/2014</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19,246</w:t>
            </w:r>
          </w:p>
        </w:tc>
        <w:tc>
          <w:tcPr>
            <w:tcW w:w="1360" w:type="dxa"/>
            <w:vAlign w:val="bottom"/>
            <w:tcBorders>
              <w:lef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17,562</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388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Education</w:t>
            </w:r>
          </w:p>
        </w:tc>
        <w:tc>
          <w:tcPr>
            <w:tcW w:w="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Campus Management, Inc.</w:t>
            </w:r>
            <w:r>
              <w:rPr>
                <w:rFonts w:ascii="Arial" w:cs="Arial" w:eastAsia="Arial" w:hAnsi="Arial"/>
                <w:sz w:val="12"/>
                <w:szCs w:val="12"/>
                <w:color w:val="auto"/>
              </w:rPr>
              <w:t>(3)(4)(6)</w:t>
            </w:r>
          </w:p>
        </w:tc>
        <w:tc>
          <w:tcPr>
            <w:tcW w:w="2280" w:type="dxa"/>
            <w:vAlign w:val="bottom"/>
            <w:gridSpan w:val="3"/>
            <w:shd w:val="clear" w:color="auto" w:fill="CCEEFF"/>
          </w:tcPr>
          <w:p>
            <w:pPr>
              <w:ind w:left="320"/>
              <w:spacing w:after="0" w:line="130" w:lineRule="exact"/>
              <w:rPr>
                <w:sz w:val="20"/>
                <w:szCs w:val="20"/>
                <w:color w:val="auto"/>
              </w:rPr>
            </w:pPr>
            <w:r>
              <w:rPr>
                <w:rFonts w:ascii="Arial" w:cs="Arial" w:eastAsia="Arial" w:hAnsi="Arial"/>
                <w:sz w:val="14"/>
                <w:szCs w:val="14"/>
                <w:color w:val="auto"/>
              </w:rPr>
              <w:t>First-lien loan ($27,590 par,</w:t>
            </w:r>
          </w:p>
        </w:tc>
        <w:tc>
          <w:tcPr>
            <w:tcW w:w="7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tcBorders>
              <w:lef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shd w:val="clear" w:color="auto" w:fill="CCEEFF"/>
          </w:tcPr>
          <w:p>
            <w:pPr>
              <w:spacing w:after="0"/>
              <w:rPr>
                <w:sz w:val="14"/>
                <w:szCs w:val="14"/>
                <w:color w:val="auto"/>
              </w:rPr>
            </w:pP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due 9/2018)</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8.75%</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9/30/2013</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27,080</w:t>
            </w:r>
          </w:p>
        </w:tc>
        <w:tc>
          <w:tcPr>
            <w:tcW w:w="1360" w:type="dxa"/>
            <w:vAlign w:val="bottom"/>
            <w:tcBorders>
              <w:lef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27,590</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388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Electronics</w:t>
            </w:r>
          </w:p>
        </w:tc>
        <w:tc>
          <w:tcPr>
            <w:tcW w:w="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MyAlarm Center, LLC</w:t>
            </w:r>
            <w:r>
              <w:rPr>
                <w:rFonts w:ascii="Arial" w:cs="Arial" w:eastAsia="Arial" w:hAnsi="Arial"/>
                <w:sz w:val="12"/>
                <w:szCs w:val="12"/>
                <w:color w:val="auto"/>
              </w:rPr>
              <w:t>(3)(4)</w:t>
            </w:r>
          </w:p>
        </w:tc>
        <w:tc>
          <w:tcPr>
            <w:tcW w:w="2280" w:type="dxa"/>
            <w:vAlign w:val="bottom"/>
            <w:gridSpan w:val="3"/>
            <w:shd w:val="clear" w:color="auto" w:fill="CCEEFF"/>
          </w:tcPr>
          <w:p>
            <w:pPr>
              <w:ind w:left="320"/>
              <w:spacing w:after="0" w:line="130" w:lineRule="exact"/>
              <w:rPr>
                <w:sz w:val="20"/>
                <w:szCs w:val="20"/>
                <w:color w:val="auto"/>
              </w:rPr>
            </w:pPr>
            <w:r>
              <w:rPr>
                <w:rFonts w:ascii="Arial" w:cs="Arial" w:eastAsia="Arial" w:hAnsi="Arial"/>
                <w:sz w:val="14"/>
                <w:szCs w:val="14"/>
                <w:color w:val="auto"/>
              </w:rPr>
              <w:t>First-lien loan ($63,859 par,</w:t>
            </w:r>
          </w:p>
        </w:tc>
        <w:tc>
          <w:tcPr>
            <w:tcW w:w="7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tcBorders>
              <w:lef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shd w:val="clear" w:color="auto" w:fill="CCEEFF"/>
          </w:tcPr>
          <w:p>
            <w:pPr>
              <w:spacing w:after="0"/>
              <w:rPr>
                <w:sz w:val="14"/>
                <w:szCs w:val="14"/>
                <w:color w:val="auto"/>
              </w:rPr>
            </w:pP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due 1/2018)</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8.50%</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1/9/2014</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63,074</w:t>
            </w:r>
          </w:p>
        </w:tc>
        <w:tc>
          <w:tcPr>
            <w:tcW w:w="1360" w:type="dxa"/>
            <w:vAlign w:val="bottom"/>
            <w:tcBorders>
              <w:lef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63,375</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30"/>
        </w:trPr>
        <w:tc>
          <w:tcPr>
            <w:tcW w:w="3880" w:type="dxa"/>
            <w:vAlign w:val="bottom"/>
          </w:tcPr>
          <w:p>
            <w:pPr>
              <w:spacing w:after="0" w:line="130" w:lineRule="exact"/>
              <w:rPr>
                <w:sz w:val="20"/>
                <w:szCs w:val="20"/>
                <w:color w:val="auto"/>
              </w:rPr>
            </w:pPr>
            <w:r>
              <w:rPr>
                <w:rFonts w:ascii="Arial" w:cs="Arial" w:eastAsia="Arial" w:hAnsi="Arial"/>
                <w:sz w:val="14"/>
                <w:szCs w:val="14"/>
                <w:color w:val="auto"/>
              </w:rPr>
              <w:t>MyAlarm Center, LLC</w:t>
            </w:r>
          </w:p>
        </w:tc>
        <w:tc>
          <w:tcPr>
            <w:tcW w:w="3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2"/>
          </w:tcPr>
          <w:p>
            <w:pPr>
              <w:jc w:val="right"/>
              <w:ind w:right="420"/>
              <w:spacing w:after="0" w:line="130" w:lineRule="exact"/>
              <w:rPr>
                <w:sz w:val="20"/>
                <w:szCs w:val="20"/>
                <w:color w:val="auto"/>
              </w:rPr>
            </w:pPr>
            <w:r>
              <w:rPr>
                <w:rFonts w:ascii="Arial" w:cs="Arial" w:eastAsia="Arial" w:hAnsi="Arial"/>
                <w:sz w:val="14"/>
                <w:szCs w:val="14"/>
                <w:color w:val="auto"/>
              </w:rPr>
              <w:t>16.25%</w:t>
            </w: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228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Mezzanine loan ($4,887</w:t>
            </w:r>
          </w:p>
        </w:tc>
        <w:tc>
          <w:tcPr>
            <w:tcW w:w="11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8"/>
              </w:rPr>
              <w:t>(incl. 4.25%</w:t>
            </w: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2280" w:type="dxa"/>
            <w:vAlign w:val="bottom"/>
            <w:gridSpan w:val="3"/>
          </w:tcPr>
          <w:p>
            <w:pPr>
              <w:ind w:left="320"/>
              <w:spacing w:after="0"/>
              <w:rPr>
                <w:sz w:val="20"/>
                <w:szCs w:val="20"/>
                <w:color w:val="auto"/>
              </w:rPr>
            </w:pPr>
            <w:r>
              <w:rPr>
                <w:rFonts w:ascii="Arial" w:cs="Arial" w:eastAsia="Arial" w:hAnsi="Arial"/>
                <w:sz w:val="14"/>
                <w:szCs w:val="14"/>
                <w:color w:val="auto"/>
              </w:rPr>
              <w:t>par, due 7/2018)</w:t>
            </w:r>
          </w:p>
        </w:tc>
        <w:tc>
          <w:tcPr>
            <w:tcW w:w="1160" w:type="dxa"/>
            <w:vAlign w:val="bottom"/>
            <w:gridSpan w:val="2"/>
          </w:tcPr>
          <w:p>
            <w:pPr>
              <w:jc w:val="right"/>
              <w:ind w:right="420"/>
              <w:spacing w:after="0"/>
              <w:rPr>
                <w:sz w:val="20"/>
                <w:szCs w:val="20"/>
                <w:color w:val="auto"/>
              </w:rPr>
            </w:pPr>
            <w:r>
              <w:rPr>
                <w:rFonts w:ascii="Arial" w:cs="Arial" w:eastAsia="Arial" w:hAnsi="Arial"/>
                <w:sz w:val="14"/>
                <w:szCs w:val="14"/>
                <w:color w:val="auto"/>
              </w:rPr>
              <w:t>PIK)</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1/9/2014</w:t>
            </w:r>
          </w:p>
        </w:tc>
        <w:tc>
          <w:tcPr>
            <w:tcW w:w="660" w:type="dxa"/>
            <w:vAlign w:val="bottom"/>
          </w:tcPr>
          <w:p>
            <w:pPr>
              <w:jc w:val="right"/>
              <w:spacing w:after="0"/>
              <w:rPr>
                <w:sz w:val="20"/>
                <w:szCs w:val="20"/>
                <w:color w:val="auto"/>
              </w:rPr>
            </w:pPr>
            <w:r>
              <w:rPr>
                <w:rFonts w:ascii="Arial" w:cs="Arial" w:eastAsia="Arial" w:hAnsi="Arial"/>
                <w:sz w:val="14"/>
                <w:szCs w:val="14"/>
                <w:color w:val="auto"/>
              </w:rPr>
              <w:t>4,851</w:t>
            </w:r>
          </w:p>
        </w:tc>
        <w:tc>
          <w:tcPr>
            <w:tcW w:w="1360" w:type="dxa"/>
            <w:vAlign w:val="bottom"/>
            <w:gridSpan w:val="3"/>
          </w:tcPr>
          <w:p>
            <w:pPr>
              <w:jc w:val="right"/>
              <w:ind w:right="400"/>
              <w:spacing w:after="0"/>
              <w:rPr>
                <w:sz w:val="20"/>
                <w:szCs w:val="20"/>
                <w:color w:val="auto"/>
              </w:rPr>
            </w:pPr>
            <w:r>
              <w:rPr>
                <w:rFonts w:ascii="Arial" w:cs="Arial" w:eastAsia="Arial" w:hAnsi="Arial"/>
                <w:sz w:val="14"/>
                <w:szCs w:val="14"/>
                <w:color w:val="auto"/>
              </w:rPr>
              <w:t>4,862</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30"/>
        </w:trPr>
        <w:tc>
          <w:tcPr>
            <w:tcW w:w="3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APX Group Inc.</w:t>
            </w:r>
          </w:p>
        </w:tc>
        <w:tc>
          <w:tcPr>
            <w:tcW w:w="2280" w:type="dxa"/>
            <w:vAlign w:val="bottom"/>
            <w:gridSpan w:val="3"/>
            <w:shd w:val="clear" w:color="auto" w:fill="CCEEFF"/>
          </w:tcPr>
          <w:p>
            <w:pPr>
              <w:ind w:left="320"/>
              <w:spacing w:after="0" w:line="130" w:lineRule="exact"/>
              <w:rPr>
                <w:sz w:val="20"/>
                <w:szCs w:val="20"/>
                <w:color w:val="auto"/>
              </w:rPr>
            </w:pPr>
            <w:r>
              <w:rPr>
                <w:rFonts w:ascii="Arial" w:cs="Arial" w:eastAsia="Arial" w:hAnsi="Arial"/>
                <w:sz w:val="14"/>
                <w:szCs w:val="14"/>
                <w:color w:val="auto"/>
              </w:rPr>
              <w:t>Senior notes 8.75%</w:t>
            </w:r>
          </w:p>
        </w:tc>
        <w:tc>
          <w:tcPr>
            <w:tcW w:w="7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tcBorders>
              <w:lef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shd w:val="clear" w:color="auto" w:fill="CCEEFF"/>
          </w:tcPr>
          <w:p>
            <w:pPr>
              <w:spacing w:after="0"/>
              <w:rPr>
                <w:sz w:val="14"/>
                <w:szCs w:val="14"/>
                <w:color w:val="auto"/>
              </w:rPr>
            </w:pP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($10,000 par, due 12/2020)</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8.75%</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w w:val="99"/>
              </w:rPr>
              <w:t>12/11/2014</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8,608</w:t>
            </w:r>
          </w:p>
        </w:tc>
        <w:tc>
          <w:tcPr>
            <w:tcW w:w="400" w:type="dxa"/>
            <w:vAlign w:val="bottom"/>
            <w:tcBorders>
              <w:left w:val="single" w:sz="8" w:color="CCEEFF"/>
            </w:tcBorders>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9,225</w:t>
            </w:r>
          </w:p>
        </w:tc>
        <w:tc>
          <w:tcPr>
            <w:tcW w:w="4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76,533</w:t>
            </w:r>
          </w:p>
        </w:tc>
        <w:tc>
          <w:tcPr>
            <w:tcW w:w="400" w:type="dxa"/>
            <w:vAlign w:val="bottom"/>
            <w:vMerge w:val="continue"/>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77,462</w:t>
            </w:r>
          </w:p>
        </w:tc>
        <w:tc>
          <w:tcPr>
            <w:tcW w:w="400" w:type="dxa"/>
            <w:vAlign w:val="bottom"/>
            <w:vMerge w:val="continue"/>
          </w:tcPr>
          <w:p>
            <w:pPr>
              <w:spacing w:after="0"/>
              <w:rPr>
                <w:sz w:val="13"/>
                <w:szCs w:val="13"/>
                <w:color w:val="auto"/>
              </w:rPr>
            </w:pPr>
          </w:p>
        </w:tc>
        <w:tc>
          <w:tcPr>
            <w:tcW w:w="9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459" w:right="2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Initial</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Amortized</w:t>
            </w:r>
          </w:p>
        </w:tc>
        <w:tc>
          <w:tcPr>
            <w:tcW w:w="400" w:type="dxa"/>
            <w:vAlign w:val="bottom"/>
          </w:tcPr>
          <w:p>
            <w:pPr>
              <w:spacing w:after="0"/>
              <w:rPr>
                <w:sz w:val="14"/>
                <w:szCs w:val="14"/>
                <w:color w:val="auto"/>
              </w:rPr>
            </w:pPr>
          </w:p>
        </w:tc>
        <w:tc>
          <w:tcPr>
            <w:tcW w:w="9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320" w:type="dxa"/>
            <w:vAlign w:val="bottom"/>
          </w:tcPr>
          <w:p>
            <w:pPr>
              <w:spacing w:after="0"/>
              <w:rPr>
                <w:sz w:val="12"/>
                <w:szCs w:val="12"/>
                <w:color w:val="auto"/>
              </w:rPr>
            </w:pPr>
          </w:p>
        </w:tc>
        <w:tc>
          <w:tcPr>
            <w:tcW w:w="196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Investment</w:t>
            </w:r>
          </w:p>
        </w:tc>
        <w:tc>
          <w:tcPr>
            <w:tcW w:w="11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Interest</w:t>
            </w: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6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Date</w:t>
            </w: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2"/>
                <w:szCs w:val="12"/>
                <w:b w:val="1"/>
                <w:bCs w:val="1"/>
                <w:color w:val="auto"/>
              </w:rPr>
              <w:t>(2)</w:t>
            </w:r>
          </w:p>
        </w:tc>
        <w:tc>
          <w:tcPr>
            <w:tcW w:w="400" w:type="dxa"/>
            <w:vAlign w:val="bottom"/>
          </w:tcPr>
          <w:p>
            <w:pPr>
              <w:spacing w:after="0"/>
              <w:rPr>
                <w:sz w:val="14"/>
                <w:szCs w:val="1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142"/>
        </w:trPr>
        <w:tc>
          <w:tcPr>
            <w:tcW w:w="3880" w:type="dxa"/>
            <w:vAlign w:val="bottom"/>
            <w:tcBorders>
              <w:top w:val="single" w:sz="8" w:color="auto"/>
            </w:tcBorders>
            <w:shd w:val="clear" w:color="auto" w:fill="CCEEFF"/>
          </w:tcPr>
          <w:p>
            <w:pPr>
              <w:ind w:left="300"/>
              <w:spacing w:after="0" w:line="142" w:lineRule="exact"/>
              <w:rPr>
                <w:sz w:val="20"/>
                <w:szCs w:val="20"/>
                <w:color w:val="auto"/>
              </w:rPr>
            </w:pPr>
            <w:r>
              <w:rPr>
                <w:rFonts w:ascii="Arial" w:cs="Arial" w:eastAsia="Arial" w:hAnsi="Arial"/>
                <w:sz w:val="14"/>
                <w:szCs w:val="14"/>
                <w:b w:val="1"/>
                <w:bCs w:val="1"/>
                <w:color w:val="auto"/>
              </w:rPr>
              <w:t>Financial services</w:t>
            </w:r>
          </w:p>
        </w:tc>
        <w:tc>
          <w:tcPr>
            <w:tcW w:w="320" w:type="dxa"/>
            <w:vAlign w:val="bottom"/>
            <w:tcBorders>
              <w:top w:val="single" w:sz="8" w:color="CCEEFF"/>
            </w:tcBorders>
            <w:shd w:val="clear" w:color="auto" w:fill="CCEEFF"/>
          </w:tcPr>
          <w:p>
            <w:pPr>
              <w:spacing w:after="0"/>
              <w:rPr>
                <w:sz w:val="12"/>
                <w:szCs w:val="12"/>
                <w:color w:val="auto"/>
              </w:rPr>
            </w:pPr>
          </w:p>
        </w:tc>
        <w:tc>
          <w:tcPr>
            <w:tcW w:w="16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left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880" w:type="dxa"/>
            <w:vAlign w:val="bottom"/>
          </w:tcPr>
          <w:p>
            <w:pPr>
              <w:spacing w:after="0" w:line="130" w:lineRule="exact"/>
              <w:rPr>
                <w:sz w:val="20"/>
                <w:szCs w:val="20"/>
                <w:color w:val="auto"/>
              </w:rPr>
            </w:pPr>
            <w:r>
              <w:rPr>
                <w:rFonts w:ascii="Arial" w:cs="Arial" w:eastAsia="Arial" w:hAnsi="Arial"/>
                <w:sz w:val="14"/>
                <w:szCs w:val="14"/>
                <w:color w:val="auto"/>
              </w:rPr>
              <w:t>Embarcadero Technologies, Inc.</w:t>
            </w:r>
            <w:r>
              <w:rPr>
                <w:rFonts w:ascii="Arial" w:cs="Arial" w:eastAsia="Arial" w:hAnsi="Arial"/>
                <w:sz w:val="12"/>
                <w:szCs w:val="12"/>
                <w:color w:val="auto"/>
              </w:rPr>
              <w:t>(3)(4)(6)</w:t>
            </w:r>
          </w:p>
        </w:tc>
        <w:tc>
          <w:tcPr>
            <w:tcW w:w="2280" w:type="dxa"/>
            <w:vAlign w:val="bottom"/>
            <w:gridSpan w:val="3"/>
          </w:tcPr>
          <w:p>
            <w:pPr>
              <w:ind w:left="320"/>
              <w:spacing w:after="0" w:line="130" w:lineRule="exact"/>
              <w:rPr>
                <w:sz w:val="20"/>
                <w:szCs w:val="20"/>
                <w:color w:val="auto"/>
              </w:rPr>
            </w:pPr>
            <w:r>
              <w:rPr>
                <w:rFonts w:ascii="Arial" w:cs="Arial" w:eastAsia="Arial" w:hAnsi="Arial"/>
                <w:sz w:val="14"/>
                <w:szCs w:val="14"/>
                <w:color w:val="auto"/>
              </w:rPr>
              <w:t>First-lien loan ($39,684 par,</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2280" w:type="dxa"/>
            <w:vAlign w:val="bottom"/>
            <w:gridSpan w:val="3"/>
          </w:tcPr>
          <w:p>
            <w:pPr>
              <w:ind w:left="320"/>
              <w:spacing w:after="0"/>
              <w:rPr>
                <w:sz w:val="20"/>
                <w:szCs w:val="20"/>
                <w:color w:val="auto"/>
              </w:rPr>
            </w:pPr>
            <w:r>
              <w:rPr>
                <w:rFonts w:ascii="Arial" w:cs="Arial" w:eastAsia="Arial" w:hAnsi="Arial"/>
                <w:sz w:val="14"/>
                <w:szCs w:val="14"/>
                <w:color w:val="auto"/>
              </w:rPr>
              <w:t>due 12/2017)</w:t>
            </w:r>
          </w:p>
        </w:tc>
        <w:tc>
          <w:tcPr>
            <w:tcW w:w="1160" w:type="dxa"/>
            <w:vAlign w:val="bottom"/>
            <w:gridSpan w:val="2"/>
          </w:tcPr>
          <w:p>
            <w:pPr>
              <w:jc w:val="right"/>
              <w:ind w:right="420"/>
              <w:spacing w:after="0"/>
              <w:rPr>
                <w:sz w:val="20"/>
                <w:szCs w:val="20"/>
                <w:color w:val="auto"/>
              </w:rPr>
            </w:pPr>
            <w:r>
              <w:rPr>
                <w:rFonts w:ascii="Arial" w:cs="Arial" w:eastAsia="Arial" w:hAnsi="Arial"/>
                <w:sz w:val="14"/>
                <w:szCs w:val="14"/>
                <w:color w:val="auto"/>
              </w:rPr>
              <w:t>8.00%</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w w:val="99"/>
              </w:rPr>
              <w:t>12/28/2012</w:t>
            </w:r>
          </w:p>
        </w:tc>
        <w:tc>
          <w:tcPr>
            <w:tcW w:w="660" w:type="dxa"/>
            <w:vAlign w:val="bottom"/>
          </w:tcPr>
          <w:p>
            <w:pPr>
              <w:jc w:val="right"/>
              <w:spacing w:after="0"/>
              <w:rPr>
                <w:sz w:val="20"/>
                <w:szCs w:val="20"/>
                <w:color w:val="auto"/>
              </w:rPr>
            </w:pPr>
            <w:r>
              <w:rPr>
                <w:rFonts w:ascii="Arial" w:cs="Arial" w:eastAsia="Arial" w:hAnsi="Arial"/>
                <w:sz w:val="14"/>
                <w:szCs w:val="14"/>
                <w:color w:val="auto"/>
              </w:rPr>
              <w:t>$   39,082</w:t>
            </w:r>
          </w:p>
        </w:tc>
        <w:tc>
          <w:tcPr>
            <w:tcW w:w="1360" w:type="dxa"/>
            <w:vAlign w:val="bottom"/>
            <w:gridSpan w:val="3"/>
          </w:tcPr>
          <w:p>
            <w:pPr>
              <w:jc w:val="right"/>
              <w:ind w:right="400"/>
              <w:spacing w:after="0"/>
              <w:rPr>
                <w:sz w:val="20"/>
                <w:szCs w:val="20"/>
                <w:color w:val="auto"/>
              </w:rPr>
            </w:pPr>
            <w:r>
              <w:rPr>
                <w:rFonts w:ascii="Arial" w:cs="Arial" w:eastAsia="Arial" w:hAnsi="Arial"/>
                <w:sz w:val="14"/>
                <w:szCs w:val="14"/>
                <w:color w:val="auto"/>
              </w:rPr>
              <w:t>$ 40,080</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30"/>
        </w:trPr>
        <w:tc>
          <w:tcPr>
            <w:tcW w:w="3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PayLease, LLC</w:t>
            </w:r>
            <w:r>
              <w:rPr>
                <w:rFonts w:ascii="Arial" w:cs="Arial" w:eastAsia="Arial" w:hAnsi="Arial"/>
                <w:sz w:val="12"/>
                <w:szCs w:val="12"/>
                <w:color w:val="auto"/>
              </w:rPr>
              <w:t>(3)</w:t>
            </w:r>
          </w:p>
        </w:tc>
        <w:tc>
          <w:tcPr>
            <w:tcW w:w="3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420"/>
              <w:spacing w:after="0" w:line="130" w:lineRule="exact"/>
              <w:rPr>
                <w:sz w:val="20"/>
                <w:szCs w:val="20"/>
                <w:color w:val="auto"/>
              </w:rPr>
            </w:pPr>
            <w:r>
              <w:rPr>
                <w:rFonts w:ascii="Arial" w:cs="Arial" w:eastAsia="Arial" w:hAnsi="Arial"/>
                <w:sz w:val="14"/>
                <w:szCs w:val="14"/>
                <w:color w:val="auto"/>
              </w:rPr>
              <w:t>10.00%</w:t>
            </w: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tcBorders>
              <w:lef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spacing w:after="0"/>
              <w:rPr>
                <w:sz w:val="12"/>
                <w:szCs w:val="12"/>
                <w:color w:val="auto"/>
              </w:rPr>
            </w:pPr>
          </w:p>
        </w:tc>
        <w:tc>
          <w:tcPr>
            <w:tcW w:w="228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First-lien loan ($33,000 par,</w:t>
            </w:r>
          </w:p>
        </w:tc>
        <w:tc>
          <w:tcPr>
            <w:tcW w:w="11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8"/>
              </w:rPr>
              <w:t>(incl. 2.50%</w:t>
            </w: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880" w:type="dxa"/>
            <w:vAlign w:val="bottom"/>
            <w:shd w:val="clear" w:color="auto" w:fill="CCEEFF"/>
          </w:tcPr>
          <w:p>
            <w:pPr>
              <w:spacing w:after="0"/>
              <w:rPr>
                <w:sz w:val="14"/>
                <w:szCs w:val="14"/>
                <w:color w:val="auto"/>
              </w:rPr>
            </w:pP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due 3/2020)</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PIK)</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3/6/2015</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32,247</w:t>
            </w:r>
          </w:p>
        </w:tc>
        <w:tc>
          <w:tcPr>
            <w:tcW w:w="1360" w:type="dxa"/>
            <w:vAlign w:val="bottom"/>
            <w:tcBorders>
              <w:lef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32,240</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30"/>
        </w:trPr>
        <w:tc>
          <w:tcPr>
            <w:tcW w:w="3880" w:type="dxa"/>
            <w:vAlign w:val="bottom"/>
          </w:tcPr>
          <w:p>
            <w:pPr>
              <w:spacing w:after="0" w:line="130" w:lineRule="exact"/>
              <w:rPr>
                <w:sz w:val="20"/>
                <w:szCs w:val="20"/>
                <w:color w:val="auto"/>
              </w:rPr>
            </w:pPr>
            <w:r>
              <w:rPr>
                <w:rFonts w:ascii="Arial" w:cs="Arial" w:eastAsia="Arial" w:hAnsi="Arial"/>
                <w:sz w:val="14"/>
                <w:szCs w:val="14"/>
                <w:color w:val="auto"/>
              </w:rPr>
              <w:t>Rogue Wave Holdings, Inc.</w:t>
            </w:r>
            <w:r>
              <w:rPr>
                <w:rFonts w:ascii="Arial" w:cs="Arial" w:eastAsia="Arial" w:hAnsi="Arial"/>
                <w:sz w:val="12"/>
                <w:szCs w:val="12"/>
                <w:color w:val="auto"/>
              </w:rPr>
              <w:t>(3)(4)(6)</w:t>
            </w:r>
          </w:p>
        </w:tc>
        <w:tc>
          <w:tcPr>
            <w:tcW w:w="2280" w:type="dxa"/>
            <w:vAlign w:val="bottom"/>
            <w:gridSpan w:val="3"/>
          </w:tcPr>
          <w:p>
            <w:pPr>
              <w:ind w:left="320"/>
              <w:spacing w:after="0" w:line="130" w:lineRule="exact"/>
              <w:rPr>
                <w:sz w:val="20"/>
                <w:szCs w:val="20"/>
                <w:color w:val="auto"/>
              </w:rPr>
            </w:pPr>
            <w:r>
              <w:rPr>
                <w:rFonts w:ascii="Arial" w:cs="Arial" w:eastAsia="Arial" w:hAnsi="Arial"/>
                <w:sz w:val="14"/>
                <w:szCs w:val="14"/>
                <w:color w:val="auto"/>
              </w:rPr>
              <w:t>First-lien loan ($65,628 par,</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2280" w:type="dxa"/>
            <w:vAlign w:val="bottom"/>
            <w:gridSpan w:val="3"/>
          </w:tcPr>
          <w:p>
            <w:pPr>
              <w:ind w:left="320"/>
              <w:spacing w:after="0"/>
              <w:rPr>
                <w:sz w:val="20"/>
                <w:szCs w:val="20"/>
                <w:color w:val="auto"/>
              </w:rPr>
            </w:pPr>
            <w:r>
              <w:rPr>
                <w:rFonts w:ascii="Arial" w:cs="Arial" w:eastAsia="Arial" w:hAnsi="Arial"/>
                <w:sz w:val="14"/>
                <w:szCs w:val="14"/>
                <w:color w:val="auto"/>
              </w:rPr>
              <w:t>due 12/2018)</w:t>
            </w:r>
          </w:p>
        </w:tc>
        <w:tc>
          <w:tcPr>
            <w:tcW w:w="1160" w:type="dxa"/>
            <w:vAlign w:val="bottom"/>
            <w:gridSpan w:val="2"/>
          </w:tcPr>
          <w:p>
            <w:pPr>
              <w:jc w:val="right"/>
              <w:ind w:right="420"/>
              <w:spacing w:after="0"/>
              <w:rPr>
                <w:sz w:val="20"/>
                <w:szCs w:val="20"/>
                <w:color w:val="auto"/>
              </w:rPr>
            </w:pPr>
            <w:r>
              <w:rPr>
                <w:rFonts w:ascii="Arial" w:cs="Arial" w:eastAsia="Arial" w:hAnsi="Arial"/>
                <w:sz w:val="14"/>
                <w:szCs w:val="14"/>
                <w:color w:val="auto"/>
              </w:rPr>
              <w:t>7.50%</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w w:val="99"/>
              </w:rPr>
              <w:t>11/21/2012</w:t>
            </w:r>
          </w:p>
        </w:tc>
        <w:tc>
          <w:tcPr>
            <w:tcW w:w="660" w:type="dxa"/>
            <w:vAlign w:val="bottom"/>
          </w:tcPr>
          <w:p>
            <w:pPr>
              <w:jc w:val="right"/>
              <w:spacing w:after="0"/>
              <w:rPr>
                <w:sz w:val="20"/>
                <w:szCs w:val="20"/>
                <w:color w:val="auto"/>
              </w:rPr>
            </w:pPr>
            <w:r>
              <w:rPr>
                <w:rFonts w:ascii="Arial" w:cs="Arial" w:eastAsia="Arial" w:hAnsi="Arial"/>
                <w:sz w:val="14"/>
                <w:szCs w:val="14"/>
                <w:color w:val="auto"/>
              </w:rPr>
              <w:t>64,573</w:t>
            </w:r>
          </w:p>
        </w:tc>
        <w:tc>
          <w:tcPr>
            <w:tcW w:w="4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64,972</w:t>
            </w:r>
          </w:p>
        </w:tc>
        <w:tc>
          <w:tcPr>
            <w:tcW w:w="40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135,902</w:t>
            </w:r>
          </w:p>
        </w:tc>
        <w:tc>
          <w:tcPr>
            <w:tcW w:w="400" w:type="dxa"/>
            <w:vAlign w:val="bottom"/>
            <w:tcBorders>
              <w:left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137,292</w:t>
            </w:r>
          </w:p>
        </w:tc>
        <w:tc>
          <w:tcPr>
            <w:tcW w:w="4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56"/>
        </w:trPr>
        <w:tc>
          <w:tcPr>
            <w:tcW w:w="388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Healthcare and pharmaceuticals</w:t>
            </w:r>
          </w:p>
        </w:tc>
        <w:tc>
          <w:tcPr>
            <w:tcW w:w="3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Aesynt Incorporated</w:t>
            </w:r>
            <w:r>
              <w:rPr>
                <w:rFonts w:ascii="Arial" w:cs="Arial" w:eastAsia="Arial" w:hAnsi="Arial"/>
                <w:sz w:val="12"/>
                <w:szCs w:val="12"/>
                <w:color w:val="auto"/>
              </w:rPr>
              <w:t>(3)(4)(6)</w:t>
            </w:r>
          </w:p>
        </w:tc>
        <w:tc>
          <w:tcPr>
            <w:tcW w:w="2280" w:type="dxa"/>
            <w:vAlign w:val="bottom"/>
            <w:gridSpan w:val="3"/>
            <w:shd w:val="clear" w:color="auto" w:fill="CCEEFF"/>
          </w:tcPr>
          <w:p>
            <w:pPr>
              <w:ind w:left="320"/>
              <w:spacing w:after="0" w:line="130" w:lineRule="exact"/>
              <w:rPr>
                <w:sz w:val="20"/>
                <w:szCs w:val="20"/>
                <w:color w:val="auto"/>
              </w:rPr>
            </w:pPr>
            <w:r>
              <w:rPr>
                <w:rFonts w:ascii="Arial" w:cs="Arial" w:eastAsia="Arial" w:hAnsi="Arial"/>
                <w:sz w:val="14"/>
                <w:szCs w:val="14"/>
                <w:color w:val="auto"/>
              </w:rPr>
              <w:t>First-lien loan ($34,344 par,</w:t>
            </w:r>
          </w:p>
        </w:tc>
        <w:tc>
          <w:tcPr>
            <w:tcW w:w="7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tcBorders>
              <w:lef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shd w:val="clear" w:color="auto" w:fill="CCEEFF"/>
          </w:tcPr>
          <w:p>
            <w:pPr>
              <w:spacing w:after="0"/>
              <w:rPr>
                <w:sz w:val="14"/>
                <w:szCs w:val="14"/>
                <w:color w:val="auto"/>
              </w:rPr>
            </w:pP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due 5/2019)</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7.00%</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5/8/2014</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33,542</w:t>
            </w:r>
          </w:p>
        </w:tc>
        <w:tc>
          <w:tcPr>
            <w:tcW w:w="1360" w:type="dxa"/>
            <w:vAlign w:val="bottom"/>
            <w:tcBorders>
              <w:lef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33,485</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30"/>
        </w:trPr>
        <w:tc>
          <w:tcPr>
            <w:tcW w:w="3880" w:type="dxa"/>
            <w:vAlign w:val="bottom"/>
          </w:tcPr>
          <w:p>
            <w:pPr>
              <w:spacing w:after="0" w:line="130" w:lineRule="exact"/>
              <w:rPr>
                <w:sz w:val="20"/>
                <w:szCs w:val="20"/>
                <w:color w:val="auto"/>
              </w:rPr>
            </w:pPr>
            <w:r>
              <w:rPr>
                <w:rFonts w:ascii="Arial" w:cs="Arial" w:eastAsia="Arial" w:hAnsi="Arial"/>
                <w:sz w:val="14"/>
                <w:szCs w:val="14"/>
                <w:color w:val="auto"/>
              </w:rPr>
              <w:t>Global Healthcare Exchange, Inc.</w:t>
            </w:r>
            <w:r>
              <w:rPr>
                <w:rFonts w:ascii="Arial" w:cs="Arial" w:eastAsia="Arial" w:hAnsi="Arial"/>
                <w:sz w:val="12"/>
                <w:szCs w:val="12"/>
                <w:color w:val="auto"/>
              </w:rPr>
              <w:t>(3)(4)</w:t>
            </w:r>
          </w:p>
        </w:tc>
        <w:tc>
          <w:tcPr>
            <w:tcW w:w="2280" w:type="dxa"/>
            <w:vAlign w:val="bottom"/>
            <w:gridSpan w:val="3"/>
          </w:tcPr>
          <w:p>
            <w:pPr>
              <w:ind w:left="320"/>
              <w:spacing w:after="0" w:line="130" w:lineRule="exact"/>
              <w:rPr>
                <w:sz w:val="20"/>
                <w:szCs w:val="20"/>
                <w:color w:val="auto"/>
              </w:rPr>
            </w:pPr>
            <w:r>
              <w:rPr>
                <w:rFonts w:ascii="Arial" w:cs="Arial" w:eastAsia="Arial" w:hAnsi="Arial"/>
                <w:sz w:val="14"/>
                <w:szCs w:val="14"/>
                <w:color w:val="auto"/>
              </w:rPr>
              <w:t>First-lien loan ($46,134 par,</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2280" w:type="dxa"/>
            <w:vAlign w:val="bottom"/>
            <w:gridSpan w:val="3"/>
          </w:tcPr>
          <w:p>
            <w:pPr>
              <w:ind w:left="320"/>
              <w:spacing w:after="0"/>
              <w:rPr>
                <w:sz w:val="20"/>
                <w:szCs w:val="20"/>
                <w:color w:val="auto"/>
              </w:rPr>
            </w:pPr>
            <w:r>
              <w:rPr>
                <w:rFonts w:ascii="Arial" w:cs="Arial" w:eastAsia="Arial" w:hAnsi="Arial"/>
                <w:sz w:val="14"/>
                <w:szCs w:val="14"/>
                <w:color w:val="auto"/>
              </w:rPr>
              <w:t>due 3/2020)</w:t>
            </w:r>
          </w:p>
        </w:tc>
        <w:tc>
          <w:tcPr>
            <w:tcW w:w="1160" w:type="dxa"/>
            <w:vAlign w:val="bottom"/>
            <w:gridSpan w:val="2"/>
          </w:tcPr>
          <w:p>
            <w:pPr>
              <w:jc w:val="right"/>
              <w:ind w:right="420"/>
              <w:spacing w:after="0"/>
              <w:rPr>
                <w:sz w:val="20"/>
                <w:szCs w:val="20"/>
                <w:color w:val="auto"/>
              </w:rPr>
            </w:pPr>
            <w:r>
              <w:rPr>
                <w:rFonts w:ascii="Arial" w:cs="Arial" w:eastAsia="Arial" w:hAnsi="Arial"/>
                <w:sz w:val="14"/>
                <w:szCs w:val="14"/>
                <w:color w:val="auto"/>
              </w:rPr>
              <w:t>8.50%</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3/11/2014</w:t>
            </w:r>
          </w:p>
        </w:tc>
        <w:tc>
          <w:tcPr>
            <w:tcW w:w="660" w:type="dxa"/>
            <w:vAlign w:val="bottom"/>
          </w:tcPr>
          <w:p>
            <w:pPr>
              <w:jc w:val="right"/>
              <w:spacing w:after="0"/>
              <w:rPr>
                <w:sz w:val="20"/>
                <w:szCs w:val="20"/>
                <w:color w:val="auto"/>
              </w:rPr>
            </w:pPr>
            <w:r>
              <w:rPr>
                <w:rFonts w:ascii="Arial" w:cs="Arial" w:eastAsia="Arial" w:hAnsi="Arial"/>
                <w:sz w:val="14"/>
                <w:szCs w:val="14"/>
                <w:color w:val="auto"/>
              </w:rPr>
              <w:t>45,076</w:t>
            </w:r>
          </w:p>
        </w:tc>
        <w:tc>
          <w:tcPr>
            <w:tcW w:w="1360" w:type="dxa"/>
            <w:vAlign w:val="bottom"/>
            <w:gridSpan w:val="3"/>
          </w:tcPr>
          <w:p>
            <w:pPr>
              <w:jc w:val="right"/>
              <w:ind w:right="400"/>
              <w:spacing w:after="0"/>
              <w:rPr>
                <w:sz w:val="20"/>
                <w:szCs w:val="20"/>
                <w:color w:val="auto"/>
              </w:rPr>
            </w:pPr>
            <w:r>
              <w:rPr>
                <w:rFonts w:ascii="Arial" w:cs="Arial" w:eastAsia="Arial" w:hAnsi="Arial"/>
                <w:sz w:val="14"/>
                <w:szCs w:val="14"/>
                <w:color w:val="auto"/>
              </w:rPr>
              <w:t>45,272</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30"/>
        </w:trPr>
        <w:tc>
          <w:tcPr>
            <w:tcW w:w="3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Helix Health, Ltd.</w:t>
            </w:r>
            <w:r>
              <w:rPr>
                <w:rFonts w:ascii="Arial" w:cs="Arial" w:eastAsia="Arial" w:hAnsi="Arial"/>
                <w:sz w:val="12"/>
                <w:szCs w:val="12"/>
                <w:color w:val="auto"/>
              </w:rPr>
              <w:t>(3)(5)</w:t>
            </w:r>
          </w:p>
        </w:tc>
        <w:tc>
          <w:tcPr>
            <w:tcW w:w="3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420"/>
              <w:spacing w:after="0" w:line="130" w:lineRule="exact"/>
              <w:rPr>
                <w:sz w:val="20"/>
                <w:szCs w:val="20"/>
                <w:color w:val="auto"/>
              </w:rPr>
            </w:pPr>
            <w:r>
              <w:rPr>
                <w:rFonts w:ascii="Arial" w:cs="Arial" w:eastAsia="Arial" w:hAnsi="Arial"/>
                <w:sz w:val="14"/>
                <w:szCs w:val="14"/>
                <w:color w:val="auto"/>
              </w:rPr>
              <w:t>11.50%</w:t>
            </w: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tcBorders>
              <w:lef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spacing w:after="0"/>
              <w:rPr>
                <w:sz w:val="12"/>
                <w:szCs w:val="12"/>
                <w:color w:val="auto"/>
              </w:rPr>
            </w:pPr>
          </w:p>
        </w:tc>
        <w:tc>
          <w:tcPr>
            <w:tcW w:w="228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First-lien loan (EUR 28,224</w:t>
            </w:r>
          </w:p>
        </w:tc>
        <w:tc>
          <w:tcPr>
            <w:tcW w:w="11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8"/>
              </w:rPr>
              <w:t>(incl. 3.00%</w:t>
            </w: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880" w:type="dxa"/>
            <w:vAlign w:val="bottom"/>
            <w:shd w:val="clear" w:color="auto" w:fill="CCEEFF"/>
          </w:tcPr>
          <w:p>
            <w:pPr>
              <w:spacing w:after="0"/>
              <w:rPr>
                <w:sz w:val="14"/>
                <w:szCs w:val="14"/>
                <w:color w:val="auto"/>
              </w:rPr>
            </w:pP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par, due 9/2019)</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PIK)</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9/30/2014</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34,051</w:t>
            </w:r>
          </w:p>
        </w:tc>
        <w:tc>
          <w:tcPr>
            <w:tcW w:w="1360" w:type="dxa"/>
            <w:vAlign w:val="bottom"/>
            <w:tcBorders>
              <w:lef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29,252</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30"/>
        </w:trPr>
        <w:tc>
          <w:tcPr>
            <w:tcW w:w="3880" w:type="dxa"/>
            <w:vAlign w:val="bottom"/>
          </w:tcPr>
          <w:p>
            <w:pPr>
              <w:spacing w:after="0"/>
              <w:rPr>
                <w:sz w:val="11"/>
                <w:szCs w:val="11"/>
                <w:color w:val="auto"/>
              </w:rPr>
            </w:pPr>
          </w:p>
        </w:tc>
        <w:tc>
          <w:tcPr>
            <w:tcW w:w="2280" w:type="dxa"/>
            <w:vAlign w:val="bottom"/>
            <w:gridSpan w:val="3"/>
          </w:tcPr>
          <w:p>
            <w:pPr>
              <w:ind w:left="320"/>
              <w:spacing w:after="0" w:line="130" w:lineRule="exact"/>
              <w:rPr>
                <w:sz w:val="20"/>
                <w:szCs w:val="20"/>
                <w:color w:val="auto"/>
              </w:rPr>
            </w:pPr>
            <w:r>
              <w:rPr>
                <w:rFonts w:ascii="Arial" w:cs="Arial" w:eastAsia="Arial" w:hAnsi="Arial"/>
                <w:sz w:val="14"/>
                <w:szCs w:val="14"/>
                <w:color w:val="auto"/>
              </w:rPr>
              <w:t>First-lien revolving loan</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2280" w:type="dxa"/>
            <w:vAlign w:val="bottom"/>
            <w:gridSpan w:val="3"/>
          </w:tcPr>
          <w:p>
            <w:pPr>
              <w:ind w:left="320"/>
              <w:spacing w:after="0"/>
              <w:rPr>
                <w:sz w:val="20"/>
                <w:szCs w:val="20"/>
                <w:color w:val="auto"/>
              </w:rPr>
            </w:pPr>
            <w:r>
              <w:rPr>
                <w:rFonts w:ascii="Arial" w:cs="Arial" w:eastAsia="Arial" w:hAnsi="Arial"/>
                <w:sz w:val="14"/>
                <w:szCs w:val="14"/>
                <w:color w:val="auto"/>
              </w:rPr>
              <w:t>(EUR 300 par, due 9/2019)</w:t>
            </w:r>
          </w:p>
        </w:tc>
        <w:tc>
          <w:tcPr>
            <w:tcW w:w="1160" w:type="dxa"/>
            <w:vAlign w:val="bottom"/>
            <w:gridSpan w:val="2"/>
          </w:tcPr>
          <w:p>
            <w:pPr>
              <w:jc w:val="right"/>
              <w:ind w:right="420"/>
              <w:spacing w:after="0"/>
              <w:rPr>
                <w:sz w:val="20"/>
                <w:szCs w:val="20"/>
                <w:color w:val="auto"/>
              </w:rPr>
            </w:pPr>
            <w:r>
              <w:rPr>
                <w:rFonts w:ascii="Arial" w:cs="Arial" w:eastAsia="Arial" w:hAnsi="Arial"/>
                <w:sz w:val="14"/>
                <w:szCs w:val="14"/>
                <w:color w:val="auto"/>
              </w:rPr>
              <w:t>11.50%</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9/30/2014</w:t>
            </w:r>
          </w:p>
        </w:tc>
        <w:tc>
          <w:tcPr>
            <w:tcW w:w="660" w:type="dxa"/>
            <w:vAlign w:val="bottom"/>
          </w:tcPr>
          <w:p>
            <w:pPr>
              <w:jc w:val="right"/>
              <w:spacing w:after="0"/>
              <w:rPr>
                <w:sz w:val="20"/>
                <w:szCs w:val="20"/>
                <w:color w:val="auto"/>
              </w:rPr>
            </w:pPr>
            <w:r>
              <w:rPr>
                <w:rFonts w:ascii="Arial" w:cs="Arial" w:eastAsia="Arial" w:hAnsi="Arial"/>
                <w:sz w:val="14"/>
                <w:szCs w:val="14"/>
                <w:color w:val="auto"/>
              </w:rPr>
              <w:t>242</w:t>
            </w:r>
          </w:p>
        </w:tc>
        <w:tc>
          <w:tcPr>
            <w:tcW w:w="1360" w:type="dxa"/>
            <w:vAlign w:val="bottom"/>
            <w:gridSpan w:val="3"/>
          </w:tcPr>
          <w:p>
            <w:pPr>
              <w:jc w:val="right"/>
              <w:ind w:right="400"/>
              <w:spacing w:after="0"/>
              <w:rPr>
                <w:sz w:val="20"/>
                <w:szCs w:val="20"/>
                <w:color w:val="auto"/>
              </w:rPr>
            </w:pPr>
            <w:r>
              <w:rPr>
                <w:rFonts w:ascii="Arial" w:cs="Arial" w:eastAsia="Arial" w:hAnsi="Arial"/>
                <w:sz w:val="14"/>
                <w:szCs w:val="14"/>
                <w:color w:val="auto"/>
              </w:rPr>
              <w:t>228</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3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Mediware Information Systems, Inc.</w:t>
            </w:r>
            <w:r>
              <w:rPr>
                <w:rFonts w:ascii="Arial" w:cs="Arial" w:eastAsia="Arial" w:hAnsi="Arial"/>
                <w:sz w:val="12"/>
                <w:szCs w:val="12"/>
                <w:color w:val="auto"/>
              </w:rPr>
              <w:t>(3)(4)(6)</w:t>
            </w:r>
          </w:p>
        </w:tc>
        <w:tc>
          <w:tcPr>
            <w:tcW w:w="2280" w:type="dxa"/>
            <w:vAlign w:val="bottom"/>
            <w:gridSpan w:val="3"/>
            <w:shd w:val="clear" w:color="auto" w:fill="CCEEFF"/>
          </w:tcPr>
          <w:p>
            <w:pPr>
              <w:ind w:left="320"/>
              <w:spacing w:after="0" w:line="130" w:lineRule="exact"/>
              <w:rPr>
                <w:sz w:val="20"/>
                <w:szCs w:val="20"/>
                <w:color w:val="auto"/>
              </w:rPr>
            </w:pPr>
            <w:r>
              <w:rPr>
                <w:rFonts w:ascii="Arial" w:cs="Arial" w:eastAsia="Arial" w:hAnsi="Arial"/>
                <w:sz w:val="14"/>
                <w:szCs w:val="14"/>
                <w:color w:val="auto"/>
              </w:rPr>
              <w:t>First-lien loan ($68,948 par,</w:t>
            </w:r>
          </w:p>
        </w:tc>
        <w:tc>
          <w:tcPr>
            <w:tcW w:w="7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tcBorders>
              <w:lef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880" w:type="dxa"/>
            <w:vAlign w:val="bottom"/>
            <w:shd w:val="clear" w:color="auto" w:fill="CCEEFF"/>
          </w:tcPr>
          <w:p>
            <w:pPr>
              <w:spacing w:after="0"/>
              <w:rPr>
                <w:sz w:val="15"/>
                <w:szCs w:val="15"/>
                <w:color w:val="auto"/>
              </w:rPr>
            </w:pP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due 5/2018)</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7.00%</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11/9/2012</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67,846</w:t>
            </w:r>
          </w:p>
        </w:tc>
        <w:tc>
          <w:tcPr>
            <w:tcW w:w="1360" w:type="dxa"/>
            <w:vAlign w:val="bottom"/>
            <w:tcBorders>
              <w:lef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69,637</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30"/>
        </w:trPr>
        <w:tc>
          <w:tcPr>
            <w:tcW w:w="3880" w:type="dxa"/>
            <w:vAlign w:val="bottom"/>
          </w:tcPr>
          <w:p>
            <w:pPr>
              <w:spacing w:after="0" w:line="130" w:lineRule="exact"/>
              <w:rPr>
                <w:sz w:val="20"/>
                <w:szCs w:val="20"/>
                <w:color w:val="auto"/>
              </w:rPr>
            </w:pPr>
            <w:r>
              <w:rPr>
                <w:rFonts w:ascii="Arial" w:cs="Arial" w:eastAsia="Arial" w:hAnsi="Arial"/>
                <w:sz w:val="14"/>
                <w:szCs w:val="14"/>
                <w:color w:val="auto"/>
              </w:rPr>
              <w:t>SRS Software, LLC</w:t>
            </w:r>
            <w:r>
              <w:rPr>
                <w:rFonts w:ascii="Arial" w:cs="Arial" w:eastAsia="Arial" w:hAnsi="Arial"/>
                <w:sz w:val="12"/>
                <w:szCs w:val="12"/>
                <w:color w:val="auto"/>
              </w:rPr>
              <w:t>(3)(4)</w:t>
            </w:r>
          </w:p>
        </w:tc>
        <w:tc>
          <w:tcPr>
            <w:tcW w:w="2280" w:type="dxa"/>
            <w:vAlign w:val="bottom"/>
            <w:gridSpan w:val="3"/>
          </w:tcPr>
          <w:p>
            <w:pPr>
              <w:ind w:left="320"/>
              <w:spacing w:after="0" w:line="130" w:lineRule="exact"/>
              <w:rPr>
                <w:sz w:val="20"/>
                <w:szCs w:val="20"/>
                <w:color w:val="auto"/>
              </w:rPr>
            </w:pPr>
            <w:r>
              <w:rPr>
                <w:rFonts w:ascii="Arial" w:cs="Arial" w:eastAsia="Arial" w:hAnsi="Arial"/>
                <w:sz w:val="14"/>
                <w:szCs w:val="14"/>
                <w:color w:val="auto"/>
              </w:rPr>
              <w:t>First-lien loan ($33,281 par,</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2280" w:type="dxa"/>
            <w:vAlign w:val="bottom"/>
            <w:gridSpan w:val="3"/>
          </w:tcPr>
          <w:p>
            <w:pPr>
              <w:ind w:left="320"/>
              <w:spacing w:after="0"/>
              <w:rPr>
                <w:sz w:val="20"/>
                <w:szCs w:val="20"/>
                <w:color w:val="auto"/>
              </w:rPr>
            </w:pPr>
            <w:r>
              <w:rPr>
                <w:rFonts w:ascii="Arial" w:cs="Arial" w:eastAsia="Arial" w:hAnsi="Arial"/>
                <w:sz w:val="14"/>
                <w:szCs w:val="14"/>
                <w:color w:val="auto"/>
              </w:rPr>
              <w:t>due 12/2017)</w:t>
            </w:r>
          </w:p>
        </w:tc>
        <w:tc>
          <w:tcPr>
            <w:tcW w:w="1160" w:type="dxa"/>
            <w:vAlign w:val="bottom"/>
            <w:gridSpan w:val="2"/>
          </w:tcPr>
          <w:p>
            <w:pPr>
              <w:jc w:val="right"/>
              <w:ind w:right="420"/>
              <w:spacing w:after="0"/>
              <w:rPr>
                <w:sz w:val="20"/>
                <w:szCs w:val="20"/>
                <w:color w:val="auto"/>
              </w:rPr>
            </w:pPr>
            <w:r>
              <w:rPr>
                <w:rFonts w:ascii="Arial" w:cs="Arial" w:eastAsia="Arial" w:hAnsi="Arial"/>
                <w:sz w:val="14"/>
                <w:szCs w:val="14"/>
                <w:color w:val="auto"/>
              </w:rPr>
              <w:t>8.75%</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w w:val="99"/>
              </w:rPr>
              <w:t>12/28/2012</w:t>
            </w:r>
          </w:p>
        </w:tc>
        <w:tc>
          <w:tcPr>
            <w:tcW w:w="660" w:type="dxa"/>
            <w:vAlign w:val="bottom"/>
          </w:tcPr>
          <w:p>
            <w:pPr>
              <w:jc w:val="right"/>
              <w:spacing w:after="0"/>
              <w:rPr>
                <w:sz w:val="20"/>
                <w:szCs w:val="20"/>
                <w:color w:val="auto"/>
              </w:rPr>
            </w:pPr>
            <w:r>
              <w:rPr>
                <w:rFonts w:ascii="Arial" w:cs="Arial" w:eastAsia="Arial" w:hAnsi="Arial"/>
                <w:sz w:val="14"/>
                <w:szCs w:val="14"/>
                <w:color w:val="auto"/>
              </w:rPr>
              <w:t>32,771</w:t>
            </w:r>
          </w:p>
        </w:tc>
        <w:tc>
          <w:tcPr>
            <w:tcW w:w="1360" w:type="dxa"/>
            <w:vAlign w:val="bottom"/>
            <w:gridSpan w:val="3"/>
          </w:tcPr>
          <w:p>
            <w:pPr>
              <w:jc w:val="right"/>
              <w:ind w:right="400"/>
              <w:spacing w:after="0"/>
              <w:rPr>
                <w:sz w:val="20"/>
                <w:szCs w:val="20"/>
                <w:color w:val="auto"/>
              </w:rPr>
            </w:pPr>
            <w:r>
              <w:rPr>
                <w:rFonts w:ascii="Arial" w:cs="Arial" w:eastAsia="Arial" w:hAnsi="Arial"/>
                <w:sz w:val="14"/>
                <w:szCs w:val="14"/>
                <w:color w:val="auto"/>
              </w:rPr>
              <w:t>33,448</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30"/>
        </w:trPr>
        <w:tc>
          <w:tcPr>
            <w:tcW w:w="3880" w:type="dxa"/>
            <w:vAlign w:val="bottom"/>
            <w:shd w:val="clear" w:color="auto" w:fill="CCEEFF"/>
          </w:tcPr>
          <w:p>
            <w:pPr>
              <w:spacing w:after="0"/>
              <w:rPr>
                <w:sz w:val="11"/>
                <w:szCs w:val="11"/>
                <w:color w:val="auto"/>
              </w:rPr>
            </w:pPr>
          </w:p>
        </w:tc>
        <w:tc>
          <w:tcPr>
            <w:tcW w:w="2280" w:type="dxa"/>
            <w:vAlign w:val="bottom"/>
            <w:gridSpan w:val="3"/>
            <w:shd w:val="clear" w:color="auto" w:fill="CCEEFF"/>
          </w:tcPr>
          <w:p>
            <w:pPr>
              <w:ind w:left="320"/>
              <w:spacing w:after="0" w:line="130" w:lineRule="exact"/>
              <w:rPr>
                <w:sz w:val="20"/>
                <w:szCs w:val="20"/>
                <w:color w:val="auto"/>
              </w:rPr>
            </w:pPr>
            <w:r>
              <w:rPr>
                <w:rFonts w:ascii="Arial" w:cs="Arial" w:eastAsia="Arial" w:hAnsi="Arial"/>
                <w:sz w:val="14"/>
                <w:szCs w:val="14"/>
                <w:color w:val="auto"/>
              </w:rPr>
              <w:t>First-lien revolving loan</w:t>
            </w:r>
          </w:p>
        </w:tc>
        <w:tc>
          <w:tcPr>
            <w:tcW w:w="7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tcBorders>
              <w:lef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shd w:val="clear" w:color="auto" w:fill="CCEEFF"/>
          </w:tcPr>
          <w:p>
            <w:pPr>
              <w:spacing w:after="0"/>
              <w:rPr>
                <w:sz w:val="14"/>
                <w:szCs w:val="14"/>
                <w:color w:val="auto"/>
              </w:rPr>
            </w:pP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($2,000 par, due 12/2017)</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8.75%</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w w:val="99"/>
              </w:rPr>
              <w:t>12/28/2012</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1,938</w:t>
            </w:r>
          </w:p>
        </w:tc>
        <w:tc>
          <w:tcPr>
            <w:tcW w:w="400" w:type="dxa"/>
            <w:vAlign w:val="bottom"/>
            <w:tcBorders>
              <w:left w:val="single" w:sz="8" w:color="CCEEFF"/>
            </w:tcBorders>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2,010</w:t>
            </w:r>
          </w:p>
        </w:tc>
        <w:tc>
          <w:tcPr>
            <w:tcW w:w="4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215,466</w:t>
            </w:r>
          </w:p>
        </w:tc>
        <w:tc>
          <w:tcPr>
            <w:tcW w:w="400" w:type="dxa"/>
            <w:vAlign w:val="bottom"/>
            <w:vMerge w:val="continue"/>
          </w:tcPr>
          <w:p>
            <w:pPr>
              <w:spacing w:after="0"/>
              <w:rPr>
                <w:sz w:val="14"/>
                <w:szCs w:val="14"/>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213,332</w:t>
            </w:r>
          </w:p>
        </w:tc>
        <w:tc>
          <w:tcPr>
            <w:tcW w:w="400" w:type="dxa"/>
            <w:vAlign w:val="bottom"/>
            <w:vMerge w:val="continue"/>
          </w:tcPr>
          <w:p>
            <w:pPr>
              <w:spacing w:after="0"/>
              <w:rPr>
                <w:sz w:val="14"/>
                <w:szCs w:val="14"/>
                <w:color w:val="auto"/>
              </w:rPr>
            </w:pPr>
          </w:p>
        </w:tc>
        <w:tc>
          <w:tcPr>
            <w:tcW w:w="9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Hotel, gaming, and leisure</w:t>
            </w:r>
          </w:p>
        </w:tc>
        <w:tc>
          <w:tcPr>
            <w:tcW w:w="3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880" w:type="dxa"/>
            <w:vAlign w:val="bottom"/>
          </w:tcPr>
          <w:p>
            <w:pPr>
              <w:spacing w:after="0" w:line="130" w:lineRule="exact"/>
              <w:rPr>
                <w:sz w:val="20"/>
                <w:szCs w:val="20"/>
                <w:color w:val="auto"/>
              </w:rPr>
            </w:pPr>
            <w:r>
              <w:rPr>
                <w:rFonts w:ascii="Arial" w:cs="Arial" w:eastAsia="Arial" w:hAnsi="Arial"/>
                <w:sz w:val="14"/>
                <w:szCs w:val="14"/>
                <w:color w:val="auto"/>
              </w:rPr>
              <w:t>Centaur, LLC</w:t>
            </w:r>
            <w:r>
              <w:rPr>
                <w:rFonts w:ascii="Arial" w:cs="Arial" w:eastAsia="Arial" w:hAnsi="Arial"/>
                <w:sz w:val="12"/>
                <w:szCs w:val="12"/>
                <w:color w:val="auto"/>
              </w:rPr>
              <w:t>(3)(4)</w:t>
            </w:r>
          </w:p>
        </w:tc>
        <w:tc>
          <w:tcPr>
            <w:tcW w:w="2280" w:type="dxa"/>
            <w:vAlign w:val="bottom"/>
            <w:gridSpan w:val="3"/>
          </w:tcPr>
          <w:p>
            <w:pPr>
              <w:ind w:left="320"/>
              <w:spacing w:after="0" w:line="130" w:lineRule="exact"/>
              <w:rPr>
                <w:sz w:val="20"/>
                <w:szCs w:val="20"/>
                <w:color w:val="auto"/>
              </w:rPr>
            </w:pPr>
            <w:r>
              <w:rPr>
                <w:rFonts w:ascii="Arial" w:cs="Arial" w:eastAsia="Arial" w:hAnsi="Arial"/>
                <w:sz w:val="14"/>
                <w:szCs w:val="14"/>
                <w:color w:val="auto"/>
              </w:rPr>
              <w:t>Second-lien loan ($10,000</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2280" w:type="dxa"/>
            <w:vAlign w:val="bottom"/>
            <w:gridSpan w:val="3"/>
          </w:tcPr>
          <w:p>
            <w:pPr>
              <w:ind w:left="320"/>
              <w:spacing w:after="0"/>
              <w:rPr>
                <w:sz w:val="20"/>
                <w:szCs w:val="20"/>
                <w:color w:val="auto"/>
              </w:rPr>
            </w:pPr>
            <w:r>
              <w:rPr>
                <w:rFonts w:ascii="Arial" w:cs="Arial" w:eastAsia="Arial" w:hAnsi="Arial"/>
                <w:sz w:val="14"/>
                <w:szCs w:val="14"/>
                <w:color w:val="auto"/>
              </w:rPr>
              <w:t>par, due 2/2020)</w:t>
            </w:r>
          </w:p>
        </w:tc>
        <w:tc>
          <w:tcPr>
            <w:tcW w:w="1160" w:type="dxa"/>
            <w:vAlign w:val="bottom"/>
            <w:gridSpan w:val="2"/>
          </w:tcPr>
          <w:p>
            <w:pPr>
              <w:jc w:val="right"/>
              <w:ind w:right="420"/>
              <w:spacing w:after="0"/>
              <w:rPr>
                <w:sz w:val="20"/>
                <w:szCs w:val="20"/>
                <w:color w:val="auto"/>
              </w:rPr>
            </w:pPr>
            <w:r>
              <w:rPr>
                <w:rFonts w:ascii="Arial" w:cs="Arial" w:eastAsia="Arial" w:hAnsi="Arial"/>
                <w:sz w:val="14"/>
                <w:szCs w:val="14"/>
                <w:color w:val="auto"/>
              </w:rPr>
              <w:t>8.75%</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2/15/2013</w:t>
            </w:r>
          </w:p>
        </w:tc>
        <w:tc>
          <w:tcPr>
            <w:tcW w:w="660" w:type="dxa"/>
            <w:vAlign w:val="bottom"/>
          </w:tcPr>
          <w:p>
            <w:pPr>
              <w:jc w:val="right"/>
              <w:spacing w:after="0"/>
              <w:rPr>
                <w:sz w:val="20"/>
                <w:szCs w:val="20"/>
                <w:color w:val="auto"/>
              </w:rPr>
            </w:pPr>
            <w:r>
              <w:rPr>
                <w:rFonts w:ascii="Arial" w:cs="Arial" w:eastAsia="Arial" w:hAnsi="Arial"/>
                <w:sz w:val="14"/>
                <w:szCs w:val="14"/>
                <w:color w:val="auto"/>
              </w:rPr>
              <w:t>9,934</w:t>
            </w:r>
          </w:p>
        </w:tc>
        <w:tc>
          <w:tcPr>
            <w:tcW w:w="1360" w:type="dxa"/>
            <w:vAlign w:val="bottom"/>
            <w:gridSpan w:val="3"/>
          </w:tcPr>
          <w:p>
            <w:pPr>
              <w:jc w:val="right"/>
              <w:ind w:right="400"/>
              <w:spacing w:after="0"/>
              <w:rPr>
                <w:sz w:val="20"/>
                <w:szCs w:val="20"/>
                <w:color w:val="auto"/>
              </w:rPr>
            </w:pPr>
            <w:r>
              <w:rPr>
                <w:rFonts w:ascii="Arial" w:cs="Arial" w:eastAsia="Arial" w:hAnsi="Arial"/>
                <w:sz w:val="14"/>
                <w:szCs w:val="14"/>
                <w:color w:val="auto"/>
              </w:rPr>
              <w:t>10,075</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30"/>
        </w:trPr>
        <w:tc>
          <w:tcPr>
            <w:tcW w:w="3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IRG Sports &amp; Entertainment, LLC</w:t>
            </w:r>
            <w:r>
              <w:rPr>
                <w:rFonts w:ascii="Arial" w:cs="Arial" w:eastAsia="Arial" w:hAnsi="Arial"/>
                <w:sz w:val="12"/>
                <w:szCs w:val="12"/>
                <w:color w:val="auto"/>
              </w:rPr>
              <w:t>(3)(4)</w:t>
            </w:r>
          </w:p>
        </w:tc>
        <w:tc>
          <w:tcPr>
            <w:tcW w:w="3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420"/>
              <w:spacing w:after="0" w:line="130" w:lineRule="exact"/>
              <w:rPr>
                <w:sz w:val="20"/>
                <w:szCs w:val="20"/>
                <w:color w:val="auto"/>
              </w:rPr>
            </w:pPr>
            <w:r>
              <w:rPr>
                <w:rFonts w:ascii="Arial" w:cs="Arial" w:eastAsia="Arial" w:hAnsi="Arial"/>
                <w:sz w:val="14"/>
                <w:szCs w:val="14"/>
                <w:color w:val="auto"/>
              </w:rPr>
              <w:t>12.00%</w:t>
            </w: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tcBorders>
              <w:lef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spacing w:after="0"/>
              <w:rPr>
                <w:sz w:val="12"/>
                <w:szCs w:val="12"/>
                <w:color w:val="auto"/>
              </w:rPr>
            </w:pPr>
          </w:p>
        </w:tc>
        <w:tc>
          <w:tcPr>
            <w:tcW w:w="228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First-lien loan ($44,201 par,</w:t>
            </w:r>
          </w:p>
        </w:tc>
        <w:tc>
          <w:tcPr>
            <w:tcW w:w="11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8"/>
              </w:rPr>
              <w:t>(incl. 5.00%</w:t>
            </w: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880" w:type="dxa"/>
            <w:vAlign w:val="bottom"/>
            <w:shd w:val="clear" w:color="auto" w:fill="CCEEFF"/>
          </w:tcPr>
          <w:p>
            <w:pPr>
              <w:spacing w:after="0"/>
              <w:rPr>
                <w:sz w:val="14"/>
                <w:szCs w:val="14"/>
                <w:color w:val="auto"/>
              </w:rPr>
            </w:pP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due 9/2019)</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PIK)</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9/30/2014</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41,720</w:t>
            </w:r>
          </w:p>
        </w:tc>
        <w:tc>
          <w:tcPr>
            <w:tcW w:w="1360" w:type="dxa"/>
            <w:vAlign w:val="bottom"/>
            <w:tcBorders>
              <w:lef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40,444</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30"/>
        </w:trPr>
        <w:tc>
          <w:tcPr>
            <w:tcW w:w="3880" w:type="dxa"/>
            <w:vAlign w:val="bottom"/>
          </w:tcPr>
          <w:p>
            <w:pPr>
              <w:spacing w:after="0" w:line="130" w:lineRule="exact"/>
              <w:rPr>
                <w:sz w:val="20"/>
                <w:szCs w:val="20"/>
                <w:color w:val="auto"/>
              </w:rPr>
            </w:pPr>
            <w:r>
              <w:rPr>
                <w:rFonts w:ascii="Arial" w:cs="Arial" w:eastAsia="Arial" w:hAnsi="Arial"/>
                <w:sz w:val="14"/>
                <w:szCs w:val="14"/>
                <w:color w:val="auto"/>
              </w:rPr>
              <w:t>Soho House</w:t>
            </w:r>
            <w:r>
              <w:rPr>
                <w:rFonts w:ascii="Arial" w:cs="Arial" w:eastAsia="Arial" w:hAnsi="Arial"/>
                <w:sz w:val="12"/>
                <w:szCs w:val="12"/>
                <w:color w:val="auto"/>
              </w:rPr>
              <w:t>(5)</w:t>
            </w:r>
          </w:p>
        </w:tc>
        <w:tc>
          <w:tcPr>
            <w:tcW w:w="2280" w:type="dxa"/>
            <w:vAlign w:val="bottom"/>
            <w:gridSpan w:val="3"/>
          </w:tcPr>
          <w:p>
            <w:pPr>
              <w:ind w:left="320"/>
              <w:spacing w:after="0" w:line="130" w:lineRule="exact"/>
              <w:rPr>
                <w:sz w:val="20"/>
                <w:szCs w:val="20"/>
                <w:color w:val="auto"/>
              </w:rPr>
            </w:pPr>
            <w:r>
              <w:rPr>
                <w:rFonts w:ascii="Arial" w:cs="Arial" w:eastAsia="Arial" w:hAnsi="Arial"/>
                <w:sz w:val="14"/>
                <w:szCs w:val="14"/>
                <w:color w:val="auto"/>
              </w:rPr>
              <w:t>Second-lien bond (GBP</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2280" w:type="dxa"/>
            <w:vAlign w:val="bottom"/>
            <w:gridSpan w:val="3"/>
          </w:tcPr>
          <w:p>
            <w:pPr>
              <w:ind w:left="320"/>
              <w:spacing w:after="0"/>
              <w:rPr>
                <w:sz w:val="20"/>
                <w:szCs w:val="20"/>
                <w:color w:val="auto"/>
              </w:rPr>
            </w:pPr>
            <w:r>
              <w:rPr>
                <w:rFonts w:ascii="Arial" w:cs="Arial" w:eastAsia="Arial" w:hAnsi="Arial"/>
                <w:sz w:val="14"/>
                <w:szCs w:val="14"/>
                <w:color w:val="auto"/>
              </w:rPr>
              <w:t>20,375 par, due 10/2018)</w:t>
            </w:r>
          </w:p>
        </w:tc>
        <w:tc>
          <w:tcPr>
            <w:tcW w:w="1160" w:type="dxa"/>
            <w:vAlign w:val="bottom"/>
            <w:gridSpan w:val="2"/>
          </w:tcPr>
          <w:p>
            <w:pPr>
              <w:jc w:val="right"/>
              <w:ind w:right="420"/>
              <w:spacing w:after="0"/>
              <w:rPr>
                <w:sz w:val="20"/>
                <w:szCs w:val="20"/>
                <w:color w:val="auto"/>
              </w:rPr>
            </w:pPr>
            <w:r>
              <w:rPr>
                <w:rFonts w:ascii="Arial" w:cs="Arial" w:eastAsia="Arial" w:hAnsi="Arial"/>
                <w:sz w:val="14"/>
                <w:szCs w:val="14"/>
                <w:color w:val="auto"/>
              </w:rPr>
              <w:t>9.13%</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9/20/2013</w:t>
            </w:r>
          </w:p>
        </w:tc>
        <w:tc>
          <w:tcPr>
            <w:tcW w:w="660" w:type="dxa"/>
            <w:vAlign w:val="bottom"/>
          </w:tcPr>
          <w:p>
            <w:pPr>
              <w:jc w:val="right"/>
              <w:spacing w:after="0"/>
              <w:rPr>
                <w:sz w:val="20"/>
                <w:szCs w:val="20"/>
                <w:color w:val="auto"/>
              </w:rPr>
            </w:pPr>
            <w:r>
              <w:rPr>
                <w:rFonts w:ascii="Arial" w:cs="Arial" w:eastAsia="Arial" w:hAnsi="Arial"/>
                <w:sz w:val="14"/>
                <w:szCs w:val="14"/>
                <w:color w:val="auto"/>
              </w:rPr>
              <w:t>33,252</w:t>
            </w:r>
          </w:p>
        </w:tc>
        <w:tc>
          <w:tcPr>
            <w:tcW w:w="4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31,759</w:t>
            </w:r>
          </w:p>
        </w:tc>
        <w:tc>
          <w:tcPr>
            <w:tcW w:w="40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84,906</w:t>
            </w:r>
          </w:p>
        </w:tc>
        <w:tc>
          <w:tcPr>
            <w:tcW w:w="400" w:type="dxa"/>
            <w:vAlign w:val="bottom"/>
            <w:tcBorders>
              <w:left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82,278</w:t>
            </w:r>
          </w:p>
        </w:tc>
        <w:tc>
          <w:tcPr>
            <w:tcW w:w="4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56"/>
        </w:trPr>
        <w:tc>
          <w:tcPr>
            <w:tcW w:w="388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Human Resource Support Services</w:t>
            </w:r>
          </w:p>
        </w:tc>
        <w:tc>
          <w:tcPr>
            <w:tcW w:w="3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Saba Software, Inc.</w:t>
            </w:r>
            <w:r>
              <w:rPr>
                <w:rFonts w:ascii="Arial" w:cs="Arial" w:eastAsia="Arial" w:hAnsi="Arial"/>
                <w:sz w:val="12"/>
                <w:szCs w:val="12"/>
                <w:color w:val="auto"/>
              </w:rPr>
              <w:t>(3)(6)</w:t>
            </w:r>
          </w:p>
        </w:tc>
        <w:tc>
          <w:tcPr>
            <w:tcW w:w="2280" w:type="dxa"/>
            <w:vAlign w:val="bottom"/>
            <w:gridSpan w:val="3"/>
            <w:shd w:val="clear" w:color="auto" w:fill="CCEEFF"/>
          </w:tcPr>
          <w:p>
            <w:pPr>
              <w:ind w:left="320"/>
              <w:spacing w:after="0" w:line="130" w:lineRule="exact"/>
              <w:rPr>
                <w:sz w:val="20"/>
                <w:szCs w:val="20"/>
                <w:color w:val="auto"/>
              </w:rPr>
            </w:pPr>
            <w:r>
              <w:rPr>
                <w:rFonts w:ascii="Arial" w:cs="Arial" w:eastAsia="Arial" w:hAnsi="Arial"/>
                <w:sz w:val="14"/>
                <w:szCs w:val="14"/>
                <w:color w:val="auto"/>
              </w:rPr>
              <w:t>First-lien loan ($55,000 par,</w:t>
            </w:r>
          </w:p>
        </w:tc>
        <w:tc>
          <w:tcPr>
            <w:tcW w:w="7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tcBorders>
              <w:lef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shd w:val="clear" w:color="auto" w:fill="CCEEFF"/>
          </w:tcPr>
          <w:p>
            <w:pPr>
              <w:spacing w:after="0"/>
              <w:rPr>
                <w:sz w:val="14"/>
                <w:szCs w:val="14"/>
                <w:color w:val="auto"/>
              </w:rPr>
            </w:pP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due 3/2021)</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9.75%</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3/30/2015</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54,354</w:t>
            </w:r>
          </w:p>
        </w:tc>
        <w:tc>
          <w:tcPr>
            <w:tcW w:w="1360" w:type="dxa"/>
            <w:vAlign w:val="bottom"/>
            <w:tcBorders>
              <w:lef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54,175</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388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Insurance</w:t>
            </w:r>
          </w:p>
        </w:tc>
        <w:tc>
          <w:tcPr>
            <w:tcW w:w="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Infogix, Inc.</w:t>
            </w:r>
            <w:r>
              <w:rPr>
                <w:rFonts w:ascii="Arial" w:cs="Arial" w:eastAsia="Arial" w:hAnsi="Arial"/>
                <w:sz w:val="12"/>
                <w:szCs w:val="12"/>
                <w:color w:val="auto"/>
              </w:rPr>
              <w:t>(3)(4)</w:t>
            </w:r>
          </w:p>
        </w:tc>
        <w:tc>
          <w:tcPr>
            <w:tcW w:w="2280" w:type="dxa"/>
            <w:vAlign w:val="bottom"/>
            <w:gridSpan w:val="3"/>
            <w:shd w:val="clear" w:color="auto" w:fill="CCEEFF"/>
          </w:tcPr>
          <w:p>
            <w:pPr>
              <w:ind w:left="320"/>
              <w:spacing w:after="0" w:line="130" w:lineRule="exact"/>
              <w:rPr>
                <w:sz w:val="20"/>
                <w:szCs w:val="20"/>
                <w:color w:val="auto"/>
              </w:rPr>
            </w:pPr>
            <w:r>
              <w:rPr>
                <w:rFonts w:ascii="Arial" w:cs="Arial" w:eastAsia="Arial" w:hAnsi="Arial"/>
                <w:sz w:val="14"/>
                <w:szCs w:val="14"/>
                <w:color w:val="auto"/>
              </w:rPr>
              <w:t>First-lien loan ($34,950 par,</w:t>
            </w:r>
          </w:p>
        </w:tc>
        <w:tc>
          <w:tcPr>
            <w:tcW w:w="7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tcBorders>
              <w:lef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shd w:val="clear" w:color="auto" w:fill="CCEEFF"/>
          </w:tcPr>
          <w:p>
            <w:pPr>
              <w:spacing w:after="0"/>
              <w:rPr>
                <w:sz w:val="14"/>
                <w:szCs w:val="14"/>
                <w:color w:val="auto"/>
              </w:rPr>
            </w:pP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due 6/2017)</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10.00%</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6/1/2012</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34,588</w:t>
            </w:r>
          </w:p>
        </w:tc>
        <w:tc>
          <w:tcPr>
            <w:tcW w:w="1360" w:type="dxa"/>
            <w:vAlign w:val="bottom"/>
            <w:tcBorders>
              <w:lef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34,775</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30"/>
        </w:trPr>
        <w:tc>
          <w:tcPr>
            <w:tcW w:w="3880" w:type="dxa"/>
            <w:vAlign w:val="bottom"/>
          </w:tcPr>
          <w:p>
            <w:pPr>
              <w:spacing w:after="0"/>
              <w:rPr>
                <w:sz w:val="11"/>
                <w:szCs w:val="11"/>
                <w:color w:val="auto"/>
              </w:rPr>
            </w:pPr>
          </w:p>
        </w:tc>
        <w:tc>
          <w:tcPr>
            <w:tcW w:w="2280" w:type="dxa"/>
            <w:vAlign w:val="bottom"/>
            <w:gridSpan w:val="3"/>
          </w:tcPr>
          <w:p>
            <w:pPr>
              <w:ind w:left="320"/>
              <w:spacing w:after="0" w:line="130" w:lineRule="exact"/>
              <w:rPr>
                <w:sz w:val="20"/>
                <w:szCs w:val="20"/>
                <w:color w:val="auto"/>
              </w:rPr>
            </w:pPr>
            <w:r>
              <w:rPr>
                <w:rFonts w:ascii="Arial" w:cs="Arial" w:eastAsia="Arial" w:hAnsi="Arial"/>
                <w:sz w:val="14"/>
                <w:szCs w:val="14"/>
                <w:color w:val="auto"/>
              </w:rPr>
              <w:t>First-lien revolving loan</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2280" w:type="dxa"/>
            <w:vAlign w:val="bottom"/>
            <w:gridSpan w:val="3"/>
          </w:tcPr>
          <w:p>
            <w:pPr>
              <w:ind w:left="320"/>
              <w:spacing w:after="0"/>
              <w:rPr>
                <w:sz w:val="20"/>
                <w:szCs w:val="20"/>
                <w:color w:val="auto"/>
              </w:rPr>
            </w:pPr>
            <w:r>
              <w:rPr>
                <w:rFonts w:ascii="Arial" w:cs="Arial" w:eastAsia="Arial" w:hAnsi="Arial"/>
                <w:sz w:val="14"/>
                <w:szCs w:val="14"/>
                <w:color w:val="auto"/>
              </w:rPr>
              <w:t>($2,202 par, due 6/2017)</w:t>
            </w:r>
          </w:p>
        </w:tc>
        <w:tc>
          <w:tcPr>
            <w:tcW w:w="1160" w:type="dxa"/>
            <w:vAlign w:val="bottom"/>
            <w:gridSpan w:val="2"/>
          </w:tcPr>
          <w:p>
            <w:pPr>
              <w:jc w:val="right"/>
              <w:ind w:right="420"/>
              <w:spacing w:after="0"/>
              <w:rPr>
                <w:sz w:val="20"/>
                <w:szCs w:val="20"/>
                <w:color w:val="auto"/>
              </w:rPr>
            </w:pPr>
            <w:r>
              <w:rPr>
                <w:rFonts w:ascii="Arial" w:cs="Arial" w:eastAsia="Arial" w:hAnsi="Arial"/>
                <w:sz w:val="14"/>
                <w:szCs w:val="14"/>
                <w:color w:val="auto"/>
              </w:rPr>
              <w:t>11.00%</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6/1/2012</w:t>
            </w:r>
          </w:p>
        </w:tc>
        <w:tc>
          <w:tcPr>
            <w:tcW w:w="660" w:type="dxa"/>
            <w:vAlign w:val="bottom"/>
          </w:tcPr>
          <w:p>
            <w:pPr>
              <w:jc w:val="right"/>
              <w:spacing w:after="0"/>
              <w:rPr>
                <w:sz w:val="20"/>
                <w:szCs w:val="20"/>
                <w:color w:val="auto"/>
              </w:rPr>
            </w:pPr>
            <w:r>
              <w:rPr>
                <w:rFonts w:ascii="Arial" w:cs="Arial" w:eastAsia="Arial" w:hAnsi="Arial"/>
                <w:sz w:val="14"/>
                <w:szCs w:val="14"/>
                <w:color w:val="auto"/>
              </w:rPr>
              <w:t>2,159</w:t>
            </w:r>
          </w:p>
        </w:tc>
        <w:tc>
          <w:tcPr>
            <w:tcW w:w="1360" w:type="dxa"/>
            <w:vAlign w:val="bottom"/>
            <w:gridSpan w:val="3"/>
          </w:tcPr>
          <w:p>
            <w:pPr>
              <w:jc w:val="right"/>
              <w:ind w:right="400"/>
              <w:spacing w:after="0"/>
              <w:rPr>
                <w:sz w:val="20"/>
                <w:szCs w:val="20"/>
                <w:color w:val="auto"/>
              </w:rPr>
            </w:pPr>
            <w:r>
              <w:rPr>
                <w:rFonts w:ascii="Arial" w:cs="Arial" w:eastAsia="Arial" w:hAnsi="Arial"/>
                <w:sz w:val="14"/>
                <w:szCs w:val="14"/>
                <w:color w:val="auto"/>
              </w:rPr>
              <w:t>2,177</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0"/>
        </w:trPr>
        <w:tc>
          <w:tcPr>
            <w:tcW w:w="3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Insurity, Inc.</w:t>
            </w:r>
            <w:r>
              <w:rPr>
                <w:rFonts w:ascii="Arial" w:cs="Arial" w:eastAsia="Arial" w:hAnsi="Arial"/>
                <w:sz w:val="12"/>
                <w:szCs w:val="12"/>
                <w:color w:val="auto"/>
              </w:rPr>
              <w:t>(3)(4)(6)</w:t>
            </w:r>
          </w:p>
        </w:tc>
        <w:tc>
          <w:tcPr>
            <w:tcW w:w="2280" w:type="dxa"/>
            <w:vAlign w:val="bottom"/>
            <w:gridSpan w:val="3"/>
            <w:shd w:val="clear" w:color="auto" w:fill="CCEEFF"/>
          </w:tcPr>
          <w:p>
            <w:pPr>
              <w:ind w:left="320"/>
              <w:spacing w:after="0" w:line="130" w:lineRule="exact"/>
              <w:rPr>
                <w:sz w:val="20"/>
                <w:szCs w:val="20"/>
                <w:color w:val="auto"/>
              </w:rPr>
            </w:pPr>
            <w:r>
              <w:rPr>
                <w:rFonts w:ascii="Arial" w:cs="Arial" w:eastAsia="Arial" w:hAnsi="Arial"/>
                <w:sz w:val="14"/>
                <w:szCs w:val="14"/>
                <w:color w:val="auto"/>
              </w:rPr>
              <w:t>First-lien loan ($64,838 par,</w:t>
            </w:r>
          </w:p>
        </w:tc>
        <w:tc>
          <w:tcPr>
            <w:tcW w:w="7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tcBorders>
              <w:lef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shd w:val="clear" w:color="auto" w:fill="CCEEFF"/>
          </w:tcPr>
          <w:p>
            <w:pPr>
              <w:spacing w:after="0"/>
              <w:rPr>
                <w:sz w:val="14"/>
                <w:szCs w:val="14"/>
                <w:color w:val="auto"/>
              </w:rPr>
            </w:pP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due 10/2020)</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7.50%</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w w:val="99"/>
              </w:rPr>
              <w:t>10/31/2014</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64,222</w:t>
            </w:r>
          </w:p>
        </w:tc>
        <w:tc>
          <w:tcPr>
            <w:tcW w:w="400" w:type="dxa"/>
            <w:vAlign w:val="bottom"/>
            <w:tcBorders>
              <w:left w:val="single" w:sz="8" w:color="CCEEFF"/>
            </w:tcBorders>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64,189</w:t>
            </w:r>
          </w:p>
        </w:tc>
        <w:tc>
          <w:tcPr>
            <w:tcW w:w="4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100,969</w:t>
            </w:r>
          </w:p>
        </w:tc>
        <w:tc>
          <w:tcPr>
            <w:tcW w:w="400" w:type="dxa"/>
            <w:vAlign w:val="bottom"/>
            <w:vMerge w:val="continue"/>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101,141</w:t>
            </w:r>
          </w:p>
        </w:tc>
        <w:tc>
          <w:tcPr>
            <w:tcW w:w="400" w:type="dxa"/>
            <w:vAlign w:val="bottom"/>
            <w:vMerge w:val="continue"/>
          </w:tcPr>
          <w:p>
            <w:pPr>
              <w:spacing w:after="0"/>
              <w:rPr>
                <w:sz w:val="13"/>
                <w:szCs w:val="13"/>
                <w:color w:val="auto"/>
              </w:rPr>
            </w:pPr>
          </w:p>
        </w:tc>
        <w:tc>
          <w:tcPr>
            <w:tcW w:w="9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460" w:right="2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Initial</w:t>
            </w:r>
          </w:p>
        </w:tc>
        <w:tc>
          <w:tcPr>
            <w:tcW w:w="200" w:type="dxa"/>
            <w:vAlign w:val="bottom"/>
          </w:tcPr>
          <w:p>
            <w:pPr>
              <w:spacing w:after="0"/>
              <w:rPr>
                <w:sz w:val="14"/>
                <w:szCs w:val="14"/>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Amortized</w:t>
            </w:r>
          </w:p>
        </w:tc>
        <w:tc>
          <w:tcPr>
            <w:tcW w:w="80" w:type="dxa"/>
            <w:vAlign w:val="bottom"/>
          </w:tcPr>
          <w:p>
            <w:pPr>
              <w:spacing w:after="0"/>
              <w:rPr>
                <w:sz w:val="14"/>
                <w:szCs w:val="14"/>
                <w:color w:val="auto"/>
              </w:rPr>
            </w:pPr>
          </w:p>
        </w:tc>
        <w:tc>
          <w:tcPr>
            <w:tcW w:w="9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rPr>
              <w:t>Fair</w:t>
            </w: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320" w:type="dxa"/>
            <w:vAlign w:val="bottom"/>
          </w:tcPr>
          <w:p>
            <w:pPr>
              <w:spacing w:after="0"/>
              <w:rPr>
                <w:sz w:val="12"/>
                <w:szCs w:val="12"/>
                <w:color w:val="auto"/>
              </w:rPr>
            </w:pPr>
          </w:p>
        </w:tc>
        <w:tc>
          <w:tcPr>
            <w:tcW w:w="196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Investment</w:t>
            </w:r>
          </w:p>
        </w:tc>
        <w:tc>
          <w:tcPr>
            <w:tcW w:w="11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Interest</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20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Date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6"/>
              </w:rPr>
              <w:t>Cost</w:t>
            </w:r>
            <w:r>
              <w:rPr>
                <w:rFonts w:ascii="Arial" w:cs="Arial" w:eastAsia="Arial" w:hAnsi="Arial"/>
                <w:sz w:val="12"/>
                <w:szCs w:val="12"/>
                <w:b w:val="1"/>
                <w:bCs w:val="1"/>
                <w:color w:val="auto"/>
                <w:w w:val="96"/>
              </w:rPr>
              <w:t>(2)</w:t>
            </w:r>
          </w:p>
        </w:tc>
        <w:tc>
          <w:tcPr>
            <w:tcW w:w="80" w:type="dxa"/>
            <w:vAlign w:val="bottom"/>
          </w:tcPr>
          <w:p>
            <w:pPr>
              <w:spacing w:after="0"/>
              <w:rPr>
                <w:sz w:val="14"/>
                <w:szCs w:val="14"/>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tcBorders>
              <w:top w:val="single" w:sz="8" w:color="auto"/>
            </w:tcBorders>
            <w:shd w:val="clear" w:color="auto" w:fill="CCEEFF"/>
          </w:tcPr>
          <w:p>
            <w:pPr>
              <w:ind w:left="280"/>
              <w:spacing w:after="0" w:line="142" w:lineRule="exact"/>
              <w:rPr>
                <w:sz w:val="20"/>
                <w:szCs w:val="20"/>
                <w:color w:val="auto"/>
              </w:rPr>
            </w:pPr>
            <w:r>
              <w:rPr>
                <w:rFonts w:ascii="Arial" w:cs="Arial" w:eastAsia="Arial" w:hAnsi="Arial"/>
                <w:sz w:val="14"/>
                <w:szCs w:val="14"/>
                <w:b w:val="1"/>
                <w:bCs w:val="1"/>
                <w:color w:val="auto"/>
              </w:rPr>
              <w:t>Internet Services</w:t>
            </w:r>
          </w:p>
        </w:tc>
        <w:tc>
          <w:tcPr>
            <w:tcW w:w="320" w:type="dxa"/>
            <w:vAlign w:val="bottom"/>
            <w:tcBorders>
              <w:top w:val="single" w:sz="8" w:color="CCEEFF"/>
            </w:tcBorders>
            <w:shd w:val="clear" w:color="auto" w:fill="CCEEFF"/>
          </w:tcPr>
          <w:p>
            <w:pPr>
              <w:spacing w:after="0"/>
              <w:rPr>
                <w:sz w:val="12"/>
                <w:szCs w:val="12"/>
                <w:color w:val="auto"/>
              </w:rPr>
            </w:pPr>
          </w:p>
        </w:tc>
        <w:tc>
          <w:tcPr>
            <w:tcW w:w="164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tcPr>
          <w:p>
            <w:pPr>
              <w:spacing w:after="0" w:line="130" w:lineRule="exact"/>
              <w:rPr>
                <w:sz w:val="20"/>
                <w:szCs w:val="20"/>
                <w:color w:val="auto"/>
              </w:rPr>
            </w:pPr>
            <w:r>
              <w:rPr>
                <w:rFonts w:ascii="Arial" w:cs="Arial" w:eastAsia="Arial" w:hAnsi="Arial"/>
                <w:sz w:val="14"/>
                <w:szCs w:val="14"/>
                <w:color w:val="auto"/>
              </w:rPr>
              <w:t>Highwinds Capital, Inc.</w:t>
            </w:r>
            <w:r>
              <w:rPr>
                <w:rFonts w:ascii="Arial" w:cs="Arial" w:eastAsia="Arial" w:hAnsi="Arial"/>
                <w:sz w:val="12"/>
                <w:szCs w:val="12"/>
                <w:color w:val="auto"/>
              </w:rPr>
              <w:t>(3)(4)</w:t>
            </w:r>
          </w:p>
        </w:tc>
        <w:tc>
          <w:tcPr>
            <w:tcW w:w="2280" w:type="dxa"/>
            <w:vAlign w:val="bottom"/>
            <w:gridSpan w:val="3"/>
          </w:tcPr>
          <w:p>
            <w:pPr>
              <w:ind w:left="320"/>
              <w:spacing w:after="0" w:line="130" w:lineRule="exact"/>
              <w:rPr>
                <w:sz w:val="20"/>
                <w:szCs w:val="20"/>
                <w:color w:val="auto"/>
              </w:rPr>
            </w:pPr>
            <w:r>
              <w:rPr>
                <w:rFonts w:ascii="Arial" w:cs="Arial" w:eastAsia="Arial" w:hAnsi="Arial"/>
                <w:sz w:val="14"/>
                <w:szCs w:val="14"/>
                <w:color w:val="auto"/>
              </w:rPr>
              <w:t>First-lien loan ($54,038 par,</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280" w:type="dxa"/>
            <w:vAlign w:val="bottom"/>
            <w:gridSpan w:val="3"/>
          </w:tcPr>
          <w:p>
            <w:pPr>
              <w:ind w:left="320"/>
              <w:spacing w:after="0"/>
              <w:rPr>
                <w:sz w:val="20"/>
                <w:szCs w:val="20"/>
                <w:color w:val="auto"/>
              </w:rPr>
            </w:pPr>
            <w:r>
              <w:rPr>
                <w:rFonts w:ascii="Arial" w:cs="Arial" w:eastAsia="Arial" w:hAnsi="Arial"/>
                <w:sz w:val="14"/>
                <w:szCs w:val="14"/>
                <w:color w:val="auto"/>
              </w:rPr>
              <w:t>due 7/2018)</w:t>
            </w:r>
          </w:p>
        </w:tc>
        <w:tc>
          <w:tcPr>
            <w:tcW w:w="1160" w:type="dxa"/>
            <w:vAlign w:val="bottom"/>
            <w:gridSpan w:val="2"/>
          </w:tcPr>
          <w:p>
            <w:pPr>
              <w:jc w:val="right"/>
              <w:ind w:right="400"/>
              <w:spacing w:after="0"/>
              <w:rPr>
                <w:sz w:val="20"/>
                <w:szCs w:val="20"/>
                <w:color w:val="auto"/>
              </w:rPr>
            </w:pPr>
            <w:r>
              <w:rPr>
                <w:rFonts w:ascii="Arial" w:cs="Arial" w:eastAsia="Arial" w:hAnsi="Arial"/>
                <w:sz w:val="14"/>
                <w:szCs w:val="14"/>
                <w:color w:val="auto"/>
              </w:rPr>
              <w:t>9.00%</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3/7/2014</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53,332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53,468</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Manufacturing</w:t>
            </w:r>
          </w:p>
        </w:tc>
        <w:tc>
          <w:tcPr>
            <w:tcW w:w="32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tcPr>
          <w:p>
            <w:pPr>
              <w:spacing w:after="0" w:line="130" w:lineRule="exact"/>
              <w:rPr>
                <w:sz w:val="20"/>
                <w:szCs w:val="20"/>
                <w:color w:val="auto"/>
              </w:rPr>
            </w:pPr>
            <w:r>
              <w:rPr>
                <w:rFonts w:ascii="Arial" w:cs="Arial" w:eastAsia="Arial" w:hAnsi="Arial"/>
                <w:sz w:val="14"/>
                <w:szCs w:val="14"/>
                <w:color w:val="auto"/>
              </w:rPr>
              <w:t>Jeeves Information Systems AB</w:t>
            </w:r>
            <w:r>
              <w:rPr>
                <w:rFonts w:ascii="Arial" w:cs="Arial" w:eastAsia="Arial" w:hAnsi="Arial"/>
                <w:sz w:val="12"/>
                <w:szCs w:val="12"/>
                <w:color w:val="auto"/>
              </w:rPr>
              <w:t>(3)(5)(6)</w:t>
            </w:r>
          </w:p>
        </w:tc>
        <w:tc>
          <w:tcPr>
            <w:tcW w:w="2280" w:type="dxa"/>
            <w:vAlign w:val="bottom"/>
            <w:gridSpan w:val="3"/>
          </w:tcPr>
          <w:p>
            <w:pPr>
              <w:ind w:left="320"/>
              <w:spacing w:after="0" w:line="130" w:lineRule="exact"/>
              <w:rPr>
                <w:sz w:val="20"/>
                <w:szCs w:val="20"/>
                <w:color w:val="auto"/>
              </w:rPr>
            </w:pPr>
            <w:r>
              <w:rPr>
                <w:rFonts w:ascii="Arial" w:cs="Arial" w:eastAsia="Arial" w:hAnsi="Arial"/>
                <w:sz w:val="14"/>
                <w:szCs w:val="14"/>
                <w:color w:val="auto"/>
              </w:rPr>
              <w:t>First-lien loan (SEK</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280" w:type="dxa"/>
            <w:vAlign w:val="bottom"/>
            <w:gridSpan w:val="3"/>
          </w:tcPr>
          <w:p>
            <w:pPr>
              <w:ind w:left="320"/>
              <w:spacing w:after="0"/>
              <w:rPr>
                <w:sz w:val="20"/>
                <w:szCs w:val="20"/>
                <w:color w:val="auto"/>
              </w:rPr>
            </w:pPr>
            <w:r>
              <w:rPr>
                <w:rFonts w:ascii="Arial" w:cs="Arial" w:eastAsia="Arial" w:hAnsi="Arial"/>
                <w:sz w:val="14"/>
                <w:szCs w:val="14"/>
                <w:color w:val="auto"/>
              </w:rPr>
              <w:t>200,499 par, due 3/2019)</w:t>
            </w:r>
          </w:p>
        </w:tc>
        <w:tc>
          <w:tcPr>
            <w:tcW w:w="1160" w:type="dxa"/>
            <w:vAlign w:val="bottom"/>
            <w:gridSpan w:val="2"/>
          </w:tcPr>
          <w:p>
            <w:pPr>
              <w:jc w:val="right"/>
              <w:ind w:right="400"/>
              <w:spacing w:after="0"/>
              <w:rPr>
                <w:sz w:val="20"/>
                <w:szCs w:val="20"/>
                <w:color w:val="auto"/>
              </w:rPr>
            </w:pPr>
            <w:r>
              <w:rPr>
                <w:rFonts w:ascii="Arial" w:cs="Arial" w:eastAsia="Arial" w:hAnsi="Arial"/>
                <w:sz w:val="14"/>
                <w:szCs w:val="14"/>
                <w:color w:val="auto"/>
              </w:rPr>
              <w:t>8.75%</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6/5/2013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30,495</w:t>
            </w:r>
          </w:p>
        </w:tc>
        <w:tc>
          <w:tcPr>
            <w:tcW w:w="8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23,074</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Metals and mining</w:t>
            </w:r>
          </w:p>
        </w:tc>
        <w:tc>
          <w:tcPr>
            <w:tcW w:w="32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tcPr>
          <w:p>
            <w:pPr>
              <w:spacing w:after="0" w:line="130" w:lineRule="exact"/>
              <w:rPr>
                <w:sz w:val="20"/>
                <w:szCs w:val="20"/>
                <w:color w:val="auto"/>
              </w:rPr>
            </w:pPr>
            <w:r>
              <w:rPr>
                <w:rFonts w:ascii="Arial" w:cs="Arial" w:eastAsia="Arial" w:hAnsi="Arial"/>
                <w:sz w:val="14"/>
                <w:szCs w:val="14"/>
                <w:color w:val="auto"/>
              </w:rPr>
              <w:t>Metalico, Inc.</w:t>
            </w:r>
            <w:r>
              <w:rPr>
                <w:rFonts w:ascii="Arial" w:cs="Arial" w:eastAsia="Arial" w:hAnsi="Arial"/>
                <w:sz w:val="12"/>
                <w:szCs w:val="12"/>
                <w:color w:val="auto"/>
              </w:rPr>
              <w:t>(3)(4)(6)</w:t>
            </w:r>
          </w:p>
        </w:tc>
        <w:tc>
          <w:tcPr>
            <w:tcW w:w="2280" w:type="dxa"/>
            <w:vAlign w:val="bottom"/>
            <w:gridSpan w:val="3"/>
          </w:tcPr>
          <w:p>
            <w:pPr>
              <w:ind w:left="320"/>
              <w:spacing w:after="0" w:line="130" w:lineRule="exact"/>
              <w:rPr>
                <w:sz w:val="20"/>
                <w:szCs w:val="20"/>
                <w:color w:val="auto"/>
              </w:rPr>
            </w:pPr>
            <w:r>
              <w:rPr>
                <w:rFonts w:ascii="Arial" w:cs="Arial" w:eastAsia="Arial" w:hAnsi="Arial"/>
                <w:sz w:val="14"/>
                <w:szCs w:val="14"/>
                <w:color w:val="auto"/>
              </w:rPr>
              <w:t>First-lien loan ($19,773 par,</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280" w:type="dxa"/>
            <w:vAlign w:val="bottom"/>
            <w:gridSpan w:val="3"/>
          </w:tcPr>
          <w:p>
            <w:pPr>
              <w:ind w:left="320"/>
              <w:spacing w:after="0"/>
              <w:rPr>
                <w:sz w:val="20"/>
                <w:szCs w:val="20"/>
                <w:color w:val="auto"/>
              </w:rPr>
            </w:pPr>
            <w:r>
              <w:rPr>
                <w:rFonts w:ascii="Arial" w:cs="Arial" w:eastAsia="Arial" w:hAnsi="Arial"/>
                <w:sz w:val="14"/>
                <w:szCs w:val="14"/>
                <w:color w:val="auto"/>
              </w:rPr>
              <w:t>due 11/2019)</w:t>
            </w:r>
          </w:p>
        </w:tc>
        <w:tc>
          <w:tcPr>
            <w:tcW w:w="1160" w:type="dxa"/>
            <w:vAlign w:val="bottom"/>
            <w:gridSpan w:val="2"/>
          </w:tcPr>
          <w:p>
            <w:pPr>
              <w:jc w:val="right"/>
              <w:ind w:right="400"/>
              <w:spacing w:after="0"/>
              <w:rPr>
                <w:sz w:val="20"/>
                <w:szCs w:val="20"/>
                <w:color w:val="auto"/>
              </w:rPr>
            </w:pPr>
            <w:r>
              <w:rPr>
                <w:rFonts w:ascii="Arial" w:cs="Arial" w:eastAsia="Arial" w:hAnsi="Arial"/>
                <w:sz w:val="14"/>
                <w:szCs w:val="14"/>
                <w:color w:val="auto"/>
              </w:rPr>
              <w:t>10.50%</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11/21/2013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17,604</w:t>
            </w:r>
          </w:p>
        </w:tc>
        <w:tc>
          <w:tcPr>
            <w:tcW w:w="8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21,009</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Office products</w:t>
            </w:r>
          </w:p>
        </w:tc>
        <w:tc>
          <w:tcPr>
            <w:tcW w:w="32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tcPr>
          <w:p>
            <w:pPr>
              <w:spacing w:after="0" w:line="130" w:lineRule="exact"/>
              <w:rPr>
                <w:sz w:val="20"/>
                <w:szCs w:val="20"/>
                <w:color w:val="auto"/>
              </w:rPr>
            </w:pPr>
            <w:r>
              <w:rPr>
                <w:rFonts w:ascii="Arial" w:cs="Arial" w:eastAsia="Arial" w:hAnsi="Arial"/>
                <w:sz w:val="14"/>
                <w:szCs w:val="14"/>
                <w:color w:val="auto"/>
              </w:rPr>
              <w:t>Ecommerce Industries, Inc.</w:t>
            </w:r>
            <w:r>
              <w:rPr>
                <w:rFonts w:ascii="Arial" w:cs="Arial" w:eastAsia="Arial" w:hAnsi="Arial"/>
                <w:sz w:val="12"/>
                <w:szCs w:val="12"/>
                <w:color w:val="auto"/>
              </w:rPr>
              <w:t>(3)(4)(6)</w:t>
            </w:r>
          </w:p>
        </w:tc>
        <w:tc>
          <w:tcPr>
            <w:tcW w:w="2280" w:type="dxa"/>
            <w:vAlign w:val="bottom"/>
            <w:gridSpan w:val="3"/>
          </w:tcPr>
          <w:p>
            <w:pPr>
              <w:ind w:left="320"/>
              <w:spacing w:after="0" w:line="130" w:lineRule="exact"/>
              <w:rPr>
                <w:sz w:val="20"/>
                <w:szCs w:val="20"/>
                <w:color w:val="auto"/>
              </w:rPr>
            </w:pPr>
            <w:r>
              <w:rPr>
                <w:rFonts w:ascii="Arial" w:cs="Arial" w:eastAsia="Arial" w:hAnsi="Arial"/>
                <w:sz w:val="14"/>
                <w:szCs w:val="14"/>
                <w:color w:val="auto"/>
              </w:rPr>
              <w:t>First-lien loan ($37,358 par,</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280" w:type="dxa"/>
            <w:vAlign w:val="bottom"/>
            <w:gridSpan w:val="3"/>
          </w:tcPr>
          <w:p>
            <w:pPr>
              <w:ind w:left="320"/>
              <w:spacing w:after="0"/>
              <w:rPr>
                <w:sz w:val="20"/>
                <w:szCs w:val="20"/>
                <w:color w:val="auto"/>
              </w:rPr>
            </w:pPr>
            <w:r>
              <w:rPr>
                <w:rFonts w:ascii="Arial" w:cs="Arial" w:eastAsia="Arial" w:hAnsi="Arial"/>
                <w:sz w:val="14"/>
                <w:szCs w:val="14"/>
                <w:color w:val="auto"/>
              </w:rPr>
              <w:t>due 3/2019)</w:t>
            </w:r>
          </w:p>
        </w:tc>
        <w:tc>
          <w:tcPr>
            <w:tcW w:w="1160" w:type="dxa"/>
            <w:vAlign w:val="bottom"/>
            <w:gridSpan w:val="2"/>
          </w:tcPr>
          <w:p>
            <w:pPr>
              <w:jc w:val="right"/>
              <w:ind w:right="400"/>
              <w:spacing w:after="0"/>
              <w:rPr>
                <w:sz w:val="20"/>
                <w:szCs w:val="20"/>
                <w:color w:val="auto"/>
              </w:rPr>
            </w:pPr>
            <w:r>
              <w:rPr>
                <w:rFonts w:ascii="Arial" w:cs="Arial" w:eastAsia="Arial" w:hAnsi="Arial"/>
                <w:sz w:val="14"/>
                <w:szCs w:val="14"/>
                <w:color w:val="auto"/>
              </w:rPr>
              <w:t>7.25%</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3/11/2014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37,074</w:t>
            </w:r>
          </w:p>
        </w:tc>
        <w:tc>
          <w:tcPr>
            <w:tcW w:w="8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37,122</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Oil, gas and consumable fuels</w:t>
            </w:r>
          </w:p>
        </w:tc>
        <w:tc>
          <w:tcPr>
            <w:tcW w:w="32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tcPr>
          <w:p>
            <w:pPr>
              <w:spacing w:after="0" w:line="130" w:lineRule="exact"/>
              <w:rPr>
                <w:sz w:val="20"/>
                <w:szCs w:val="20"/>
                <w:color w:val="auto"/>
              </w:rPr>
            </w:pPr>
            <w:r>
              <w:rPr>
                <w:rFonts w:ascii="Arial" w:cs="Arial" w:eastAsia="Arial" w:hAnsi="Arial"/>
                <w:sz w:val="14"/>
                <w:szCs w:val="14"/>
                <w:color w:val="auto"/>
              </w:rPr>
              <w:t>Milagro Exploration, LLC</w:t>
            </w:r>
            <w:r>
              <w:rPr>
                <w:rFonts w:ascii="Arial" w:cs="Arial" w:eastAsia="Arial" w:hAnsi="Arial"/>
                <w:sz w:val="12"/>
                <w:szCs w:val="12"/>
                <w:color w:val="auto"/>
              </w:rPr>
              <w:t>(3)(4)</w:t>
            </w:r>
          </w:p>
        </w:tc>
        <w:tc>
          <w:tcPr>
            <w:tcW w:w="2280" w:type="dxa"/>
            <w:vAlign w:val="bottom"/>
            <w:gridSpan w:val="3"/>
          </w:tcPr>
          <w:p>
            <w:pPr>
              <w:ind w:left="320"/>
              <w:spacing w:after="0" w:line="130" w:lineRule="exact"/>
              <w:rPr>
                <w:sz w:val="20"/>
                <w:szCs w:val="20"/>
                <w:color w:val="auto"/>
              </w:rPr>
            </w:pPr>
            <w:r>
              <w:rPr>
                <w:rFonts w:ascii="Arial" w:cs="Arial" w:eastAsia="Arial" w:hAnsi="Arial"/>
                <w:sz w:val="14"/>
                <w:szCs w:val="14"/>
                <w:color w:val="auto"/>
              </w:rPr>
              <w:t>First-lien loan ($62,464 par,</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280" w:type="dxa"/>
            <w:vAlign w:val="bottom"/>
            <w:gridSpan w:val="3"/>
          </w:tcPr>
          <w:p>
            <w:pPr>
              <w:ind w:left="320"/>
              <w:spacing w:after="0"/>
              <w:rPr>
                <w:sz w:val="20"/>
                <w:szCs w:val="20"/>
                <w:color w:val="auto"/>
              </w:rPr>
            </w:pPr>
            <w:r>
              <w:rPr>
                <w:rFonts w:ascii="Arial" w:cs="Arial" w:eastAsia="Arial" w:hAnsi="Arial"/>
                <w:sz w:val="14"/>
                <w:szCs w:val="14"/>
                <w:color w:val="auto"/>
              </w:rPr>
              <w:t>due 9/2017)</w:t>
            </w:r>
          </w:p>
        </w:tc>
        <w:tc>
          <w:tcPr>
            <w:tcW w:w="1160" w:type="dxa"/>
            <w:vAlign w:val="bottom"/>
            <w:gridSpan w:val="2"/>
          </w:tcPr>
          <w:p>
            <w:pPr>
              <w:jc w:val="right"/>
              <w:ind w:right="400"/>
              <w:spacing w:after="0"/>
              <w:rPr>
                <w:sz w:val="20"/>
                <w:szCs w:val="20"/>
                <w:color w:val="auto"/>
              </w:rPr>
            </w:pPr>
            <w:r>
              <w:rPr>
                <w:rFonts w:ascii="Arial" w:cs="Arial" w:eastAsia="Arial" w:hAnsi="Arial"/>
                <w:sz w:val="14"/>
                <w:szCs w:val="14"/>
                <w:color w:val="auto"/>
              </w:rPr>
              <w:t>9.50%</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9/4/2014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61,802</w:t>
            </w:r>
          </w:p>
        </w:tc>
        <w:tc>
          <w:tcPr>
            <w:tcW w:w="8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61,993</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Mississippi Resources, LLC</w:t>
            </w:r>
            <w:r>
              <w:rPr>
                <w:rFonts w:ascii="Arial" w:cs="Arial" w:eastAsia="Arial" w:hAnsi="Arial"/>
                <w:sz w:val="12"/>
                <w:szCs w:val="12"/>
                <w:color w:val="auto"/>
              </w:rPr>
              <w:t>(3)(4)(8)</w:t>
            </w:r>
          </w:p>
        </w:tc>
        <w:tc>
          <w:tcPr>
            <w:tcW w:w="32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400"/>
              <w:spacing w:after="0" w:line="130" w:lineRule="exact"/>
              <w:rPr>
                <w:sz w:val="20"/>
                <w:szCs w:val="20"/>
                <w:color w:val="auto"/>
              </w:rPr>
            </w:pPr>
            <w:r>
              <w:rPr>
                <w:rFonts w:ascii="Arial" w:cs="Arial" w:eastAsia="Arial" w:hAnsi="Arial"/>
                <w:sz w:val="14"/>
                <w:szCs w:val="14"/>
                <w:color w:val="auto"/>
              </w:rPr>
              <w:t>13.00%</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rPr>
                <w:sz w:val="12"/>
                <w:szCs w:val="12"/>
                <w:color w:val="auto"/>
              </w:rPr>
            </w:pPr>
          </w:p>
        </w:tc>
        <w:tc>
          <w:tcPr>
            <w:tcW w:w="228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First-lien loan ($42,568 par,</w:t>
            </w: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(incl. 1.50%</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shd w:val="clear" w:color="auto" w:fill="CCEEFF"/>
          </w:tcPr>
          <w:p>
            <w:pPr>
              <w:spacing w:after="0"/>
              <w:rPr>
                <w:sz w:val="14"/>
                <w:szCs w:val="14"/>
                <w:color w:val="auto"/>
              </w:rPr>
            </w:pP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due 6/2018)</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PIK)</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6/4/2014</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41,835</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40,865</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103,637</w:t>
            </w:r>
          </w:p>
        </w:tc>
        <w:tc>
          <w:tcPr>
            <w:tcW w:w="4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102,858</w:t>
            </w:r>
          </w:p>
        </w:tc>
        <w:tc>
          <w:tcPr>
            <w:tcW w:w="400" w:type="dxa"/>
            <w:vAlign w:val="bottom"/>
            <w:vMerge w:val="continue"/>
          </w:tcPr>
          <w:p>
            <w:pPr>
              <w:spacing w:after="0"/>
              <w:rPr>
                <w:sz w:val="14"/>
                <w:szCs w:val="14"/>
                <w:color w:val="auto"/>
              </w:rPr>
            </w:pPr>
          </w:p>
        </w:tc>
        <w:tc>
          <w:tcPr>
            <w:tcW w:w="9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Retail</w:t>
            </w:r>
          </w:p>
        </w:tc>
        <w:tc>
          <w:tcPr>
            <w:tcW w:w="32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tcPr>
          <w:p>
            <w:pPr>
              <w:spacing w:after="0" w:line="130" w:lineRule="exact"/>
              <w:rPr>
                <w:sz w:val="20"/>
                <w:szCs w:val="20"/>
                <w:color w:val="auto"/>
              </w:rPr>
            </w:pPr>
            <w:r>
              <w:rPr>
                <w:rFonts w:ascii="Arial" w:cs="Arial" w:eastAsia="Arial" w:hAnsi="Arial"/>
                <w:sz w:val="14"/>
                <w:szCs w:val="14"/>
                <w:color w:val="auto"/>
              </w:rPr>
              <w:t>Toys ‘R’ Us-Delaware, Inc.</w:t>
            </w:r>
            <w:r>
              <w:rPr>
                <w:rFonts w:ascii="Arial" w:cs="Arial" w:eastAsia="Arial" w:hAnsi="Arial"/>
                <w:sz w:val="12"/>
                <w:szCs w:val="12"/>
                <w:color w:val="auto"/>
              </w:rPr>
              <w:t>(3)(4)</w:t>
            </w:r>
          </w:p>
        </w:tc>
        <w:tc>
          <w:tcPr>
            <w:tcW w:w="2280" w:type="dxa"/>
            <w:vAlign w:val="bottom"/>
            <w:gridSpan w:val="3"/>
          </w:tcPr>
          <w:p>
            <w:pPr>
              <w:ind w:left="320"/>
              <w:spacing w:after="0" w:line="130" w:lineRule="exact"/>
              <w:rPr>
                <w:sz w:val="20"/>
                <w:szCs w:val="20"/>
                <w:color w:val="auto"/>
              </w:rPr>
            </w:pPr>
            <w:r>
              <w:rPr>
                <w:rFonts w:ascii="Arial" w:cs="Arial" w:eastAsia="Arial" w:hAnsi="Arial"/>
                <w:sz w:val="14"/>
                <w:szCs w:val="14"/>
                <w:color w:val="auto"/>
              </w:rPr>
              <w:t>First-lien loan ($42,000 par,</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280" w:type="dxa"/>
            <w:vAlign w:val="bottom"/>
            <w:gridSpan w:val="3"/>
          </w:tcPr>
          <w:p>
            <w:pPr>
              <w:ind w:left="320"/>
              <w:spacing w:after="0"/>
              <w:rPr>
                <w:sz w:val="20"/>
                <w:szCs w:val="20"/>
                <w:color w:val="auto"/>
              </w:rPr>
            </w:pPr>
            <w:r>
              <w:rPr>
                <w:rFonts w:ascii="Arial" w:cs="Arial" w:eastAsia="Arial" w:hAnsi="Arial"/>
                <w:sz w:val="14"/>
                <w:szCs w:val="14"/>
                <w:color w:val="auto"/>
              </w:rPr>
              <w:t>due 10/2019)</w:t>
            </w:r>
          </w:p>
        </w:tc>
        <w:tc>
          <w:tcPr>
            <w:tcW w:w="1160" w:type="dxa"/>
            <w:vAlign w:val="bottom"/>
            <w:gridSpan w:val="2"/>
          </w:tcPr>
          <w:p>
            <w:pPr>
              <w:jc w:val="right"/>
              <w:ind w:right="400"/>
              <w:spacing w:after="0"/>
              <w:rPr>
                <w:sz w:val="20"/>
                <w:szCs w:val="20"/>
                <w:color w:val="auto"/>
              </w:rPr>
            </w:pPr>
            <w:r>
              <w:rPr>
                <w:rFonts w:ascii="Arial" w:cs="Arial" w:eastAsia="Arial" w:hAnsi="Arial"/>
                <w:sz w:val="14"/>
                <w:szCs w:val="14"/>
                <w:color w:val="auto"/>
              </w:rPr>
              <w:t>8.25%</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10/10/2014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41,179</w:t>
            </w:r>
          </w:p>
        </w:tc>
        <w:tc>
          <w:tcPr>
            <w:tcW w:w="8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41,685</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Transportation</w:t>
            </w:r>
          </w:p>
        </w:tc>
        <w:tc>
          <w:tcPr>
            <w:tcW w:w="32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tcPr>
          <w:p>
            <w:pPr>
              <w:spacing w:after="0" w:line="130" w:lineRule="exact"/>
              <w:rPr>
                <w:sz w:val="20"/>
                <w:szCs w:val="20"/>
                <w:color w:val="auto"/>
              </w:rPr>
            </w:pPr>
            <w:r>
              <w:rPr>
                <w:rFonts w:ascii="Arial" w:cs="Arial" w:eastAsia="Arial" w:hAnsi="Arial"/>
                <w:sz w:val="14"/>
                <w:szCs w:val="14"/>
                <w:color w:val="auto"/>
              </w:rPr>
              <w:t>Carrix, Inc.</w:t>
            </w:r>
            <w:r>
              <w:rPr>
                <w:rFonts w:ascii="Arial" w:cs="Arial" w:eastAsia="Arial" w:hAnsi="Arial"/>
                <w:sz w:val="12"/>
                <w:szCs w:val="12"/>
                <w:color w:val="auto"/>
              </w:rPr>
              <w:t>(3)</w:t>
            </w:r>
          </w:p>
        </w:tc>
        <w:tc>
          <w:tcPr>
            <w:tcW w:w="2280" w:type="dxa"/>
            <w:vAlign w:val="bottom"/>
            <w:gridSpan w:val="3"/>
          </w:tcPr>
          <w:p>
            <w:pPr>
              <w:ind w:left="320"/>
              <w:spacing w:after="0" w:line="130" w:lineRule="exact"/>
              <w:rPr>
                <w:sz w:val="20"/>
                <w:szCs w:val="20"/>
                <w:color w:val="auto"/>
              </w:rPr>
            </w:pPr>
            <w:r>
              <w:rPr>
                <w:rFonts w:ascii="Arial" w:cs="Arial" w:eastAsia="Arial" w:hAnsi="Arial"/>
                <w:sz w:val="14"/>
                <w:szCs w:val="14"/>
                <w:color w:val="auto"/>
              </w:rPr>
              <w:t>First-lien loan ($8,000 par,</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280" w:type="dxa"/>
            <w:vAlign w:val="bottom"/>
            <w:gridSpan w:val="3"/>
          </w:tcPr>
          <w:p>
            <w:pPr>
              <w:ind w:left="320"/>
              <w:spacing w:after="0"/>
              <w:rPr>
                <w:sz w:val="20"/>
                <w:szCs w:val="20"/>
                <w:color w:val="auto"/>
              </w:rPr>
            </w:pPr>
            <w:r>
              <w:rPr>
                <w:rFonts w:ascii="Arial" w:cs="Arial" w:eastAsia="Arial" w:hAnsi="Arial"/>
                <w:sz w:val="14"/>
                <w:szCs w:val="14"/>
                <w:color w:val="auto"/>
              </w:rPr>
              <w:t>due 1/2019)</w:t>
            </w:r>
          </w:p>
        </w:tc>
        <w:tc>
          <w:tcPr>
            <w:tcW w:w="1160" w:type="dxa"/>
            <w:vAlign w:val="bottom"/>
            <w:gridSpan w:val="2"/>
          </w:tcPr>
          <w:p>
            <w:pPr>
              <w:jc w:val="right"/>
              <w:ind w:right="400"/>
              <w:spacing w:after="0"/>
              <w:rPr>
                <w:sz w:val="20"/>
                <w:szCs w:val="20"/>
                <w:color w:val="auto"/>
              </w:rPr>
            </w:pPr>
            <w:r>
              <w:rPr>
                <w:rFonts w:ascii="Arial" w:cs="Arial" w:eastAsia="Arial" w:hAnsi="Arial"/>
                <w:sz w:val="14"/>
                <w:szCs w:val="14"/>
                <w:color w:val="auto"/>
              </w:rPr>
              <w:t>4.50%</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3/17/2015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7,440</w:t>
            </w:r>
          </w:p>
        </w:tc>
        <w:tc>
          <w:tcPr>
            <w:tcW w:w="8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7,387</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Kewill, Ltd.</w:t>
            </w:r>
            <w:r>
              <w:rPr>
                <w:rFonts w:ascii="Arial" w:cs="Arial" w:eastAsia="Arial" w:hAnsi="Arial"/>
                <w:sz w:val="12"/>
                <w:szCs w:val="12"/>
                <w:color w:val="auto"/>
              </w:rPr>
              <w:t>(3)(5)</w:t>
            </w:r>
          </w:p>
        </w:tc>
        <w:tc>
          <w:tcPr>
            <w:tcW w:w="2280" w:type="dxa"/>
            <w:vAlign w:val="bottom"/>
            <w:gridSpan w:val="3"/>
            <w:shd w:val="clear" w:color="auto" w:fill="CCEEFF"/>
          </w:tcPr>
          <w:p>
            <w:pPr>
              <w:ind w:left="320"/>
              <w:spacing w:after="0" w:line="130" w:lineRule="exact"/>
              <w:rPr>
                <w:sz w:val="20"/>
                <w:szCs w:val="20"/>
                <w:color w:val="auto"/>
              </w:rPr>
            </w:pPr>
            <w:r>
              <w:rPr>
                <w:rFonts w:ascii="Arial" w:cs="Arial" w:eastAsia="Arial" w:hAnsi="Arial"/>
                <w:sz w:val="14"/>
                <w:szCs w:val="14"/>
                <w:color w:val="auto"/>
              </w:rPr>
              <w:t>Second-lien loan ($62,500</w:t>
            </w:r>
          </w:p>
        </w:tc>
        <w:tc>
          <w:tcPr>
            <w:tcW w:w="7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shd w:val="clear" w:color="auto" w:fill="CCEEFF"/>
          </w:tcPr>
          <w:p>
            <w:pPr>
              <w:spacing w:after="0"/>
              <w:rPr>
                <w:sz w:val="14"/>
                <w:szCs w:val="14"/>
                <w:color w:val="auto"/>
              </w:rPr>
            </w:pP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par, due 10/2019)</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9.50%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10/2/2013</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61,473</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61,406</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Total Debt Investments</w:t>
            </w: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7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w w:val="89"/>
              </w:rPr>
              <w:t>1,324,521</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w w:val="89"/>
              </w:rPr>
              <w:t>1,316,527</w:t>
            </w:r>
          </w:p>
        </w:tc>
        <w:tc>
          <w:tcPr>
            <w:tcW w:w="400" w:type="dxa"/>
            <w:vAlign w:val="bottom"/>
            <w:vMerge w:val="continue"/>
          </w:tcPr>
          <w:p>
            <w:pPr>
              <w:spacing w:after="0"/>
              <w:rPr>
                <w:sz w:val="14"/>
                <w:szCs w:val="14"/>
                <w:color w:val="auto"/>
              </w:rPr>
            </w:pPr>
          </w:p>
        </w:tc>
        <w:tc>
          <w:tcPr>
            <w:tcW w:w="9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156.5%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Equity and Other Investments</w:t>
            </w:r>
          </w:p>
        </w:tc>
        <w:tc>
          <w:tcPr>
            <w:tcW w:w="32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Business services</w:t>
            </w:r>
          </w:p>
        </w:tc>
        <w:tc>
          <w:tcPr>
            <w:tcW w:w="3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Network Merchants, Inc</w:t>
            </w:r>
          </w:p>
        </w:tc>
        <w:tc>
          <w:tcPr>
            <w:tcW w:w="2280" w:type="dxa"/>
            <w:vAlign w:val="bottom"/>
            <w:gridSpan w:val="3"/>
            <w:shd w:val="clear" w:color="auto" w:fill="CCEEFF"/>
          </w:tcPr>
          <w:p>
            <w:pPr>
              <w:ind w:left="320"/>
              <w:spacing w:after="0" w:line="130" w:lineRule="exact"/>
              <w:rPr>
                <w:sz w:val="20"/>
                <w:szCs w:val="20"/>
                <w:color w:val="auto"/>
              </w:rPr>
            </w:pPr>
            <w:r>
              <w:rPr>
                <w:rFonts w:ascii="Arial" w:cs="Arial" w:eastAsia="Arial" w:hAnsi="Arial"/>
                <w:sz w:val="14"/>
                <w:szCs w:val="14"/>
                <w:color w:val="auto"/>
              </w:rPr>
              <w:t>Non-Voting Preferred Units</w:t>
            </w:r>
          </w:p>
        </w:tc>
        <w:tc>
          <w:tcPr>
            <w:tcW w:w="7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shd w:val="clear" w:color="auto" w:fill="CCEEFF"/>
          </w:tcPr>
          <w:p>
            <w:pPr>
              <w:spacing w:after="0"/>
              <w:rPr>
                <w:sz w:val="14"/>
                <w:szCs w:val="14"/>
                <w:color w:val="auto"/>
              </w:rPr>
            </w:pP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(774,099 units)</w:t>
            </w: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9/12/2013</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942</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Healthcare and pharmaceuticals</w:t>
            </w:r>
          </w:p>
        </w:tc>
        <w:tc>
          <w:tcPr>
            <w:tcW w:w="3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Global Healthcare Exchange, LLC</w:t>
            </w:r>
          </w:p>
        </w:tc>
        <w:tc>
          <w:tcPr>
            <w:tcW w:w="2280" w:type="dxa"/>
            <w:vAlign w:val="bottom"/>
            <w:gridSpan w:val="3"/>
            <w:shd w:val="clear" w:color="auto" w:fill="CCEEFF"/>
          </w:tcPr>
          <w:p>
            <w:pPr>
              <w:ind w:left="320"/>
              <w:spacing w:after="0" w:line="130" w:lineRule="exact"/>
              <w:rPr>
                <w:sz w:val="20"/>
                <w:szCs w:val="20"/>
                <w:color w:val="auto"/>
              </w:rPr>
            </w:pPr>
            <w:r>
              <w:rPr>
                <w:rFonts w:ascii="Arial" w:cs="Arial" w:eastAsia="Arial" w:hAnsi="Arial"/>
                <w:sz w:val="14"/>
                <w:szCs w:val="14"/>
                <w:color w:val="auto"/>
              </w:rPr>
              <w:t>Common Shares Class A</w:t>
            </w:r>
          </w:p>
        </w:tc>
        <w:tc>
          <w:tcPr>
            <w:tcW w:w="7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shd w:val="clear" w:color="auto" w:fill="CCEEFF"/>
          </w:tcPr>
          <w:p>
            <w:pPr>
              <w:spacing w:after="0"/>
              <w:rPr>
                <w:sz w:val="14"/>
                <w:szCs w:val="14"/>
                <w:color w:val="auto"/>
              </w:rPr>
            </w:pP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(598 shares)</w:t>
            </w: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3/11/2014</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515</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2280" w:type="dxa"/>
            <w:vAlign w:val="bottom"/>
            <w:gridSpan w:val="3"/>
          </w:tcPr>
          <w:p>
            <w:pPr>
              <w:ind w:left="320"/>
              <w:spacing w:after="0" w:line="130" w:lineRule="exact"/>
              <w:rPr>
                <w:sz w:val="20"/>
                <w:szCs w:val="20"/>
                <w:color w:val="auto"/>
              </w:rPr>
            </w:pPr>
            <w:r>
              <w:rPr>
                <w:rFonts w:ascii="Arial" w:cs="Arial" w:eastAsia="Arial" w:hAnsi="Arial"/>
                <w:sz w:val="14"/>
                <w:szCs w:val="14"/>
                <w:color w:val="auto"/>
              </w:rPr>
              <w:t>Common</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28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Shares Class B</w:t>
            </w: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280" w:type="dxa"/>
            <w:vAlign w:val="bottom"/>
            <w:gridSpan w:val="3"/>
          </w:tcPr>
          <w:p>
            <w:pPr>
              <w:ind w:left="320"/>
              <w:spacing w:after="0"/>
              <w:rPr>
                <w:sz w:val="20"/>
                <w:szCs w:val="20"/>
                <w:color w:val="auto"/>
              </w:rPr>
            </w:pPr>
            <w:r>
              <w:rPr>
                <w:rFonts w:ascii="Arial" w:cs="Arial" w:eastAsia="Arial" w:hAnsi="Arial"/>
                <w:sz w:val="14"/>
                <w:szCs w:val="14"/>
                <w:color w:val="auto"/>
              </w:rPr>
              <w:t>(196 shares)</w:t>
            </w: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3/11/2014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137</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151</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Helix Health, Ltd.</w:t>
            </w:r>
            <w:r>
              <w:rPr>
                <w:rFonts w:ascii="Arial" w:cs="Arial" w:eastAsia="Arial" w:hAnsi="Arial"/>
                <w:sz w:val="12"/>
                <w:szCs w:val="12"/>
                <w:color w:val="auto"/>
              </w:rPr>
              <w:t>(5)</w:t>
            </w:r>
          </w:p>
        </w:tc>
        <w:tc>
          <w:tcPr>
            <w:tcW w:w="228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Warrants</w:t>
            </w: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9/30/2014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877</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745</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tcPr>
          <w:p>
            <w:pPr>
              <w:spacing w:after="0" w:line="130" w:lineRule="exact"/>
              <w:rPr>
                <w:sz w:val="20"/>
                <w:szCs w:val="20"/>
                <w:color w:val="auto"/>
              </w:rPr>
            </w:pPr>
            <w:r>
              <w:rPr>
                <w:rFonts w:ascii="Arial" w:cs="Arial" w:eastAsia="Arial" w:hAnsi="Arial"/>
                <w:sz w:val="14"/>
                <w:szCs w:val="14"/>
                <w:color w:val="auto"/>
              </w:rPr>
              <w:t>SRS Parent Corp.</w:t>
            </w:r>
          </w:p>
        </w:tc>
        <w:tc>
          <w:tcPr>
            <w:tcW w:w="2280" w:type="dxa"/>
            <w:vAlign w:val="bottom"/>
            <w:gridSpan w:val="3"/>
          </w:tcPr>
          <w:p>
            <w:pPr>
              <w:ind w:left="320"/>
              <w:spacing w:after="0" w:line="130" w:lineRule="exact"/>
              <w:rPr>
                <w:sz w:val="20"/>
                <w:szCs w:val="20"/>
                <w:color w:val="auto"/>
              </w:rPr>
            </w:pPr>
            <w:r>
              <w:rPr>
                <w:rFonts w:ascii="Arial" w:cs="Arial" w:eastAsia="Arial" w:hAnsi="Arial"/>
                <w:sz w:val="14"/>
                <w:szCs w:val="14"/>
                <w:color w:val="auto"/>
              </w:rPr>
              <w:t>Common</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28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Shares Class A</w:t>
            </w: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280" w:type="dxa"/>
            <w:vAlign w:val="bottom"/>
            <w:gridSpan w:val="3"/>
          </w:tcPr>
          <w:p>
            <w:pPr>
              <w:ind w:left="320"/>
              <w:spacing w:after="0"/>
              <w:rPr>
                <w:sz w:val="20"/>
                <w:szCs w:val="20"/>
                <w:color w:val="auto"/>
              </w:rPr>
            </w:pPr>
            <w:r>
              <w:rPr>
                <w:rFonts w:ascii="Arial" w:cs="Arial" w:eastAsia="Arial" w:hAnsi="Arial"/>
                <w:sz w:val="14"/>
                <w:szCs w:val="14"/>
                <w:color w:val="auto"/>
              </w:rPr>
              <w:t>(1,980 shares)</w:t>
            </w: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12/28/2012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1,980</w:t>
            </w:r>
          </w:p>
        </w:tc>
        <w:tc>
          <w:tcPr>
            <w:tcW w:w="8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1,134</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shd w:val="clear" w:color="auto" w:fill="CCEEFF"/>
          </w:tcPr>
          <w:p>
            <w:pPr>
              <w:spacing w:after="0"/>
              <w:rPr>
                <w:sz w:val="11"/>
                <w:szCs w:val="11"/>
                <w:color w:val="auto"/>
              </w:rPr>
            </w:pPr>
          </w:p>
        </w:tc>
        <w:tc>
          <w:tcPr>
            <w:tcW w:w="2280" w:type="dxa"/>
            <w:vAlign w:val="bottom"/>
            <w:gridSpan w:val="3"/>
            <w:shd w:val="clear" w:color="auto" w:fill="CCEEFF"/>
          </w:tcPr>
          <w:p>
            <w:pPr>
              <w:ind w:left="320"/>
              <w:spacing w:after="0" w:line="130" w:lineRule="exact"/>
              <w:rPr>
                <w:sz w:val="20"/>
                <w:szCs w:val="20"/>
                <w:color w:val="auto"/>
              </w:rPr>
            </w:pPr>
            <w:r>
              <w:rPr>
                <w:rFonts w:ascii="Arial" w:cs="Arial" w:eastAsia="Arial" w:hAnsi="Arial"/>
                <w:sz w:val="14"/>
                <w:szCs w:val="14"/>
                <w:color w:val="auto"/>
              </w:rPr>
              <w:t>Common</w:t>
            </w:r>
          </w:p>
        </w:tc>
        <w:tc>
          <w:tcPr>
            <w:tcW w:w="7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rPr>
                <w:sz w:val="12"/>
                <w:szCs w:val="12"/>
                <w:color w:val="auto"/>
              </w:rPr>
            </w:pPr>
          </w:p>
        </w:tc>
        <w:tc>
          <w:tcPr>
            <w:tcW w:w="228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Shares Class B</w:t>
            </w: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shd w:val="clear" w:color="auto" w:fill="CCEEFF"/>
          </w:tcPr>
          <w:p>
            <w:pPr>
              <w:spacing w:after="0"/>
              <w:rPr>
                <w:sz w:val="14"/>
                <w:szCs w:val="14"/>
                <w:color w:val="auto"/>
              </w:rPr>
            </w:pP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(2,953,020 shares)</w:t>
            </w: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9"/>
              </w:rPr>
              <w:t>12/28/2012</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4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3,481</w:t>
            </w:r>
          </w:p>
        </w:tc>
        <w:tc>
          <w:tcPr>
            <w:tcW w:w="4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2,556</w:t>
            </w:r>
          </w:p>
        </w:tc>
        <w:tc>
          <w:tcPr>
            <w:tcW w:w="400" w:type="dxa"/>
            <w:vAlign w:val="bottom"/>
            <w:vMerge w:val="continue"/>
          </w:tcPr>
          <w:p>
            <w:pPr>
              <w:spacing w:after="0"/>
              <w:rPr>
                <w:sz w:val="14"/>
                <w:szCs w:val="14"/>
                <w:color w:val="auto"/>
              </w:rPr>
            </w:pPr>
          </w:p>
        </w:tc>
        <w:tc>
          <w:tcPr>
            <w:tcW w:w="9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Hotel, gaming, and leisure</w:t>
            </w:r>
          </w:p>
        </w:tc>
        <w:tc>
          <w:tcPr>
            <w:tcW w:w="32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IRG Sports &amp; Entertainment, LLC</w:t>
            </w:r>
          </w:p>
        </w:tc>
        <w:tc>
          <w:tcPr>
            <w:tcW w:w="2280" w:type="dxa"/>
            <w:vAlign w:val="bottom"/>
            <w:gridSpan w:val="3"/>
          </w:tcPr>
          <w:p>
            <w:pPr>
              <w:ind w:left="320"/>
              <w:spacing w:after="0"/>
              <w:rPr>
                <w:sz w:val="20"/>
                <w:szCs w:val="20"/>
                <w:color w:val="auto"/>
              </w:rPr>
            </w:pPr>
            <w:r>
              <w:rPr>
                <w:rFonts w:ascii="Arial" w:cs="Arial" w:eastAsia="Arial" w:hAnsi="Arial"/>
                <w:sz w:val="14"/>
                <w:szCs w:val="14"/>
                <w:color w:val="auto"/>
              </w:rPr>
              <w:t>Warrants</w:t>
            </w: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9/30/2014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1,494</w:t>
            </w:r>
          </w:p>
        </w:tc>
        <w:tc>
          <w:tcPr>
            <w:tcW w:w="80" w:type="dxa"/>
            <w:vAlign w:val="bottom"/>
          </w:tcPr>
          <w:p>
            <w:pPr>
              <w:spacing w:after="0"/>
              <w:rPr>
                <w:sz w:val="15"/>
                <w:szCs w:val="15"/>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762</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bl>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460" w:right="239" w:bottom="1440" w:gutter="0" w:footer="0" w:header="0"/>
        </w:sectPr>
      </w:pPr>
    </w:p>
    <w:bookmarkStart w:id="234" w:name="page235"/>
    <w:bookmarkEnd w:id="23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1700" w:type="dxa"/>
            <w:vAlign w:val="bottom"/>
          </w:tcPr>
          <w:p>
            <w:pPr>
              <w:ind w:left="520"/>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40" w:type="dxa"/>
            <w:vAlign w:val="bottom"/>
            <w:tcBorders>
              <w:top w:val="single" w:sz="8" w:color="auto"/>
            </w:tcBorders>
          </w:tcPr>
          <w:p>
            <w:pPr>
              <w:ind w:left="280"/>
              <w:spacing w:after="0" w:line="123" w:lineRule="exact"/>
              <w:rPr>
                <w:sz w:val="20"/>
                <w:szCs w:val="20"/>
                <w:color w:val="auto"/>
              </w:rPr>
            </w:pPr>
            <w:r>
              <w:rPr>
                <w:rFonts w:ascii="Arial" w:cs="Arial" w:eastAsia="Arial" w:hAnsi="Arial"/>
                <w:sz w:val="14"/>
                <w:szCs w:val="14"/>
                <w:b w:val="1"/>
                <w:bCs w:val="1"/>
                <w:color w:val="auto"/>
              </w:rPr>
              <w:t>Metals and mining</w:t>
            </w:r>
          </w:p>
        </w:tc>
        <w:tc>
          <w:tcPr>
            <w:tcW w:w="200" w:type="dxa"/>
            <w:vAlign w:val="bottom"/>
          </w:tcPr>
          <w:p>
            <w:pPr>
              <w:spacing w:after="0"/>
              <w:rPr>
                <w:sz w:val="10"/>
                <w:szCs w:val="10"/>
                <w:color w:val="auto"/>
              </w:rPr>
            </w:pPr>
          </w:p>
        </w:tc>
        <w:tc>
          <w:tcPr>
            <w:tcW w:w="17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660" w:type="dxa"/>
            <w:vAlign w:val="bottom"/>
            <w:gridSpan w:val="3"/>
          </w:tcPr>
          <w:p>
            <w:pPr>
              <w:spacing w:after="0" w:line="145" w:lineRule="exact"/>
              <w:rPr>
                <w:sz w:val="20"/>
                <w:szCs w:val="20"/>
                <w:color w:val="auto"/>
              </w:rPr>
            </w:pPr>
            <w:r>
              <w:rPr>
                <w:rFonts w:ascii="Arial" w:cs="Arial" w:eastAsia="Arial" w:hAnsi="Arial"/>
                <w:sz w:val="14"/>
                <w:szCs w:val="14"/>
                <w:color w:val="auto"/>
              </w:rPr>
              <w:t>Metalico, Inc.</w:t>
            </w:r>
          </w:p>
        </w:tc>
        <w:tc>
          <w:tcPr>
            <w:tcW w:w="1700" w:type="dxa"/>
            <w:vAlign w:val="bottom"/>
          </w:tcPr>
          <w:p>
            <w:pPr>
              <w:spacing w:after="0" w:line="145" w:lineRule="exact"/>
              <w:rPr>
                <w:sz w:val="20"/>
                <w:szCs w:val="20"/>
                <w:color w:val="auto"/>
              </w:rPr>
            </w:pPr>
            <w:r>
              <w:rPr>
                <w:rFonts w:ascii="Arial" w:cs="Arial" w:eastAsia="Arial" w:hAnsi="Arial"/>
                <w:sz w:val="14"/>
                <w:szCs w:val="14"/>
                <w:color w:val="auto"/>
              </w:rPr>
              <w:t>Warrants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64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Oil, gas and consumable fuels</w:t>
            </w: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60" w:type="dxa"/>
            <w:vAlign w:val="bottom"/>
            <w:gridSpan w:val="3"/>
          </w:tcPr>
          <w:p>
            <w:pPr>
              <w:spacing w:after="0" w:line="149" w:lineRule="exact"/>
              <w:rPr>
                <w:sz w:val="20"/>
                <w:szCs w:val="20"/>
                <w:color w:val="auto"/>
              </w:rPr>
            </w:pPr>
            <w:r>
              <w:rPr>
                <w:rFonts w:ascii="Arial" w:cs="Arial" w:eastAsia="Arial" w:hAnsi="Arial"/>
                <w:sz w:val="14"/>
                <w:szCs w:val="14"/>
                <w:color w:val="auto"/>
              </w:rPr>
              <w:t>Mississippi Resources, LLC</w:t>
            </w:r>
            <w:r>
              <w:rPr>
                <w:rFonts w:ascii="Arial" w:cs="Arial" w:eastAsia="Arial" w:hAnsi="Arial"/>
                <w:sz w:val="12"/>
                <w:szCs w:val="12"/>
                <w:color w:val="auto"/>
              </w:rPr>
              <w:t>(8)</w:t>
            </w:r>
          </w:p>
        </w:tc>
        <w:tc>
          <w:tcPr>
            <w:tcW w:w="1700" w:type="dxa"/>
            <w:vAlign w:val="bottom"/>
          </w:tcPr>
          <w:p>
            <w:pPr>
              <w:spacing w:after="0" w:line="149" w:lineRule="exact"/>
              <w:rPr>
                <w:sz w:val="20"/>
                <w:szCs w:val="20"/>
                <w:color w:val="auto"/>
              </w:rPr>
            </w:pPr>
            <w:r>
              <w:rPr>
                <w:rFonts w:ascii="Arial" w:cs="Arial" w:eastAsia="Arial" w:hAnsi="Arial"/>
                <w:sz w:val="14"/>
                <w:szCs w:val="14"/>
                <w:color w:val="auto"/>
                <w:w w:val="98"/>
              </w:rPr>
              <w:t>Class A Member Units (933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Other</w:t>
            </w:r>
          </w:p>
        </w:tc>
        <w:tc>
          <w:tcPr>
            <w:tcW w:w="1700" w:type="dxa"/>
            <w:vAlign w:val="bottom"/>
          </w:tcPr>
          <w:p>
            <w:pPr>
              <w:spacing w:after="0"/>
              <w:rPr>
                <w:sz w:val="20"/>
                <w:szCs w:val="20"/>
                <w:color w:val="auto"/>
              </w:rPr>
            </w:pPr>
            <w:r>
              <w:rPr>
                <w:rFonts w:ascii="Arial" w:cs="Arial" w:eastAsia="Arial" w:hAnsi="Arial"/>
                <w:sz w:val="14"/>
                <w:szCs w:val="14"/>
                <w:color w:val="auto"/>
              </w:rPr>
              <w:t>units)</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640" w:type="dxa"/>
            <w:vAlign w:val="bottom"/>
            <w:gridSpan w:val="2"/>
            <w:vMerge w:val="continue"/>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4660" w:type="dxa"/>
            <w:vAlign w:val="bottom"/>
            <w:gridSpan w:val="3"/>
          </w:tcPr>
          <w:p>
            <w:pPr>
              <w:spacing w:after="0"/>
              <w:rPr>
                <w:sz w:val="20"/>
                <w:szCs w:val="20"/>
                <w:color w:val="auto"/>
              </w:rPr>
            </w:pPr>
            <w:r>
              <w:rPr>
                <w:rFonts w:ascii="Arial" w:cs="Arial" w:eastAsia="Arial" w:hAnsi="Arial"/>
                <w:sz w:val="14"/>
                <w:szCs w:val="14"/>
                <w:color w:val="auto"/>
              </w:rPr>
              <w:t>Symphony</w:t>
            </w:r>
            <w:r>
              <w:rPr>
                <w:rFonts w:ascii="Arial" w:cs="Arial" w:eastAsia="Arial" w:hAnsi="Arial"/>
                <w:sz w:val="12"/>
                <w:szCs w:val="12"/>
                <w:color w:val="auto"/>
              </w:rPr>
              <w:t>(5)(7)</w:t>
            </w:r>
          </w:p>
        </w:tc>
        <w:tc>
          <w:tcPr>
            <w:tcW w:w="1700" w:type="dxa"/>
            <w:vAlign w:val="bottom"/>
          </w:tcPr>
          <w:p>
            <w:pPr>
              <w:spacing w:after="0"/>
              <w:rPr>
                <w:sz w:val="20"/>
                <w:szCs w:val="20"/>
                <w:color w:val="auto"/>
              </w:rPr>
            </w:pPr>
            <w:r>
              <w:rPr>
                <w:rFonts w:ascii="Arial" w:cs="Arial" w:eastAsia="Arial" w:hAnsi="Arial"/>
                <w:sz w:val="14"/>
                <w:szCs w:val="14"/>
                <w:color w:val="auto"/>
              </w:rPr>
              <w:t>Structured Product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-668020</wp:posOffset>
            </wp:positionV>
            <wp:extent cx="7246620" cy="1028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246620" cy="946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946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Initial</w:t>
            </w:r>
          </w:p>
        </w:tc>
        <w:tc>
          <w:tcPr>
            <w:tcW w:w="140" w:type="dxa"/>
            <w:vAlign w:val="bottom"/>
          </w:tcPr>
          <w:p>
            <w:pPr>
              <w:spacing w:after="0"/>
              <w:rPr>
                <w:sz w:val="14"/>
                <w:szCs w:val="14"/>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Fair</w:t>
            </w: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5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0"/>
              </w:rPr>
              <w:t>Interest</w:t>
            </w:r>
          </w:p>
        </w:tc>
        <w:tc>
          <w:tcPr>
            <w:tcW w:w="300" w:type="dxa"/>
            <w:vAlign w:val="bottom"/>
            <w:vMerge w:val="restart"/>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of Net Assets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11/21/2013</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1,343</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149</w:t>
            </w:r>
          </w:p>
        </w:tc>
        <w:tc>
          <w:tcPr>
            <w:tcW w:w="30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446"/>
        </w:trPr>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6/4/2014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8,874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4,505</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82"/>
        </w:trPr>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5.98%</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11/17/2014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5,544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5,552</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6360" w:space="220"/>
            <w:col w:w="48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8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8400" w:type="dxa"/>
            <w:vAlign w:val="bottom"/>
            <w:shd w:val="clear" w:color="auto" w:fill="CCEEFF"/>
          </w:tcPr>
          <w:p>
            <w:pPr>
              <w:ind w:left="300"/>
              <w:spacing w:after="0" w:line="136" w:lineRule="exact"/>
              <w:rPr>
                <w:sz w:val="20"/>
                <w:szCs w:val="20"/>
                <w:color w:val="auto"/>
              </w:rPr>
            </w:pPr>
            <w:r>
              <w:rPr>
                <w:rFonts w:ascii="Arial" w:cs="Arial" w:eastAsia="Arial" w:hAnsi="Arial"/>
                <w:sz w:val="14"/>
                <w:szCs w:val="14"/>
                <w:b w:val="1"/>
                <w:bCs w:val="1"/>
                <w:color w:val="auto"/>
              </w:rPr>
              <w:t>Total Equity and Other Investments</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21,516</w:t>
            </w: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4"/>
                <w:szCs w:val="14"/>
                <w:color w:val="auto"/>
              </w:rPr>
              <w:t>14,466</w:t>
            </w:r>
          </w:p>
        </w:tc>
        <w:tc>
          <w:tcPr>
            <w:tcW w:w="10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Arial" w:cs="Arial" w:eastAsia="Arial" w:hAnsi="Arial"/>
                <w:sz w:val="14"/>
                <w:szCs w:val="14"/>
                <w:b w:val="1"/>
                <w:bCs w:val="1"/>
                <w:color w:val="auto"/>
              </w:rPr>
              <w:t>Total Investments</w:t>
            </w:r>
          </w:p>
        </w:tc>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4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6"/>
              </w:rPr>
              <w:t>$ 1,346,037</w:t>
            </w:r>
          </w:p>
        </w:tc>
        <w:tc>
          <w:tcPr>
            <w:tcW w:w="2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9"/>
              </w:rPr>
              <w:t>$ 1,330,993</w:t>
            </w:r>
          </w:p>
        </w:tc>
        <w:tc>
          <w:tcPr>
            <w:tcW w:w="300" w:type="dxa"/>
            <w:vAlign w:val="bottom"/>
          </w:tcPr>
          <w:p>
            <w:pPr>
              <w:spacing w:after="0"/>
              <w:rPr>
                <w:sz w:val="13"/>
                <w:szCs w:val="13"/>
                <w:color w:val="auto"/>
              </w:rPr>
            </w:pPr>
          </w:p>
        </w:tc>
        <w:tc>
          <w:tcPr>
            <w:tcW w:w="106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158.2%</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hanging="332"/>
        <w:spacing w:after="0"/>
        <w:tabs>
          <w:tab w:leader="none" w:pos="340" w:val="left"/>
        </w:tabs>
        <w:numPr>
          <w:ilvl w:val="0"/>
          <w:numId w:val="162"/>
        </w:numPr>
        <w:rPr>
          <w:rFonts w:ascii="Arial" w:cs="Arial" w:eastAsia="Arial" w:hAnsi="Arial"/>
          <w:sz w:val="13"/>
          <w:szCs w:val="13"/>
          <w:color w:val="auto"/>
        </w:rPr>
      </w:pPr>
      <w:r>
        <w:rPr>
          <w:rFonts w:ascii="Arial" w:cs="Arial" w:eastAsia="Arial" w:hAnsi="Arial"/>
          <w:sz w:val="13"/>
          <w:szCs w:val="13"/>
          <w:color w:val="auto"/>
        </w:rPr>
        <w:t>Unless otherwise indicated, the Company’s portfolio companies are domiciled in the United States. Certain portfolio company investments are subject to contractual restrictions on sales.</w:t>
      </w:r>
    </w:p>
    <w:p>
      <w:pPr>
        <w:spacing w:after="0" w:line="11" w:lineRule="exact"/>
        <w:rPr>
          <w:rFonts w:ascii="Arial" w:cs="Arial" w:eastAsia="Arial" w:hAnsi="Arial"/>
          <w:sz w:val="13"/>
          <w:szCs w:val="13"/>
          <w:color w:val="auto"/>
        </w:rPr>
      </w:pPr>
    </w:p>
    <w:p>
      <w:pPr>
        <w:ind w:left="340" w:hanging="332"/>
        <w:spacing w:after="0" w:line="221" w:lineRule="auto"/>
        <w:tabs>
          <w:tab w:leader="none" w:pos="34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The amortized cost represents the original cost adjusted for the amortization of discounts and premiums, as applicable, on debt investments using the effective interest method.</w:t>
      </w:r>
    </w:p>
    <w:p>
      <w:pPr>
        <w:jc w:val="both"/>
        <w:ind w:left="340" w:right="100" w:hanging="332"/>
        <w:spacing w:after="0" w:line="221" w:lineRule="auto"/>
        <w:tabs>
          <w:tab w:leader="none" w:pos="34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the Company has provided the interest rate in effect on the date presented.</w:t>
      </w:r>
    </w:p>
    <w:p>
      <w:pPr>
        <w:ind w:left="340" w:right="120" w:hanging="332"/>
        <w:spacing w:after="0" w:line="221" w:lineRule="auto"/>
        <w:tabs>
          <w:tab w:leader="none" w:pos="34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The investment, or a portion thereof, is held within TPG SL SPV, LLC, a wholly-owned subsidiary of the Company, and is pledged as collateral supporting the amounts outstanding under the SPV Asset Facility (see Note 7).</w:t>
      </w:r>
    </w:p>
    <w:p>
      <w:pPr>
        <w:ind w:left="340" w:right="240" w:hanging="332"/>
        <w:spacing w:after="0" w:line="221" w:lineRule="auto"/>
        <w:tabs>
          <w:tab w:leader="none" w:pos="34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ind w:left="340" w:right="280" w:hanging="332"/>
        <w:spacing w:after="0" w:line="221" w:lineRule="auto"/>
        <w:tabs>
          <w:tab w:leader="none" w:pos="34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ind w:left="340" w:hanging="332"/>
        <w:spacing w:after="0" w:line="221" w:lineRule="auto"/>
        <w:tabs>
          <w:tab w:leader="none" w:pos="34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Contains a variable rate structure. Bears interest at a rate determined by three-month LIBOR.</w:t>
      </w:r>
    </w:p>
    <w:p>
      <w:pPr>
        <w:ind w:left="340" w:right="40" w:hanging="332"/>
        <w:spacing w:after="0" w:line="229" w:lineRule="auto"/>
        <w:tabs>
          <w:tab w:leader="none" w:pos="34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three months ended March 31, 2015 in which the issuer was an Affiliated Person of and was deemed to Control a portfolio company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 at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Realized</w:t>
            </w:r>
          </w:p>
        </w:tc>
        <w:tc>
          <w:tcPr>
            <w:tcW w:w="11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6"/>
              </w:rPr>
              <w:t>Fair Value at</w:t>
            </w:r>
          </w:p>
        </w:tc>
        <w:tc>
          <w:tcPr>
            <w:tcW w:w="4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4"/>
                <w:szCs w:val="14"/>
                <w:color w:val="auto"/>
              </w:rPr>
            </w:pPr>
          </w:p>
        </w:tc>
        <w:tc>
          <w:tcPr>
            <w:tcW w:w="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Additions</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Reductions</w:t>
            </w: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Gain/</w:t>
            </w:r>
          </w:p>
        </w:tc>
        <w:tc>
          <w:tcPr>
            <w:tcW w:w="10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March 31,</w:t>
            </w:r>
          </w:p>
        </w:tc>
        <w:tc>
          <w:tcPr>
            <w:tcW w:w="4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20" w:type="dxa"/>
            <w:vAlign w:val="bottom"/>
            <w:gridSpan w:val="2"/>
            <w:vMerge w:val="continue"/>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14"/>
                <w:szCs w:val="14"/>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(b)</w:t>
            </w:r>
          </w:p>
        </w:tc>
        <w:tc>
          <w:tcPr>
            <w:tcW w:w="9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Gain/(Loss)</w:t>
            </w:r>
          </w:p>
        </w:tc>
        <w:tc>
          <w:tcPr>
            <w:tcW w:w="8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(Losses)</w:t>
            </w:r>
          </w:p>
        </w:tc>
        <w:tc>
          <w:tcPr>
            <w:tcW w:w="100" w:type="dxa"/>
            <w:vAlign w:val="bottom"/>
          </w:tcPr>
          <w:p>
            <w:pPr>
              <w:spacing w:after="0"/>
              <w:rPr>
                <w:sz w:val="14"/>
                <w:szCs w:val="14"/>
                <w:color w:val="auto"/>
              </w:rPr>
            </w:pPr>
          </w:p>
        </w:tc>
        <w:tc>
          <w:tcPr>
            <w:tcW w:w="82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Pr>
          <w:p>
            <w:pPr>
              <w:spacing w:after="0"/>
              <w:rPr>
                <w:sz w:val="14"/>
                <w:szCs w:val="14"/>
                <w:color w:val="auto"/>
              </w:rPr>
            </w:pP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89"/>
              </w:rPr>
              <w:t>Income</w:t>
            </w:r>
          </w:p>
        </w:tc>
        <w:tc>
          <w:tcPr>
            <w:tcW w:w="200" w:type="dxa"/>
            <w:vAlign w:val="bottom"/>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42"/>
        </w:trPr>
        <w:tc>
          <w:tcPr>
            <w:tcW w:w="6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85"/>
              </w:rPr>
              <w:t>Mississippi</w:t>
            </w:r>
          </w:p>
        </w:tc>
        <w:tc>
          <w:tcPr>
            <w:tcW w:w="3520" w:type="dxa"/>
            <w:vAlign w:val="bottom"/>
            <w:tcBorders>
              <w:top w:val="single" w:sz="8" w:color="CCEEFF"/>
            </w:tcBorders>
            <w:shd w:val="clear" w:color="auto" w:fill="CCEEFF"/>
          </w:tcPr>
          <w:p>
            <w:pPr>
              <w:ind w:left="100"/>
              <w:spacing w:after="0" w:line="142" w:lineRule="exact"/>
              <w:rPr>
                <w:sz w:val="20"/>
                <w:szCs w:val="20"/>
                <w:color w:val="auto"/>
              </w:rPr>
            </w:pPr>
            <w:r>
              <w:rPr>
                <w:rFonts w:ascii="Arial" w:cs="Arial" w:eastAsia="Arial" w:hAnsi="Arial"/>
                <w:sz w:val="14"/>
                <w:szCs w:val="14"/>
                <w:color w:val="auto"/>
              </w:rPr>
              <w:t>Resources, LLC</w:t>
            </w: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41,636</w:t>
            </w: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3,220</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w:t>
            </w:r>
          </w:p>
        </w:tc>
        <w:tc>
          <w:tcPr>
            <w:tcW w:w="2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ind w:right="168"/>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605</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ind w:left="500"/>
              <w:spacing w:after="0" w:line="142" w:lineRule="exact"/>
              <w:rPr>
                <w:sz w:val="20"/>
                <w:szCs w:val="20"/>
                <w:color w:val="auto"/>
              </w:rPr>
            </w:pPr>
            <w:r>
              <w:rPr>
                <w:rFonts w:ascii="Arial" w:cs="Arial" w:eastAsia="Arial" w:hAnsi="Arial"/>
                <w:sz w:val="14"/>
                <w:szCs w:val="14"/>
                <w:color w:val="auto"/>
                <w:w w:val="85"/>
              </w:rPr>
              <w:t>—</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45,370</w:t>
            </w: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57</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1,417</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41,636</w:t>
            </w:r>
          </w:p>
        </w:tc>
        <w:tc>
          <w:tcPr>
            <w:tcW w:w="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3,220</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(91)</w:t>
            </w:r>
          </w:p>
        </w:tc>
        <w:tc>
          <w:tcPr>
            <w:tcW w:w="200" w:type="dxa"/>
            <w:vAlign w:val="bottom"/>
          </w:tcPr>
          <w:p>
            <w:pPr>
              <w:spacing w:after="0"/>
              <w:rPr>
                <w:sz w:val="13"/>
                <w:szCs w:val="13"/>
                <w:color w:val="auto"/>
              </w:rPr>
            </w:pPr>
          </w:p>
        </w:tc>
        <w:tc>
          <w:tcPr>
            <w:tcW w:w="50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5"/>
              </w:rPr>
              <w:t>605</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auto"/>
            </w:tcBorders>
          </w:tcPr>
          <w:p>
            <w:pPr>
              <w:ind w:left="500"/>
              <w:spacing w:after="0" w:line="155" w:lineRule="exact"/>
              <w:rPr>
                <w:sz w:val="20"/>
                <w:szCs w:val="20"/>
                <w:color w:val="auto"/>
              </w:rPr>
            </w:pPr>
            <w:r>
              <w:rPr>
                <w:rFonts w:ascii="Arial" w:cs="Arial" w:eastAsia="Arial" w:hAnsi="Arial"/>
                <w:sz w:val="14"/>
                <w:szCs w:val="14"/>
                <w:b w:val="1"/>
                <w:bCs w:val="1"/>
                <w:color w:val="auto"/>
                <w:w w:val="85"/>
              </w:rPr>
              <w:t>—</w:t>
            </w:r>
          </w:p>
        </w:tc>
        <w:tc>
          <w:tcPr>
            <w:tcW w:w="2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45,370</w:t>
            </w:r>
          </w:p>
        </w:tc>
        <w:tc>
          <w:tcPr>
            <w:tcW w:w="180" w:type="dxa"/>
            <w:vAlign w:val="bottom"/>
          </w:tcPr>
          <w:p>
            <w:pPr>
              <w:spacing w:after="0"/>
              <w:rPr>
                <w:sz w:val="13"/>
                <w:szCs w:val="13"/>
                <w:color w:val="auto"/>
              </w:rPr>
            </w:pPr>
          </w:p>
        </w:tc>
        <w:tc>
          <w:tcPr>
            <w:tcW w:w="2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57</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1,417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60" w:hanging="332"/>
        <w:spacing w:after="0" w:line="230" w:lineRule="auto"/>
        <w:tabs>
          <w:tab w:leader="none" w:pos="34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Gross additions include increases in the cost basis of investments resulting from new investments, payment-in-kind interest or dividends, the amortization of any unearned income or discounts on debt investments, as applicable.</w:t>
      </w:r>
    </w:p>
    <w:p>
      <w:pPr>
        <w:ind w:left="340" w:right="60" w:hanging="332"/>
        <w:spacing w:after="0" w:line="237" w:lineRule="auto"/>
        <w:tabs>
          <w:tab w:leader="none" w:pos="34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Gross reductions include decreases in the cost basis of investments resulting from principal collections related to investment repayments or sales, and the amortization of any discounts on debt investments,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459" w:right="239" w:bottom="1440" w:gutter="0" w:footer="0" w:header="0"/>
          <w:type w:val="continuous"/>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as of December 31, 2014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Initial</w:t>
            </w: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4"/>
                <w:szCs w:val="14"/>
                <w:color w:val="auto"/>
              </w:rPr>
            </w:pPr>
          </w:p>
        </w:tc>
        <w:tc>
          <w:tcPr>
            <w:tcW w:w="8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Fair</w:t>
            </w: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4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186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Investment</w:t>
            </w: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Interest</w:t>
            </w: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20" w:type="dxa"/>
            <w:vAlign w:val="bottom"/>
            <w:gridSpan w:val="2"/>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Cost</w:t>
            </w:r>
            <w:r>
              <w:rPr>
                <w:rFonts w:ascii="Arial" w:cs="Arial" w:eastAsia="Arial" w:hAnsi="Arial"/>
                <w:sz w:val="12"/>
                <w:szCs w:val="12"/>
                <w:b w:val="1"/>
                <w:bCs w:val="1"/>
                <w:color w:val="auto"/>
                <w:w w:val="91"/>
              </w:rPr>
              <w:t>(2)</w:t>
            </w:r>
          </w:p>
        </w:tc>
        <w:tc>
          <w:tcPr>
            <w:tcW w:w="16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Value</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142"/>
        </w:trPr>
        <w:tc>
          <w:tcPr>
            <w:tcW w:w="45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Debt Investments</w:t>
            </w:r>
          </w:p>
        </w:tc>
        <w:tc>
          <w:tcPr>
            <w:tcW w:w="200" w:type="dxa"/>
            <w:vAlign w:val="bottom"/>
            <w:tcBorders>
              <w:top w:val="single" w:sz="8" w:color="CCEEFF"/>
            </w:tcBorders>
            <w:shd w:val="clear" w:color="auto" w:fill="CCEEFF"/>
          </w:tcPr>
          <w:p>
            <w:pPr>
              <w:spacing w:after="0"/>
              <w:rPr>
                <w:sz w:val="12"/>
                <w:szCs w:val="12"/>
                <w:color w:val="auto"/>
              </w:rPr>
            </w:pPr>
          </w:p>
        </w:tc>
        <w:tc>
          <w:tcPr>
            <w:tcW w:w="16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Automotive</w:t>
            </w:r>
          </w:p>
        </w:tc>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Heartland Automotive Holdings, LLC</w:t>
            </w:r>
            <w:r>
              <w:rPr>
                <w:rFonts w:ascii="Arial" w:cs="Arial" w:eastAsia="Arial" w:hAnsi="Arial"/>
                <w:sz w:val="12"/>
                <w:szCs w:val="12"/>
                <w:color w:val="auto"/>
              </w:rPr>
              <w:t>(3)(4)</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($32,826 par,</w:t>
            </w: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6/2017)</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9.75%</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8/28/2012</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32,340</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$ 30,447</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30"/>
        </w:trPr>
        <w:tc>
          <w:tcPr>
            <w:tcW w:w="4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60" w:type="dxa"/>
            <w:vAlign w:val="bottom"/>
            <w:gridSpan w:val="2"/>
          </w:tcPr>
          <w:p>
            <w:pPr>
              <w:spacing w:after="0" w:line="130" w:lineRule="exact"/>
              <w:rPr>
                <w:sz w:val="20"/>
                <w:szCs w:val="20"/>
                <w:color w:val="auto"/>
              </w:rPr>
            </w:pPr>
            <w:r>
              <w:rPr>
                <w:rFonts w:ascii="Arial" w:cs="Arial" w:eastAsia="Arial" w:hAnsi="Arial"/>
                <w:sz w:val="14"/>
                <w:szCs w:val="14"/>
                <w:color w:val="auto"/>
              </w:rPr>
              <w:t>First-lien revolving loan</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Arial" w:cs="Arial" w:eastAsia="Arial" w:hAnsi="Arial"/>
                <w:sz w:val="14"/>
                <w:szCs w:val="14"/>
                <w:color w:val="auto"/>
              </w:rPr>
              <w:t>($4,500 par, due 6/2017)</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10.75%</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8/28/2012</w:t>
            </w:r>
          </w:p>
        </w:tc>
        <w:tc>
          <w:tcPr>
            <w:tcW w:w="660" w:type="dxa"/>
            <w:vAlign w:val="bottom"/>
          </w:tcPr>
          <w:p>
            <w:pPr>
              <w:jc w:val="right"/>
              <w:spacing w:after="0"/>
              <w:rPr>
                <w:sz w:val="20"/>
                <w:szCs w:val="20"/>
                <w:color w:val="auto"/>
              </w:rPr>
            </w:pPr>
            <w:r>
              <w:rPr>
                <w:rFonts w:ascii="Arial" w:cs="Arial" w:eastAsia="Arial" w:hAnsi="Arial"/>
                <w:sz w:val="14"/>
                <w:szCs w:val="14"/>
                <w:color w:val="auto"/>
              </w:rPr>
              <w:t>4,421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4,097</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36,761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34,544</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56"/>
        </w:trPr>
        <w:tc>
          <w:tcPr>
            <w:tcW w:w="4720" w:type="dxa"/>
            <w:vAlign w:val="bottom"/>
            <w:gridSpan w:val="2"/>
          </w:tcPr>
          <w:p>
            <w:pPr>
              <w:ind w:left="300"/>
              <w:spacing w:after="0" w:line="155" w:lineRule="exact"/>
              <w:rPr>
                <w:sz w:val="20"/>
                <w:szCs w:val="20"/>
                <w:color w:val="auto"/>
              </w:rPr>
            </w:pPr>
            <w:r>
              <w:rPr>
                <w:rFonts w:ascii="Arial" w:cs="Arial" w:eastAsia="Arial" w:hAnsi="Arial"/>
                <w:sz w:val="14"/>
                <w:szCs w:val="14"/>
                <w:b w:val="1"/>
                <w:bCs w:val="1"/>
                <w:color w:val="auto"/>
              </w:rPr>
              <w:t>Beverage, food and tobacco</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AFS Technologies, Inc.</w:t>
            </w:r>
            <w:r>
              <w:rPr>
                <w:rFonts w:ascii="Arial" w:cs="Arial" w:eastAsia="Arial" w:hAnsi="Arial"/>
                <w:sz w:val="12"/>
                <w:szCs w:val="12"/>
                <w:color w:val="auto"/>
              </w:rPr>
              <w:t>(3)(4)(6)</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($64,399 par,</w:t>
            </w: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3/2020)</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6.25%</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3/3/2014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63,102</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63,111</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30"/>
        </w:trPr>
        <w:tc>
          <w:tcPr>
            <w:tcW w:w="4720" w:type="dxa"/>
            <w:vAlign w:val="bottom"/>
            <w:gridSpan w:val="2"/>
          </w:tcPr>
          <w:p>
            <w:pPr>
              <w:spacing w:after="0" w:line="130" w:lineRule="exact"/>
              <w:rPr>
                <w:sz w:val="20"/>
                <w:szCs w:val="20"/>
                <w:color w:val="auto"/>
              </w:rPr>
            </w:pPr>
            <w:r>
              <w:rPr>
                <w:rFonts w:ascii="Arial" w:cs="Arial" w:eastAsia="Arial" w:hAnsi="Arial"/>
                <w:sz w:val="14"/>
                <w:szCs w:val="14"/>
                <w:color w:val="auto"/>
              </w:rPr>
              <w:t>Great Atlantic &amp; Pacific Tea Co. Inc.</w:t>
            </w:r>
            <w:r>
              <w:rPr>
                <w:rFonts w:ascii="Arial" w:cs="Arial" w:eastAsia="Arial" w:hAnsi="Arial"/>
                <w:sz w:val="12"/>
                <w:szCs w:val="12"/>
                <w:color w:val="auto"/>
              </w:rPr>
              <w:t>(3)(4)</w:t>
            </w:r>
          </w:p>
        </w:tc>
        <w:tc>
          <w:tcPr>
            <w:tcW w:w="1860" w:type="dxa"/>
            <w:vAlign w:val="bottom"/>
            <w:gridSpan w:val="2"/>
          </w:tcPr>
          <w:p>
            <w:pPr>
              <w:spacing w:after="0" w:line="130" w:lineRule="exact"/>
              <w:rPr>
                <w:sz w:val="20"/>
                <w:szCs w:val="20"/>
                <w:color w:val="auto"/>
              </w:rPr>
            </w:pPr>
            <w:r>
              <w:rPr>
                <w:rFonts w:ascii="Arial" w:cs="Arial" w:eastAsia="Arial" w:hAnsi="Arial"/>
                <w:sz w:val="14"/>
                <w:szCs w:val="14"/>
                <w:color w:val="auto"/>
              </w:rPr>
              <w:t>First-lien loan ($22,787 par,</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Arial" w:cs="Arial" w:eastAsia="Arial" w:hAnsi="Arial"/>
                <w:sz w:val="14"/>
                <w:szCs w:val="14"/>
                <w:color w:val="auto"/>
              </w:rPr>
              <w:t>due 9/2019)</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9.85%</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9/17/2014</w:t>
            </w:r>
          </w:p>
        </w:tc>
        <w:tc>
          <w:tcPr>
            <w:tcW w:w="660" w:type="dxa"/>
            <w:vAlign w:val="bottom"/>
          </w:tcPr>
          <w:p>
            <w:pPr>
              <w:jc w:val="right"/>
              <w:spacing w:after="0"/>
              <w:rPr>
                <w:sz w:val="20"/>
                <w:szCs w:val="20"/>
                <w:color w:val="auto"/>
              </w:rPr>
            </w:pPr>
            <w:r>
              <w:rPr>
                <w:rFonts w:ascii="Arial" w:cs="Arial" w:eastAsia="Arial" w:hAnsi="Arial"/>
                <w:sz w:val="14"/>
                <w:szCs w:val="14"/>
                <w:color w:val="auto"/>
              </w:rPr>
              <w:t>22,426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22,274</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85,528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85,385</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56"/>
        </w:trPr>
        <w:tc>
          <w:tcPr>
            <w:tcW w:w="4720" w:type="dxa"/>
            <w:vAlign w:val="bottom"/>
            <w:gridSpan w:val="2"/>
          </w:tcPr>
          <w:p>
            <w:pPr>
              <w:ind w:left="300"/>
              <w:spacing w:after="0" w:line="155" w:lineRule="exact"/>
              <w:rPr>
                <w:sz w:val="20"/>
                <w:szCs w:val="20"/>
                <w:color w:val="auto"/>
              </w:rPr>
            </w:pPr>
            <w:r>
              <w:rPr>
                <w:rFonts w:ascii="Arial" w:cs="Arial" w:eastAsia="Arial" w:hAnsi="Arial"/>
                <w:sz w:val="14"/>
                <w:szCs w:val="14"/>
                <w:b w:val="1"/>
                <w:bCs w:val="1"/>
                <w:color w:val="auto"/>
              </w:rPr>
              <w:t>Business services</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Actian Corporation</w:t>
            </w:r>
            <w:r>
              <w:rPr>
                <w:rFonts w:ascii="Arial" w:cs="Arial" w:eastAsia="Arial" w:hAnsi="Arial"/>
                <w:sz w:val="12"/>
                <w:szCs w:val="12"/>
                <w:color w:val="auto"/>
              </w:rPr>
              <w:t>(3)(4)(6)</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($63,933 par,</w:t>
            </w: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4/2018)</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7.50%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4/11/2013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62,282</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63,933</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30"/>
        </w:trPr>
        <w:tc>
          <w:tcPr>
            <w:tcW w:w="4720" w:type="dxa"/>
            <w:vAlign w:val="bottom"/>
            <w:gridSpan w:val="2"/>
          </w:tcPr>
          <w:p>
            <w:pPr>
              <w:spacing w:after="0" w:line="130" w:lineRule="exact"/>
              <w:rPr>
                <w:sz w:val="20"/>
                <w:szCs w:val="20"/>
                <w:color w:val="auto"/>
              </w:rPr>
            </w:pPr>
            <w:r>
              <w:rPr>
                <w:rFonts w:ascii="Arial" w:cs="Arial" w:eastAsia="Arial" w:hAnsi="Arial"/>
                <w:sz w:val="14"/>
                <w:szCs w:val="14"/>
                <w:color w:val="auto"/>
              </w:rPr>
              <w:t>Leaf US Holdings, Inc.</w:t>
            </w:r>
            <w:r>
              <w:rPr>
                <w:rFonts w:ascii="Arial" w:cs="Arial" w:eastAsia="Arial" w:hAnsi="Arial"/>
                <w:sz w:val="12"/>
                <w:szCs w:val="12"/>
                <w:color w:val="auto"/>
              </w:rPr>
              <w:t>(3)(4)(5)</w:t>
            </w:r>
          </w:p>
        </w:tc>
        <w:tc>
          <w:tcPr>
            <w:tcW w:w="1860" w:type="dxa"/>
            <w:vAlign w:val="bottom"/>
            <w:gridSpan w:val="2"/>
          </w:tcPr>
          <w:p>
            <w:pPr>
              <w:spacing w:after="0" w:line="130" w:lineRule="exact"/>
              <w:rPr>
                <w:sz w:val="20"/>
                <w:szCs w:val="20"/>
                <w:color w:val="auto"/>
              </w:rPr>
            </w:pPr>
            <w:r>
              <w:rPr>
                <w:rFonts w:ascii="Arial" w:cs="Arial" w:eastAsia="Arial" w:hAnsi="Arial"/>
                <w:sz w:val="14"/>
                <w:szCs w:val="14"/>
                <w:color w:val="auto"/>
              </w:rPr>
              <w:t>First-lien loan ($16,418 par,</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Arial" w:cs="Arial" w:eastAsia="Arial" w:hAnsi="Arial"/>
                <w:sz w:val="14"/>
                <w:szCs w:val="14"/>
                <w:color w:val="auto"/>
              </w:rPr>
              <w:t>due 6/2019)</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7.50%</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6/30/2014</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16,077</w:t>
            </w:r>
          </w:p>
        </w:tc>
        <w:tc>
          <w:tcPr>
            <w:tcW w:w="1000" w:type="dxa"/>
            <w:vAlign w:val="bottom"/>
            <w:gridSpan w:val="3"/>
          </w:tcPr>
          <w:p>
            <w:pPr>
              <w:jc w:val="right"/>
              <w:ind w:right="300"/>
              <w:spacing w:after="0"/>
              <w:rPr>
                <w:sz w:val="20"/>
                <w:szCs w:val="20"/>
                <w:color w:val="auto"/>
              </w:rPr>
            </w:pPr>
            <w:r>
              <w:rPr>
                <w:rFonts w:ascii="Arial" w:cs="Arial" w:eastAsia="Arial" w:hAnsi="Arial"/>
                <w:sz w:val="14"/>
                <w:szCs w:val="14"/>
                <w:color w:val="auto"/>
              </w:rPr>
              <w:t>16,003</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30"/>
        </w:trPr>
        <w:tc>
          <w:tcPr>
            <w:tcW w:w="4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Network Merchants, Inc</w:t>
            </w:r>
            <w:r>
              <w:rPr>
                <w:rFonts w:ascii="Arial" w:cs="Arial" w:eastAsia="Arial" w:hAnsi="Arial"/>
                <w:sz w:val="12"/>
                <w:szCs w:val="12"/>
                <w:color w:val="auto"/>
              </w:rPr>
              <w:t>(3)(4)</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($29,659 par,</w:t>
            </w: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9/2018)</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8.75%</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9/12/2013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29,204</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29,506</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30"/>
        </w:trPr>
        <w:tc>
          <w:tcPr>
            <w:tcW w:w="4720" w:type="dxa"/>
            <w:vAlign w:val="bottom"/>
            <w:gridSpan w:val="2"/>
          </w:tcPr>
          <w:p>
            <w:pPr>
              <w:spacing w:after="0" w:line="130" w:lineRule="exact"/>
              <w:rPr>
                <w:sz w:val="20"/>
                <w:szCs w:val="20"/>
                <w:color w:val="auto"/>
              </w:rPr>
            </w:pPr>
            <w:r>
              <w:rPr>
                <w:rFonts w:ascii="Arial" w:cs="Arial" w:eastAsia="Arial" w:hAnsi="Arial"/>
                <w:sz w:val="14"/>
                <w:szCs w:val="14"/>
                <w:color w:val="auto"/>
              </w:rPr>
              <w:t>ScentAir Technologies, Inc</w:t>
            </w:r>
            <w:r>
              <w:rPr>
                <w:rFonts w:ascii="Arial" w:cs="Arial" w:eastAsia="Arial" w:hAnsi="Arial"/>
                <w:sz w:val="12"/>
                <w:szCs w:val="12"/>
                <w:color w:val="auto"/>
              </w:rPr>
              <w:t>(3)(4)</w:t>
            </w:r>
          </w:p>
        </w:tc>
        <w:tc>
          <w:tcPr>
            <w:tcW w:w="1860" w:type="dxa"/>
            <w:vAlign w:val="bottom"/>
            <w:gridSpan w:val="2"/>
          </w:tcPr>
          <w:p>
            <w:pPr>
              <w:spacing w:after="0" w:line="130" w:lineRule="exact"/>
              <w:rPr>
                <w:sz w:val="20"/>
                <w:szCs w:val="20"/>
                <w:color w:val="auto"/>
              </w:rPr>
            </w:pPr>
            <w:r>
              <w:rPr>
                <w:rFonts w:ascii="Arial" w:cs="Arial" w:eastAsia="Arial" w:hAnsi="Arial"/>
                <w:sz w:val="14"/>
                <w:szCs w:val="14"/>
                <w:color w:val="auto"/>
              </w:rPr>
              <w:t>First-lien loan ($16,071 par,</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Arial" w:cs="Arial" w:eastAsia="Arial" w:hAnsi="Arial"/>
                <w:sz w:val="14"/>
                <w:szCs w:val="14"/>
                <w:color w:val="auto"/>
              </w:rPr>
              <w:t>due 12/2019)</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7.50%</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12/30/2014</w:t>
            </w:r>
          </w:p>
        </w:tc>
        <w:tc>
          <w:tcPr>
            <w:tcW w:w="660" w:type="dxa"/>
            <w:vAlign w:val="bottom"/>
          </w:tcPr>
          <w:p>
            <w:pPr>
              <w:jc w:val="right"/>
              <w:spacing w:after="0"/>
              <w:rPr>
                <w:sz w:val="20"/>
                <w:szCs w:val="20"/>
                <w:color w:val="auto"/>
              </w:rPr>
            </w:pPr>
            <w:r>
              <w:rPr>
                <w:rFonts w:ascii="Arial" w:cs="Arial" w:eastAsia="Arial" w:hAnsi="Arial"/>
                <w:sz w:val="14"/>
                <w:szCs w:val="14"/>
                <w:color w:val="auto"/>
              </w:rPr>
              <w:t>15,628</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15,621</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123,191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125,063</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56"/>
        </w:trPr>
        <w:tc>
          <w:tcPr>
            <w:tcW w:w="4720" w:type="dxa"/>
            <w:vAlign w:val="bottom"/>
            <w:gridSpan w:val="2"/>
          </w:tcPr>
          <w:p>
            <w:pPr>
              <w:ind w:left="300"/>
              <w:spacing w:after="0" w:line="155" w:lineRule="exact"/>
              <w:rPr>
                <w:sz w:val="20"/>
                <w:szCs w:val="20"/>
                <w:color w:val="auto"/>
              </w:rPr>
            </w:pPr>
            <w:r>
              <w:rPr>
                <w:rFonts w:ascii="Arial" w:cs="Arial" w:eastAsia="Arial" w:hAnsi="Arial"/>
                <w:sz w:val="14"/>
                <w:szCs w:val="14"/>
                <w:b w:val="1"/>
                <w:bCs w:val="1"/>
                <w:color w:val="auto"/>
              </w:rPr>
              <w:t>Chemicals</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Vertellus Specialties, Inc.</w:t>
            </w:r>
            <w:r>
              <w:rPr>
                <w:rFonts w:ascii="Arial" w:cs="Arial" w:eastAsia="Arial" w:hAnsi="Arial"/>
                <w:sz w:val="12"/>
                <w:szCs w:val="12"/>
                <w:color w:val="auto"/>
              </w:rPr>
              <w:t>(3)(4)</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($19,950 par,</w:t>
            </w: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10/2019)</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10.50%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w w:val="99"/>
              </w:rPr>
              <w:t>10/31/2014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19,267</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18,753</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472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Communications</w:t>
            </w:r>
          </w:p>
        </w:tc>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IPC Systems, Inc.</w:t>
            </w:r>
            <w:r>
              <w:rPr>
                <w:rFonts w:ascii="Arial" w:cs="Arial" w:eastAsia="Arial" w:hAnsi="Arial"/>
                <w:sz w:val="12"/>
                <w:szCs w:val="12"/>
                <w:color w:val="auto"/>
              </w:rPr>
              <w:t>(3)(4)</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Second-lien loan ($17,000</w:t>
            </w: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par, due 5/2021)</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9.50%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5/2/2014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16,935</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17,680</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472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Containers and packaging</w:t>
            </w:r>
          </w:p>
        </w:tc>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The Newark Group, Inc.</w:t>
            </w:r>
            <w:r>
              <w:rPr>
                <w:rFonts w:ascii="Arial" w:cs="Arial" w:eastAsia="Arial" w:hAnsi="Arial"/>
                <w:sz w:val="12"/>
                <w:szCs w:val="12"/>
                <w:color w:val="auto"/>
              </w:rPr>
              <w:t>(3)(4)</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($39,240 par,</w:t>
            </w: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2/2018)</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8.50%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2/8/2013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38,984</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40,025</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472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Education</w:t>
            </w:r>
          </w:p>
        </w:tc>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Campus Management, Inc.</w:t>
            </w:r>
            <w:r>
              <w:rPr>
                <w:rFonts w:ascii="Arial" w:cs="Arial" w:eastAsia="Arial" w:hAnsi="Arial"/>
                <w:sz w:val="12"/>
                <w:szCs w:val="12"/>
                <w:color w:val="auto"/>
              </w:rPr>
              <w:t>(3)(4)(6)</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($28,125 par,</w:t>
            </w: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9/2018)</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8.75%</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9/30/2013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27,576</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27,914</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472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Electronics</w:t>
            </w:r>
          </w:p>
        </w:tc>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MyAlarm Center, LLC</w:t>
            </w:r>
            <w:r>
              <w:rPr>
                <w:rFonts w:ascii="Arial" w:cs="Arial" w:eastAsia="Arial" w:hAnsi="Arial"/>
                <w:sz w:val="12"/>
                <w:szCs w:val="12"/>
                <w:color w:val="auto"/>
              </w:rPr>
              <w:t>(3)(4)</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($61,861 par,</w:t>
            </w: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1/2018)</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8.50%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1/9/2014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61,013</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60,893</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30"/>
        </w:trPr>
        <w:tc>
          <w:tcPr>
            <w:tcW w:w="4720" w:type="dxa"/>
            <w:vAlign w:val="bottom"/>
            <w:gridSpan w:val="2"/>
          </w:tcPr>
          <w:p>
            <w:pPr>
              <w:spacing w:after="0" w:line="130" w:lineRule="exact"/>
              <w:rPr>
                <w:sz w:val="20"/>
                <w:szCs w:val="20"/>
                <w:color w:val="auto"/>
              </w:rPr>
            </w:pPr>
            <w:r>
              <w:rPr>
                <w:rFonts w:ascii="Arial" w:cs="Arial" w:eastAsia="Arial" w:hAnsi="Arial"/>
                <w:sz w:val="14"/>
                <w:szCs w:val="14"/>
                <w:color w:val="auto"/>
              </w:rPr>
              <w:t>MyAlarm Center, LLC</w:t>
            </w:r>
          </w:p>
        </w:tc>
        <w:tc>
          <w:tcPr>
            <w:tcW w:w="1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16.25%</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2"/>
          </w:tcPr>
          <w:p>
            <w:pPr>
              <w:spacing w:after="0" w:line="149" w:lineRule="exact"/>
              <w:rPr>
                <w:sz w:val="20"/>
                <w:szCs w:val="20"/>
                <w:color w:val="auto"/>
              </w:rPr>
            </w:pPr>
            <w:r>
              <w:rPr>
                <w:rFonts w:ascii="Arial" w:cs="Arial" w:eastAsia="Arial" w:hAnsi="Arial"/>
                <w:sz w:val="14"/>
                <w:szCs w:val="14"/>
                <w:color w:val="auto"/>
              </w:rPr>
              <w:t>Mezzanine loan ($4,887 par,</w:t>
            </w:r>
          </w:p>
        </w:tc>
        <w:tc>
          <w:tcPr>
            <w:tcW w:w="10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(incl. 4.25%</w:t>
            </w: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gridSpan w:val="2"/>
          </w:tcPr>
          <w:p>
            <w:pPr>
              <w:spacing w:after="0"/>
              <w:rPr>
                <w:sz w:val="20"/>
                <w:szCs w:val="20"/>
                <w:color w:val="auto"/>
              </w:rPr>
            </w:pPr>
            <w:r>
              <w:rPr>
                <w:rFonts w:ascii="Arial" w:cs="Arial" w:eastAsia="Arial" w:hAnsi="Arial"/>
                <w:sz w:val="14"/>
                <w:szCs w:val="14"/>
                <w:color w:val="auto"/>
              </w:rPr>
              <w:t>due 7/2018)</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PIK)</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1/9/2014</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4,849</w:t>
            </w:r>
          </w:p>
        </w:tc>
        <w:tc>
          <w:tcPr>
            <w:tcW w:w="1000" w:type="dxa"/>
            <w:vAlign w:val="bottom"/>
            <w:gridSpan w:val="3"/>
          </w:tcPr>
          <w:p>
            <w:pPr>
              <w:jc w:val="right"/>
              <w:ind w:right="300"/>
              <w:spacing w:after="0"/>
              <w:rPr>
                <w:sz w:val="20"/>
                <w:szCs w:val="20"/>
                <w:color w:val="auto"/>
              </w:rPr>
            </w:pPr>
            <w:r>
              <w:rPr>
                <w:rFonts w:ascii="Arial" w:cs="Arial" w:eastAsia="Arial" w:hAnsi="Arial"/>
                <w:sz w:val="14"/>
                <w:szCs w:val="14"/>
                <w:color w:val="auto"/>
              </w:rPr>
              <w:t>4,520</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Initial</w:t>
            </w: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4"/>
                <w:szCs w:val="14"/>
                <w:color w:val="auto"/>
              </w:rPr>
            </w:pPr>
          </w:p>
        </w:tc>
        <w:tc>
          <w:tcPr>
            <w:tcW w:w="8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Fair</w:t>
            </w: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200" w:type="dxa"/>
            <w:vAlign w:val="bottom"/>
          </w:tcPr>
          <w:p>
            <w:pPr>
              <w:spacing w:after="0"/>
              <w:rPr>
                <w:sz w:val="12"/>
                <w:szCs w:val="12"/>
                <w:color w:val="auto"/>
              </w:rPr>
            </w:pPr>
          </w:p>
        </w:tc>
        <w:tc>
          <w:tcPr>
            <w:tcW w:w="184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Investment</w:t>
            </w: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Interest</w:t>
            </w: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8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8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Value</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123"/>
        </w:trPr>
        <w:tc>
          <w:tcPr>
            <w:tcW w:w="454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APX Group Inc.</w:t>
            </w:r>
          </w:p>
        </w:tc>
        <w:tc>
          <w:tcPr>
            <w:tcW w:w="200" w:type="dxa"/>
            <w:vAlign w:val="bottom"/>
            <w:tcBorders>
              <w:top w:val="single" w:sz="8" w:color="CCEEFF"/>
            </w:tcBorders>
            <w:shd w:val="clear" w:color="auto" w:fill="CCEEFF"/>
          </w:tcPr>
          <w:p>
            <w:pPr>
              <w:spacing w:after="0"/>
              <w:rPr>
                <w:sz w:val="10"/>
                <w:szCs w:val="10"/>
                <w:color w:val="auto"/>
              </w:rPr>
            </w:pPr>
          </w:p>
        </w:tc>
        <w:tc>
          <w:tcPr>
            <w:tcW w:w="162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First-lien bond 6.375%</w:t>
            </w:r>
          </w:p>
        </w:tc>
        <w:tc>
          <w:tcPr>
            <w:tcW w:w="2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spacing w:after="0"/>
              <w:rPr>
                <w:sz w:val="14"/>
                <w:szCs w:val="14"/>
                <w:color w:val="auto"/>
              </w:rPr>
            </w:pPr>
          </w:p>
        </w:tc>
        <w:tc>
          <w:tcPr>
            <w:tcW w:w="20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($5,000 par, due 12/2019)</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6.38%</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w w:val="99"/>
              </w:rPr>
              <w:t>12/12/2014</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4,727</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  4,788</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30"/>
        </w:trPr>
        <w:tc>
          <w:tcPr>
            <w:tcW w:w="4540" w:type="dxa"/>
            <w:vAlign w:val="bottom"/>
          </w:tcPr>
          <w:p>
            <w:pPr>
              <w:spacing w:after="0"/>
              <w:rPr>
                <w:sz w:val="11"/>
                <w:szCs w:val="11"/>
                <w:color w:val="auto"/>
              </w:rPr>
            </w:pPr>
          </w:p>
        </w:tc>
        <w:tc>
          <w:tcPr>
            <w:tcW w:w="204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First-lien bond 8.75%</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040" w:type="dxa"/>
            <w:vAlign w:val="bottom"/>
            <w:gridSpan w:val="3"/>
          </w:tcPr>
          <w:p>
            <w:pPr>
              <w:ind w:left="200"/>
              <w:spacing w:after="0"/>
              <w:rPr>
                <w:sz w:val="20"/>
                <w:szCs w:val="20"/>
                <w:color w:val="auto"/>
              </w:rPr>
            </w:pPr>
            <w:r>
              <w:rPr>
                <w:rFonts w:ascii="Arial" w:cs="Arial" w:eastAsia="Arial" w:hAnsi="Arial"/>
                <w:sz w:val="14"/>
                <w:szCs w:val="14"/>
                <w:color w:val="auto"/>
              </w:rPr>
              <w:t>($10,000 par, due 12/2020)</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8.75%</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12/11/2014</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8,566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8,444</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79,155</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78,645</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56"/>
        </w:trPr>
        <w:tc>
          <w:tcPr>
            <w:tcW w:w="454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Financial services</w:t>
            </w:r>
          </w:p>
        </w:tc>
        <w:tc>
          <w:tcPr>
            <w:tcW w:w="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Embarcadero Technologies, Inc.</w:t>
            </w:r>
            <w:r>
              <w:rPr>
                <w:rFonts w:ascii="Arial" w:cs="Arial" w:eastAsia="Arial" w:hAnsi="Arial"/>
                <w:sz w:val="12"/>
                <w:szCs w:val="12"/>
                <w:color w:val="auto"/>
              </w:rPr>
              <w:t>(3)(4)(6)</w:t>
            </w:r>
          </w:p>
        </w:tc>
        <w:tc>
          <w:tcPr>
            <w:tcW w:w="204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First-lien loan ($40,243 par,</w:t>
            </w: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spacing w:after="0"/>
              <w:rPr>
                <w:sz w:val="14"/>
                <w:szCs w:val="14"/>
                <w:color w:val="auto"/>
              </w:rPr>
            </w:pPr>
          </w:p>
        </w:tc>
        <w:tc>
          <w:tcPr>
            <w:tcW w:w="20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due 12/2017)</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8.00%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w w:val="99"/>
              </w:rPr>
              <w:t>12/28/2012</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39,585</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40,544</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30"/>
        </w:trPr>
        <w:tc>
          <w:tcPr>
            <w:tcW w:w="4540" w:type="dxa"/>
            <w:vAlign w:val="bottom"/>
          </w:tcPr>
          <w:p>
            <w:pPr>
              <w:spacing w:after="0" w:line="130" w:lineRule="exact"/>
              <w:rPr>
                <w:sz w:val="20"/>
                <w:szCs w:val="20"/>
                <w:color w:val="auto"/>
              </w:rPr>
            </w:pPr>
            <w:r>
              <w:rPr>
                <w:rFonts w:ascii="Arial" w:cs="Arial" w:eastAsia="Arial" w:hAnsi="Arial"/>
                <w:sz w:val="14"/>
                <w:szCs w:val="14"/>
                <w:color w:val="auto"/>
              </w:rPr>
              <w:t>Rogue Wave Holdings, Inc.</w:t>
            </w:r>
            <w:r>
              <w:rPr>
                <w:rFonts w:ascii="Arial" w:cs="Arial" w:eastAsia="Arial" w:hAnsi="Arial"/>
                <w:sz w:val="12"/>
                <w:szCs w:val="12"/>
                <w:color w:val="auto"/>
              </w:rPr>
              <w:t>(3)(4)(6)</w:t>
            </w:r>
          </w:p>
        </w:tc>
        <w:tc>
          <w:tcPr>
            <w:tcW w:w="204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First-lien loan ($66,470 par,</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040" w:type="dxa"/>
            <w:vAlign w:val="bottom"/>
            <w:gridSpan w:val="3"/>
          </w:tcPr>
          <w:p>
            <w:pPr>
              <w:ind w:left="200"/>
              <w:spacing w:after="0"/>
              <w:rPr>
                <w:sz w:val="20"/>
                <w:szCs w:val="20"/>
                <w:color w:val="auto"/>
              </w:rPr>
            </w:pPr>
            <w:r>
              <w:rPr>
                <w:rFonts w:ascii="Arial" w:cs="Arial" w:eastAsia="Arial" w:hAnsi="Arial"/>
                <w:sz w:val="14"/>
                <w:szCs w:val="14"/>
                <w:color w:val="auto"/>
              </w:rPr>
              <w:t>due 12/2018)</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7.50%</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11/21/2012</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65,344</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65,971</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104,929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106,515</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56"/>
        </w:trPr>
        <w:tc>
          <w:tcPr>
            <w:tcW w:w="454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Healthcare and pharmaceuticals</w:t>
            </w:r>
          </w:p>
        </w:tc>
        <w:tc>
          <w:tcPr>
            <w:tcW w:w="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Aesynt Incorporated</w:t>
            </w:r>
            <w:r>
              <w:rPr>
                <w:rFonts w:ascii="Arial" w:cs="Arial" w:eastAsia="Arial" w:hAnsi="Arial"/>
                <w:sz w:val="12"/>
                <w:szCs w:val="12"/>
                <w:color w:val="auto"/>
              </w:rPr>
              <w:t>(3)(4)(6)</w:t>
            </w:r>
          </w:p>
        </w:tc>
        <w:tc>
          <w:tcPr>
            <w:tcW w:w="204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First-lien loan ($34,563 par,</w:t>
            </w: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spacing w:after="0"/>
              <w:rPr>
                <w:sz w:val="14"/>
                <w:szCs w:val="14"/>
                <w:color w:val="auto"/>
              </w:rPr>
            </w:pPr>
          </w:p>
        </w:tc>
        <w:tc>
          <w:tcPr>
            <w:tcW w:w="20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due 5/2019)</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7.00%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5/8/2014</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33,714</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33,526</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30"/>
        </w:trPr>
        <w:tc>
          <w:tcPr>
            <w:tcW w:w="4540" w:type="dxa"/>
            <w:vAlign w:val="bottom"/>
          </w:tcPr>
          <w:p>
            <w:pPr>
              <w:spacing w:after="0" w:line="130" w:lineRule="exact"/>
              <w:rPr>
                <w:sz w:val="20"/>
                <w:szCs w:val="20"/>
                <w:color w:val="auto"/>
              </w:rPr>
            </w:pPr>
            <w:r>
              <w:rPr>
                <w:rFonts w:ascii="Arial" w:cs="Arial" w:eastAsia="Arial" w:hAnsi="Arial"/>
                <w:sz w:val="14"/>
                <w:szCs w:val="14"/>
                <w:color w:val="auto"/>
              </w:rPr>
              <w:t>Global Healthcare Exchange, Inc.</w:t>
            </w:r>
            <w:r>
              <w:rPr>
                <w:rFonts w:ascii="Arial" w:cs="Arial" w:eastAsia="Arial" w:hAnsi="Arial"/>
                <w:sz w:val="12"/>
                <w:szCs w:val="12"/>
                <w:color w:val="auto"/>
              </w:rPr>
              <w:t>(3)(4)</w:t>
            </w:r>
          </w:p>
        </w:tc>
        <w:tc>
          <w:tcPr>
            <w:tcW w:w="204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First-lien loan ($46,250 par,</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040" w:type="dxa"/>
            <w:vAlign w:val="bottom"/>
            <w:gridSpan w:val="3"/>
          </w:tcPr>
          <w:p>
            <w:pPr>
              <w:ind w:left="200"/>
              <w:spacing w:after="0"/>
              <w:rPr>
                <w:sz w:val="20"/>
                <w:szCs w:val="20"/>
                <w:color w:val="auto"/>
              </w:rPr>
            </w:pPr>
            <w:r>
              <w:rPr>
                <w:rFonts w:ascii="Arial" w:cs="Arial" w:eastAsia="Arial" w:hAnsi="Arial"/>
                <w:sz w:val="14"/>
                <w:szCs w:val="14"/>
                <w:color w:val="auto"/>
              </w:rPr>
              <w:t>due 3/2020)</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8.50%</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3/11/2014</w:t>
            </w: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45,149</w:t>
            </w:r>
          </w:p>
        </w:tc>
        <w:tc>
          <w:tcPr>
            <w:tcW w:w="1000" w:type="dxa"/>
            <w:vAlign w:val="bottom"/>
            <w:gridSpan w:val="3"/>
          </w:tcPr>
          <w:p>
            <w:pPr>
              <w:jc w:val="right"/>
              <w:ind w:right="300"/>
              <w:spacing w:after="0"/>
              <w:rPr>
                <w:sz w:val="20"/>
                <w:szCs w:val="20"/>
                <w:color w:val="auto"/>
              </w:rPr>
            </w:pPr>
            <w:r>
              <w:rPr>
                <w:rFonts w:ascii="Arial" w:cs="Arial" w:eastAsia="Arial" w:hAnsi="Arial"/>
                <w:sz w:val="14"/>
                <w:szCs w:val="14"/>
                <w:color w:val="auto"/>
              </w:rPr>
              <w:t>45,139</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30"/>
        </w:trPr>
        <w:tc>
          <w:tcPr>
            <w:tcW w:w="4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Helix Health, Ltd.</w:t>
            </w:r>
            <w:r>
              <w:rPr>
                <w:rFonts w:ascii="Arial" w:cs="Arial" w:eastAsia="Arial" w:hAnsi="Arial"/>
                <w:sz w:val="12"/>
                <w:szCs w:val="12"/>
                <w:color w:val="auto"/>
              </w:rPr>
              <w:t>(3)(5)</w:t>
            </w:r>
          </w:p>
        </w:tc>
        <w:tc>
          <w:tcPr>
            <w:tcW w:w="20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11.50%</w:t>
            </w: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spacing w:after="0"/>
              <w:rPr>
                <w:sz w:val="12"/>
                <w:szCs w:val="12"/>
                <w:color w:val="auto"/>
              </w:rPr>
            </w:pPr>
          </w:p>
        </w:tc>
        <w:tc>
          <w:tcPr>
            <w:tcW w:w="20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First-lien loan (EUR 28,014</w:t>
            </w:r>
          </w:p>
        </w:tc>
        <w:tc>
          <w:tcPr>
            <w:tcW w:w="10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(incl. 3.00%</w:t>
            </w: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spacing w:after="0"/>
              <w:rPr>
                <w:sz w:val="14"/>
                <w:szCs w:val="14"/>
                <w:color w:val="auto"/>
              </w:rPr>
            </w:pPr>
          </w:p>
        </w:tc>
        <w:tc>
          <w:tcPr>
            <w:tcW w:w="20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par, due 9/2019)</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PIK)</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9/30/2014</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33,761</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32,373</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30"/>
        </w:trPr>
        <w:tc>
          <w:tcPr>
            <w:tcW w:w="4540" w:type="dxa"/>
            <w:vAlign w:val="bottom"/>
          </w:tcPr>
          <w:p>
            <w:pPr>
              <w:spacing w:after="0"/>
              <w:rPr>
                <w:sz w:val="11"/>
                <w:szCs w:val="11"/>
                <w:color w:val="auto"/>
              </w:rPr>
            </w:pPr>
          </w:p>
        </w:tc>
        <w:tc>
          <w:tcPr>
            <w:tcW w:w="204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First-lien revolving loan</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040" w:type="dxa"/>
            <w:vAlign w:val="bottom"/>
            <w:gridSpan w:val="3"/>
          </w:tcPr>
          <w:p>
            <w:pPr>
              <w:ind w:left="200"/>
              <w:spacing w:after="0"/>
              <w:rPr>
                <w:sz w:val="20"/>
                <w:szCs w:val="20"/>
                <w:color w:val="auto"/>
              </w:rPr>
            </w:pPr>
            <w:r>
              <w:rPr>
                <w:rFonts w:ascii="Arial" w:cs="Arial" w:eastAsia="Arial" w:hAnsi="Arial"/>
                <w:sz w:val="14"/>
                <w:szCs w:val="14"/>
                <w:color w:val="auto"/>
              </w:rPr>
              <w:t>(EUR 300 par, due 9/2019)</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11.50%</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9/30/2014</w:t>
            </w: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235</w:t>
            </w:r>
          </w:p>
        </w:tc>
        <w:tc>
          <w:tcPr>
            <w:tcW w:w="1000" w:type="dxa"/>
            <w:vAlign w:val="bottom"/>
            <w:gridSpan w:val="3"/>
          </w:tcPr>
          <w:p>
            <w:pPr>
              <w:jc w:val="right"/>
              <w:ind w:right="300"/>
              <w:spacing w:after="0"/>
              <w:rPr>
                <w:sz w:val="20"/>
                <w:szCs w:val="20"/>
                <w:color w:val="auto"/>
              </w:rPr>
            </w:pPr>
            <w:r>
              <w:rPr>
                <w:rFonts w:ascii="Arial" w:cs="Arial" w:eastAsia="Arial" w:hAnsi="Arial"/>
                <w:sz w:val="14"/>
                <w:szCs w:val="14"/>
                <w:color w:val="auto"/>
              </w:rPr>
              <w:t>227</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4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Mediware Information Systems,</w:t>
            </w:r>
          </w:p>
        </w:tc>
        <w:tc>
          <w:tcPr>
            <w:tcW w:w="204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First-lien loan ($69,405 par,</w:t>
            </w: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w:t>
            </w:r>
            <w:r>
              <w:rPr>
                <w:rFonts w:ascii="Arial" w:cs="Arial" w:eastAsia="Arial" w:hAnsi="Arial"/>
                <w:sz w:val="12"/>
                <w:szCs w:val="12"/>
                <w:color w:val="auto"/>
              </w:rPr>
              <w:t>(3)(4)(6)</w:t>
            </w:r>
          </w:p>
        </w:tc>
        <w:tc>
          <w:tcPr>
            <w:tcW w:w="20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due 5/2018)</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7.00%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11/9/2012</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68,221</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68,885</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30"/>
        </w:trPr>
        <w:tc>
          <w:tcPr>
            <w:tcW w:w="4540" w:type="dxa"/>
            <w:vAlign w:val="bottom"/>
          </w:tcPr>
          <w:p>
            <w:pPr>
              <w:spacing w:after="0" w:line="130" w:lineRule="exact"/>
              <w:rPr>
                <w:sz w:val="20"/>
                <w:szCs w:val="20"/>
                <w:color w:val="auto"/>
              </w:rPr>
            </w:pPr>
            <w:r>
              <w:rPr>
                <w:rFonts w:ascii="Arial" w:cs="Arial" w:eastAsia="Arial" w:hAnsi="Arial"/>
                <w:sz w:val="14"/>
                <w:szCs w:val="14"/>
                <w:color w:val="auto"/>
              </w:rPr>
              <w:t>SRS Software, LLC</w:t>
            </w:r>
            <w:r>
              <w:rPr>
                <w:rFonts w:ascii="Arial" w:cs="Arial" w:eastAsia="Arial" w:hAnsi="Arial"/>
                <w:sz w:val="12"/>
                <w:szCs w:val="12"/>
                <w:color w:val="auto"/>
              </w:rPr>
              <w:t>(3)(4)</w:t>
            </w:r>
          </w:p>
        </w:tc>
        <w:tc>
          <w:tcPr>
            <w:tcW w:w="204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First-lien loan ($33,750 par,</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040" w:type="dxa"/>
            <w:vAlign w:val="bottom"/>
            <w:gridSpan w:val="3"/>
          </w:tcPr>
          <w:p>
            <w:pPr>
              <w:ind w:left="200"/>
              <w:spacing w:after="0"/>
              <w:rPr>
                <w:sz w:val="20"/>
                <w:szCs w:val="20"/>
                <w:color w:val="auto"/>
              </w:rPr>
            </w:pPr>
            <w:r>
              <w:rPr>
                <w:rFonts w:ascii="Arial" w:cs="Arial" w:eastAsia="Arial" w:hAnsi="Arial"/>
                <w:sz w:val="14"/>
                <w:szCs w:val="14"/>
                <w:color w:val="auto"/>
              </w:rPr>
              <w:t>due 12/2017)</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8.75%</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12/28/2012</w:t>
            </w: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33,192</w:t>
            </w:r>
          </w:p>
        </w:tc>
        <w:tc>
          <w:tcPr>
            <w:tcW w:w="1000" w:type="dxa"/>
            <w:vAlign w:val="bottom"/>
            <w:gridSpan w:val="3"/>
          </w:tcPr>
          <w:p>
            <w:pPr>
              <w:jc w:val="right"/>
              <w:ind w:right="300"/>
              <w:spacing w:after="0"/>
              <w:rPr>
                <w:sz w:val="20"/>
                <w:szCs w:val="20"/>
                <w:color w:val="auto"/>
              </w:rPr>
            </w:pPr>
            <w:r>
              <w:rPr>
                <w:rFonts w:ascii="Arial" w:cs="Arial" w:eastAsia="Arial" w:hAnsi="Arial"/>
                <w:sz w:val="14"/>
                <w:szCs w:val="14"/>
                <w:color w:val="auto"/>
              </w:rPr>
              <w:t>33,834</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30"/>
        </w:trPr>
        <w:tc>
          <w:tcPr>
            <w:tcW w:w="4540" w:type="dxa"/>
            <w:vAlign w:val="bottom"/>
            <w:shd w:val="clear" w:color="auto" w:fill="CCEEFF"/>
          </w:tcPr>
          <w:p>
            <w:pPr>
              <w:spacing w:after="0"/>
              <w:rPr>
                <w:sz w:val="11"/>
                <w:szCs w:val="11"/>
                <w:color w:val="auto"/>
              </w:rPr>
            </w:pPr>
          </w:p>
        </w:tc>
        <w:tc>
          <w:tcPr>
            <w:tcW w:w="204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First-lien revolving loan</w:t>
            </w: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spacing w:after="0"/>
              <w:rPr>
                <w:sz w:val="14"/>
                <w:szCs w:val="14"/>
                <w:color w:val="auto"/>
              </w:rPr>
            </w:pPr>
          </w:p>
        </w:tc>
        <w:tc>
          <w:tcPr>
            <w:tcW w:w="20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($2,000 par, due 12/2017)</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8.75%</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w w:val="99"/>
              </w:rPr>
              <w:t>12/28/2012</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1,933</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2,005</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216,205</w:t>
            </w:r>
          </w:p>
        </w:tc>
        <w:tc>
          <w:tcPr>
            <w:tcW w:w="14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215,989</w:t>
            </w:r>
          </w:p>
        </w:tc>
        <w:tc>
          <w:tcPr>
            <w:tcW w:w="300" w:type="dxa"/>
            <w:vAlign w:val="bottom"/>
            <w:vMerge w:val="continue"/>
          </w:tcPr>
          <w:p>
            <w:pPr>
              <w:spacing w:after="0"/>
              <w:rPr>
                <w:sz w:val="14"/>
                <w:szCs w:val="14"/>
                <w:color w:val="auto"/>
              </w:rPr>
            </w:pPr>
          </w:p>
        </w:tc>
        <w:tc>
          <w:tcPr>
            <w:tcW w:w="9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Hotel, gaming, and leisure</w:t>
            </w:r>
          </w:p>
        </w:tc>
        <w:tc>
          <w:tcPr>
            <w:tcW w:w="2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540" w:type="dxa"/>
            <w:vAlign w:val="bottom"/>
          </w:tcPr>
          <w:p>
            <w:pPr>
              <w:spacing w:after="0" w:line="130" w:lineRule="exact"/>
              <w:rPr>
                <w:sz w:val="20"/>
                <w:szCs w:val="20"/>
                <w:color w:val="auto"/>
              </w:rPr>
            </w:pPr>
            <w:r>
              <w:rPr>
                <w:rFonts w:ascii="Arial" w:cs="Arial" w:eastAsia="Arial" w:hAnsi="Arial"/>
                <w:sz w:val="14"/>
                <w:szCs w:val="14"/>
                <w:color w:val="auto"/>
              </w:rPr>
              <w:t>Centaur, LLC</w:t>
            </w:r>
            <w:r>
              <w:rPr>
                <w:rFonts w:ascii="Arial" w:cs="Arial" w:eastAsia="Arial" w:hAnsi="Arial"/>
                <w:sz w:val="12"/>
                <w:szCs w:val="12"/>
                <w:color w:val="auto"/>
              </w:rPr>
              <w:t>(3)(4)</w:t>
            </w:r>
          </w:p>
        </w:tc>
        <w:tc>
          <w:tcPr>
            <w:tcW w:w="204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Second-lien loan ($10,000</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040" w:type="dxa"/>
            <w:vAlign w:val="bottom"/>
            <w:gridSpan w:val="3"/>
          </w:tcPr>
          <w:p>
            <w:pPr>
              <w:ind w:left="200"/>
              <w:spacing w:after="0"/>
              <w:rPr>
                <w:sz w:val="20"/>
                <w:szCs w:val="20"/>
                <w:color w:val="auto"/>
              </w:rPr>
            </w:pPr>
            <w:r>
              <w:rPr>
                <w:rFonts w:ascii="Arial" w:cs="Arial" w:eastAsia="Arial" w:hAnsi="Arial"/>
                <w:sz w:val="14"/>
                <w:szCs w:val="14"/>
                <w:color w:val="auto"/>
              </w:rPr>
              <w:t>par, due 2/2020)</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8.75%</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2/15/2013</w:t>
            </w: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9,931</w:t>
            </w:r>
          </w:p>
        </w:tc>
        <w:tc>
          <w:tcPr>
            <w:tcW w:w="1000" w:type="dxa"/>
            <w:vAlign w:val="bottom"/>
            <w:gridSpan w:val="3"/>
          </w:tcPr>
          <w:p>
            <w:pPr>
              <w:jc w:val="right"/>
              <w:ind w:right="300"/>
              <w:spacing w:after="0"/>
              <w:rPr>
                <w:sz w:val="20"/>
                <w:szCs w:val="20"/>
                <w:color w:val="auto"/>
              </w:rPr>
            </w:pPr>
            <w:r>
              <w:rPr>
                <w:rFonts w:ascii="Arial" w:cs="Arial" w:eastAsia="Arial" w:hAnsi="Arial"/>
                <w:sz w:val="14"/>
                <w:szCs w:val="14"/>
                <w:color w:val="auto"/>
              </w:rPr>
              <w:t>9,913</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30"/>
        </w:trPr>
        <w:tc>
          <w:tcPr>
            <w:tcW w:w="4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IRG Sports &amp; Entertainment, LLC</w:t>
            </w:r>
            <w:r>
              <w:rPr>
                <w:rFonts w:ascii="Arial" w:cs="Arial" w:eastAsia="Arial" w:hAnsi="Arial"/>
                <w:sz w:val="12"/>
                <w:szCs w:val="12"/>
                <w:color w:val="auto"/>
              </w:rPr>
              <w:t>(3)(4)</w:t>
            </w:r>
          </w:p>
        </w:tc>
        <w:tc>
          <w:tcPr>
            <w:tcW w:w="20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12.00%</w:t>
            </w: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spacing w:after="0"/>
              <w:rPr>
                <w:sz w:val="12"/>
                <w:szCs w:val="12"/>
                <w:color w:val="auto"/>
              </w:rPr>
            </w:pPr>
          </w:p>
        </w:tc>
        <w:tc>
          <w:tcPr>
            <w:tcW w:w="20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First-lien loan ($43,653 par,</w:t>
            </w:r>
          </w:p>
        </w:tc>
        <w:tc>
          <w:tcPr>
            <w:tcW w:w="10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(incl. 5.00%</w:t>
            </w: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spacing w:after="0"/>
              <w:rPr>
                <w:sz w:val="14"/>
                <w:szCs w:val="14"/>
                <w:color w:val="auto"/>
              </w:rPr>
            </w:pPr>
          </w:p>
        </w:tc>
        <w:tc>
          <w:tcPr>
            <w:tcW w:w="20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due 9/2019)</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PIK)</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9/30/2014</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41,073</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40,161</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30"/>
        </w:trPr>
        <w:tc>
          <w:tcPr>
            <w:tcW w:w="4540" w:type="dxa"/>
            <w:vAlign w:val="bottom"/>
          </w:tcPr>
          <w:p>
            <w:pPr>
              <w:spacing w:after="0" w:line="130" w:lineRule="exact"/>
              <w:rPr>
                <w:sz w:val="20"/>
                <w:szCs w:val="20"/>
                <w:color w:val="auto"/>
              </w:rPr>
            </w:pPr>
            <w:r>
              <w:rPr>
                <w:rFonts w:ascii="Arial" w:cs="Arial" w:eastAsia="Arial" w:hAnsi="Arial"/>
                <w:sz w:val="14"/>
                <w:szCs w:val="14"/>
                <w:color w:val="auto"/>
              </w:rPr>
              <w:t>Soho House</w:t>
            </w:r>
            <w:r>
              <w:rPr>
                <w:rFonts w:ascii="Arial" w:cs="Arial" w:eastAsia="Arial" w:hAnsi="Arial"/>
                <w:sz w:val="12"/>
                <w:szCs w:val="12"/>
                <w:color w:val="auto"/>
              </w:rPr>
              <w:t>(5)</w:t>
            </w:r>
          </w:p>
        </w:tc>
        <w:tc>
          <w:tcPr>
            <w:tcW w:w="204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Second-lien bond (GBP</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040" w:type="dxa"/>
            <w:vAlign w:val="bottom"/>
            <w:gridSpan w:val="3"/>
          </w:tcPr>
          <w:p>
            <w:pPr>
              <w:ind w:left="200"/>
              <w:spacing w:after="0"/>
              <w:rPr>
                <w:sz w:val="20"/>
                <w:szCs w:val="20"/>
                <w:color w:val="auto"/>
              </w:rPr>
            </w:pPr>
            <w:r>
              <w:rPr>
                <w:rFonts w:ascii="Arial" w:cs="Arial" w:eastAsia="Arial" w:hAnsi="Arial"/>
                <w:sz w:val="14"/>
                <w:szCs w:val="14"/>
                <w:color w:val="auto"/>
              </w:rPr>
              <w:t>13,750 par, due 10/2018)</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9.13%</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9/20/2013</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22,826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22,565</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73,830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72,639</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56"/>
        </w:trPr>
        <w:tc>
          <w:tcPr>
            <w:tcW w:w="454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Insurance</w:t>
            </w:r>
          </w:p>
        </w:tc>
        <w:tc>
          <w:tcPr>
            <w:tcW w:w="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Infogix, Inc.</w:t>
            </w:r>
            <w:r>
              <w:rPr>
                <w:rFonts w:ascii="Arial" w:cs="Arial" w:eastAsia="Arial" w:hAnsi="Arial"/>
                <w:sz w:val="12"/>
                <w:szCs w:val="12"/>
                <w:color w:val="auto"/>
              </w:rPr>
              <w:t>(3)(4)</w:t>
            </w:r>
          </w:p>
        </w:tc>
        <w:tc>
          <w:tcPr>
            <w:tcW w:w="204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First-lien loan ($35,438 par,</w:t>
            </w: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spacing w:after="0"/>
              <w:rPr>
                <w:sz w:val="14"/>
                <w:szCs w:val="14"/>
                <w:color w:val="auto"/>
              </w:rPr>
            </w:pPr>
          </w:p>
        </w:tc>
        <w:tc>
          <w:tcPr>
            <w:tcW w:w="20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due 6/2017)</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10.00%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6/1/2012</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35,034</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35,260</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30"/>
        </w:trPr>
        <w:tc>
          <w:tcPr>
            <w:tcW w:w="4540" w:type="dxa"/>
            <w:vAlign w:val="bottom"/>
          </w:tcPr>
          <w:p>
            <w:pPr>
              <w:spacing w:after="0"/>
              <w:rPr>
                <w:sz w:val="11"/>
                <w:szCs w:val="11"/>
                <w:color w:val="auto"/>
              </w:rPr>
            </w:pPr>
          </w:p>
        </w:tc>
        <w:tc>
          <w:tcPr>
            <w:tcW w:w="204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First-lien revolving loan</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540" w:type="dxa"/>
            <w:vAlign w:val="bottom"/>
          </w:tcPr>
          <w:p>
            <w:pPr>
              <w:spacing w:after="0"/>
              <w:rPr>
                <w:sz w:val="15"/>
                <w:szCs w:val="15"/>
                <w:color w:val="auto"/>
              </w:rPr>
            </w:pPr>
          </w:p>
        </w:tc>
        <w:tc>
          <w:tcPr>
            <w:tcW w:w="2040" w:type="dxa"/>
            <w:vAlign w:val="bottom"/>
            <w:gridSpan w:val="3"/>
          </w:tcPr>
          <w:p>
            <w:pPr>
              <w:ind w:left="200"/>
              <w:spacing w:after="0"/>
              <w:rPr>
                <w:sz w:val="20"/>
                <w:szCs w:val="20"/>
                <w:color w:val="auto"/>
              </w:rPr>
            </w:pPr>
            <w:r>
              <w:rPr>
                <w:rFonts w:ascii="Arial" w:cs="Arial" w:eastAsia="Arial" w:hAnsi="Arial"/>
                <w:sz w:val="14"/>
                <w:szCs w:val="14"/>
                <w:color w:val="auto"/>
              </w:rPr>
              <w:t>($2,010 par, due 6/2017)</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11.00%</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6/1/2012</w:t>
            </w:r>
          </w:p>
        </w:tc>
        <w:tc>
          <w:tcPr>
            <w:tcW w:w="8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1,961</w:t>
            </w:r>
          </w:p>
        </w:tc>
        <w:tc>
          <w:tcPr>
            <w:tcW w:w="1000" w:type="dxa"/>
            <w:vAlign w:val="bottom"/>
            <w:gridSpan w:val="3"/>
          </w:tcPr>
          <w:p>
            <w:pPr>
              <w:jc w:val="right"/>
              <w:ind w:right="300"/>
              <w:spacing w:after="0"/>
              <w:rPr>
                <w:sz w:val="20"/>
                <w:szCs w:val="20"/>
                <w:color w:val="auto"/>
              </w:rPr>
            </w:pPr>
            <w:r>
              <w:rPr>
                <w:rFonts w:ascii="Arial" w:cs="Arial" w:eastAsia="Arial" w:hAnsi="Arial"/>
                <w:sz w:val="14"/>
                <w:szCs w:val="14"/>
                <w:color w:val="auto"/>
              </w:rPr>
              <w:t>1,985</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59" w:right="2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Initial</w:t>
            </w: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Fair</w:t>
            </w: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4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186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Investment</w:t>
            </w:r>
          </w:p>
        </w:tc>
        <w:tc>
          <w:tcPr>
            <w:tcW w:w="10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Interest</w:t>
            </w: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8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40" w:type="dxa"/>
            <w:vAlign w:val="bottom"/>
            <w:gridSpan w:val="2"/>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Date</w:t>
            </w:r>
          </w:p>
        </w:tc>
        <w:tc>
          <w:tcPr>
            <w:tcW w:w="8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Cost</w:t>
            </w:r>
            <w:r>
              <w:rPr>
                <w:rFonts w:ascii="Arial" w:cs="Arial" w:eastAsia="Arial" w:hAnsi="Arial"/>
                <w:sz w:val="12"/>
                <w:szCs w:val="12"/>
                <w:b w:val="1"/>
                <w:bCs w:val="1"/>
                <w:color w:val="auto"/>
                <w:w w:val="96"/>
              </w:rPr>
              <w:t>(2)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Value</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123"/>
        </w:trPr>
        <w:tc>
          <w:tcPr>
            <w:tcW w:w="444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Insurity, Inc.</w:t>
            </w:r>
            <w:r>
              <w:rPr>
                <w:rFonts w:ascii="Arial" w:cs="Arial" w:eastAsia="Arial" w:hAnsi="Arial"/>
                <w:sz w:val="12"/>
                <w:szCs w:val="12"/>
                <w:color w:val="auto"/>
              </w:rPr>
              <w:t>(3)(4)(6)</w:t>
            </w:r>
          </w:p>
        </w:tc>
        <w:tc>
          <w:tcPr>
            <w:tcW w:w="200" w:type="dxa"/>
            <w:vAlign w:val="bottom"/>
            <w:tcBorders>
              <w:top w:val="single" w:sz="8" w:color="CCEEFF"/>
            </w:tcBorders>
            <w:shd w:val="clear" w:color="auto" w:fill="CCEEFF"/>
          </w:tcPr>
          <w:p>
            <w:pPr>
              <w:spacing w:after="0"/>
              <w:rPr>
                <w:sz w:val="10"/>
                <w:szCs w:val="10"/>
                <w:color w:val="auto"/>
              </w:rPr>
            </w:pPr>
          </w:p>
        </w:tc>
        <w:tc>
          <w:tcPr>
            <w:tcW w:w="164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w w:val="94"/>
              </w:rPr>
              <w:t>First-lien loan ($65,000 par,</w:t>
            </w:r>
          </w:p>
        </w:tc>
        <w:tc>
          <w:tcPr>
            <w:tcW w:w="2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10/2020)</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7.50%</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w w:val="96"/>
              </w:rPr>
              <w:t>10/31/2014</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64,363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64,025</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101,358</w:t>
            </w:r>
          </w:p>
        </w:tc>
        <w:tc>
          <w:tcPr>
            <w:tcW w:w="1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101,270</w:t>
            </w:r>
          </w:p>
        </w:tc>
        <w:tc>
          <w:tcPr>
            <w:tcW w:w="300" w:type="dxa"/>
            <w:vAlign w:val="bottom"/>
            <w:vMerge w:val="continue"/>
          </w:tcPr>
          <w:p>
            <w:pPr>
              <w:spacing w:after="0"/>
              <w:rPr>
                <w:sz w:val="14"/>
                <w:szCs w:val="14"/>
                <w:color w:val="auto"/>
              </w:rPr>
            </w:pPr>
          </w:p>
        </w:tc>
        <w:tc>
          <w:tcPr>
            <w:tcW w:w="9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9"/>
        </w:trPr>
        <w:tc>
          <w:tcPr>
            <w:tcW w:w="4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Internet Services</w:t>
            </w:r>
          </w:p>
        </w:tc>
        <w:tc>
          <w:tcPr>
            <w:tcW w:w="1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640" w:type="dxa"/>
            <w:vAlign w:val="bottom"/>
            <w:gridSpan w:val="2"/>
          </w:tcPr>
          <w:p>
            <w:pPr>
              <w:spacing w:after="0" w:line="130" w:lineRule="exact"/>
              <w:rPr>
                <w:sz w:val="20"/>
                <w:szCs w:val="20"/>
                <w:color w:val="auto"/>
              </w:rPr>
            </w:pPr>
            <w:r>
              <w:rPr>
                <w:rFonts w:ascii="Arial" w:cs="Arial" w:eastAsia="Arial" w:hAnsi="Arial"/>
                <w:sz w:val="14"/>
                <w:szCs w:val="14"/>
                <w:color w:val="auto"/>
              </w:rPr>
              <w:t>Highwinds Capital, Inc.</w:t>
            </w:r>
            <w:r>
              <w:rPr>
                <w:rFonts w:ascii="Arial" w:cs="Arial" w:eastAsia="Arial" w:hAnsi="Arial"/>
                <w:sz w:val="12"/>
                <w:szCs w:val="12"/>
                <w:color w:val="auto"/>
              </w:rPr>
              <w:t>(3)(4)</w:t>
            </w:r>
          </w:p>
        </w:tc>
        <w:tc>
          <w:tcPr>
            <w:tcW w:w="1860" w:type="dxa"/>
            <w:vAlign w:val="bottom"/>
            <w:gridSpan w:val="2"/>
          </w:tcPr>
          <w:p>
            <w:pPr>
              <w:spacing w:after="0" w:line="130" w:lineRule="exact"/>
              <w:rPr>
                <w:sz w:val="20"/>
                <w:szCs w:val="20"/>
                <w:color w:val="auto"/>
              </w:rPr>
            </w:pPr>
            <w:r>
              <w:rPr>
                <w:rFonts w:ascii="Arial" w:cs="Arial" w:eastAsia="Arial" w:hAnsi="Arial"/>
                <w:sz w:val="14"/>
                <w:szCs w:val="14"/>
                <w:color w:val="auto"/>
              </w:rPr>
              <w:t>First-lien loan ($41,401 par,</w:t>
            </w: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Arial" w:cs="Arial" w:eastAsia="Arial" w:hAnsi="Arial"/>
                <w:sz w:val="14"/>
                <w:szCs w:val="14"/>
                <w:color w:val="auto"/>
              </w:rPr>
              <w:t>due 7/2018)</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9.00%</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3/7/2014</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40,931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40,859</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4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Manufacturing</w:t>
            </w:r>
          </w:p>
        </w:tc>
        <w:tc>
          <w:tcPr>
            <w:tcW w:w="1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640" w:type="dxa"/>
            <w:vAlign w:val="bottom"/>
            <w:gridSpan w:val="2"/>
          </w:tcPr>
          <w:p>
            <w:pPr>
              <w:spacing w:after="0" w:line="130" w:lineRule="exact"/>
              <w:rPr>
                <w:sz w:val="20"/>
                <w:szCs w:val="20"/>
                <w:color w:val="auto"/>
              </w:rPr>
            </w:pPr>
            <w:r>
              <w:rPr>
                <w:rFonts w:ascii="Arial" w:cs="Arial" w:eastAsia="Arial" w:hAnsi="Arial"/>
                <w:sz w:val="14"/>
                <w:szCs w:val="14"/>
                <w:color w:val="auto"/>
              </w:rPr>
              <w:t>Jeeves Information Systems AB</w:t>
            </w:r>
            <w:r>
              <w:rPr>
                <w:rFonts w:ascii="Arial" w:cs="Arial" w:eastAsia="Arial" w:hAnsi="Arial"/>
                <w:sz w:val="12"/>
                <w:szCs w:val="12"/>
                <w:color w:val="auto"/>
              </w:rPr>
              <w:t>(3)(5)(6)</w:t>
            </w:r>
          </w:p>
        </w:tc>
        <w:tc>
          <w:tcPr>
            <w:tcW w:w="1860" w:type="dxa"/>
            <w:vAlign w:val="bottom"/>
            <w:gridSpan w:val="2"/>
          </w:tcPr>
          <w:p>
            <w:pPr>
              <w:spacing w:after="0" w:line="130" w:lineRule="exact"/>
              <w:rPr>
                <w:sz w:val="20"/>
                <w:szCs w:val="20"/>
                <w:color w:val="auto"/>
              </w:rPr>
            </w:pPr>
            <w:r>
              <w:rPr>
                <w:rFonts w:ascii="Arial" w:cs="Arial" w:eastAsia="Arial" w:hAnsi="Arial"/>
                <w:sz w:val="14"/>
                <w:szCs w:val="14"/>
                <w:color w:val="auto"/>
              </w:rPr>
              <w:t>First-lien loan (SEK</w:t>
            </w: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Arial" w:cs="Arial" w:eastAsia="Arial" w:hAnsi="Arial"/>
                <w:sz w:val="14"/>
                <w:szCs w:val="14"/>
                <w:color w:val="auto"/>
              </w:rPr>
              <w:t>203,140 par, due 3/2019)</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8.75%</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6/5/2013</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30,897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25,690</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4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Metals and mining</w:t>
            </w:r>
          </w:p>
        </w:tc>
        <w:tc>
          <w:tcPr>
            <w:tcW w:w="1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640" w:type="dxa"/>
            <w:vAlign w:val="bottom"/>
            <w:gridSpan w:val="2"/>
          </w:tcPr>
          <w:p>
            <w:pPr>
              <w:spacing w:after="0" w:line="130" w:lineRule="exact"/>
              <w:rPr>
                <w:sz w:val="20"/>
                <w:szCs w:val="20"/>
                <w:color w:val="auto"/>
              </w:rPr>
            </w:pPr>
            <w:r>
              <w:rPr>
                <w:rFonts w:ascii="Arial" w:cs="Arial" w:eastAsia="Arial" w:hAnsi="Arial"/>
                <w:sz w:val="14"/>
                <w:szCs w:val="14"/>
                <w:color w:val="auto"/>
              </w:rPr>
              <w:t>Metalico, Inc.</w:t>
            </w:r>
            <w:r>
              <w:rPr>
                <w:rFonts w:ascii="Arial" w:cs="Arial" w:eastAsia="Arial" w:hAnsi="Arial"/>
                <w:sz w:val="12"/>
                <w:szCs w:val="12"/>
                <w:color w:val="auto"/>
              </w:rPr>
              <w:t>(3)(4)(6)</w:t>
            </w:r>
          </w:p>
        </w:tc>
        <w:tc>
          <w:tcPr>
            <w:tcW w:w="1860" w:type="dxa"/>
            <w:vAlign w:val="bottom"/>
            <w:gridSpan w:val="2"/>
          </w:tcPr>
          <w:p>
            <w:pPr>
              <w:spacing w:after="0" w:line="130" w:lineRule="exact"/>
              <w:rPr>
                <w:sz w:val="20"/>
                <w:szCs w:val="20"/>
                <w:color w:val="auto"/>
              </w:rPr>
            </w:pPr>
            <w:r>
              <w:rPr>
                <w:rFonts w:ascii="Arial" w:cs="Arial" w:eastAsia="Arial" w:hAnsi="Arial"/>
                <w:sz w:val="14"/>
                <w:szCs w:val="14"/>
                <w:color w:val="auto"/>
              </w:rPr>
              <w:t>First-lien loan ($19,973 par,</w:t>
            </w: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Arial" w:cs="Arial" w:eastAsia="Arial" w:hAnsi="Arial"/>
                <w:sz w:val="14"/>
                <w:szCs w:val="14"/>
                <w:color w:val="auto"/>
              </w:rPr>
              <w:t>due 11/2019)</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10.50%</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w w:val="96"/>
              </w:rPr>
              <w:t>11/21/2013</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17,699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21,321</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4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Office products</w:t>
            </w:r>
          </w:p>
        </w:tc>
        <w:tc>
          <w:tcPr>
            <w:tcW w:w="1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640" w:type="dxa"/>
            <w:vAlign w:val="bottom"/>
            <w:gridSpan w:val="2"/>
          </w:tcPr>
          <w:p>
            <w:pPr>
              <w:spacing w:after="0" w:line="130" w:lineRule="exact"/>
              <w:rPr>
                <w:sz w:val="20"/>
                <w:szCs w:val="20"/>
                <w:color w:val="auto"/>
              </w:rPr>
            </w:pPr>
            <w:r>
              <w:rPr>
                <w:rFonts w:ascii="Arial" w:cs="Arial" w:eastAsia="Arial" w:hAnsi="Arial"/>
                <w:sz w:val="14"/>
                <w:szCs w:val="14"/>
                <w:color w:val="auto"/>
              </w:rPr>
              <w:t>Ecommerce Industries, Inc.</w:t>
            </w:r>
            <w:r>
              <w:rPr>
                <w:rFonts w:ascii="Arial" w:cs="Arial" w:eastAsia="Arial" w:hAnsi="Arial"/>
                <w:sz w:val="12"/>
                <w:szCs w:val="12"/>
                <w:color w:val="auto"/>
              </w:rPr>
              <w:t>(3)(4)(6)</w:t>
            </w:r>
          </w:p>
        </w:tc>
        <w:tc>
          <w:tcPr>
            <w:tcW w:w="1860" w:type="dxa"/>
            <w:vAlign w:val="bottom"/>
            <w:gridSpan w:val="2"/>
          </w:tcPr>
          <w:p>
            <w:pPr>
              <w:spacing w:after="0" w:line="130" w:lineRule="exact"/>
              <w:rPr>
                <w:sz w:val="20"/>
                <w:szCs w:val="20"/>
                <w:color w:val="auto"/>
              </w:rPr>
            </w:pPr>
            <w:r>
              <w:rPr>
                <w:rFonts w:ascii="Arial" w:cs="Arial" w:eastAsia="Arial" w:hAnsi="Arial"/>
                <w:sz w:val="14"/>
                <w:szCs w:val="14"/>
                <w:color w:val="auto"/>
              </w:rPr>
              <w:t>First-lien loan ($35,390 par,</w:t>
            </w: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Arial" w:cs="Arial" w:eastAsia="Arial" w:hAnsi="Arial"/>
                <w:sz w:val="14"/>
                <w:szCs w:val="14"/>
                <w:color w:val="auto"/>
              </w:rPr>
              <w:t>due 3/2019)</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7.25%</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3/11/2014</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35,090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34,868</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4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Oil, gas and consumable fuels</w:t>
            </w:r>
          </w:p>
        </w:tc>
        <w:tc>
          <w:tcPr>
            <w:tcW w:w="1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640" w:type="dxa"/>
            <w:vAlign w:val="bottom"/>
            <w:gridSpan w:val="2"/>
          </w:tcPr>
          <w:p>
            <w:pPr>
              <w:spacing w:after="0" w:line="130" w:lineRule="exact"/>
              <w:rPr>
                <w:sz w:val="20"/>
                <w:szCs w:val="20"/>
                <w:color w:val="auto"/>
              </w:rPr>
            </w:pPr>
            <w:r>
              <w:rPr>
                <w:rFonts w:ascii="Arial" w:cs="Arial" w:eastAsia="Arial" w:hAnsi="Arial"/>
                <w:sz w:val="14"/>
                <w:szCs w:val="14"/>
                <w:color w:val="auto"/>
              </w:rPr>
              <w:t>Milagro Exploration, LLC</w:t>
            </w:r>
            <w:r>
              <w:rPr>
                <w:rFonts w:ascii="Arial" w:cs="Arial" w:eastAsia="Arial" w:hAnsi="Arial"/>
                <w:sz w:val="12"/>
                <w:szCs w:val="12"/>
                <w:color w:val="auto"/>
              </w:rPr>
              <w:t>(3)(4)</w:t>
            </w:r>
          </w:p>
        </w:tc>
        <w:tc>
          <w:tcPr>
            <w:tcW w:w="1860" w:type="dxa"/>
            <w:vAlign w:val="bottom"/>
            <w:gridSpan w:val="2"/>
          </w:tcPr>
          <w:p>
            <w:pPr>
              <w:spacing w:after="0" w:line="130" w:lineRule="exact"/>
              <w:rPr>
                <w:sz w:val="20"/>
                <w:szCs w:val="20"/>
                <w:color w:val="auto"/>
              </w:rPr>
            </w:pPr>
            <w:r>
              <w:rPr>
                <w:rFonts w:ascii="Arial" w:cs="Arial" w:eastAsia="Arial" w:hAnsi="Arial"/>
                <w:sz w:val="14"/>
                <w:szCs w:val="14"/>
                <w:color w:val="auto"/>
              </w:rPr>
              <w:t>First-lien loan ($62,857 par,</w:t>
            </w: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Arial" w:cs="Arial" w:eastAsia="Arial" w:hAnsi="Arial"/>
                <w:sz w:val="14"/>
                <w:szCs w:val="14"/>
                <w:color w:val="auto"/>
              </w:rPr>
              <w:t>due 9/2017)</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9.50%</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9/4/2014</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62,130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61,457</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30"/>
        </w:trPr>
        <w:tc>
          <w:tcPr>
            <w:tcW w:w="4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Mississippi Resources, LLC</w:t>
            </w:r>
            <w:r>
              <w:rPr>
                <w:rFonts w:ascii="Arial" w:cs="Arial" w:eastAsia="Arial" w:hAnsi="Arial"/>
                <w:sz w:val="12"/>
                <w:szCs w:val="12"/>
                <w:color w:val="auto"/>
              </w:rPr>
              <w:t>(3)(4)(8)</w:t>
            </w:r>
          </w:p>
        </w:tc>
        <w:tc>
          <w:tcPr>
            <w:tcW w:w="1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13.00%</w:t>
            </w: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First-lien loan ($39,505 par,</w:t>
            </w: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8"/>
              </w:rPr>
              <w:t>(incl. 1.50%</w:t>
            </w: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6/2018)</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PIK)</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6/4/2014</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38,706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37,381</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100,836</w:t>
            </w:r>
          </w:p>
        </w:tc>
        <w:tc>
          <w:tcPr>
            <w:tcW w:w="1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98,838</w:t>
            </w:r>
          </w:p>
        </w:tc>
        <w:tc>
          <w:tcPr>
            <w:tcW w:w="300" w:type="dxa"/>
            <w:vAlign w:val="bottom"/>
            <w:vMerge w:val="continue"/>
          </w:tcPr>
          <w:p>
            <w:pPr>
              <w:spacing w:after="0"/>
              <w:rPr>
                <w:sz w:val="14"/>
                <w:szCs w:val="14"/>
                <w:color w:val="auto"/>
              </w:rPr>
            </w:pPr>
          </w:p>
        </w:tc>
        <w:tc>
          <w:tcPr>
            <w:tcW w:w="9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49"/>
        </w:trPr>
        <w:tc>
          <w:tcPr>
            <w:tcW w:w="4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Retail</w:t>
            </w:r>
          </w:p>
        </w:tc>
        <w:tc>
          <w:tcPr>
            <w:tcW w:w="1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640" w:type="dxa"/>
            <w:vAlign w:val="bottom"/>
            <w:gridSpan w:val="2"/>
          </w:tcPr>
          <w:p>
            <w:pPr>
              <w:spacing w:after="0" w:line="130" w:lineRule="exact"/>
              <w:rPr>
                <w:sz w:val="20"/>
                <w:szCs w:val="20"/>
                <w:color w:val="auto"/>
              </w:rPr>
            </w:pPr>
            <w:r>
              <w:rPr>
                <w:rFonts w:ascii="Arial" w:cs="Arial" w:eastAsia="Arial" w:hAnsi="Arial"/>
                <w:sz w:val="14"/>
                <w:szCs w:val="14"/>
                <w:color w:val="auto"/>
              </w:rPr>
              <w:t>Toys ‘R’ Us-Delaware, Inc.</w:t>
            </w:r>
            <w:r>
              <w:rPr>
                <w:rFonts w:ascii="Arial" w:cs="Arial" w:eastAsia="Arial" w:hAnsi="Arial"/>
                <w:sz w:val="12"/>
                <w:szCs w:val="12"/>
                <w:color w:val="auto"/>
              </w:rPr>
              <w:t>(3)(4)</w:t>
            </w:r>
          </w:p>
        </w:tc>
        <w:tc>
          <w:tcPr>
            <w:tcW w:w="1860" w:type="dxa"/>
            <w:vAlign w:val="bottom"/>
            <w:gridSpan w:val="2"/>
          </w:tcPr>
          <w:p>
            <w:pPr>
              <w:spacing w:after="0" w:line="130" w:lineRule="exact"/>
              <w:rPr>
                <w:sz w:val="20"/>
                <w:szCs w:val="20"/>
                <w:color w:val="auto"/>
              </w:rPr>
            </w:pPr>
            <w:r>
              <w:rPr>
                <w:rFonts w:ascii="Arial" w:cs="Arial" w:eastAsia="Arial" w:hAnsi="Arial"/>
                <w:sz w:val="14"/>
                <w:szCs w:val="14"/>
                <w:color w:val="auto"/>
              </w:rPr>
              <w:t>First-lien loan ($42,000 par,</w:t>
            </w: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Arial" w:cs="Arial" w:eastAsia="Arial" w:hAnsi="Arial"/>
                <w:sz w:val="14"/>
                <w:szCs w:val="14"/>
                <w:color w:val="auto"/>
              </w:rPr>
              <w:t>due 10/2019)</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8.25%</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w w:val="96"/>
              </w:rPr>
              <w:t>10/10/2014</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41,149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41,370</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4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Transportation</w:t>
            </w:r>
          </w:p>
        </w:tc>
        <w:tc>
          <w:tcPr>
            <w:tcW w:w="1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640" w:type="dxa"/>
            <w:vAlign w:val="bottom"/>
            <w:gridSpan w:val="2"/>
          </w:tcPr>
          <w:p>
            <w:pPr>
              <w:spacing w:after="0" w:line="130" w:lineRule="exact"/>
              <w:rPr>
                <w:sz w:val="20"/>
                <w:szCs w:val="20"/>
                <w:color w:val="auto"/>
              </w:rPr>
            </w:pPr>
            <w:r>
              <w:rPr>
                <w:rFonts w:ascii="Arial" w:cs="Arial" w:eastAsia="Arial" w:hAnsi="Arial"/>
                <w:sz w:val="14"/>
                <w:szCs w:val="14"/>
                <w:color w:val="auto"/>
              </w:rPr>
              <w:t>Kewill, Ltd.</w:t>
            </w:r>
            <w:r>
              <w:rPr>
                <w:rFonts w:ascii="Arial" w:cs="Arial" w:eastAsia="Arial" w:hAnsi="Arial"/>
                <w:sz w:val="12"/>
                <w:szCs w:val="12"/>
                <w:color w:val="auto"/>
              </w:rPr>
              <w:t>(3)(5)</w:t>
            </w:r>
          </w:p>
        </w:tc>
        <w:tc>
          <w:tcPr>
            <w:tcW w:w="1860" w:type="dxa"/>
            <w:vAlign w:val="bottom"/>
            <w:gridSpan w:val="2"/>
          </w:tcPr>
          <w:p>
            <w:pPr>
              <w:spacing w:after="0" w:line="130" w:lineRule="exact"/>
              <w:rPr>
                <w:sz w:val="20"/>
                <w:szCs w:val="20"/>
                <w:color w:val="auto"/>
              </w:rPr>
            </w:pPr>
            <w:r>
              <w:rPr>
                <w:rFonts w:ascii="Arial" w:cs="Arial" w:eastAsia="Arial" w:hAnsi="Arial"/>
                <w:sz w:val="14"/>
                <w:szCs w:val="14"/>
                <w:color w:val="auto"/>
              </w:rPr>
              <w:t>Second-lien loan ($62,500</w:t>
            </w: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Arial" w:cs="Arial" w:eastAsia="Arial" w:hAnsi="Arial"/>
                <w:sz w:val="14"/>
                <w:szCs w:val="14"/>
                <w:color w:val="auto"/>
              </w:rPr>
              <w:t>par, due 10/2019)</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9.50%</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10/2/2013</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61,428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61,250</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Total Debt Investments</w:t>
            </w:r>
          </w:p>
        </w:tc>
        <w:tc>
          <w:tcPr>
            <w:tcW w:w="1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9"/>
              </w:rPr>
              <w:t>1,251,749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9"/>
              </w:rPr>
              <w:t>1,248,618</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148.2%</w:t>
            </w:r>
          </w:p>
        </w:tc>
        <w:tc>
          <w:tcPr>
            <w:tcW w:w="0" w:type="dxa"/>
            <w:vAlign w:val="bottom"/>
          </w:tcPr>
          <w:p>
            <w:pPr>
              <w:spacing w:after="0"/>
              <w:rPr>
                <w:sz w:val="1"/>
                <w:szCs w:val="1"/>
                <w:color w:val="auto"/>
              </w:rPr>
            </w:pPr>
          </w:p>
        </w:tc>
      </w:tr>
      <w:tr>
        <w:trPr>
          <w:trHeight w:val="156"/>
        </w:trPr>
        <w:tc>
          <w:tcPr>
            <w:tcW w:w="46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Equity and Other Investments</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Business services</w:t>
            </w:r>
          </w:p>
        </w:tc>
        <w:tc>
          <w:tcPr>
            <w:tcW w:w="1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640" w:type="dxa"/>
            <w:vAlign w:val="bottom"/>
            <w:gridSpan w:val="2"/>
          </w:tcPr>
          <w:p>
            <w:pPr>
              <w:spacing w:after="0" w:line="130" w:lineRule="exact"/>
              <w:rPr>
                <w:sz w:val="20"/>
                <w:szCs w:val="20"/>
                <w:color w:val="auto"/>
              </w:rPr>
            </w:pPr>
            <w:r>
              <w:rPr>
                <w:rFonts w:ascii="Arial" w:cs="Arial" w:eastAsia="Arial" w:hAnsi="Arial"/>
                <w:sz w:val="14"/>
                <w:szCs w:val="14"/>
                <w:color w:val="auto"/>
              </w:rPr>
              <w:t>Network Merchants, Inc</w:t>
            </w:r>
          </w:p>
        </w:tc>
        <w:tc>
          <w:tcPr>
            <w:tcW w:w="1860" w:type="dxa"/>
            <w:vAlign w:val="bottom"/>
            <w:gridSpan w:val="2"/>
          </w:tcPr>
          <w:p>
            <w:pPr>
              <w:spacing w:after="0" w:line="130" w:lineRule="exact"/>
              <w:rPr>
                <w:sz w:val="20"/>
                <w:szCs w:val="20"/>
                <w:color w:val="auto"/>
              </w:rPr>
            </w:pPr>
            <w:r>
              <w:rPr>
                <w:rFonts w:ascii="Arial" w:cs="Arial" w:eastAsia="Arial" w:hAnsi="Arial"/>
                <w:sz w:val="14"/>
                <w:szCs w:val="14"/>
                <w:color w:val="auto"/>
              </w:rPr>
              <w:t>Non-Voting Preferred Units</w:t>
            </w: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Arial" w:cs="Arial" w:eastAsia="Arial" w:hAnsi="Arial"/>
                <w:sz w:val="14"/>
                <w:szCs w:val="14"/>
                <w:color w:val="auto"/>
              </w:rPr>
              <w:t>(774,099 units)</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9/12/2013</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780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932</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4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Healthcare and pharmaceuticals</w:t>
            </w:r>
          </w:p>
        </w:tc>
        <w:tc>
          <w:tcPr>
            <w:tcW w:w="1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640" w:type="dxa"/>
            <w:vAlign w:val="bottom"/>
            <w:gridSpan w:val="2"/>
          </w:tcPr>
          <w:p>
            <w:pPr>
              <w:spacing w:after="0" w:line="130" w:lineRule="exact"/>
              <w:rPr>
                <w:sz w:val="20"/>
                <w:szCs w:val="20"/>
                <w:color w:val="auto"/>
              </w:rPr>
            </w:pPr>
            <w:r>
              <w:rPr>
                <w:rFonts w:ascii="Arial" w:cs="Arial" w:eastAsia="Arial" w:hAnsi="Arial"/>
                <w:sz w:val="14"/>
                <w:szCs w:val="14"/>
                <w:color w:val="auto"/>
              </w:rPr>
              <w:t>Global Healthcare Exchange, LLC</w:t>
            </w:r>
          </w:p>
        </w:tc>
        <w:tc>
          <w:tcPr>
            <w:tcW w:w="1860" w:type="dxa"/>
            <w:vAlign w:val="bottom"/>
            <w:gridSpan w:val="2"/>
          </w:tcPr>
          <w:p>
            <w:pPr>
              <w:spacing w:after="0" w:line="130" w:lineRule="exact"/>
              <w:rPr>
                <w:sz w:val="20"/>
                <w:szCs w:val="20"/>
                <w:color w:val="auto"/>
              </w:rPr>
            </w:pPr>
            <w:r>
              <w:rPr>
                <w:rFonts w:ascii="Arial" w:cs="Arial" w:eastAsia="Arial" w:hAnsi="Arial"/>
                <w:sz w:val="14"/>
                <w:szCs w:val="14"/>
                <w:color w:val="auto"/>
              </w:rPr>
              <w:t>Common Shares Class A</w:t>
            </w: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Arial" w:cs="Arial" w:eastAsia="Arial" w:hAnsi="Arial"/>
                <w:sz w:val="14"/>
                <w:szCs w:val="14"/>
                <w:color w:val="auto"/>
              </w:rPr>
              <w:t>(598 shares)</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3/11/2014</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467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467</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0"/>
        </w:trPr>
        <w:tc>
          <w:tcPr>
            <w:tcW w:w="4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Common Shares Class B</w:t>
            </w:r>
          </w:p>
        </w:tc>
        <w:tc>
          <w:tcPr>
            <w:tcW w:w="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(196 shares)</w:t>
            </w: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3/11/2014</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137</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Helix Health, Ltd.</w:t>
            </w:r>
            <w:r>
              <w:rPr>
                <w:rFonts w:ascii="Arial" w:cs="Arial" w:eastAsia="Arial" w:hAnsi="Arial"/>
                <w:sz w:val="12"/>
                <w:szCs w:val="12"/>
                <w:color w:val="auto"/>
              </w:rPr>
              <w:t>(5)</w:t>
            </w:r>
          </w:p>
        </w:tc>
        <w:tc>
          <w:tcPr>
            <w:tcW w:w="1860" w:type="dxa"/>
            <w:vAlign w:val="bottom"/>
            <w:gridSpan w:val="2"/>
          </w:tcPr>
          <w:p>
            <w:pPr>
              <w:spacing w:after="0" w:line="149" w:lineRule="exact"/>
              <w:rPr>
                <w:sz w:val="20"/>
                <w:szCs w:val="20"/>
                <w:color w:val="auto"/>
              </w:rPr>
            </w:pPr>
            <w:r>
              <w:rPr>
                <w:rFonts w:ascii="Arial" w:cs="Arial" w:eastAsia="Arial" w:hAnsi="Arial"/>
                <w:sz w:val="14"/>
                <w:szCs w:val="14"/>
                <w:color w:val="auto"/>
              </w:rPr>
              <w:t>Warrants</w:t>
            </w: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9/30/2014</w:t>
            </w: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877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840</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0"/>
        </w:trPr>
        <w:tc>
          <w:tcPr>
            <w:tcW w:w="4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SRS Parent Corp.</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Common Shares Class A</w:t>
            </w:r>
          </w:p>
        </w:tc>
        <w:tc>
          <w:tcPr>
            <w:tcW w:w="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(1,980 shares)</w:t>
            </w: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w w:val="96"/>
              </w:rPr>
              <w:t>12/28/2012</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1,980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1,099</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0"/>
        </w:trPr>
        <w:tc>
          <w:tcPr>
            <w:tcW w:w="4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60" w:type="dxa"/>
            <w:vAlign w:val="bottom"/>
            <w:gridSpan w:val="2"/>
          </w:tcPr>
          <w:p>
            <w:pPr>
              <w:spacing w:after="0" w:line="130" w:lineRule="exact"/>
              <w:rPr>
                <w:sz w:val="20"/>
                <w:szCs w:val="20"/>
                <w:color w:val="auto"/>
              </w:rPr>
            </w:pPr>
            <w:r>
              <w:rPr>
                <w:rFonts w:ascii="Arial" w:cs="Arial" w:eastAsia="Arial" w:hAnsi="Arial"/>
                <w:sz w:val="14"/>
                <w:szCs w:val="14"/>
                <w:color w:val="auto"/>
              </w:rPr>
              <w:t>Common Shares Class B</w:t>
            </w: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Arial" w:cs="Arial" w:eastAsia="Arial" w:hAnsi="Arial"/>
                <w:sz w:val="14"/>
                <w:szCs w:val="14"/>
                <w:color w:val="auto"/>
              </w:rPr>
              <w:t>(2,953,020 shares)</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w w:val="96"/>
              </w:rPr>
              <w:t>12/28/2012</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20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11</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3,481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2,554</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56"/>
        </w:trPr>
        <w:tc>
          <w:tcPr>
            <w:tcW w:w="4640" w:type="dxa"/>
            <w:vAlign w:val="bottom"/>
            <w:gridSpan w:val="2"/>
          </w:tcPr>
          <w:p>
            <w:pPr>
              <w:ind w:left="300"/>
              <w:spacing w:after="0" w:line="155" w:lineRule="exact"/>
              <w:rPr>
                <w:sz w:val="20"/>
                <w:szCs w:val="20"/>
                <w:color w:val="auto"/>
              </w:rPr>
            </w:pPr>
            <w:r>
              <w:rPr>
                <w:rFonts w:ascii="Arial" w:cs="Arial" w:eastAsia="Arial" w:hAnsi="Arial"/>
                <w:sz w:val="14"/>
                <w:szCs w:val="14"/>
                <w:b w:val="1"/>
                <w:bCs w:val="1"/>
                <w:color w:val="auto"/>
              </w:rPr>
              <w:t>Hotel, gaming, and leisure</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IRG Sports &amp; Entertainment, LLC</w:t>
            </w:r>
          </w:p>
        </w:tc>
        <w:tc>
          <w:tcPr>
            <w:tcW w:w="1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Warrants</w:t>
            </w: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9/30/2014</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1,494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1,494</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460" w:right="2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Initial</w:t>
            </w:r>
          </w:p>
        </w:tc>
        <w:tc>
          <w:tcPr>
            <w:tcW w:w="20" w:type="dxa"/>
            <w:vAlign w:val="bottom"/>
          </w:tcPr>
          <w:p>
            <w:pPr>
              <w:spacing w:after="0"/>
              <w:rPr>
                <w:sz w:val="14"/>
                <w:szCs w:val="14"/>
                <w:color w:val="auto"/>
              </w:rPr>
            </w:pP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Fair</w:t>
            </w: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7"/>
              </w:rPr>
              <w:t>Percentage</w:t>
            </w:r>
          </w:p>
        </w:tc>
        <w:tc>
          <w:tcPr>
            <w:tcW w:w="0" w:type="dxa"/>
            <w:vAlign w:val="bottom"/>
          </w:tcPr>
          <w:p>
            <w:pPr>
              <w:spacing w:after="0"/>
              <w:rPr>
                <w:sz w:val="1"/>
                <w:szCs w:val="1"/>
                <w:color w:val="auto"/>
              </w:rPr>
            </w:pPr>
          </w:p>
        </w:tc>
      </w:tr>
      <w:tr>
        <w:trPr>
          <w:trHeight w:val="149"/>
        </w:trPr>
        <w:tc>
          <w:tcPr>
            <w:tcW w:w="4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192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Investment</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Interest</w:t>
            </w: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2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60" w:type="dxa"/>
            <w:vAlign w:val="bottom"/>
            <w:gridSpan w:val="2"/>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Date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6"/>
              </w:rPr>
              <w:t>Cost</w:t>
            </w:r>
            <w:r>
              <w:rPr>
                <w:rFonts w:ascii="Arial" w:cs="Arial" w:eastAsia="Arial" w:hAnsi="Arial"/>
                <w:sz w:val="12"/>
                <w:szCs w:val="12"/>
                <w:b w:val="1"/>
                <w:bCs w:val="1"/>
                <w:color w:val="auto"/>
                <w:w w:val="96"/>
              </w:rPr>
              <w:t>(2)</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Value</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of Net Assets</w:t>
            </w:r>
          </w:p>
        </w:tc>
        <w:tc>
          <w:tcPr>
            <w:tcW w:w="0" w:type="dxa"/>
            <w:vAlign w:val="bottom"/>
          </w:tcPr>
          <w:p>
            <w:pPr>
              <w:spacing w:after="0"/>
              <w:rPr>
                <w:sz w:val="1"/>
                <w:szCs w:val="1"/>
                <w:color w:val="auto"/>
              </w:rPr>
            </w:pPr>
          </w:p>
        </w:tc>
      </w:tr>
      <w:tr>
        <w:trPr>
          <w:trHeight w:val="196"/>
        </w:trPr>
        <w:tc>
          <w:tcPr>
            <w:tcW w:w="44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4"/>
                <w:szCs w:val="14"/>
                <w:b w:val="1"/>
                <w:bCs w:val="1"/>
                <w:color w:val="auto"/>
              </w:rPr>
              <w:t>Metals and mining</w:t>
            </w:r>
          </w:p>
        </w:tc>
        <w:tc>
          <w:tcPr>
            <w:tcW w:w="2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Arial" w:cs="Arial" w:eastAsia="Arial" w:hAnsi="Arial"/>
                <w:sz w:val="14"/>
                <w:szCs w:val="14"/>
                <w:color w:val="auto"/>
              </w:rPr>
              <w:t>Metalico, Inc.</w:t>
            </w:r>
          </w:p>
        </w:tc>
        <w:tc>
          <w:tcPr>
            <w:tcW w:w="1920" w:type="dxa"/>
            <w:vAlign w:val="bottom"/>
            <w:gridSpan w:val="2"/>
          </w:tcPr>
          <w:p>
            <w:pPr>
              <w:spacing w:after="0" w:line="149" w:lineRule="exact"/>
              <w:rPr>
                <w:sz w:val="20"/>
                <w:szCs w:val="20"/>
                <w:color w:val="auto"/>
              </w:rPr>
            </w:pPr>
            <w:r>
              <w:rPr>
                <w:rFonts w:ascii="Arial" w:cs="Arial" w:eastAsia="Arial" w:hAnsi="Arial"/>
                <w:sz w:val="14"/>
                <w:szCs w:val="14"/>
                <w:color w:val="auto"/>
              </w:rPr>
              <w:t>Warrants</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11/21/2013</w:t>
            </w:r>
          </w:p>
        </w:tc>
        <w:tc>
          <w:tcPr>
            <w:tcW w:w="1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1,343</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133</w:t>
            </w:r>
          </w:p>
        </w:tc>
        <w:tc>
          <w:tcPr>
            <w:tcW w:w="30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Oil, gas and consumable fuels</w:t>
            </w:r>
          </w:p>
        </w:tc>
        <w:tc>
          <w:tcPr>
            <w:tcW w:w="1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660" w:type="dxa"/>
            <w:vAlign w:val="bottom"/>
            <w:gridSpan w:val="2"/>
          </w:tcPr>
          <w:p>
            <w:pPr>
              <w:spacing w:after="0" w:line="130" w:lineRule="exact"/>
              <w:rPr>
                <w:sz w:val="20"/>
                <w:szCs w:val="20"/>
                <w:color w:val="auto"/>
              </w:rPr>
            </w:pPr>
            <w:r>
              <w:rPr>
                <w:rFonts w:ascii="Arial" w:cs="Arial" w:eastAsia="Arial" w:hAnsi="Arial"/>
                <w:sz w:val="14"/>
                <w:szCs w:val="14"/>
                <w:color w:val="auto"/>
              </w:rPr>
              <w:t xml:space="preserve">Mississippi Resources, LLC </w:t>
            </w:r>
            <w:r>
              <w:rPr>
                <w:rFonts w:ascii="Arial" w:cs="Arial" w:eastAsia="Arial" w:hAnsi="Arial"/>
                <w:sz w:val="12"/>
                <w:szCs w:val="12"/>
                <w:color w:val="auto"/>
              </w:rPr>
              <w:t>(8)</w:t>
            </w:r>
          </w:p>
        </w:tc>
        <w:tc>
          <w:tcPr>
            <w:tcW w:w="1920" w:type="dxa"/>
            <w:vAlign w:val="bottom"/>
            <w:gridSpan w:val="2"/>
          </w:tcPr>
          <w:p>
            <w:pPr>
              <w:spacing w:after="0" w:line="130" w:lineRule="exact"/>
              <w:rPr>
                <w:sz w:val="20"/>
                <w:szCs w:val="20"/>
                <w:color w:val="auto"/>
              </w:rPr>
            </w:pPr>
            <w:r>
              <w:rPr>
                <w:rFonts w:ascii="Arial" w:cs="Arial" w:eastAsia="Arial" w:hAnsi="Arial"/>
                <w:sz w:val="14"/>
                <w:szCs w:val="14"/>
                <w:color w:val="auto"/>
              </w:rPr>
              <w:t>Class A Member</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4"/>
                <w:szCs w:val="14"/>
                <w:color w:val="auto"/>
              </w:rPr>
              <w:t>Units (933 units)</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6/4/2014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8,874</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4,254</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Other</w:t>
            </w:r>
          </w:p>
        </w:tc>
        <w:tc>
          <w:tcPr>
            <w:tcW w:w="1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Arial" w:cs="Arial" w:eastAsia="Arial" w:hAnsi="Arial"/>
                <w:sz w:val="14"/>
                <w:szCs w:val="14"/>
                <w:color w:val="auto"/>
              </w:rPr>
              <w:t>Symphony</w:t>
            </w:r>
            <w:r>
              <w:rPr>
                <w:rFonts w:ascii="Arial" w:cs="Arial" w:eastAsia="Arial" w:hAnsi="Arial"/>
                <w:sz w:val="12"/>
                <w:szCs w:val="12"/>
                <w:color w:val="auto"/>
              </w:rPr>
              <w:t>(5)(7)</w:t>
            </w:r>
          </w:p>
        </w:tc>
        <w:tc>
          <w:tcPr>
            <w:tcW w:w="1920" w:type="dxa"/>
            <w:vAlign w:val="bottom"/>
            <w:gridSpan w:val="2"/>
          </w:tcPr>
          <w:p>
            <w:pPr>
              <w:spacing w:after="0" w:line="149" w:lineRule="exact"/>
              <w:rPr>
                <w:sz w:val="20"/>
                <w:szCs w:val="20"/>
                <w:color w:val="auto"/>
              </w:rPr>
            </w:pPr>
            <w:r>
              <w:rPr>
                <w:rFonts w:ascii="Arial" w:cs="Arial" w:eastAsia="Arial" w:hAnsi="Arial"/>
                <w:sz w:val="14"/>
                <w:szCs w:val="14"/>
                <w:color w:val="auto"/>
              </w:rPr>
              <w:t>Structured Product</w:t>
            </w: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5.98%</w:t>
            </w: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11/17/2014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5,531</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5,526</w:t>
            </w: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6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Total Equity and Other Investments</w:t>
            </w:r>
          </w:p>
        </w:tc>
        <w:tc>
          <w:tcPr>
            <w:tcW w:w="1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21,503</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14,893</w:t>
            </w: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Investments</w:t>
            </w: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60" w:type="dxa"/>
            <w:vAlign w:val="bottom"/>
            <w:gridSpan w:val="2"/>
            <w:vMerge w:val="continue"/>
          </w:tcPr>
          <w:p>
            <w:pPr>
              <w:spacing w:after="0"/>
              <w:rPr>
                <w:sz w:val="13"/>
                <w:szCs w:val="13"/>
                <w:color w:val="auto"/>
              </w:rPr>
            </w:pP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9"/>
              </w:rPr>
              <w:t>1,273,252</w:t>
            </w:r>
          </w:p>
        </w:tc>
        <w:tc>
          <w:tcPr>
            <w:tcW w:w="2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9"/>
              </w:rPr>
              <w:t>1,263,511</w:t>
            </w:r>
          </w:p>
        </w:tc>
        <w:tc>
          <w:tcPr>
            <w:tcW w:w="300" w:type="dxa"/>
            <w:vAlign w:val="bottom"/>
            <w:vMerge w:val="continue"/>
          </w:tcPr>
          <w:p>
            <w:pPr>
              <w:spacing w:after="0"/>
              <w:rPr>
                <w:sz w:val="13"/>
                <w:szCs w:val="13"/>
                <w:color w:val="auto"/>
              </w:rPr>
            </w:pPr>
          </w:p>
        </w:tc>
        <w:tc>
          <w:tcPr>
            <w:tcW w:w="106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150.0%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120" w:hanging="332"/>
        <w:spacing w:after="0" w:line="230" w:lineRule="auto"/>
        <w:tabs>
          <w:tab w:leader="none" w:pos="34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Unless otherwise indicated, the Company’s portfolio companies are domiciled in the United States. As of December 31, 2014, the Company does not “control” any of the portfolio companies nor are any of its portfolio companies considered to be “affiliates” (see Note 4). Certain portfolio company investments are subject to contractual restrictions on sales.</w:t>
      </w:r>
    </w:p>
    <w:p>
      <w:pPr>
        <w:ind w:left="340" w:hanging="332"/>
        <w:spacing w:after="0" w:line="221" w:lineRule="auto"/>
        <w:tabs>
          <w:tab w:leader="none" w:pos="34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The amortized cost represents the original cost adjusted for the amortization of discounts and premiums, as applicable, on debt investments using the effective interest method.</w:t>
      </w:r>
    </w:p>
    <w:p>
      <w:pPr>
        <w:jc w:val="both"/>
        <w:ind w:left="340" w:right="100" w:hanging="332"/>
        <w:spacing w:after="0" w:line="221" w:lineRule="auto"/>
        <w:tabs>
          <w:tab w:leader="none" w:pos="34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the Company has provided the interest rate in effect on the date presented.</w:t>
      </w:r>
    </w:p>
    <w:p>
      <w:pPr>
        <w:ind w:left="340" w:right="120" w:hanging="332"/>
        <w:spacing w:after="0" w:line="221" w:lineRule="auto"/>
        <w:tabs>
          <w:tab w:leader="none" w:pos="34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The investment, or a portion thereof, is held within TPG SL SPV, LLC, a wholly-owned subsidiary of the Company, and is pledged as collateral supporting the amounts outstanding under the SPV Asset Facility (see Note 7).</w:t>
      </w:r>
    </w:p>
    <w:p>
      <w:pPr>
        <w:ind w:left="340" w:right="240" w:hanging="332"/>
        <w:spacing w:after="0" w:line="221" w:lineRule="auto"/>
        <w:tabs>
          <w:tab w:leader="none" w:pos="34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ind w:left="340" w:right="280" w:hanging="332"/>
        <w:spacing w:after="0" w:line="221" w:lineRule="auto"/>
        <w:tabs>
          <w:tab w:leader="none" w:pos="34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ind w:left="340" w:hanging="332"/>
        <w:spacing w:after="0" w:line="221" w:lineRule="auto"/>
        <w:tabs>
          <w:tab w:leader="none" w:pos="34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Contains a variable rate structure. Bears interest at a rate determined by three-month LIBOR.</w:t>
      </w:r>
    </w:p>
    <w:p>
      <w:pPr>
        <w:ind w:left="340" w:right="40" w:hanging="332"/>
        <w:spacing w:after="0" w:line="229" w:lineRule="auto"/>
        <w:tabs>
          <w:tab w:leader="none" w:pos="34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2014 in which the issuer was an Affiliated Person of and was deemed to Control a portfolio company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4"/>
                <w:szCs w:val="14"/>
                <w:color w:val="auto"/>
              </w:rPr>
            </w:pPr>
          </w:p>
        </w:tc>
        <w:tc>
          <w:tcPr>
            <w:tcW w:w="620" w:type="dxa"/>
            <w:vAlign w:val="bottom"/>
          </w:tcPr>
          <w:p>
            <w:pPr>
              <w:jc w:val="center"/>
              <w:ind w:right="68"/>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Net</w:t>
            </w: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Realized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6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Other</w:t>
            </w:r>
          </w:p>
        </w:tc>
        <w:tc>
          <w:tcPr>
            <w:tcW w:w="6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Additions</w:t>
            </w: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Reductions</w:t>
            </w:r>
          </w:p>
        </w:tc>
        <w:tc>
          <w:tcPr>
            <w:tcW w:w="180" w:type="dxa"/>
            <w:vAlign w:val="bottom"/>
          </w:tcPr>
          <w:p>
            <w:pPr>
              <w:spacing w:after="0"/>
              <w:rPr>
                <w:sz w:val="12"/>
                <w:szCs w:val="12"/>
                <w:color w:val="auto"/>
              </w:rPr>
            </w:pPr>
          </w:p>
        </w:tc>
        <w:tc>
          <w:tcPr>
            <w:tcW w:w="9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5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Gain/</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91"/>
              </w:rPr>
              <w:t>December 31, 2013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140"/>
              <w:spacing w:after="0"/>
              <w:rPr>
                <w:sz w:val="20"/>
                <w:szCs w:val="20"/>
                <w:color w:val="auto"/>
              </w:rPr>
            </w:pPr>
            <w:r>
              <w:rPr>
                <w:rFonts w:ascii="Arial" w:cs="Arial" w:eastAsia="Arial" w:hAnsi="Arial"/>
                <w:sz w:val="14"/>
                <w:szCs w:val="14"/>
                <w:b w:val="1"/>
                <w:bCs w:val="1"/>
                <w:color w:val="auto"/>
              </w:rPr>
              <w:t>(a)</w:t>
            </w:r>
          </w:p>
        </w:tc>
        <w:tc>
          <w:tcPr>
            <w:tcW w:w="140" w:type="dxa"/>
            <w:vAlign w:val="bottom"/>
          </w:tcPr>
          <w:p>
            <w:pPr>
              <w:spacing w:after="0"/>
              <w:rPr>
                <w:sz w:val="14"/>
                <w:szCs w:val="14"/>
                <w:color w:val="auto"/>
              </w:rPr>
            </w:pPr>
          </w:p>
        </w:tc>
        <w:tc>
          <w:tcPr>
            <w:tcW w:w="620" w:type="dxa"/>
            <w:vAlign w:val="bottom"/>
          </w:tcPr>
          <w:p>
            <w:pPr>
              <w:jc w:val="center"/>
              <w:ind w:right="48"/>
              <w:spacing w:after="0"/>
              <w:rPr>
                <w:sz w:val="20"/>
                <w:szCs w:val="20"/>
                <w:color w:val="auto"/>
              </w:rPr>
            </w:pPr>
            <w:r>
              <w:rPr>
                <w:rFonts w:ascii="Arial" w:cs="Arial" w:eastAsia="Arial" w:hAnsi="Arial"/>
                <w:sz w:val="14"/>
                <w:szCs w:val="14"/>
                <w:b w:val="1"/>
                <w:bCs w:val="1"/>
                <w:color w:val="auto"/>
              </w:rPr>
              <w:t>(b)</w:t>
            </w:r>
          </w:p>
        </w:tc>
        <w:tc>
          <w:tcPr>
            <w:tcW w:w="180" w:type="dxa"/>
            <w:vAlign w:val="bottom"/>
          </w:tcPr>
          <w:p>
            <w:pPr>
              <w:spacing w:after="0"/>
              <w:rPr>
                <w:sz w:val="14"/>
                <w:szCs w:val="14"/>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Gain/(Loss)</w:t>
            </w: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(Losses)</w:t>
            </w:r>
          </w:p>
        </w:tc>
        <w:tc>
          <w:tcPr>
            <w:tcW w:w="20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2014</w:t>
            </w: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Income</w:t>
            </w: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42"/>
        </w:trPr>
        <w:tc>
          <w:tcPr>
            <w:tcW w:w="36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Mississippi Resources, LLC</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ind w:left="840"/>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ind w:left="140"/>
              <w:spacing w:after="0" w:line="142" w:lineRule="exact"/>
              <w:rPr>
                <w:sz w:val="20"/>
                <w:szCs w:val="20"/>
                <w:color w:val="auto"/>
              </w:rPr>
            </w:pPr>
            <w:r>
              <w:rPr>
                <w:rFonts w:ascii="Arial" w:cs="Arial" w:eastAsia="Arial" w:hAnsi="Arial"/>
                <w:sz w:val="14"/>
                <w:szCs w:val="14"/>
                <w:color w:val="auto"/>
                <w:w w:val="88"/>
              </w:rPr>
              <w:t>47,580</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ind w:left="400"/>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(5,944)</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41,636</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143</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2,994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7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ind w:left="840"/>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w w:val="88"/>
              </w:rPr>
              <w:t>47,580</w:t>
            </w:r>
          </w:p>
        </w:tc>
        <w:tc>
          <w:tcPr>
            <w:tcW w:w="18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bottom w:val="single" w:sz="8" w:color="auto"/>
            </w:tcBorders>
          </w:tcPr>
          <w:p>
            <w:pPr>
              <w:ind w:left="400"/>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(5,944)</w:t>
            </w:r>
          </w:p>
        </w:tc>
        <w:tc>
          <w:tcPr>
            <w:tcW w:w="2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bottom w:val="single" w:sz="8" w:color="auto"/>
            </w:tcBorders>
          </w:tcPr>
          <w:p>
            <w:pPr>
              <w:ind w:left="280"/>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41,636</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143</w:t>
            </w:r>
          </w:p>
        </w:tc>
        <w:tc>
          <w:tcPr>
            <w:tcW w:w="200" w:type="dxa"/>
            <w:vAlign w:val="bottom"/>
          </w:tcPr>
          <w:p>
            <w:pPr>
              <w:spacing w:after="0"/>
              <w:rPr>
                <w:sz w:val="13"/>
                <w:szCs w:val="13"/>
                <w:color w:val="auto"/>
              </w:rPr>
            </w:pPr>
          </w:p>
        </w:tc>
        <w:tc>
          <w:tcPr>
            <w:tcW w:w="160" w:type="dxa"/>
            <w:vAlign w:val="bottom"/>
            <w:tcBorders>
              <w:bottom w:val="single" w:sz="8" w:color="auto"/>
            </w:tcBorders>
          </w:tcPr>
          <w:p>
            <w:pPr>
              <w:jc w:val="right"/>
              <w:ind w:right="38"/>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2,994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60" w:hanging="332"/>
        <w:spacing w:after="0" w:line="230" w:lineRule="auto"/>
        <w:tabs>
          <w:tab w:leader="none" w:pos="340" w:val="left"/>
        </w:tabs>
        <w:numPr>
          <w:ilvl w:val="0"/>
          <w:numId w:val="165"/>
        </w:numPr>
        <w:rPr>
          <w:rFonts w:ascii="Arial" w:cs="Arial" w:eastAsia="Arial" w:hAnsi="Arial"/>
          <w:sz w:val="14"/>
          <w:szCs w:val="14"/>
          <w:color w:val="auto"/>
        </w:rPr>
      </w:pPr>
      <w:r>
        <w:rPr>
          <w:rFonts w:ascii="Arial" w:cs="Arial" w:eastAsia="Arial" w:hAnsi="Arial"/>
          <w:sz w:val="14"/>
          <w:szCs w:val="14"/>
          <w:color w:val="auto"/>
        </w:rPr>
        <w:t>Gross additions include increases in the cost basis of investments resulting from new investments, payment-in-kind interest or dividends, the amortization of any unearned income or discounts on debt investments, as applicable.</w:t>
      </w:r>
    </w:p>
    <w:p>
      <w:pPr>
        <w:ind w:left="340" w:right="60" w:hanging="332"/>
        <w:spacing w:after="0" w:line="237" w:lineRule="auto"/>
        <w:tabs>
          <w:tab w:leader="none" w:pos="340" w:val="left"/>
        </w:tabs>
        <w:numPr>
          <w:ilvl w:val="0"/>
          <w:numId w:val="165"/>
        </w:numPr>
        <w:rPr>
          <w:rFonts w:ascii="Arial" w:cs="Arial" w:eastAsia="Arial" w:hAnsi="Arial"/>
          <w:sz w:val="14"/>
          <w:szCs w:val="14"/>
          <w:color w:val="auto"/>
        </w:rPr>
      </w:pPr>
      <w:r>
        <w:rPr>
          <w:rFonts w:ascii="Arial" w:cs="Arial" w:eastAsia="Arial" w:hAnsi="Arial"/>
          <w:sz w:val="14"/>
          <w:szCs w:val="14"/>
          <w:color w:val="auto"/>
        </w:rPr>
        <w:t>Gross reductions include decreases in the cost basis of investments resulting from principal collections related to investment repayments or sales, and the amortization of any discounts on debt investments,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380" w:type="dxa"/>
            <w:vAlign w:val="bottom"/>
            <w:gridSpan w:val="3"/>
          </w:tcPr>
          <w:p>
            <w:pPr>
              <w:jc w:val="right"/>
              <w:ind w:right="1080"/>
              <w:spacing w:after="0"/>
              <w:rPr>
                <w:sz w:val="20"/>
                <w:szCs w:val="20"/>
                <w:color w:val="auto"/>
              </w:rPr>
            </w:pPr>
            <w:r>
              <w:rPr>
                <w:rFonts w:ascii="Arial" w:cs="Arial" w:eastAsia="Arial" w:hAnsi="Arial"/>
                <w:sz w:val="14"/>
                <w:szCs w:val="14"/>
                <w:b w:val="1"/>
                <w:bCs w:val="1"/>
                <w:color w:val="auto"/>
                <w:w w:val="92"/>
              </w:rPr>
              <w:t>Three Months Ended</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tcPr>
          <w:p>
            <w:pPr>
              <w:jc w:val="right"/>
              <w:ind w:right="1260"/>
              <w:spacing w:after="0"/>
              <w:rPr>
                <w:sz w:val="20"/>
                <w:szCs w:val="20"/>
                <w:color w:val="auto"/>
              </w:rPr>
            </w:pPr>
            <w:r>
              <w:rPr>
                <w:rFonts w:ascii="Arial" w:cs="Arial" w:eastAsia="Arial" w:hAnsi="Arial"/>
                <w:sz w:val="14"/>
                <w:szCs w:val="14"/>
                <w:b w:val="1"/>
                <w:bCs w:val="1"/>
                <w:color w:val="auto"/>
                <w:w w:val="98"/>
              </w:rPr>
              <w:t>March 31, 2015</w:t>
            </w:r>
          </w:p>
        </w:tc>
        <w:tc>
          <w:tcPr>
            <w:tcW w:w="14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March 31, 2014</w:t>
            </w:r>
          </w:p>
        </w:tc>
        <w:tc>
          <w:tcPr>
            <w:tcW w:w="0" w:type="dxa"/>
            <w:vAlign w:val="bottom"/>
          </w:tcPr>
          <w:p>
            <w:pPr>
              <w:spacing w:after="0"/>
              <w:rPr>
                <w:sz w:val="1"/>
                <w:szCs w:val="1"/>
                <w:color w:val="auto"/>
              </w:rPr>
            </w:pPr>
          </w:p>
        </w:tc>
      </w:tr>
      <w:tr>
        <w:trPr>
          <w:trHeight w:val="196"/>
        </w:trPr>
        <w:tc>
          <w:tcPr>
            <w:tcW w:w="7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Increase in Net Assets Resulting from Operations</w:t>
            </w: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Net investment income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1080"/>
              <w:spacing w:after="0"/>
              <w:rPr>
                <w:sz w:val="20"/>
                <w:szCs w:val="20"/>
                <w:color w:val="auto"/>
              </w:rPr>
            </w:pPr>
            <w:r>
              <w:rPr>
                <w:rFonts w:ascii="Arial" w:cs="Arial" w:eastAsia="Arial" w:hAnsi="Arial"/>
                <w:sz w:val="18"/>
                <w:szCs w:val="18"/>
                <w:color w:val="auto"/>
              </w:rPr>
              <w:t>20,787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21,242</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1,560</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5,715</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right"/>
              <w:ind w:right="1080"/>
              <w:spacing w:after="0"/>
              <w:rPr>
                <w:sz w:val="20"/>
                <w:szCs w:val="20"/>
                <w:color w:val="auto"/>
              </w:rPr>
            </w:pPr>
            <w:r>
              <w:rPr>
                <w:rFonts w:ascii="Arial" w:cs="Arial" w:eastAsia="Arial" w:hAnsi="Arial"/>
                <w:sz w:val="18"/>
                <w:szCs w:val="18"/>
                <w:color w:val="auto"/>
              </w:rPr>
              <w:t>2,121</w:t>
            </w:r>
          </w:p>
        </w:tc>
        <w:tc>
          <w:tcPr>
            <w:tcW w:w="1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24,468</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25,348</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b w:val="1"/>
                <w:bCs w:val="1"/>
                <w:color w:val="auto"/>
              </w:rPr>
              <w:t>Increase in Net Assets Resulting from Capital Share Transactions</w:t>
            </w: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net of offering and underwriting costs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216,634</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Reinvestment of dividends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right"/>
              <w:ind w:right="1080"/>
              <w:spacing w:after="0"/>
              <w:rPr>
                <w:sz w:val="20"/>
                <w:szCs w:val="20"/>
                <w:color w:val="auto"/>
              </w:rPr>
            </w:pPr>
            <w:r>
              <w:rPr>
                <w:rFonts w:ascii="Arial" w:cs="Arial" w:eastAsia="Arial" w:hAnsi="Arial"/>
                <w:sz w:val="18"/>
                <w:szCs w:val="18"/>
                <w:color w:val="auto"/>
              </w:rPr>
              <w:t>2,701</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7,794</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from net investment income</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(21,044)</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(19,717)</w:t>
            </w:r>
          </w:p>
        </w:tc>
        <w:tc>
          <w:tcPr>
            <w:tcW w:w="0" w:type="dxa"/>
            <w:vAlign w:val="bottom"/>
          </w:tcPr>
          <w:p>
            <w:pPr>
              <w:spacing w:after="0"/>
              <w:rPr>
                <w:sz w:val="1"/>
                <w:szCs w:val="1"/>
                <w:color w:val="auto"/>
              </w:rPr>
            </w:pPr>
          </w:p>
        </w:tc>
      </w:tr>
      <w:tr>
        <w:trPr>
          <w:trHeight w:val="230"/>
        </w:trPr>
        <w:tc>
          <w:tcPr>
            <w:tcW w:w="7080" w:type="dxa"/>
            <w:vAlign w:val="bottom"/>
          </w:tcPr>
          <w:p>
            <w:pPr>
              <w:ind w:left="360"/>
              <w:spacing w:after="0"/>
              <w:rPr>
                <w:sz w:val="20"/>
                <w:szCs w:val="20"/>
                <w:color w:val="auto"/>
              </w:rPr>
            </w:pPr>
            <w:r>
              <w:rPr>
                <w:rFonts w:ascii="Arial" w:cs="Arial" w:eastAsia="Arial" w:hAnsi="Arial"/>
                <w:sz w:val="18"/>
                <w:szCs w:val="18"/>
                <w:b w:val="1"/>
                <w:bCs w:val="1"/>
                <w:color w:val="auto"/>
              </w:rPr>
              <w:t>Increase (Decrease) in Net Assets Resulting from Capital Share Transactions</w:t>
            </w: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(18,343)</w:t>
            </w:r>
          </w:p>
        </w:tc>
        <w:tc>
          <w:tcPr>
            <w:tcW w:w="10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204,711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Increase in Net Assets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6,125</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230,059</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Net assets, beginning of period</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right"/>
              <w:ind w:right="1080"/>
              <w:spacing w:after="0"/>
              <w:rPr>
                <w:sz w:val="20"/>
                <w:szCs w:val="20"/>
                <w:color w:val="auto"/>
              </w:rPr>
            </w:pPr>
            <w:r>
              <w:rPr>
                <w:rFonts w:ascii="Arial" w:cs="Arial" w:eastAsia="Arial" w:hAnsi="Arial"/>
                <w:sz w:val="18"/>
                <w:szCs w:val="18"/>
                <w:color w:val="auto"/>
              </w:rPr>
              <w:t>835,405</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574,696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Assets, End of Period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841,530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804,755</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b w:val="1"/>
                <w:bCs w:val="1"/>
                <w:color w:val="auto"/>
                <w:w w:val="97"/>
              </w:rPr>
              <w:t>Undistributed Net Investment Income Included in Net Assets at the End of the Period</w:t>
            </w: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8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6,818</w:t>
            </w:r>
          </w:p>
        </w:tc>
        <w:tc>
          <w:tcPr>
            <w:tcW w:w="10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246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7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2"/>
          </w:tcPr>
          <w:p>
            <w:pPr>
              <w:jc w:val="right"/>
              <w:ind w:right="1320"/>
              <w:spacing w:after="0"/>
              <w:rPr>
                <w:sz w:val="20"/>
                <w:szCs w:val="20"/>
                <w:color w:val="auto"/>
              </w:rPr>
            </w:pPr>
            <w:r>
              <w:rPr>
                <w:rFonts w:ascii="Arial" w:cs="Arial" w:eastAsia="Arial" w:hAnsi="Arial"/>
                <w:sz w:val="14"/>
                <w:szCs w:val="14"/>
                <w:b w:val="1"/>
                <w:bCs w:val="1"/>
                <w:color w:val="auto"/>
                <w:w w:val="98"/>
              </w:rPr>
              <w:t>March 31, 2015</w:t>
            </w:r>
          </w:p>
        </w:tc>
        <w:tc>
          <w:tcPr>
            <w:tcW w:w="14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March 31, 2014</w:t>
            </w:r>
          </w:p>
        </w:tc>
        <w:tc>
          <w:tcPr>
            <w:tcW w:w="0" w:type="dxa"/>
            <w:vAlign w:val="bottom"/>
          </w:tcPr>
          <w:p>
            <w:pPr>
              <w:spacing w:after="0"/>
              <w:rPr>
                <w:sz w:val="1"/>
                <w:szCs w:val="1"/>
                <w:color w:val="auto"/>
              </w:rPr>
            </w:pPr>
          </w:p>
        </w:tc>
      </w:tr>
      <w:tr>
        <w:trPr>
          <w:trHeight w:val="183"/>
        </w:trPr>
        <w:tc>
          <w:tcPr>
            <w:tcW w:w="75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Cash Flows from Operating Activities</w:t>
            </w: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40" w:type="dxa"/>
            <w:vAlign w:val="bottom"/>
          </w:tcPr>
          <w:p>
            <w:pPr>
              <w:spacing w:after="0"/>
              <w:rPr>
                <w:sz w:val="20"/>
                <w:szCs w:val="20"/>
                <w:color w:val="auto"/>
              </w:rPr>
            </w:pPr>
            <w:r>
              <w:rPr>
                <w:rFonts w:ascii="Arial" w:cs="Arial" w:eastAsia="Arial" w:hAnsi="Arial"/>
                <w:sz w:val="17"/>
                <w:szCs w:val="17"/>
                <w:color w:val="auto"/>
              </w:rPr>
              <w:t>Increase in net assets resulting from operations</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2320" w:type="dxa"/>
            <w:vAlign w:val="bottom"/>
            <w:gridSpan w:val="2"/>
          </w:tcPr>
          <w:p>
            <w:pPr>
              <w:jc w:val="right"/>
              <w:ind w:right="1140"/>
              <w:spacing w:after="0"/>
              <w:rPr>
                <w:sz w:val="20"/>
                <w:szCs w:val="20"/>
                <w:color w:val="auto"/>
              </w:rPr>
            </w:pPr>
            <w:r>
              <w:rPr>
                <w:rFonts w:ascii="Arial" w:cs="Arial" w:eastAsia="Arial" w:hAnsi="Arial"/>
                <w:sz w:val="17"/>
                <w:szCs w:val="17"/>
                <w:color w:val="auto"/>
              </w:rPr>
              <w:t>24,468</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25,348</w:t>
            </w:r>
          </w:p>
        </w:tc>
        <w:tc>
          <w:tcPr>
            <w:tcW w:w="0" w:type="dxa"/>
            <w:vAlign w:val="bottom"/>
          </w:tcPr>
          <w:p>
            <w:pPr>
              <w:spacing w:after="0"/>
              <w:rPr>
                <w:sz w:val="1"/>
                <w:szCs w:val="1"/>
                <w:color w:val="auto"/>
              </w:rPr>
            </w:pPr>
          </w:p>
        </w:tc>
      </w:tr>
      <w:tr>
        <w:trPr>
          <w:trHeight w:val="185"/>
        </w:trPr>
        <w:tc>
          <w:tcPr>
            <w:tcW w:w="754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Adjustments to reconcile increase in net assets resulting from operations to net cash used in</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7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operating activities: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540" w:type="dxa"/>
            <w:vAlign w:val="bottom"/>
          </w:tcPr>
          <w:p>
            <w:pPr>
              <w:ind w:left="700"/>
              <w:spacing w:after="0"/>
              <w:rPr>
                <w:sz w:val="20"/>
                <w:szCs w:val="20"/>
                <w:color w:val="auto"/>
              </w:rPr>
            </w:pPr>
            <w:r>
              <w:rPr>
                <w:rFonts w:ascii="Arial" w:cs="Arial" w:eastAsia="Arial" w:hAnsi="Arial"/>
                <w:sz w:val="17"/>
                <w:szCs w:val="17"/>
                <w:color w:val="auto"/>
              </w:rPr>
              <w:t>Net change in unrealized (gains) losses on investments</w:t>
            </w:r>
          </w:p>
        </w:tc>
        <w:tc>
          <w:tcPr>
            <w:tcW w:w="140" w:type="dxa"/>
            <w:vAlign w:val="bottom"/>
          </w:tcPr>
          <w:p>
            <w:pPr>
              <w:spacing w:after="0"/>
              <w:rPr>
                <w:sz w:val="17"/>
                <w:szCs w:val="17"/>
                <w:color w:val="auto"/>
              </w:rPr>
            </w:pPr>
          </w:p>
        </w:tc>
        <w:tc>
          <w:tcPr>
            <w:tcW w:w="2320" w:type="dxa"/>
            <w:vAlign w:val="bottom"/>
            <w:gridSpan w:val="2"/>
          </w:tcPr>
          <w:p>
            <w:pPr>
              <w:jc w:val="right"/>
              <w:ind w:right="1140"/>
              <w:spacing w:after="0"/>
              <w:rPr>
                <w:sz w:val="20"/>
                <w:szCs w:val="20"/>
                <w:color w:val="auto"/>
              </w:rPr>
            </w:pPr>
            <w:r>
              <w:rPr>
                <w:rFonts w:ascii="Arial" w:cs="Arial" w:eastAsia="Arial" w:hAnsi="Arial"/>
                <w:sz w:val="17"/>
                <w:szCs w:val="17"/>
                <w:color w:val="auto"/>
              </w:rPr>
              <w:t>5,302</w:t>
            </w:r>
          </w:p>
        </w:tc>
        <w:tc>
          <w:tcPr>
            <w:tcW w:w="14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(3,944)</w:t>
            </w: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Net change in unrealized gains on foreign currency transactions</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080"/>
              <w:spacing w:after="0"/>
              <w:rPr>
                <w:sz w:val="20"/>
                <w:szCs w:val="20"/>
                <w:color w:val="auto"/>
              </w:rPr>
            </w:pPr>
            <w:r>
              <w:rPr>
                <w:rFonts w:ascii="Arial" w:cs="Arial" w:eastAsia="Arial" w:hAnsi="Arial"/>
                <w:sz w:val="17"/>
                <w:szCs w:val="17"/>
                <w:color w:val="auto"/>
              </w:rPr>
              <w:t>(7,215)</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(1,771)</w:t>
            </w:r>
          </w:p>
        </w:tc>
        <w:tc>
          <w:tcPr>
            <w:tcW w:w="0" w:type="dxa"/>
            <w:vAlign w:val="bottom"/>
          </w:tcPr>
          <w:p>
            <w:pPr>
              <w:spacing w:after="0"/>
              <w:rPr>
                <w:sz w:val="1"/>
                <w:szCs w:val="1"/>
                <w:color w:val="auto"/>
              </w:rPr>
            </w:pPr>
          </w:p>
        </w:tc>
      </w:tr>
      <w:tr>
        <w:trPr>
          <w:trHeight w:val="203"/>
        </w:trPr>
        <w:tc>
          <w:tcPr>
            <w:tcW w:w="7540" w:type="dxa"/>
            <w:vAlign w:val="bottom"/>
          </w:tcPr>
          <w:p>
            <w:pPr>
              <w:ind w:left="700"/>
              <w:spacing w:after="0"/>
              <w:rPr>
                <w:sz w:val="20"/>
                <w:szCs w:val="20"/>
                <w:color w:val="auto"/>
              </w:rPr>
            </w:pPr>
            <w:r>
              <w:rPr>
                <w:rFonts w:ascii="Arial" w:cs="Arial" w:eastAsia="Arial" w:hAnsi="Arial"/>
                <w:sz w:val="17"/>
                <w:szCs w:val="17"/>
                <w:color w:val="auto"/>
              </w:rPr>
              <w:t>Net change in unrealized losses on interest rate swaps</w:t>
            </w:r>
          </w:p>
        </w:tc>
        <w:tc>
          <w:tcPr>
            <w:tcW w:w="140" w:type="dxa"/>
            <w:vAlign w:val="bottom"/>
          </w:tcPr>
          <w:p>
            <w:pPr>
              <w:spacing w:after="0"/>
              <w:rPr>
                <w:sz w:val="17"/>
                <w:szCs w:val="17"/>
                <w:color w:val="auto"/>
              </w:rPr>
            </w:pPr>
          </w:p>
        </w:tc>
        <w:tc>
          <w:tcPr>
            <w:tcW w:w="2320" w:type="dxa"/>
            <w:vAlign w:val="bottom"/>
            <w:gridSpan w:val="2"/>
          </w:tcPr>
          <w:p>
            <w:pPr>
              <w:jc w:val="right"/>
              <w:ind w:right="1140"/>
              <w:spacing w:after="0"/>
              <w:rPr>
                <w:sz w:val="20"/>
                <w:szCs w:val="20"/>
                <w:color w:val="auto"/>
              </w:rPr>
            </w:pPr>
            <w:r>
              <w:rPr>
                <w:rFonts w:ascii="Arial" w:cs="Arial" w:eastAsia="Arial" w:hAnsi="Arial"/>
                <w:sz w:val="17"/>
                <w:szCs w:val="17"/>
                <w:color w:val="auto"/>
              </w:rPr>
              <w:t>353</w:t>
            </w:r>
          </w:p>
        </w:tc>
        <w:tc>
          <w:tcPr>
            <w:tcW w:w="14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Net realized gains on investments</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080"/>
              <w:spacing w:after="0"/>
              <w:rPr>
                <w:sz w:val="20"/>
                <w:szCs w:val="20"/>
                <w:color w:val="auto"/>
              </w:rPr>
            </w:pPr>
            <w:r>
              <w:rPr>
                <w:rFonts w:ascii="Arial" w:cs="Arial" w:eastAsia="Arial" w:hAnsi="Arial"/>
                <w:sz w:val="17"/>
                <w:szCs w:val="17"/>
                <w:color w:val="auto"/>
              </w:rPr>
              <w:t>(265)</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7540" w:type="dxa"/>
            <w:vAlign w:val="bottom"/>
          </w:tcPr>
          <w:p>
            <w:pPr>
              <w:ind w:left="700"/>
              <w:spacing w:after="0"/>
              <w:rPr>
                <w:sz w:val="20"/>
                <w:szCs w:val="20"/>
                <w:color w:val="auto"/>
              </w:rPr>
            </w:pPr>
            <w:r>
              <w:rPr>
                <w:rFonts w:ascii="Arial" w:cs="Arial" w:eastAsia="Arial" w:hAnsi="Arial"/>
                <w:sz w:val="17"/>
                <w:szCs w:val="17"/>
                <w:color w:val="auto"/>
              </w:rPr>
              <w:t>Net realized losses on foreign currency transactions</w:t>
            </w:r>
          </w:p>
        </w:tc>
        <w:tc>
          <w:tcPr>
            <w:tcW w:w="140" w:type="dxa"/>
            <w:vAlign w:val="bottom"/>
          </w:tcPr>
          <w:p>
            <w:pPr>
              <w:spacing w:after="0"/>
              <w:rPr>
                <w:sz w:val="17"/>
                <w:szCs w:val="17"/>
                <w:color w:val="auto"/>
              </w:rPr>
            </w:pPr>
          </w:p>
        </w:tc>
        <w:tc>
          <w:tcPr>
            <w:tcW w:w="2320" w:type="dxa"/>
            <w:vAlign w:val="bottom"/>
            <w:gridSpan w:val="2"/>
          </w:tcPr>
          <w:p>
            <w:pPr>
              <w:jc w:val="right"/>
              <w:ind w:right="1140"/>
              <w:spacing w:after="0"/>
              <w:rPr>
                <w:sz w:val="20"/>
                <w:szCs w:val="20"/>
                <w:color w:val="auto"/>
              </w:rPr>
            </w:pPr>
            <w:r>
              <w:rPr>
                <w:rFonts w:ascii="Arial" w:cs="Arial" w:eastAsia="Arial" w:hAnsi="Arial"/>
                <w:sz w:val="17"/>
                <w:szCs w:val="17"/>
                <w:color w:val="auto"/>
              </w:rPr>
              <w:t>9</w:t>
            </w:r>
          </w:p>
        </w:tc>
        <w:tc>
          <w:tcPr>
            <w:tcW w:w="14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1,609</w:t>
            </w: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Net realized gains on interest rate swaps</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080"/>
              <w:spacing w:after="0"/>
              <w:rPr>
                <w:sz w:val="20"/>
                <w:szCs w:val="20"/>
                <w:color w:val="auto"/>
              </w:rPr>
            </w:pPr>
            <w:r>
              <w:rPr>
                <w:rFonts w:ascii="Arial" w:cs="Arial" w:eastAsia="Arial" w:hAnsi="Arial"/>
                <w:sz w:val="17"/>
                <w:szCs w:val="17"/>
                <w:color w:val="auto"/>
              </w:rPr>
              <w:t>(1,852)</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7540" w:type="dxa"/>
            <w:vAlign w:val="bottom"/>
          </w:tcPr>
          <w:p>
            <w:pPr>
              <w:ind w:left="700"/>
              <w:spacing w:after="0"/>
              <w:rPr>
                <w:sz w:val="20"/>
                <w:szCs w:val="20"/>
                <w:color w:val="auto"/>
              </w:rPr>
            </w:pPr>
            <w:r>
              <w:rPr>
                <w:rFonts w:ascii="Arial" w:cs="Arial" w:eastAsia="Arial" w:hAnsi="Arial"/>
                <w:sz w:val="17"/>
                <w:szCs w:val="17"/>
                <w:color w:val="auto"/>
              </w:rPr>
              <w:t>Net amortization of discount on securities</w:t>
            </w:r>
          </w:p>
        </w:tc>
        <w:tc>
          <w:tcPr>
            <w:tcW w:w="140" w:type="dxa"/>
            <w:vAlign w:val="bottom"/>
          </w:tcPr>
          <w:p>
            <w:pPr>
              <w:spacing w:after="0"/>
              <w:rPr>
                <w:sz w:val="17"/>
                <w:szCs w:val="17"/>
                <w:color w:val="auto"/>
              </w:rPr>
            </w:pPr>
          </w:p>
        </w:tc>
        <w:tc>
          <w:tcPr>
            <w:tcW w:w="2320" w:type="dxa"/>
            <w:vAlign w:val="bottom"/>
            <w:gridSpan w:val="2"/>
          </w:tcPr>
          <w:p>
            <w:pPr>
              <w:jc w:val="right"/>
              <w:ind w:right="1080"/>
              <w:spacing w:after="0"/>
              <w:rPr>
                <w:sz w:val="20"/>
                <w:szCs w:val="20"/>
                <w:color w:val="auto"/>
              </w:rPr>
            </w:pPr>
            <w:r>
              <w:rPr>
                <w:rFonts w:ascii="Arial" w:cs="Arial" w:eastAsia="Arial" w:hAnsi="Arial"/>
                <w:sz w:val="17"/>
                <w:szCs w:val="17"/>
                <w:color w:val="auto"/>
              </w:rPr>
              <w:t>(1,754)</w:t>
            </w:r>
          </w:p>
        </w:tc>
        <w:tc>
          <w:tcPr>
            <w:tcW w:w="14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(4,434)</w:t>
            </w: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Amortization of debt issuance costs</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7"/>
                <w:szCs w:val="17"/>
                <w:color w:val="auto"/>
              </w:rPr>
              <w:t>742</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578</w:t>
            </w:r>
          </w:p>
        </w:tc>
        <w:tc>
          <w:tcPr>
            <w:tcW w:w="0" w:type="dxa"/>
            <w:vAlign w:val="bottom"/>
          </w:tcPr>
          <w:p>
            <w:pPr>
              <w:spacing w:after="0"/>
              <w:rPr>
                <w:sz w:val="1"/>
                <w:szCs w:val="1"/>
                <w:color w:val="auto"/>
              </w:rPr>
            </w:pPr>
          </w:p>
        </w:tc>
      </w:tr>
      <w:tr>
        <w:trPr>
          <w:trHeight w:val="203"/>
        </w:trPr>
        <w:tc>
          <w:tcPr>
            <w:tcW w:w="7540" w:type="dxa"/>
            <w:vAlign w:val="bottom"/>
          </w:tcPr>
          <w:p>
            <w:pPr>
              <w:ind w:left="700"/>
              <w:spacing w:after="0"/>
              <w:rPr>
                <w:sz w:val="20"/>
                <w:szCs w:val="20"/>
                <w:color w:val="auto"/>
              </w:rPr>
            </w:pPr>
            <w:r>
              <w:rPr>
                <w:rFonts w:ascii="Arial" w:cs="Arial" w:eastAsia="Arial" w:hAnsi="Arial"/>
                <w:sz w:val="17"/>
                <w:szCs w:val="17"/>
                <w:color w:val="auto"/>
              </w:rPr>
              <w:t>Accretion of discount on Convertible Senior Notes</w:t>
            </w:r>
          </w:p>
        </w:tc>
        <w:tc>
          <w:tcPr>
            <w:tcW w:w="140" w:type="dxa"/>
            <w:vAlign w:val="bottom"/>
          </w:tcPr>
          <w:p>
            <w:pPr>
              <w:spacing w:after="0"/>
              <w:rPr>
                <w:sz w:val="17"/>
                <w:szCs w:val="17"/>
                <w:color w:val="auto"/>
              </w:rPr>
            </w:pPr>
          </w:p>
        </w:tc>
        <w:tc>
          <w:tcPr>
            <w:tcW w:w="2320" w:type="dxa"/>
            <w:vAlign w:val="bottom"/>
            <w:gridSpan w:val="2"/>
          </w:tcPr>
          <w:p>
            <w:pPr>
              <w:jc w:val="right"/>
              <w:ind w:right="1140"/>
              <w:spacing w:after="0"/>
              <w:rPr>
                <w:sz w:val="20"/>
                <w:szCs w:val="20"/>
                <w:color w:val="auto"/>
              </w:rPr>
            </w:pPr>
            <w:r>
              <w:rPr>
                <w:rFonts w:ascii="Arial" w:cs="Arial" w:eastAsia="Arial" w:hAnsi="Arial"/>
                <w:sz w:val="17"/>
                <w:szCs w:val="17"/>
                <w:color w:val="auto"/>
              </w:rPr>
              <w:t>138</w:t>
            </w:r>
          </w:p>
        </w:tc>
        <w:tc>
          <w:tcPr>
            <w:tcW w:w="14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Purchases of investments, net</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080"/>
              <w:spacing w:after="0"/>
              <w:rPr>
                <w:sz w:val="20"/>
                <w:szCs w:val="20"/>
                <w:color w:val="auto"/>
              </w:rPr>
            </w:pPr>
            <w:r>
              <w:rPr>
                <w:rFonts w:ascii="Arial" w:cs="Arial" w:eastAsia="Arial" w:hAnsi="Arial"/>
                <w:sz w:val="17"/>
                <w:szCs w:val="17"/>
                <w:color w:val="auto"/>
              </w:rPr>
              <w:t>(139,319)</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(325,289)</w:t>
            </w:r>
          </w:p>
        </w:tc>
        <w:tc>
          <w:tcPr>
            <w:tcW w:w="0" w:type="dxa"/>
            <w:vAlign w:val="bottom"/>
          </w:tcPr>
          <w:p>
            <w:pPr>
              <w:spacing w:after="0"/>
              <w:rPr>
                <w:sz w:val="1"/>
                <w:szCs w:val="1"/>
                <w:color w:val="auto"/>
              </w:rPr>
            </w:pPr>
          </w:p>
        </w:tc>
      </w:tr>
      <w:tr>
        <w:trPr>
          <w:trHeight w:val="203"/>
        </w:trPr>
        <w:tc>
          <w:tcPr>
            <w:tcW w:w="7540" w:type="dxa"/>
            <w:vAlign w:val="bottom"/>
          </w:tcPr>
          <w:p>
            <w:pPr>
              <w:ind w:left="700"/>
              <w:spacing w:after="0"/>
              <w:rPr>
                <w:sz w:val="20"/>
                <w:szCs w:val="20"/>
                <w:color w:val="auto"/>
              </w:rPr>
            </w:pPr>
            <w:r>
              <w:rPr>
                <w:rFonts w:ascii="Arial" w:cs="Arial" w:eastAsia="Arial" w:hAnsi="Arial"/>
                <w:sz w:val="17"/>
                <w:szCs w:val="17"/>
                <w:color w:val="auto"/>
              </w:rPr>
              <w:t>Proceeds from investments, net</w:t>
            </w:r>
          </w:p>
        </w:tc>
        <w:tc>
          <w:tcPr>
            <w:tcW w:w="140" w:type="dxa"/>
            <w:vAlign w:val="bottom"/>
          </w:tcPr>
          <w:p>
            <w:pPr>
              <w:spacing w:after="0"/>
              <w:rPr>
                <w:sz w:val="17"/>
                <w:szCs w:val="17"/>
                <w:color w:val="auto"/>
              </w:rPr>
            </w:pPr>
          </w:p>
        </w:tc>
        <w:tc>
          <w:tcPr>
            <w:tcW w:w="2320" w:type="dxa"/>
            <w:vAlign w:val="bottom"/>
            <w:gridSpan w:val="2"/>
          </w:tcPr>
          <w:p>
            <w:pPr>
              <w:jc w:val="right"/>
              <w:ind w:right="1140"/>
              <w:spacing w:after="0"/>
              <w:rPr>
                <w:sz w:val="20"/>
                <w:szCs w:val="20"/>
                <w:color w:val="auto"/>
              </w:rPr>
            </w:pPr>
            <w:r>
              <w:rPr>
                <w:rFonts w:ascii="Arial" w:cs="Arial" w:eastAsia="Arial" w:hAnsi="Arial"/>
                <w:sz w:val="17"/>
                <w:szCs w:val="17"/>
                <w:color w:val="auto"/>
              </w:rPr>
              <w:t>5,000</w:t>
            </w:r>
          </w:p>
        </w:tc>
        <w:tc>
          <w:tcPr>
            <w:tcW w:w="14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50,035</w:t>
            </w: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Repayments on investments</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7"/>
                <w:szCs w:val="17"/>
                <w:color w:val="auto"/>
              </w:rPr>
              <w:t>64,394</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103,567</w:t>
            </w:r>
          </w:p>
        </w:tc>
        <w:tc>
          <w:tcPr>
            <w:tcW w:w="0" w:type="dxa"/>
            <w:vAlign w:val="bottom"/>
          </w:tcPr>
          <w:p>
            <w:pPr>
              <w:spacing w:after="0"/>
              <w:rPr>
                <w:sz w:val="1"/>
                <w:szCs w:val="1"/>
                <w:color w:val="auto"/>
              </w:rPr>
            </w:pPr>
          </w:p>
        </w:tc>
      </w:tr>
      <w:tr>
        <w:trPr>
          <w:trHeight w:val="203"/>
        </w:trPr>
        <w:tc>
          <w:tcPr>
            <w:tcW w:w="7540" w:type="dxa"/>
            <w:vAlign w:val="bottom"/>
          </w:tcPr>
          <w:p>
            <w:pPr>
              <w:ind w:left="700"/>
              <w:spacing w:after="0"/>
              <w:rPr>
                <w:sz w:val="20"/>
                <w:szCs w:val="20"/>
                <w:color w:val="auto"/>
              </w:rPr>
            </w:pPr>
            <w:r>
              <w:rPr>
                <w:rFonts w:ascii="Arial" w:cs="Arial" w:eastAsia="Arial" w:hAnsi="Arial"/>
                <w:sz w:val="17"/>
                <w:szCs w:val="17"/>
                <w:color w:val="auto"/>
              </w:rPr>
              <w:t>Paid-in-kind interest</w:t>
            </w:r>
          </w:p>
        </w:tc>
        <w:tc>
          <w:tcPr>
            <w:tcW w:w="140" w:type="dxa"/>
            <w:vAlign w:val="bottom"/>
          </w:tcPr>
          <w:p>
            <w:pPr>
              <w:spacing w:after="0"/>
              <w:rPr>
                <w:sz w:val="17"/>
                <w:szCs w:val="17"/>
                <w:color w:val="auto"/>
              </w:rPr>
            </w:pPr>
          </w:p>
        </w:tc>
        <w:tc>
          <w:tcPr>
            <w:tcW w:w="2320" w:type="dxa"/>
            <w:vAlign w:val="bottom"/>
            <w:gridSpan w:val="2"/>
          </w:tcPr>
          <w:p>
            <w:pPr>
              <w:jc w:val="right"/>
              <w:ind w:right="1080"/>
              <w:spacing w:after="0"/>
              <w:rPr>
                <w:sz w:val="20"/>
                <w:szCs w:val="20"/>
                <w:color w:val="auto"/>
              </w:rPr>
            </w:pPr>
            <w:r>
              <w:rPr>
                <w:rFonts w:ascii="Arial" w:cs="Arial" w:eastAsia="Arial" w:hAnsi="Arial"/>
                <w:sz w:val="17"/>
                <w:szCs w:val="17"/>
                <w:color w:val="auto"/>
              </w:rPr>
              <w:t>(935)</w:t>
            </w:r>
          </w:p>
        </w:tc>
        <w:tc>
          <w:tcPr>
            <w:tcW w:w="14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(630)</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40" w:type="dxa"/>
            <w:vAlign w:val="bottom"/>
          </w:tcPr>
          <w:p>
            <w:pPr>
              <w:ind w:left="700"/>
              <w:spacing w:after="0"/>
              <w:rPr>
                <w:sz w:val="20"/>
                <w:szCs w:val="20"/>
                <w:color w:val="auto"/>
              </w:rPr>
            </w:pPr>
            <w:r>
              <w:rPr>
                <w:rFonts w:ascii="Arial" w:cs="Arial" w:eastAsia="Arial" w:hAnsi="Arial"/>
                <w:sz w:val="17"/>
                <w:szCs w:val="17"/>
                <w:color w:val="auto"/>
              </w:rPr>
              <w:t>Interest receivable</w:t>
            </w:r>
          </w:p>
        </w:tc>
        <w:tc>
          <w:tcPr>
            <w:tcW w:w="140" w:type="dxa"/>
            <w:vAlign w:val="bottom"/>
          </w:tcPr>
          <w:p>
            <w:pPr>
              <w:spacing w:after="0"/>
              <w:rPr>
                <w:sz w:val="17"/>
                <w:szCs w:val="17"/>
                <w:color w:val="auto"/>
              </w:rPr>
            </w:pPr>
          </w:p>
        </w:tc>
        <w:tc>
          <w:tcPr>
            <w:tcW w:w="2320" w:type="dxa"/>
            <w:vAlign w:val="bottom"/>
            <w:gridSpan w:val="2"/>
          </w:tcPr>
          <w:p>
            <w:pPr>
              <w:jc w:val="right"/>
              <w:ind w:right="1080"/>
              <w:spacing w:after="0"/>
              <w:rPr>
                <w:sz w:val="20"/>
                <w:szCs w:val="20"/>
                <w:color w:val="auto"/>
              </w:rPr>
            </w:pPr>
            <w:r>
              <w:rPr>
                <w:rFonts w:ascii="Arial" w:cs="Arial" w:eastAsia="Arial" w:hAnsi="Arial"/>
                <w:sz w:val="17"/>
                <w:szCs w:val="17"/>
                <w:color w:val="auto"/>
              </w:rPr>
              <w:t>(1,090)</w:t>
            </w:r>
          </w:p>
        </w:tc>
        <w:tc>
          <w:tcPr>
            <w:tcW w:w="14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(4,003)</w:t>
            </w: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Interest receivable paid-in-kind</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080"/>
              <w:spacing w:after="0"/>
              <w:rPr>
                <w:sz w:val="20"/>
                <w:szCs w:val="20"/>
                <w:color w:val="auto"/>
              </w:rPr>
            </w:pPr>
            <w:r>
              <w:rPr>
                <w:rFonts w:ascii="Arial" w:cs="Arial" w:eastAsia="Arial" w:hAnsi="Arial"/>
                <w:sz w:val="17"/>
                <w:szCs w:val="17"/>
                <w:color w:val="auto"/>
              </w:rPr>
              <w:t>(94)</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7540" w:type="dxa"/>
            <w:vAlign w:val="bottom"/>
          </w:tcPr>
          <w:p>
            <w:pPr>
              <w:ind w:left="700"/>
              <w:spacing w:after="0"/>
              <w:rPr>
                <w:sz w:val="20"/>
                <w:szCs w:val="20"/>
                <w:color w:val="auto"/>
              </w:rPr>
            </w:pPr>
            <w:r>
              <w:rPr>
                <w:rFonts w:ascii="Arial" w:cs="Arial" w:eastAsia="Arial" w:hAnsi="Arial"/>
                <w:sz w:val="17"/>
                <w:szCs w:val="17"/>
                <w:color w:val="auto"/>
              </w:rPr>
              <w:t>Prepaid expenses and other assets</w:t>
            </w:r>
          </w:p>
        </w:tc>
        <w:tc>
          <w:tcPr>
            <w:tcW w:w="140" w:type="dxa"/>
            <w:vAlign w:val="bottom"/>
          </w:tcPr>
          <w:p>
            <w:pPr>
              <w:spacing w:after="0"/>
              <w:rPr>
                <w:sz w:val="17"/>
                <w:szCs w:val="17"/>
                <w:color w:val="auto"/>
              </w:rPr>
            </w:pPr>
          </w:p>
        </w:tc>
        <w:tc>
          <w:tcPr>
            <w:tcW w:w="2320" w:type="dxa"/>
            <w:vAlign w:val="bottom"/>
            <w:gridSpan w:val="2"/>
          </w:tcPr>
          <w:p>
            <w:pPr>
              <w:jc w:val="right"/>
              <w:ind w:right="1140"/>
              <w:spacing w:after="0"/>
              <w:rPr>
                <w:sz w:val="20"/>
                <w:szCs w:val="20"/>
                <w:color w:val="auto"/>
              </w:rPr>
            </w:pPr>
            <w:r>
              <w:rPr>
                <w:rFonts w:ascii="Arial" w:cs="Arial" w:eastAsia="Arial" w:hAnsi="Arial"/>
                <w:sz w:val="17"/>
                <w:szCs w:val="17"/>
                <w:color w:val="auto"/>
              </w:rPr>
              <w:t>382</w:t>
            </w:r>
          </w:p>
        </w:tc>
        <w:tc>
          <w:tcPr>
            <w:tcW w:w="14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(1,367)</w:t>
            </w: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Management fees payable to affiliate</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7"/>
                <w:szCs w:val="17"/>
                <w:color w:val="auto"/>
              </w:rPr>
              <w:t>64</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192</w:t>
            </w:r>
          </w:p>
        </w:tc>
        <w:tc>
          <w:tcPr>
            <w:tcW w:w="0" w:type="dxa"/>
            <w:vAlign w:val="bottom"/>
          </w:tcPr>
          <w:p>
            <w:pPr>
              <w:spacing w:after="0"/>
              <w:rPr>
                <w:sz w:val="1"/>
                <w:szCs w:val="1"/>
                <w:color w:val="auto"/>
              </w:rPr>
            </w:pPr>
          </w:p>
        </w:tc>
      </w:tr>
      <w:tr>
        <w:trPr>
          <w:trHeight w:val="203"/>
        </w:trPr>
        <w:tc>
          <w:tcPr>
            <w:tcW w:w="7540" w:type="dxa"/>
            <w:vAlign w:val="bottom"/>
          </w:tcPr>
          <w:p>
            <w:pPr>
              <w:ind w:left="700"/>
              <w:spacing w:after="0"/>
              <w:rPr>
                <w:sz w:val="20"/>
                <w:szCs w:val="20"/>
                <w:color w:val="auto"/>
              </w:rPr>
            </w:pPr>
            <w:r>
              <w:rPr>
                <w:rFonts w:ascii="Arial" w:cs="Arial" w:eastAsia="Arial" w:hAnsi="Arial"/>
                <w:sz w:val="17"/>
                <w:szCs w:val="17"/>
                <w:color w:val="auto"/>
              </w:rPr>
              <w:t>Incentive fees payable to affiliate</w:t>
            </w:r>
          </w:p>
        </w:tc>
        <w:tc>
          <w:tcPr>
            <w:tcW w:w="140" w:type="dxa"/>
            <w:vAlign w:val="bottom"/>
          </w:tcPr>
          <w:p>
            <w:pPr>
              <w:spacing w:after="0"/>
              <w:rPr>
                <w:sz w:val="17"/>
                <w:szCs w:val="17"/>
                <w:color w:val="auto"/>
              </w:rPr>
            </w:pPr>
          </w:p>
        </w:tc>
        <w:tc>
          <w:tcPr>
            <w:tcW w:w="2320" w:type="dxa"/>
            <w:vAlign w:val="bottom"/>
            <w:gridSpan w:val="2"/>
          </w:tcPr>
          <w:p>
            <w:pPr>
              <w:jc w:val="right"/>
              <w:ind w:right="1080"/>
              <w:spacing w:after="0"/>
              <w:rPr>
                <w:sz w:val="20"/>
                <w:szCs w:val="20"/>
                <w:color w:val="auto"/>
              </w:rPr>
            </w:pPr>
            <w:r>
              <w:rPr>
                <w:rFonts w:ascii="Arial" w:cs="Arial" w:eastAsia="Arial" w:hAnsi="Arial"/>
                <w:sz w:val="17"/>
                <w:szCs w:val="17"/>
                <w:color w:val="auto"/>
              </w:rPr>
              <w:t>(948)</w:t>
            </w:r>
          </w:p>
        </w:tc>
        <w:tc>
          <w:tcPr>
            <w:tcW w:w="14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1,390</w:t>
            </w: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Payable to affiliate</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080"/>
              <w:spacing w:after="0"/>
              <w:rPr>
                <w:sz w:val="20"/>
                <w:szCs w:val="20"/>
                <w:color w:val="auto"/>
              </w:rPr>
            </w:pPr>
            <w:r>
              <w:rPr>
                <w:rFonts w:ascii="Arial" w:cs="Arial" w:eastAsia="Arial" w:hAnsi="Arial"/>
                <w:sz w:val="17"/>
                <w:szCs w:val="17"/>
                <w:color w:val="auto"/>
              </w:rPr>
              <w:t>(1,357)</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(617)</w:t>
            </w:r>
          </w:p>
        </w:tc>
        <w:tc>
          <w:tcPr>
            <w:tcW w:w="0" w:type="dxa"/>
            <w:vAlign w:val="bottom"/>
          </w:tcPr>
          <w:p>
            <w:pPr>
              <w:spacing w:after="0"/>
              <w:rPr>
                <w:sz w:val="1"/>
                <w:szCs w:val="1"/>
                <w:color w:val="auto"/>
              </w:rPr>
            </w:pPr>
          </w:p>
        </w:tc>
      </w:tr>
      <w:tr>
        <w:trPr>
          <w:trHeight w:val="203"/>
        </w:trPr>
        <w:tc>
          <w:tcPr>
            <w:tcW w:w="7540" w:type="dxa"/>
            <w:vAlign w:val="bottom"/>
          </w:tcPr>
          <w:p>
            <w:pPr>
              <w:ind w:left="700"/>
              <w:spacing w:after="0"/>
              <w:rPr>
                <w:sz w:val="20"/>
                <w:szCs w:val="20"/>
                <w:color w:val="auto"/>
              </w:rPr>
            </w:pPr>
            <w:r>
              <w:rPr>
                <w:rFonts w:ascii="Arial" w:cs="Arial" w:eastAsia="Arial" w:hAnsi="Arial"/>
                <w:sz w:val="17"/>
                <w:szCs w:val="17"/>
                <w:color w:val="auto"/>
              </w:rPr>
              <w:t>Other liabilities</w:t>
            </w:r>
          </w:p>
        </w:tc>
        <w:tc>
          <w:tcPr>
            <w:tcW w:w="140" w:type="dxa"/>
            <w:vAlign w:val="bottom"/>
          </w:tcPr>
          <w:p>
            <w:pPr>
              <w:spacing w:after="0"/>
              <w:rPr>
                <w:sz w:val="17"/>
                <w:szCs w:val="17"/>
                <w:color w:val="auto"/>
              </w:rPr>
            </w:pPr>
          </w:p>
        </w:tc>
        <w:tc>
          <w:tcPr>
            <w:tcW w:w="2320" w:type="dxa"/>
            <w:vAlign w:val="bottom"/>
            <w:gridSpan w:val="2"/>
          </w:tcPr>
          <w:p>
            <w:pPr>
              <w:jc w:val="right"/>
              <w:ind w:right="1080"/>
              <w:spacing w:after="0"/>
              <w:rPr>
                <w:sz w:val="20"/>
                <w:szCs w:val="20"/>
                <w:color w:val="auto"/>
              </w:rPr>
            </w:pPr>
            <w:r>
              <w:rPr>
                <w:rFonts w:ascii="Arial" w:cs="Arial" w:eastAsia="Arial" w:hAnsi="Arial"/>
                <w:sz w:val="17"/>
                <w:szCs w:val="17"/>
                <w:color w:val="auto"/>
              </w:rPr>
              <w:t>(23,277)</w:t>
            </w:r>
          </w:p>
        </w:tc>
        <w:tc>
          <w:tcPr>
            <w:tcW w:w="14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7,817</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54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Net Cash Used in Operating Activities</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080"/>
              <w:spacing w:after="0"/>
              <w:rPr>
                <w:sz w:val="20"/>
                <w:szCs w:val="20"/>
                <w:color w:val="auto"/>
              </w:rPr>
            </w:pPr>
            <w:r>
              <w:rPr>
                <w:rFonts w:ascii="Arial" w:cs="Arial" w:eastAsia="Arial" w:hAnsi="Arial"/>
                <w:sz w:val="17"/>
                <w:szCs w:val="17"/>
                <w:color w:val="auto"/>
              </w:rPr>
              <w:t>(77,254)</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(151,519)</w:t>
            </w:r>
          </w:p>
        </w:tc>
        <w:tc>
          <w:tcPr>
            <w:tcW w:w="0" w:type="dxa"/>
            <w:vAlign w:val="bottom"/>
          </w:tcPr>
          <w:p>
            <w:pPr>
              <w:spacing w:after="0"/>
              <w:rPr>
                <w:sz w:val="1"/>
                <w:szCs w:val="1"/>
                <w:color w:val="auto"/>
              </w:rPr>
            </w:pPr>
          </w:p>
        </w:tc>
      </w:tr>
      <w:tr>
        <w:trPr>
          <w:trHeight w:val="206"/>
        </w:trPr>
        <w:tc>
          <w:tcPr>
            <w:tcW w:w="754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Borrowings on debt</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7"/>
                <w:szCs w:val="17"/>
                <w:color w:val="auto"/>
              </w:rPr>
              <w:t>244,387</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487,378</w:t>
            </w:r>
          </w:p>
        </w:tc>
        <w:tc>
          <w:tcPr>
            <w:tcW w:w="0" w:type="dxa"/>
            <w:vAlign w:val="bottom"/>
          </w:tcPr>
          <w:p>
            <w:pPr>
              <w:spacing w:after="0"/>
              <w:rPr>
                <w:sz w:val="1"/>
                <w:szCs w:val="1"/>
                <w:color w:val="auto"/>
              </w:rPr>
            </w:pPr>
          </w:p>
        </w:tc>
      </w:tr>
      <w:tr>
        <w:trPr>
          <w:trHeight w:val="203"/>
        </w:trPr>
        <w:tc>
          <w:tcPr>
            <w:tcW w:w="7540" w:type="dxa"/>
            <w:vAlign w:val="bottom"/>
          </w:tcPr>
          <w:p>
            <w:pPr>
              <w:spacing w:after="0"/>
              <w:rPr>
                <w:sz w:val="20"/>
                <w:szCs w:val="20"/>
                <w:color w:val="auto"/>
              </w:rPr>
            </w:pPr>
            <w:r>
              <w:rPr>
                <w:rFonts w:ascii="Arial" w:cs="Arial" w:eastAsia="Arial" w:hAnsi="Arial"/>
                <w:sz w:val="17"/>
                <w:szCs w:val="17"/>
                <w:color w:val="auto"/>
              </w:rPr>
              <w:t>Payments on debt</w:t>
            </w:r>
          </w:p>
        </w:tc>
        <w:tc>
          <w:tcPr>
            <w:tcW w:w="140" w:type="dxa"/>
            <w:vAlign w:val="bottom"/>
          </w:tcPr>
          <w:p>
            <w:pPr>
              <w:spacing w:after="0"/>
              <w:rPr>
                <w:sz w:val="17"/>
                <w:szCs w:val="17"/>
                <w:color w:val="auto"/>
              </w:rPr>
            </w:pPr>
          </w:p>
        </w:tc>
        <w:tc>
          <w:tcPr>
            <w:tcW w:w="2320" w:type="dxa"/>
            <w:vAlign w:val="bottom"/>
            <w:gridSpan w:val="2"/>
          </w:tcPr>
          <w:p>
            <w:pPr>
              <w:jc w:val="right"/>
              <w:ind w:right="1080"/>
              <w:spacing w:after="0"/>
              <w:rPr>
                <w:sz w:val="20"/>
                <w:szCs w:val="20"/>
                <w:color w:val="auto"/>
              </w:rPr>
            </w:pPr>
            <w:r>
              <w:rPr>
                <w:rFonts w:ascii="Arial" w:cs="Arial" w:eastAsia="Arial" w:hAnsi="Arial"/>
                <w:sz w:val="17"/>
                <w:szCs w:val="17"/>
                <w:color w:val="auto"/>
              </w:rPr>
              <w:t>(147,826)</w:t>
            </w:r>
          </w:p>
        </w:tc>
        <w:tc>
          <w:tcPr>
            <w:tcW w:w="14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(517,042)</w:t>
            </w: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Debt issuance costs</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080"/>
              <w:spacing w:after="0"/>
              <w:rPr>
                <w:sz w:val="20"/>
                <w:szCs w:val="20"/>
                <w:color w:val="auto"/>
              </w:rPr>
            </w:pPr>
            <w:r>
              <w:rPr>
                <w:rFonts w:ascii="Arial" w:cs="Arial" w:eastAsia="Arial" w:hAnsi="Arial"/>
                <w:sz w:val="17"/>
                <w:szCs w:val="17"/>
                <w:color w:val="auto"/>
              </w:rPr>
              <w:t>(109)</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(3,101)</w:t>
            </w:r>
          </w:p>
        </w:tc>
        <w:tc>
          <w:tcPr>
            <w:tcW w:w="0" w:type="dxa"/>
            <w:vAlign w:val="bottom"/>
          </w:tcPr>
          <w:p>
            <w:pPr>
              <w:spacing w:after="0"/>
              <w:rPr>
                <w:sz w:val="1"/>
                <w:szCs w:val="1"/>
                <w:color w:val="auto"/>
              </w:rPr>
            </w:pPr>
          </w:p>
        </w:tc>
      </w:tr>
      <w:tr>
        <w:trPr>
          <w:trHeight w:val="203"/>
        </w:trPr>
        <w:tc>
          <w:tcPr>
            <w:tcW w:w="7540" w:type="dxa"/>
            <w:vAlign w:val="bottom"/>
          </w:tcPr>
          <w:p>
            <w:pPr>
              <w:spacing w:after="0"/>
              <w:rPr>
                <w:sz w:val="20"/>
                <w:szCs w:val="20"/>
                <w:color w:val="auto"/>
              </w:rPr>
            </w:pPr>
            <w:r>
              <w:rPr>
                <w:rFonts w:ascii="Arial" w:cs="Arial" w:eastAsia="Arial" w:hAnsi="Arial"/>
                <w:sz w:val="17"/>
                <w:szCs w:val="17"/>
                <w:color w:val="auto"/>
              </w:rPr>
              <w:t>Proceeds from issuance of common stock, net of offering and underwriting costs</w:t>
            </w:r>
          </w:p>
        </w:tc>
        <w:tc>
          <w:tcPr>
            <w:tcW w:w="140" w:type="dxa"/>
            <w:vAlign w:val="bottom"/>
          </w:tcPr>
          <w:p>
            <w:pPr>
              <w:spacing w:after="0"/>
              <w:rPr>
                <w:sz w:val="17"/>
                <w:szCs w:val="17"/>
                <w:color w:val="auto"/>
              </w:rPr>
            </w:pPr>
          </w:p>
        </w:tc>
        <w:tc>
          <w:tcPr>
            <w:tcW w:w="2320" w:type="dxa"/>
            <w:vAlign w:val="bottom"/>
            <w:gridSpan w:val="2"/>
          </w:tcPr>
          <w:p>
            <w:pPr>
              <w:jc w:val="right"/>
              <w:ind w:right="1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216,634</w:t>
            </w: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Dividends paid to stockholders</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080"/>
              <w:spacing w:after="0"/>
              <w:rPr>
                <w:sz w:val="20"/>
                <w:szCs w:val="20"/>
                <w:color w:val="auto"/>
              </w:rPr>
            </w:pPr>
            <w:r>
              <w:rPr>
                <w:rFonts w:ascii="Arial" w:cs="Arial" w:eastAsia="Arial" w:hAnsi="Arial"/>
                <w:sz w:val="17"/>
                <w:szCs w:val="17"/>
                <w:color w:val="auto"/>
              </w:rPr>
              <w:t>(18,282)</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(7,017)</w:t>
            </w:r>
          </w:p>
        </w:tc>
        <w:tc>
          <w:tcPr>
            <w:tcW w:w="0" w:type="dxa"/>
            <w:vAlign w:val="bottom"/>
          </w:tcPr>
          <w:p>
            <w:pPr>
              <w:spacing w:after="0"/>
              <w:rPr>
                <w:sz w:val="1"/>
                <w:szCs w:val="1"/>
                <w:color w:val="auto"/>
              </w:rPr>
            </w:pPr>
          </w:p>
        </w:tc>
      </w:tr>
      <w:tr>
        <w:trPr>
          <w:trHeight w:val="217"/>
        </w:trPr>
        <w:tc>
          <w:tcPr>
            <w:tcW w:w="7540" w:type="dxa"/>
            <w:vAlign w:val="bottom"/>
          </w:tcPr>
          <w:p>
            <w:pPr>
              <w:ind w:left="700"/>
              <w:spacing w:after="0"/>
              <w:rPr>
                <w:sz w:val="20"/>
                <w:szCs w:val="20"/>
                <w:color w:val="auto"/>
              </w:rPr>
            </w:pPr>
            <w:r>
              <w:rPr>
                <w:rFonts w:ascii="Arial" w:cs="Arial" w:eastAsia="Arial" w:hAnsi="Arial"/>
                <w:sz w:val="17"/>
                <w:szCs w:val="17"/>
                <w:b w:val="1"/>
                <w:bCs w:val="1"/>
                <w:color w:val="auto"/>
              </w:rPr>
              <w:t>Net Cash Provided by Financing Activities</w:t>
            </w: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78,170</w:t>
            </w:r>
          </w:p>
        </w:tc>
        <w:tc>
          <w:tcPr>
            <w:tcW w:w="1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176,852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Net Increase in Cash and Cash Equivalents</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7"/>
                <w:szCs w:val="17"/>
                <w:color w:val="auto"/>
              </w:rPr>
              <w:t>916</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25,333</w:t>
            </w:r>
          </w:p>
        </w:tc>
        <w:tc>
          <w:tcPr>
            <w:tcW w:w="0" w:type="dxa"/>
            <w:vAlign w:val="bottom"/>
          </w:tcPr>
          <w:p>
            <w:pPr>
              <w:spacing w:after="0"/>
              <w:rPr>
                <w:sz w:val="1"/>
                <w:szCs w:val="1"/>
                <w:color w:val="auto"/>
              </w:rPr>
            </w:pPr>
          </w:p>
        </w:tc>
      </w:tr>
      <w:tr>
        <w:trPr>
          <w:trHeight w:val="210"/>
        </w:trPr>
        <w:tc>
          <w:tcPr>
            <w:tcW w:w="7540" w:type="dxa"/>
            <w:vAlign w:val="bottom"/>
          </w:tcPr>
          <w:p>
            <w:pPr>
              <w:spacing w:after="0"/>
              <w:rPr>
                <w:sz w:val="20"/>
                <w:szCs w:val="20"/>
                <w:color w:val="auto"/>
              </w:rPr>
            </w:pPr>
            <w:r>
              <w:rPr>
                <w:rFonts w:ascii="Arial" w:cs="Arial" w:eastAsia="Arial" w:hAnsi="Arial"/>
                <w:sz w:val="17"/>
                <w:szCs w:val="17"/>
                <w:color w:val="auto"/>
              </w:rPr>
              <w:t>Cash and cash equivalents, beginning of period</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2,413</w:t>
            </w:r>
          </w:p>
        </w:tc>
        <w:tc>
          <w:tcPr>
            <w:tcW w:w="1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Cash and Cash Equivalents, End of Period</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7"/>
                <w:szCs w:val="17"/>
                <w:color w:val="auto"/>
              </w:rPr>
              <w:t>3,329</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28,804</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7"/>
                <w:szCs w:val="17"/>
                <w:color w:val="auto"/>
              </w:rPr>
              <w:t>Supplemental Information: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5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5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Interest paid during the period</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7"/>
                <w:szCs w:val="17"/>
                <w:color w:val="auto"/>
              </w:rPr>
              <w:t>2,673</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2,781</w:t>
            </w:r>
          </w:p>
        </w:tc>
        <w:tc>
          <w:tcPr>
            <w:tcW w:w="0" w:type="dxa"/>
            <w:vAlign w:val="bottom"/>
          </w:tcPr>
          <w:p>
            <w:pPr>
              <w:spacing w:after="0"/>
              <w:rPr>
                <w:sz w:val="1"/>
                <w:szCs w:val="1"/>
                <w:color w:val="auto"/>
              </w:rPr>
            </w:pPr>
          </w:p>
        </w:tc>
      </w:tr>
      <w:tr>
        <w:trPr>
          <w:trHeight w:val="203"/>
        </w:trPr>
        <w:tc>
          <w:tcPr>
            <w:tcW w:w="7540" w:type="dxa"/>
            <w:vAlign w:val="bottom"/>
          </w:tcPr>
          <w:p>
            <w:pPr>
              <w:ind w:left="700"/>
              <w:spacing w:after="0"/>
              <w:rPr>
                <w:sz w:val="20"/>
                <w:szCs w:val="20"/>
                <w:color w:val="auto"/>
              </w:rPr>
            </w:pPr>
            <w:r>
              <w:rPr>
                <w:rFonts w:ascii="Arial" w:cs="Arial" w:eastAsia="Arial" w:hAnsi="Arial"/>
                <w:sz w:val="17"/>
                <w:szCs w:val="17"/>
                <w:color w:val="auto"/>
              </w:rPr>
              <w:t>Excise taxes paid during the period</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2320" w:type="dxa"/>
            <w:vAlign w:val="bottom"/>
            <w:gridSpan w:val="2"/>
          </w:tcPr>
          <w:p>
            <w:pPr>
              <w:jc w:val="right"/>
              <w:ind w:right="1140"/>
              <w:spacing w:after="0"/>
              <w:rPr>
                <w:sz w:val="20"/>
                <w:szCs w:val="20"/>
                <w:color w:val="auto"/>
              </w:rPr>
            </w:pPr>
            <w:r>
              <w:rPr>
                <w:rFonts w:ascii="Arial" w:cs="Arial" w:eastAsia="Arial" w:hAnsi="Arial"/>
                <w:sz w:val="17"/>
                <w:szCs w:val="17"/>
                <w:color w:val="auto"/>
              </w:rPr>
              <w:t>1,200</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185</w:t>
            </w: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Dividends declared during the period</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7"/>
                <w:szCs w:val="17"/>
                <w:color w:val="auto"/>
              </w:rPr>
              <w:t>21,044</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19,717</w:t>
            </w:r>
          </w:p>
        </w:tc>
        <w:tc>
          <w:tcPr>
            <w:tcW w:w="0" w:type="dxa"/>
            <w:vAlign w:val="bottom"/>
          </w:tcPr>
          <w:p>
            <w:pPr>
              <w:spacing w:after="0"/>
              <w:rPr>
                <w:sz w:val="1"/>
                <w:szCs w:val="1"/>
                <w:color w:val="auto"/>
              </w:rPr>
            </w:pPr>
          </w:p>
        </w:tc>
      </w:tr>
      <w:tr>
        <w:trPr>
          <w:trHeight w:val="216"/>
        </w:trPr>
        <w:tc>
          <w:tcPr>
            <w:tcW w:w="7540" w:type="dxa"/>
            <w:vAlign w:val="bottom"/>
          </w:tcPr>
          <w:p>
            <w:pPr>
              <w:ind w:left="700"/>
              <w:spacing w:after="0"/>
              <w:rPr>
                <w:sz w:val="20"/>
                <w:szCs w:val="20"/>
                <w:color w:val="auto"/>
              </w:rPr>
            </w:pPr>
            <w:r>
              <w:rPr>
                <w:rFonts w:ascii="Arial" w:cs="Arial" w:eastAsia="Arial" w:hAnsi="Arial"/>
                <w:sz w:val="17"/>
                <w:szCs w:val="17"/>
                <w:color w:val="auto"/>
              </w:rPr>
              <w:t>Reinvestment of dividends during the period</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2320" w:type="dxa"/>
            <w:vAlign w:val="bottom"/>
            <w:gridSpan w:val="2"/>
          </w:tcPr>
          <w:p>
            <w:pPr>
              <w:jc w:val="right"/>
              <w:ind w:right="1140"/>
              <w:spacing w:after="0"/>
              <w:rPr>
                <w:sz w:val="20"/>
                <w:szCs w:val="20"/>
                <w:color w:val="auto"/>
              </w:rPr>
            </w:pPr>
            <w:r>
              <w:rPr>
                <w:rFonts w:ascii="Arial" w:cs="Arial" w:eastAsia="Arial" w:hAnsi="Arial"/>
                <w:sz w:val="17"/>
                <w:szCs w:val="17"/>
                <w:color w:val="auto"/>
              </w:rPr>
              <w:t>2,701</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7,794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460" w:right="2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unless otherwise indicated)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TPG Specialty Lending, Inc. (“TSLX” or the “Company”) is a Delaware corporation formed on July 21, 2010. The Company was formed primarily to lend to, and selectively invest in, middle-market companies in the United States. The Company has elected to be regulated as a business development company (“BDC”) under the Investment Company Act of 1940, as amended (the “1940 Act”). In addition, for tax purposes, the Company has elected to be treated as a regulated investment company (“RIC”) under Subchapter M of the Internal Revenue Code of 1986, as amended (the “Code”). TSLX is managed by TSL Advisers, LLC (the “Adviser”). On June 1, 2011, the Company formed a wholly-owned subsidiary, TC Lending, LLC, a Delaware limited liability company. On March 22, 2012, the Company formed a wholly-owned subsidiary, TPG SL SPV, LLC, a Delaware limited liability company (“TPG SL SPV”). On May 19, 2014, the Company formed a wholly-owned subsidiary, TSL MR, LLC, a Delaware limited liability company.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March 21, 2014, the Company’s shares began trading on the New York Stock Exchange (“NYSE”) under the symbol “TSLX.”</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88"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financial statements should be read in conjunction with the Company’s consolidated financial statements and notes related thereto included in the Company’s Annual Report on Form 10-K for the year ended December 31, 2014, which was filed with the Securities and Exchange Commission (“SEC”), on February 24, 2015.</w:t>
      </w:r>
    </w:p>
    <w:p>
      <w:pPr>
        <w:spacing w:after="0" w:line="154"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170"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 xml:space="preserve">The Company is an investment company and, therefore, applying the specialized accounting and reporting guidance in Accounting Standards Codification (“ASC”) Topic 946, </w:t>
      </w:r>
      <w:r>
        <w:rPr>
          <w:rFonts w:ascii="Arial" w:cs="Arial" w:eastAsia="Arial" w:hAnsi="Arial"/>
          <w:sz w:val="18"/>
          <w:szCs w:val="18"/>
          <w:i w:val="1"/>
          <w:iCs w:val="1"/>
          <w:color w:val="auto"/>
        </w:rPr>
        <w:t>Financial Services—Investment Companies</w:t>
      </w: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fiscal year ends on December 31.</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380"/>
          </w:cols>
          <w:pgMar w:left="240" w:top="459" w:right="27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Cash and cash equivalents may consist of demand deposits and highly liquid investments (e.g., money market funds, U.S. Treasury notes, and similar type instruments) with original maturities of three months or less. Cash and cash equivalents are carried at cost, which approximates fair value. The Company deposits its cash and cash equivalents with highly-rated banking corporations and, at times, cash deposits may exceed the insured limits under applicable law.</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117"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73"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As part of the valuation process, the Board takes into account relevant factors in determining the fair value of its investments, including: the estimated enterprise value of a portfolio company (that is,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31" w:lineRule="exact"/>
        <w:rPr>
          <w:sz w:val="20"/>
          <w:szCs w:val="20"/>
          <w:color w:val="auto"/>
        </w:rPr>
      </w:pPr>
    </w:p>
    <w:p>
      <w:pPr>
        <w:ind w:left="900" w:right="60" w:hanging="325"/>
        <w:spacing w:after="0" w:line="277" w:lineRule="auto"/>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460" w:right="2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30" w:lineRule="exact"/>
        <w:rPr>
          <w:rFonts w:ascii="Arial" w:cs="Arial" w:eastAsia="Arial" w:hAnsi="Arial"/>
          <w:sz w:val="18"/>
          <w:szCs w:val="18"/>
          <w:color w:val="auto"/>
        </w:rPr>
      </w:pPr>
    </w:p>
    <w:p>
      <w:pPr>
        <w:jc w:val="both"/>
        <w:ind w:left="900" w:right="560" w:hanging="325"/>
        <w:spacing w:after="0" w:line="264" w:lineRule="auto"/>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currently conducts this valuation process on a quarterly basis.</w:t>
      </w:r>
    </w:p>
    <w:p>
      <w:pPr>
        <w:spacing w:after="0" w:line="225"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 At March 31, 2015,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was reasonable.</w:t>
      </w:r>
    </w:p>
    <w:p>
      <w:pPr>
        <w:spacing w:after="0" w:line="15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The Company applies Financial Accounting Standards Board Accounting Standards Codification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73" w:lineRule="exact"/>
        <w:rPr>
          <w:sz w:val="20"/>
          <w:szCs w:val="20"/>
          <w:color w:val="auto"/>
        </w:rPr>
      </w:pPr>
    </w:p>
    <w:p>
      <w:pPr>
        <w:ind w:left="900" w:hanging="325"/>
        <w:spacing w:after="0"/>
        <w:tabs>
          <w:tab w:leader="none" w:pos="90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Level 1—Valuations based on quoted prices in active markets for identical assets or liabilities that the Company has the ability to access.</w:t>
      </w:r>
    </w:p>
    <w:p>
      <w:pPr>
        <w:spacing w:after="0" w:line="142" w:lineRule="exact"/>
        <w:rPr>
          <w:rFonts w:ascii="Arial" w:cs="Arial" w:eastAsia="Arial" w:hAnsi="Arial"/>
          <w:sz w:val="17"/>
          <w:szCs w:val="17"/>
          <w:color w:val="auto"/>
        </w:rPr>
      </w:pPr>
    </w:p>
    <w:p>
      <w:pPr>
        <w:ind w:left="900" w:right="360" w:hanging="325"/>
        <w:spacing w:after="0" w:line="277" w:lineRule="auto"/>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criteria in making the determination as to whether a particular investment would qualify for treatment as a Level 2 or Level 3 investment. For example, the Company reviews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79"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00"/>
          </w:cols>
          <w:pgMar w:left="240" w:top="460" w:right="25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00"/>
        <w:spacing w:after="0" w:line="277" w:lineRule="auto"/>
        <w:rPr>
          <w:sz w:val="20"/>
          <w:szCs w:val="20"/>
          <w:color w:val="auto"/>
        </w:rPr>
      </w:pPr>
      <w:r>
        <w:rPr>
          <w:rFonts w:ascii="Arial" w:cs="Arial" w:eastAsia="Arial" w:hAnsi="Arial"/>
          <w:sz w:val="18"/>
          <w:szCs w:val="18"/>
          <w:color w:val="auto"/>
        </w:rPr>
        <w:t>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70"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117"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volume of derivative trading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Derivatives, including the Company’s interest rate swaps, for which broker quotes are available are typically valued at those broker quotes.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Company presents the fair value of foreign currency forward contracts and interest rate swaps executed with the same counterparty on a net basis given the Company has the legal right to offset the recognized amounts, and it intends to settle on a net basis.</w:t>
      </w:r>
    </w:p>
    <w:p>
      <w:pPr>
        <w:spacing w:after="0" w:line="170"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 Company has the legal right to offset the recognized amounts, and it intends to either settle on a net basis or realize the asset and settle the liability simultaneously.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131" w:lineRule="exact"/>
        <w:rPr>
          <w:sz w:val="20"/>
          <w:szCs w:val="20"/>
          <w:color w:val="auto"/>
        </w:rPr>
      </w:pPr>
    </w:p>
    <w:p>
      <w:pPr>
        <w:ind w:left="900" w:right="400" w:hanging="325"/>
        <w:spacing w:after="0" w:line="277" w:lineRule="auto"/>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purchases and sales of investments, borrowings and repayments of such borrowings, income and expenses: at the rates of exchange prevailing on the respective dates of such transactions.</w:t>
      </w:r>
    </w:p>
    <w:p>
      <w:pPr>
        <w:spacing w:after="0" w:line="170"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20"/>
          </w:cols>
          <w:pgMar w:left="240" w:top="460" w:right="2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14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Company’s current approach to hedging the foreign currency exposure in its non-U.S. dollar denominated investments is primarily to borrow the necessary local currency under the Company’s Revolving Credit Facility to fund these investments.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 Expenses</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Company records expenses related to registration statement filings and applicable offering costs as deferred financing costs. To the extent such expenses relate to equity offerings, these expenses are charged as a reduction of capital upon each such offering.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The Company records origination and other expenses related to its debt obligations as deferred financing costs. These expenses are deferred and amortized using the effective yield method, or straight-line method for revolving credit facilities, over the stated maturity life of the obligation.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8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93"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From time to time, the Company may receive fees for services provided to portfolio companies by the Adviser. These fees are generally only available to the Company as a result of closing investments, are normally paid at the closing of the investments, are generally non-recurring and are recognized as revenue when earned upon closing of the investment. The services that the Adviser provides vary by investment, but generally include syndication, structuring or diligence fees, and fees for providing managerial assistance to our portfolio companies.</w:t>
      </w:r>
    </w:p>
    <w:p>
      <w:pPr>
        <w:spacing w:after="0" w:line="17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certain instances where the Company is invited to participate as a co-lender in a transaction and does not provide significant services in connection with the investment, all or a portion of any loan fees received by the Company in such situations will be deferred and amortized over the investment’s life using the effective yield method.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00"/>
          </w:cols>
          <w:pgMar w:left="240" w:top="459" w:right="2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11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costs of successfully completed investments not otherwise reimbursed are borne by the Company and included as a component of the investment’s cost basis. Subsequent to closing, investments are recorded at fair value at each reporting period.</w:t>
      </w:r>
    </w:p>
    <w:p>
      <w:pPr>
        <w:spacing w:after="0" w:line="154"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Company has elected to be treated as a BDC under the 1940 Act. The Company also has elected to be treated as a RIC under the Internal Revenue Code.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11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Dividends to common stockholders are recorded on the record date. The amount to be paid out as a dividend is determined by the Board and is generally based upon the earnings estimated by the Adviser. Net realized long-term capital gains, if any, would be generally distributed at least annually, although the Company may decide to retain such capital gains for investment.</w:t>
      </w:r>
    </w:p>
    <w:p>
      <w:pPr>
        <w:spacing w:after="0" w:line="181" w:lineRule="exact"/>
        <w:rPr>
          <w:sz w:val="20"/>
          <w:szCs w:val="20"/>
          <w:color w:val="auto"/>
        </w:rPr>
      </w:pPr>
    </w:p>
    <w:p>
      <w:pPr>
        <w:jc w:val="both"/>
        <w:ind w:right="180" w:firstLine="456"/>
        <w:spacing w:after="0" w:line="302" w:lineRule="auto"/>
        <w:rPr>
          <w:sz w:val="20"/>
          <w:szCs w:val="20"/>
          <w:color w:val="auto"/>
        </w:rPr>
      </w:pPr>
      <w:r>
        <w:rPr>
          <w:rFonts w:ascii="Arial" w:cs="Arial" w:eastAsia="Arial" w:hAnsi="Arial"/>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implement the dividend reinvestment plan.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August 2014, the Financial Accounting Standards Board issued Accounting Standards Update 2014–15 (“ASU 2014-15”), “</w:t>
      </w:r>
      <w:r>
        <w:rPr>
          <w:rFonts w:ascii="Arial" w:cs="Arial" w:eastAsia="Arial" w:hAnsi="Arial"/>
          <w:sz w:val="18"/>
          <w:szCs w:val="18"/>
          <w:i w:val="1"/>
          <w:iCs w:val="1"/>
          <w:color w:val="auto"/>
        </w:rPr>
        <w:t>Presentation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Statements—Going Concern (Subtopic 205 – 40): Disclosure of Uncertainties About an Entity’s Ability to Continue as a Going Concern</w:t>
      </w:r>
      <w:r>
        <w:rPr>
          <w:rFonts w:ascii="Arial" w:cs="Arial" w:eastAsia="Arial" w:hAnsi="Arial"/>
          <w:sz w:val="18"/>
          <w:szCs w:val="18"/>
          <w:color w:val="auto"/>
        </w:rPr>
        <w:t>.” ASU</w:t>
      </w:r>
      <w:r>
        <w:rPr>
          <w:rFonts w:ascii="Arial" w:cs="Arial" w:eastAsia="Arial" w:hAnsi="Arial"/>
          <w:sz w:val="18"/>
          <w:szCs w:val="18"/>
          <w:i w:val="1"/>
          <w:iCs w:val="1"/>
          <w:color w:val="auto"/>
        </w:rPr>
        <w:t xml:space="preserve"> </w:t>
      </w:r>
      <w:r>
        <w:rPr>
          <w:rFonts w:ascii="Arial" w:cs="Arial" w:eastAsia="Arial" w:hAnsi="Arial"/>
          <w:sz w:val="18"/>
          <w:szCs w:val="18"/>
          <w:color w:val="auto"/>
        </w:rPr>
        <w:t>2014-15 requires management to evaluate whether there are conditions or events that raise substantial doubt about the entity’s ability to continue as a going concern, and to provide certain disclosures when it is probable that the entity will be unable to meet its obligations as they become due within one year after the date that the financial statements are issued. Since this guidance is primarily around certain disclosures to the financial statements, the Company anticipates no impact</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340"/>
          </w:cols>
          <w:pgMar w:left="240" w:top="459" w:right="31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on our financial position, results of operations or cash flows from adopting this standard. ASU 2014-15 is effective for the annual period ending after December 31, 2016 and for annual periods and interim periods thereafter, with early adoption permitted. The Company is currently assessing the additional disclosure requirements, if any, of ASU 2014-15.</w:t>
      </w:r>
    </w:p>
    <w:p>
      <w:pPr>
        <w:spacing w:after="0" w:line="18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In May 2014, the Financial Accounting Standards Board issued Accounting Standards Update 2014-09 (“ASU 2014-09”),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 Customers (Topic 606).” </w:t>
      </w:r>
      <w:r>
        <w:rPr>
          <w:rFonts w:ascii="Arial" w:cs="Arial" w:eastAsia="Arial" w:hAnsi="Arial"/>
          <w:sz w:val="16"/>
          <w:szCs w:val="16"/>
          <w:color w:val="auto"/>
        </w:rPr>
        <w:t>The guidance in this ASU supersedes the revenue recognition requirements in Topic 605, Revenue Recognition. Under the new</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an entity should recognize revenue to depict the transfer of promised goods or services to customers in an amount that reflects the consideration to which the entity expects to be entitled in exchange for those goods or services. The amendments in ASU 2014-09 are effective for annual reporting periods beginning after December 15, 2016, including interim periods within that reporting period. Early application is not permitted. The Company is currently evaluating the impact of adopting this ASU on its consolidated financial statements. In April 2015, the FASB issued a proposal to defer the effective date of this guidance for an additional year. If approved by the FASB, this guidance would become effective for public companies for interim and annual periods beginning after December 15, 2017, with early adoption permitted for interim and annual periods beginning after December 15, 2016.</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Agreement</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expenses incurred by any such affiliates or third parties for work done on its behalf.</w:t>
      </w:r>
    </w:p>
    <w:p>
      <w:pPr>
        <w:spacing w:after="0" w:line="178" w:lineRule="exact"/>
        <w:rPr>
          <w:sz w:val="20"/>
          <w:szCs w:val="20"/>
          <w:color w:val="auto"/>
        </w:rPr>
      </w:pPr>
    </w:p>
    <w:p>
      <w:pPr>
        <w:ind w:right="1020" w:firstLine="456"/>
        <w:spacing w:after="0" w:line="277" w:lineRule="auto"/>
        <w:rPr>
          <w:sz w:val="20"/>
          <w:szCs w:val="20"/>
          <w:color w:val="auto"/>
        </w:rPr>
      </w:pPr>
      <w:r>
        <w:rPr>
          <w:rFonts w:ascii="Arial" w:cs="Arial" w:eastAsia="Arial" w:hAnsi="Arial"/>
          <w:sz w:val="18"/>
          <w:szCs w:val="18"/>
          <w:color w:val="auto"/>
        </w:rPr>
        <w:t>For the three months ended March 31, 2015, and 2014, the Company incurred expenses of $0.9 million and $0.6 million, respectively, for administrative services payable to the Adviser under the terms of the Administration Agreement.</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On November 3, 2014, the Board renewed the Administration Agreement. Unless earlier terminated as described below, the Administration Agreement will remain in effect until November 3, 2015, and may be extended subject to required approvals. The Administration Agreement may be terminated by either party without penalty on 60 days’ written notice to the other party.</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117"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400"/>
          </w:cols>
          <w:pgMar w:left="240" w:top="460" w:right="2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Investment Advisory Agreement, the Adviser will provide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three months ended March 31, 2015 and 2014, Management Fees were $5.0 million and $4.2 million, respectively.</w:t>
      </w:r>
    </w:p>
    <w:p>
      <w:pPr>
        <w:spacing w:after="0" w:line="225"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Until the IPO, the Adviser had waived its right to receive the Management Fee in excess of the sum of (i) 0.25% of aggregate committed but undrawn capital; and, (ii) 0.75% of aggregate drawn capital (including capital drawn to pay Company expenses) as determined as of the end of any calendar quarter.</w:t>
      </w:r>
    </w:p>
    <w:p>
      <w:pPr>
        <w:spacing w:after="0" w:line="124"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For the three months ended March 31, 2015, no Management Fees were waived. For the three months ended March 31, 2014, $2.5 million of Management Fees were waived. Any waived Management Fees were not subject to recoupment by the Adviser. Following the IPO, the Adviser has not waived its right to receive the full Management Fee and accordingly, the Company will be required to continue to pay the full amount of the Management Fee.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131" w:lineRule="exact"/>
        <w:rPr>
          <w:sz w:val="20"/>
          <w:szCs w:val="20"/>
          <w:color w:val="auto"/>
        </w:rPr>
      </w:pPr>
    </w:p>
    <w:p>
      <w:pPr>
        <w:ind w:left="900" w:right="20" w:hanging="446"/>
        <w:spacing w:after="0" w:line="271" w:lineRule="auto"/>
        <w:tabs>
          <w:tab w:leader="none" w:pos="90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Through March 31, 2014, the quarter in which the Company completed its IPO, the first component, payable at the end of each quarter in arrears, equaled 100% of the pre-Incentive Fee net investment income in excess of a 1.5% quarterly “hurdle rate” the calculation of which is further explained below, until the Adviser had received 15% of the total pre-Incentive Fee net investment income for that quarter and, for pre-Incentive Fee net investment income in excess of 1.76% quarterly, 15% of all remaining pre-Incentive Fee net investment income for that quarter . The 100% “catch-up” provision for pre-Incentive Fee net investment income in excess of the 1.5% “hurdle rate” is intended to provide the Adviser with an incentive fee of 15% on all pre-Incentive Fee net investment income when that amount equals 1.76% in a quarter (7.04% annualized), which is the rate at which catch-up was achieved. Once the “hurdle rate” is reached and catch-up is achieved, 15% of any pre-Incentive Fee net investment income in excess of 1.76% in any quarter is payable to the Adviser.</w:t>
      </w:r>
    </w:p>
    <w:p>
      <w:pPr>
        <w:spacing w:after="0" w:line="84" w:lineRule="exact"/>
        <w:rPr>
          <w:rFonts w:ascii="Arial" w:cs="Arial" w:eastAsia="Arial" w:hAnsi="Arial"/>
          <w:sz w:val="17"/>
          <w:szCs w:val="17"/>
          <w:color w:val="auto"/>
        </w:rPr>
      </w:pPr>
    </w:p>
    <w:p>
      <w:pPr>
        <w:ind w:left="900" w:right="20"/>
        <w:spacing w:after="0" w:line="271" w:lineRule="auto"/>
        <w:rPr>
          <w:rFonts w:ascii="Arial" w:cs="Arial" w:eastAsia="Arial" w:hAnsi="Arial"/>
          <w:sz w:val="17"/>
          <w:szCs w:val="17"/>
          <w:color w:val="auto"/>
        </w:rPr>
      </w:pPr>
      <w:r>
        <w:rPr>
          <w:rFonts w:ascii="Arial" w:cs="Arial" w:eastAsia="Arial" w:hAnsi="Arial"/>
          <w:sz w:val="17"/>
          <w:szCs w:val="17"/>
          <w:color w:val="auto"/>
        </w:rPr>
        <w:t>Beginning April 1, 2014, the first quarter after the Company’s IPO, 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84" w:lineRule="exact"/>
        <w:rPr>
          <w:rFonts w:ascii="Arial" w:cs="Arial" w:eastAsia="Arial" w:hAnsi="Arial"/>
          <w:sz w:val="17"/>
          <w:szCs w:val="17"/>
          <w:color w:val="auto"/>
        </w:rPr>
      </w:pPr>
    </w:p>
    <w:p>
      <w:pPr>
        <w:ind w:left="900"/>
        <w:spacing w:after="0" w:line="264" w:lineRule="auto"/>
        <w:rPr>
          <w:rFonts w:ascii="Arial" w:cs="Arial" w:eastAsia="Arial" w:hAnsi="Arial"/>
          <w:sz w:val="17"/>
          <w:szCs w:val="17"/>
          <w:color w:val="auto"/>
        </w:rPr>
      </w:pPr>
      <w:r>
        <w:rPr>
          <w:rFonts w:ascii="Arial" w:cs="Arial" w:eastAsia="Arial" w:hAnsi="Arial"/>
          <w:sz w:val="18"/>
          <w:szCs w:val="18"/>
          <w:color w:val="auto"/>
        </w:rPr>
        <w:t>Pre-Incentive Fee net investment income means dividends (including reinvested dividends), interest and fee income accrued by the Company during the calendar quarter, minus the Company’s operating expenses for the quarter (including the Management Fee, expenses payable under the Administration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400"/>
          </w:cols>
          <w:pgMar w:left="240" w:top="460" w:right="2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40"/>
        <w:spacing w:after="0" w:line="257" w:lineRule="auto"/>
        <w:rPr>
          <w:sz w:val="20"/>
          <w:szCs w:val="20"/>
          <w:color w:val="auto"/>
        </w:rPr>
      </w:pPr>
      <w:r>
        <w:rPr>
          <w:rFonts w:ascii="Arial" w:cs="Arial" w:eastAsia="Arial" w:hAnsi="Arial"/>
          <w:sz w:val="18"/>
          <w:szCs w:val="18"/>
          <w:color w:val="auto"/>
        </w:rPr>
        <w:t>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appreciation or depreciation.</w:t>
      </w:r>
    </w:p>
    <w:p>
      <w:pPr>
        <w:spacing w:after="0" w:line="94" w:lineRule="exact"/>
        <w:rPr>
          <w:sz w:val="20"/>
          <w:szCs w:val="20"/>
          <w:color w:val="auto"/>
        </w:rPr>
      </w:pPr>
    </w:p>
    <w:p>
      <w:pPr>
        <w:ind w:left="900" w:right="20" w:hanging="446"/>
        <w:spacing w:after="0" w:line="289" w:lineRule="auto"/>
        <w:tabs>
          <w:tab w:leader="none" w:pos="90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depreciation.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appreciation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w:t>
      </w:r>
    </w:p>
    <w:p>
      <w:pPr>
        <w:spacing w:after="0" w:line="167"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w:t>
      </w:r>
    </w:p>
    <w:p>
      <w:pPr>
        <w:spacing w:after="0" w:line="29" w:lineRule="exact"/>
        <w:rPr>
          <w:sz w:val="20"/>
          <w:szCs w:val="20"/>
          <w:color w:val="auto"/>
        </w:rPr>
      </w:pPr>
    </w:p>
    <w:p>
      <w:pPr>
        <w:ind w:left="900" w:hanging="325"/>
        <w:spacing w:after="0"/>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net assets as of the end of the calendar quarter immediately preceding the day; plus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aggregate amount of capital drawn from investors (or reinvested pursuant to the dividend reinvestment plan) from the beginning of the current quarter to the day; minus</w:t>
      </w:r>
    </w:p>
    <w:p>
      <w:pPr>
        <w:spacing w:after="0" w:line="75" w:lineRule="exact"/>
        <w:rPr>
          <w:rFonts w:ascii="Arial" w:cs="Arial" w:eastAsia="Arial" w:hAnsi="Arial"/>
          <w:sz w:val="18"/>
          <w:szCs w:val="18"/>
          <w:color w:val="auto"/>
        </w:rPr>
      </w:pPr>
    </w:p>
    <w:p>
      <w:pPr>
        <w:ind w:left="900" w:right="240" w:hanging="325"/>
        <w:spacing w:after="0" w:line="308" w:lineRule="auto"/>
        <w:tabs>
          <w:tab w:leader="none" w:pos="90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aggregate amount of distributions (including share repurchases) made by the Company from the beginning of the current quarter to the day (but only to the extent the distributions were not declared and accounted for on our books and records in a previous quarter).</w:t>
      </w:r>
    </w:p>
    <w:p>
      <w:pPr>
        <w:spacing w:after="0" w:line="147" w:lineRule="exact"/>
        <w:rPr>
          <w:sz w:val="20"/>
          <w:szCs w:val="20"/>
          <w:color w:val="auto"/>
        </w:rPr>
      </w:pPr>
    </w:p>
    <w:p>
      <w:pPr>
        <w:ind w:right="600" w:firstLine="456"/>
        <w:spacing w:after="0" w:line="342" w:lineRule="auto"/>
        <w:rPr>
          <w:sz w:val="20"/>
          <w:szCs w:val="20"/>
          <w:color w:val="auto"/>
        </w:rPr>
      </w:pPr>
      <w:r>
        <w:rPr>
          <w:rFonts w:ascii="Arial" w:cs="Arial" w:eastAsia="Arial" w:hAnsi="Arial"/>
          <w:sz w:val="16"/>
          <w:szCs w:val="16"/>
          <w:color w:val="auto"/>
        </w:rPr>
        <w:t>Following the IPO, 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24"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Company accrues the Incentive Fee taking into account unrealized gains and losses; however, Section 205(b)(3) of the Investment Advisers Act of 1940, as amended, prohibits the Adviser from receiving the payment of fees until those gains are realized, if ever. There can be no assurance that such unrealized gains will be realized in the future.</w:t>
      </w:r>
    </w:p>
    <w:p>
      <w:pPr>
        <w:spacing w:after="0" w:line="181"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For the three months ended March 31, 2015, Incentive Fees were $5.0 million, of which $4.5 million were realized and payable to the Adviser. For the three months ended March 31, 2014, Incentive Fees were $4.5 million, of which $3.9 million were realized and payable to the Adviser.</w:t>
      </w:r>
    </w:p>
    <w:p>
      <w:pPr>
        <w:spacing w:after="0" w:line="147"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On November 3, 2014, the Board renewed the Investment Advisory Agreement. Unless earlier terminated as described below, the Investment Advisory Agreement will remain in effect until November 3, 2015, and may be extended subject to required approvals. The Investment Advisory Agreement will automatically terminate in the event of an assignment and may be terminated by either party without penalty upon 60 days’ written notice to the other party.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420"/>
          </w:cols>
          <w:pgMar w:left="240" w:top="460" w:right="2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121"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affiliated investments.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at fair value consisted of the following at March 31, 2015 and December 31, 2014: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March 31, 2015</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Amortized Cost </w:t>
            </w:r>
            <w:r>
              <w:rPr>
                <w:rFonts w:ascii="Arial" w:cs="Arial" w:eastAsia="Arial" w:hAnsi="Arial"/>
                <w:sz w:val="12"/>
                <w:szCs w:val="12"/>
                <w:b w:val="1"/>
                <w:bCs w:val="1"/>
                <w:color w:val="auto"/>
              </w:rPr>
              <w:t>(1)</w:t>
            </w: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8"/>
              </w:rPr>
              <w:t>Fair Value</w:t>
            </w:r>
          </w:p>
        </w:tc>
        <w:tc>
          <w:tcPr>
            <w:tcW w:w="26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Gain (Loss)</w:t>
            </w: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25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1,206,404</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1,199,200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104,659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103,240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2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13,459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14,087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21,515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14,466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(7,049)</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2760" w:type="dxa"/>
            <w:vAlign w:val="bottom"/>
            <w:gridSpan w:val="2"/>
            <w:shd w:val="clear" w:color="auto" w:fill="CCEEFF"/>
          </w:tcPr>
          <w:p>
            <w:pPr>
              <w:ind w:left="25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1,346,037</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1,330,993</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(15,044)</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December 31, 2014</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6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Amortized Cost </w:t>
            </w:r>
            <w:r>
              <w:rPr>
                <w:rFonts w:ascii="Arial" w:cs="Arial" w:eastAsia="Arial" w:hAnsi="Arial"/>
                <w:sz w:val="12"/>
                <w:szCs w:val="12"/>
                <w:b w:val="1"/>
                <w:bCs w:val="1"/>
                <w:color w:val="auto"/>
              </w:rPr>
              <w:t>(1)</w:t>
            </w: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8"/>
              </w:rPr>
              <w:t>Fair Value</w:t>
            </w:r>
          </w:p>
        </w:tc>
        <w:tc>
          <w:tcPr>
            <w:tcW w:w="26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Gain (Loss)</w:t>
            </w: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25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1,127,215</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1,124,246</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111,121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111,408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2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13,414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12,964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21,502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14,893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(6,609)</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2760" w:type="dxa"/>
            <w:vAlign w:val="bottom"/>
            <w:gridSpan w:val="2"/>
            <w:shd w:val="clear" w:color="auto" w:fill="CCEEFF"/>
          </w:tcPr>
          <w:p>
            <w:pPr>
              <w:ind w:left="25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1,273,252</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1,263,511</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(9,741)</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360" w:hanging="452"/>
        <w:spacing w:after="0" w:line="277" w:lineRule="auto"/>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420"/>
          </w:cols>
          <w:pgMar w:left="240" w:top="459" w:right="2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industry composition of Investments at fair value at March 31, 2015 and December 31, 2014 is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4"/>
              </w:rPr>
              <w:t>March 31, 2015</w:t>
            </w:r>
          </w:p>
        </w:tc>
        <w:tc>
          <w:tcPr>
            <w:tcW w:w="660" w:type="dxa"/>
            <w:vAlign w:val="bottom"/>
          </w:tcPr>
          <w:p>
            <w:pPr>
              <w:spacing w:after="0"/>
              <w:rPr>
                <w:sz w:val="14"/>
                <w:szCs w:val="14"/>
                <w:color w:val="auto"/>
              </w:rPr>
            </w:pPr>
          </w:p>
        </w:tc>
        <w:tc>
          <w:tcPr>
            <w:tcW w:w="1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20"/>
        </w:trPr>
        <w:tc>
          <w:tcPr>
            <w:tcW w:w="37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Automotive</w:t>
            </w:r>
          </w:p>
        </w:tc>
        <w:tc>
          <w:tcPr>
            <w:tcW w:w="138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w:t>
            </w:r>
          </w:p>
        </w:tc>
        <w:tc>
          <w:tcPr>
            <w:tcW w:w="54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Beverage, food, and tobacco</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6.4%</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10.5%</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Chemicals</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1.4%</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1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Containers and packaging</w:t>
            </w:r>
          </w:p>
        </w:tc>
        <w:tc>
          <w:tcPr>
            <w:tcW w:w="1380" w:type="dxa"/>
            <w:vAlign w:val="bottom"/>
          </w:tcPr>
          <w:p>
            <w:pPr>
              <w:spacing w:after="0"/>
              <w:rPr>
                <w:sz w:val="18"/>
                <w:szCs w:val="18"/>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Education</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2.1%</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Electronics</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5.8%</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10.3%</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Healthcare and pharmaceuticals</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16.2%</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6.2%</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Human resource support services</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7.6%</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Internet services</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4.0%</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1.7%</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Metals and mining</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1.6%</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Office products</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2.8%</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Oil, gas and consumable fuels</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8.1%</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0.4%</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Retail</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3.1%</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1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5.2%</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w:t>
            </w:r>
          </w:p>
        </w:tc>
        <w:tc>
          <w:tcPr>
            <w:tcW w:w="138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8"/>
                <w:szCs w:val="18"/>
                <w:color w:val="auto"/>
              </w:rPr>
              <w:t>100.0%</w:t>
            </w:r>
          </w:p>
        </w:tc>
        <w:tc>
          <w:tcPr>
            <w:tcW w:w="54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composition of Investments at fair value at March 31, 2015 and December 31, 2014 is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368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March 31, 2015</w:t>
            </w:r>
          </w:p>
        </w:tc>
        <w:tc>
          <w:tcPr>
            <w:tcW w:w="1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96"/>
        </w:trPr>
        <w:tc>
          <w:tcPr>
            <w:tcW w:w="3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20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360"/>
              <w:spacing w:after="0"/>
              <w:rPr>
                <w:sz w:val="20"/>
                <w:szCs w:val="20"/>
                <w:color w:val="auto"/>
              </w:rPr>
            </w:pPr>
            <w:r>
              <w:rPr>
                <w:rFonts w:ascii="Arial" w:cs="Arial" w:eastAsia="Arial" w:hAnsi="Arial"/>
                <w:sz w:val="18"/>
                <w:szCs w:val="18"/>
                <w:color w:val="auto"/>
              </w:rPr>
              <w:t>Midwest</w:t>
            </w:r>
          </w:p>
        </w:tc>
        <w:tc>
          <w:tcPr>
            <w:tcW w:w="3680" w:type="dxa"/>
            <w:vAlign w:val="bottom"/>
            <w:gridSpan w:val="3"/>
          </w:tcPr>
          <w:p>
            <w:pPr>
              <w:jc w:val="right"/>
              <w:ind w:right="520"/>
              <w:spacing w:after="0"/>
              <w:rPr>
                <w:sz w:val="20"/>
                <w:szCs w:val="20"/>
                <w:color w:val="auto"/>
              </w:rPr>
            </w:pPr>
            <w:r>
              <w:rPr>
                <w:rFonts w:ascii="Arial" w:cs="Arial" w:eastAsia="Arial" w:hAnsi="Arial"/>
                <w:sz w:val="18"/>
                <w:szCs w:val="18"/>
                <w:color w:val="auto"/>
              </w:rPr>
              <w:t>12.4%</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Northeast</w:t>
            </w:r>
          </w:p>
        </w:tc>
        <w:tc>
          <w:tcPr>
            <w:tcW w:w="36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21.6%</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3100" w:type="dxa"/>
            <w:vAlign w:val="bottom"/>
          </w:tcPr>
          <w:p>
            <w:pPr>
              <w:ind w:left="360"/>
              <w:spacing w:after="0"/>
              <w:rPr>
                <w:sz w:val="20"/>
                <w:szCs w:val="20"/>
                <w:color w:val="auto"/>
              </w:rPr>
            </w:pPr>
            <w:r>
              <w:rPr>
                <w:rFonts w:ascii="Arial" w:cs="Arial" w:eastAsia="Arial" w:hAnsi="Arial"/>
                <w:sz w:val="18"/>
                <w:szCs w:val="18"/>
                <w:color w:val="auto"/>
              </w:rPr>
              <w:t>South</w:t>
            </w:r>
          </w:p>
        </w:tc>
        <w:tc>
          <w:tcPr>
            <w:tcW w:w="3680" w:type="dxa"/>
            <w:vAlign w:val="bottom"/>
            <w:gridSpan w:val="3"/>
          </w:tcPr>
          <w:p>
            <w:pPr>
              <w:jc w:val="right"/>
              <w:ind w:right="520"/>
              <w:spacing w:after="0"/>
              <w:rPr>
                <w:sz w:val="20"/>
                <w:szCs w:val="20"/>
                <w:color w:val="auto"/>
              </w:rPr>
            </w:pPr>
            <w:r>
              <w:rPr>
                <w:rFonts w:ascii="Arial" w:cs="Arial" w:eastAsia="Arial" w:hAnsi="Arial"/>
                <w:sz w:val="18"/>
                <w:szCs w:val="18"/>
                <w:color w:val="auto"/>
              </w:rPr>
              <w:t>23.8%</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West</w:t>
            </w:r>
          </w:p>
        </w:tc>
        <w:tc>
          <w:tcPr>
            <w:tcW w:w="36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29.0%</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Canada</w:t>
            </w:r>
          </w:p>
        </w:tc>
        <w:tc>
          <w:tcPr>
            <w:tcW w:w="3680" w:type="dxa"/>
            <w:vAlign w:val="bottom"/>
            <w:gridSpan w:val="3"/>
          </w:tcPr>
          <w:p>
            <w:pPr>
              <w:jc w:val="right"/>
              <w:ind w:right="520"/>
              <w:spacing w:after="0"/>
              <w:rPr>
                <w:sz w:val="20"/>
                <w:szCs w:val="20"/>
                <w:color w:val="auto"/>
              </w:rPr>
            </w:pPr>
            <w:r>
              <w:rPr>
                <w:rFonts w:ascii="Arial" w:cs="Arial" w:eastAsia="Arial" w:hAnsi="Arial"/>
                <w:sz w:val="18"/>
                <w:szCs w:val="18"/>
                <w:color w:val="auto"/>
              </w:rPr>
              <w:t>2.2%</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0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11.0%</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310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w:t>
            </w:r>
          </w:p>
        </w:tc>
        <w:tc>
          <w:tcPr>
            <w:tcW w:w="206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00" w:type="dxa"/>
            <w:vAlign w:val="bottom"/>
            <w:vMerge w:val="continue"/>
          </w:tcPr>
          <w:p>
            <w:pPr>
              <w:spacing w:after="0"/>
              <w:rPr>
                <w:sz w:val="19"/>
                <w:szCs w:val="19"/>
                <w:color w:val="auto"/>
              </w:rPr>
            </w:pPr>
          </w:p>
        </w:tc>
        <w:tc>
          <w:tcPr>
            <w:tcW w:w="2060" w:type="dxa"/>
            <w:vAlign w:val="bottom"/>
            <w:vMerge w:val="continue"/>
          </w:tcPr>
          <w:p>
            <w:pPr>
              <w:spacing w:after="0"/>
              <w:rPr>
                <w:sz w:val="19"/>
                <w:szCs w:val="19"/>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8"/>
                <w:szCs w:val="18"/>
                <w:color w:val="auto"/>
              </w:rPr>
              <w:t>100.0%</w:t>
            </w:r>
          </w:p>
        </w:tc>
        <w:tc>
          <w:tcPr>
            <w:tcW w:w="54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Company enters into foreign currency forward contracts from time to time to facilitate settlement of purchases and sales of investments denominated in foreign currencies or to help mitigate the impact that an adverse change in foreign exchange rates would have on the value of the Company’s investments denominated in foreign currencies. A foreign currency forward contract is a commitment to purchase or sell a foreign currency at a future date at a negotiated forward rate. These contracts are marked-to-market by recognizing the difference between the contract exchange rate and the current market rate as unrealized appreciation or depreciation. Realized gains or losses are recognized when contracts are settled. The foreign currency forward contracts that</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340"/>
          </w:cols>
          <w:pgMar w:left="240" w:top="460" w:right="31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enters into typically have terms of approximately two months or less. Risks may arise as a result of the potential inability of the counterparties to meet the terms of their contracts. The Company attempts to limit this risk by dealing with only creditworthy counterparties.</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During the three months ended March 31, 2015, the Company entered into foreign currency forward contracts related to its non-USD investments. The Company did not have any open foreign currency forward contracts as of March 31, 2015.</w:t>
      </w:r>
    </w:p>
    <w:p>
      <w:pPr>
        <w:spacing w:after="0" w:line="170"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All realized and unrealized gains and losses on foreign currency forward contracts are included in earnings (changes in net assets) and are reported as separate line items within the Company’s consolidated statements of operations. Unrealized gains and losses on foreign currency forward contracts are also reported as a separate line item within the Company’s consolidated balance sheets.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not been required to post cash collateral related to its foreign currency forward contracts, but may be required to do so in the future.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June 2014, the Company entered into two interest rate swap transactions, each with a $57.5 million notional amount. As of December 31, 2014 the Company received fixed rate interest at 4.50% and paid variable rate interest based on the 3-month London Interbank Offered Rate (“LIBOR”) plus 252.9 basis points.</w:t>
      </w:r>
    </w:p>
    <w:p>
      <w:pPr>
        <w:spacing w:after="0" w:line="181" w:lineRule="exact"/>
        <w:rPr>
          <w:sz w:val="20"/>
          <w:szCs w:val="20"/>
          <w:color w:val="auto"/>
        </w:rPr>
      </w:pPr>
    </w:p>
    <w:p>
      <w:pPr>
        <w:jc w:val="both"/>
        <w:ind w:right="440" w:firstLine="456"/>
        <w:spacing w:after="0" w:line="342" w:lineRule="auto"/>
        <w:rPr>
          <w:sz w:val="20"/>
          <w:szCs w:val="20"/>
          <w:color w:val="auto"/>
        </w:rPr>
      </w:pPr>
      <w:r>
        <w:rPr>
          <w:rFonts w:ascii="Arial" w:cs="Arial" w:eastAsia="Arial" w:hAnsi="Arial"/>
          <w:sz w:val="16"/>
          <w:szCs w:val="16"/>
          <w:color w:val="auto"/>
        </w:rPr>
        <w:t>In January 2015, the Company closed out its existing interest rate swaps and simultaneously entered into new interest rate swaps realizing a cash payment of $2.0 million and increasing pricing to three-month LIBOR plus 286 basis points. The new swap transactions mature on December 15, 2019.</w:t>
      </w:r>
    </w:p>
    <w:p>
      <w:pPr>
        <w:spacing w:after="0" w:line="124"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During the three months ended March 31, 2015, the Company received $1.3 million and paid $0.9 million related to the quarterly settlements of its interest rate swaps. This net amount is a reduction to interest expense in the Company’s consolidated statements of operations.</w:t>
      </w:r>
    </w:p>
    <w:p>
      <w:pPr>
        <w:spacing w:after="0" w:line="14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For the three months ended March 31, 2015, the Company recognized $0.4 million in unrealized depreciation on derivatives in the consolidated statement of operations related to the swap transactions. As of March 31, 2015, the swap transactions had a fair value of $0.7 million, which is included in receivable on interest rate swaps on the Company’s consolidated balance sheet.</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Company is required under the terms of its derivatives agreements to pledge assets as collateral to secure its obligations under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 As of March 31, 2015, $2.4 million of cash is pledged as collateral under the Company’s derivative instruments and is included in restricted cash as a component of other assets on the Company’s consolidated balance sheet.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may enter into other derivative instruments and incur other exposures with the same or other counterparties in the future.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380"/>
          </w:cols>
          <w:pgMar w:left="240" w:top="460" w:right="27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present fair value measurements of investments as of March 31, 2015 and December 31,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7"/>
          </w:tcPr>
          <w:p>
            <w:pPr>
              <w:ind w:left="480"/>
              <w:spacing w:after="0"/>
              <w:rPr>
                <w:sz w:val="20"/>
                <w:szCs w:val="20"/>
                <w:color w:val="auto"/>
              </w:rPr>
            </w:pPr>
            <w:r>
              <w:rPr>
                <w:rFonts w:ascii="Arial" w:cs="Arial" w:eastAsia="Arial" w:hAnsi="Arial"/>
                <w:sz w:val="14"/>
                <w:szCs w:val="14"/>
                <w:b w:val="1"/>
                <w:bCs w:val="1"/>
                <w:color w:val="auto"/>
                <w:w w:val="98"/>
              </w:rPr>
              <w:t>Fair Value Hierarchy at March 31, 2015</w:t>
            </w: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Level 1</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2"/>
                <w:szCs w:val="12"/>
                <w:color w:val="auto"/>
              </w:rPr>
            </w:pPr>
          </w:p>
        </w:tc>
        <w:tc>
          <w:tcPr>
            <w:tcW w:w="132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82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66,633</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$1,132,567</w:t>
            </w:r>
          </w:p>
        </w:tc>
        <w:tc>
          <w:tcPr>
            <w:tcW w:w="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$1,199,200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41,834</w:t>
            </w:r>
          </w:p>
        </w:tc>
        <w:tc>
          <w:tcPr>
            <w:tcW w:w="1580" w:type="dxa"/>
            <w:vAlign w:val="bottom"/>
            <w:gridSpan w:val="3"/>
          </w:tcPr>
          <w:p>
            <w:pPr>
              <w:jc w:val="right"/>
              <w:ind w:right="500"/>
              <w:spacing w:after="0"/>
              <w:rPr>
                <w:sz w:val="20"/>
                <w:szCs w:val="20"/>
                <w:color w:val="auto"/>
              </w:rPr>
            </w:pPr>
            <w:r>
              <w:rPr>
                <w:rFonts w:ascii="Arial" w:cs="Arial" w:eastAsia="Arial" w:hAnsi="Arial"/>
                <w:sz w:val="18"/>
                <w:szCs w:val="18"/>
                <w:color w:val="auto"/>
              </w:rPr>
              <w:t>61,406</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103,240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4,862</w:t>
            </w:r>
          </w:p>
        </w:tc>
        <w:tc>
          <w:tcPr>
            <w:tcW w:w="5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14,087</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5,552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8,914</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14,466</w:t>
            </w: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Investments at Fair Value</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$123,244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$1,207,749</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$1,330,993</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Receivable on interest rate swaps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667</w:t>
            </w: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40" w:type="dxa"/>
            <w:vAlign w:val="bottom"/>
            <w:tcBorders>
              <w:left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123,911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1,207,749</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1,331,660</w:t>
            </w:r>
          </w:p>
        </w:tc>
        <w:tc>
          <w:tcPr>
            <w:tcW w:w="100" w:type="dxa"/>
            <w:vAlign w:val="bottom"/>
            <w:shd w:val="clear" w:color="auto" w:fill="CCEEFF"/>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59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rPr>
              <w:t>Fair Value Hierarchy at December 31, 2014</w:t>
            </w: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980" w:type="dxa"/>
            <w:vAlign w:val="bottom"/>
          </w:tcPr>
          <w:p>
            <w:pPr>
              <w:spacing w:after="0"/>
              <w:rPr>
                <w:sz w:val="12"/>
                <w:szCs w:val="12"/>
                <w:color w:val="auto"/>
              </w:rPr>
            </w:pPr>
          </w:p>
        </w:tc>
        <w:tc>
          <w:tcPr>
            <w:tcW w:w="560" w:type="dxa"/>
            <w:vAlign w:val="bottom"/>
            <w:gridSpan w:val="4"/>
          </w:tcPr>
          <w:p>
            <w:pPr>
              <w:ind w:left="60"/>
              <w:spacing w:after="0" w:line="142" w:lineRule="exact"/>
              <w:rPr>
                <w:sz w:val="20"/>
                <w:szCs w:val="20"/>
                <w:color w:val="auto"/>
              </w:rPr>
            </w:pPr>
            <w:r>
              <w:rPr>
                <w:rFonts w:ascii="Arial" w:cs="Arial" w:eastAsia="Arial" w:hAnsi="Arial"/>
                <w:sz w:val="14"/>
                <w:szCs w:val="14"/>
                <w:b w:val="1"/>
                <w:bCs w:val="1"/>
                <w:color w:val="auto"/>
                <w:w w:val="96"/>
              </w:rPr>
              <w:t>Level 1</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2"/>
                <w:szCs w:val="12"/>
                <w:color w:val="auto"/>
              </w:rPr>
            </w:pPr>
          </w:p>
        </w:tc>
        <w:tc>
          <w:tcPr>
            <w:tcW w:w="132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82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64,910</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$1,059,336</w:t>
            </w:r>
          </w:p>
        </w:tc>
        <w:tc>
          <w:tcPr>
            <w:tcW w:w="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$1,124,246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50,158</w:t>
            </w:r>
          </w:p>
        </w:tc>
        <w:tc>
          <w:tcPr>
            <w:tcW w:w="1580" w:type="dxa"/>
            <w:vAlign w:val="bottom"/>
            <w:gridSpan w:val="3"/>
          </w:tcPr>
          <w:p>
            <w:pPr>
              <w:jc w:val="right"/>
              <w:ind w:right="500"/>
              <w:spacing w:after="0"/>
              <w:rPr>
                <w:sz w:val="20"/>
                <w:szCs w:val="20"/>
                <w:color w:val="auto"/>
              </w:rPr>
            </w:pPr>
            <w:r>
              <w:rPr>
                <w:rFonts w:ascii="Arial" w:cs="Arial" w:eastAsia="Arial" w:hAnsi="Arial"/>
                <w:sz w:val="18"/>
                <w:szCs w:val="18"/>
                <w:color w:val="auto"/>
              </w:rPr>
              <w:t>61,250</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111,408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5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12,964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5,525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9,368</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14,893</w:t>
            </w:r>
          </w:p>
        </w:tc>
      </w:tr>
      <w:tr>
        <w:trPr>
          <w:trHeight w:val="27"/>
        </w:trPr>
        <w:tc>
          <w:tcPr>
            <w:tcW w:w="5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Investments at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0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$129,037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$1,134,474</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$ 1,263,511</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Receivable on interest rate swaps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1,020</w:t>
            </w: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00" w:type="dxa"/>
            <w:vAlign w:val="bottom"/>
            <w:tcBorders>
              <w:left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130,057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1,134,474</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1,264,531</w:t>
            </w:r>
          </w:p>
        </w:tc>
        <w:tc>
          <w:tcPr>
            <w:tcW w:w="100" w:type="dxa"/>
            <w:vAlign w:val="bottom"/>
            <w:shd w:val="clear" w:color="auto" w:fill="CCEEFF"/>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three months ended March 31, 2015 and 2014: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20" w:type="dxa"/>
            <w:vAlign w:val="bottom"/>
            <w:gridSpan w:val="10"/>
          </w:tcPr>
          <w:p>
            <w:pPr>
              <w:jc w:val="center"/>
              <w:ind w:right="420"/>
              <w:spacing w:after="0"/>
              <w:rPr>
                <w:sz w:val="20"/>
                <w:szCs w:val="20"/>
                <w:color w:val="auto"/>
              </w:rPr>
            </w:pPr>
            <w:r>
              <w:rPr>
                <w:rFonts w:ascii="Arial" w:cs="Arial" w:eastAsia="Arial" w:hAnsi="Arial"/>
                <w:sz w:val="14"/>
                <w:szCs w:val="14"/>
                <w:b w:val="1"/>
                <w:bCs w:val="1"/>
                <w:color w:val="auto"/>
                <w:w w:val="93"/>
              </w:rPr>
              <w:t>As of and for the Three Months Ended</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March 31, 2015</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60" w:type="dxa"/>
            <w:vAlign w:val="bottom"/>
          </w:tcPr>
          <w:p>
            <w:pPr>
              <w:spacing w:after="0"/>
              <w:rPr>
                <w:sz w:val="10"/>
                <w:szCs w:val="10"/>
                <w:color w:val="auto"/>
              </w:rPr>
            </w:pPr>
          </w:p>
        </w:tc>
        <w:tc>
          <w:tcPr>
            <w:tcW w:w="11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First-lien</w:t>
            </w:r>
          </w:p>
        </w:tc>
        <w:tc>
          <w:tcPr>
            <w:tcW w:w="220" w:type="dxa"/>
            <w:vAlign w:val="bottom"/>
          </w:tcPr>
          <w:p>
            <w:pPr>
              <w:spacing w:after="0"/>
              <w:rPr>
                <w:sz w:val="10"/>
                <w:szCs w:val="10"/>
                <w:color w:val="auto"/>
              </w:rPr>
            </w:pPr>
          </w:p>
        </w:tc>
        <w:tc>
          <w:tcPr>
            <w:tcW w:w="9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Second-lien</w:t>
            </w:r>
          </w:p>
        </w:tc>
        <w:tc>
          <w:tcPr>
            <w:tcW w:w="300" w:type="dxa"/>
            <w:vAlign w:val="bottom"/>
          </w:tcPr>
          <w:p>
            <w:pPr>
              <w:spacing w:after="0"/>
              <w:rPr>
                <w:sz w:val="10"/>
                <w:szCs w:val="10"/>
                <w:color w:val="auto"/>
              </w:rPr>
            </w:pPr>
          </w:p>
        </w:tc>
        <w:tc>
          <w:tcPr>
            <w:tcW w:w="104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rPr>
              <w:t>Mezzanine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Equity</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debt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debt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debt</w:t>
            </w:r>
          </w:p>
        </w:tc>
        <w:tc>
          <w:tcPr>
            <w:tcW w:w="180" w:type="dxa"/>
            <w:vAlign w:val="bottom"/>
          </w:tcPr>
          <w:p>
            <w:pPr>
              <w:spacing w:after="0"/>
              <w:rPr>
                <w:sz w:val="12"/>
                <w:szCs w:val="12"/>
                <w:color w:val="auto"/>
              </w:rPr>
            </w:pPr>
          </w:p>
        </w:tc>
        <w:tc>
          <w:tcPr>
            <w:tcW w:w="10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and other</w:t>
            </w:r>
          </w:p>
        </w:tc>
        <w:tc>
          <w:tcPr>
            <w:tcW w:w="220" w:type="dxa"/>
            <w:vAlign w:val="bottom"/>
          </w:tcPr>
          <w:p>
            <w:pPr>
              <w:spacing w:after="0"/>
              <w:rPr>
                <w:sz w:val="12"/>
                <w:szCs w:val="12"/>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2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300" w:type="dxa"/>
            <w:vAlign w:val="bottom"/>
          </w:tcPr>
          <w:p>
            <w:pPr>
              <w:spacing w:after="0"/>
              <w:rPr>
                <w:sz w:val="14"/>
                <w:szCs w:val="14"/>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investments</w:t>
            </w:r>
          </w:p>
        </w:tc>
        <w:tc>
          <w:tcPr>
            <w:tcW w:w="18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$1,059,336</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61,250</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9,368</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$1,134,474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Purchases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121,413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121,413</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Repayments / redemptions</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(47,344)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(47,344)</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Paid-in-kind interest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935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(losses)</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Net realized losses</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amortization of discount on securities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Transfers into (out of) Level 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Balance, End of Year</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1,132,567</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61,406</w:t>
            </w:r>
          </w:p>
        </w:tc>
        <w:tc>
          <w:tcPr>
            <w:tcW w:w="46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4,862</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8,914</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1,207,749</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60" w:type="dxa"/>
            <w:vAlign w:val="bottom"/>
          </w:tcPr>
          <w:p>
            <w:pPr>
              <w:spacing w:after="0"/>
              <w:rPr>
                <w:sz w:val="24"/>
                <w:szCs w:val="24"/>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F-67</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60" w:type="dxa"/>
            <w:vAlign w:val="bottom"/>
            <w:gridSpan w:val="9"/>
          </w:tcPr>
          <w:p>
            <w:pPr>
              <w:jc w:val="center"/>
              <w:ind w:right="160"/>
              <w:spacing w:after="0"/>
              <w:rPr>
                <w:sz w:val="20"/>
                <w:szCs w:val="20"/>
                <w:color w:val="auto"/>
              </w:rPr>
            </w:pPr>
            <w:r>
              <w:rPr>
                <w:rFonts w:ascii="Arial" w:cs="Arial" w:eastAsia="Arial" w:hAnsi="Arial"/>
                <w:sz w:val="14"/>
                <w:szCs w:val="14"/>
                <w:b w:val="1"/>
                <w:bCs w:val="1"/>
                <w:color w:val="auto"/>
                <w:w w:val="93"/>
              </w:rPr>
              <w:t>As of and for the 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96"/>
              </w:rPr>
              <w:t>March 31, 2014</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First-lien</w:t>
            </w:r>
          </w:p>
        </w:tc>
        <w:tc>
          <w:tcPr>
            <w:tcW w:w="220" w:type="dxa"/>
            <w:vAlign w:val="bottom"/>
          </w:tcPr>
          <w:p>
            <w:pPr>
              <w:spacing w:after="0"/>
              <w:rPr>
                <w:sz w:val="10"/>
                <w:szCs w:val="10"/>
                <w:color w:val="auto"/>
              </w:rPr>
            </w:pPr>
          </w:p>
        </w:tc>
        <w:tc>
          <w:tcPr>
            <w:tcW w:w="9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4"/>
              </w:rPr>
              <w:t>Second-lien</w:t>
            </w:r>
          </w:p>
        </w:tc>
        <w:tc>
          <w:tcPr>
            <w:tcW w:w="280" w:type="dxa"/>
            <w:vAlign w:val="bottom"/>
          </w:tcPr>
          <w:p>
            <w:pPr>
              <w:spacing w:after="0"/>
              <w:rPr>
                <w:sz w:val="10"/>
                <w:szCs w:val="10"/>
                <w:color w:val="auto"/>
              </w:rPr>
            </w:pPr>
          </w:p>
        </w:tc>
        <w:tc>
          <w:tcPr>
            <w:tcW w:w="1220" w:type="dxa"/>
            <w:vAlign w:val="bottom"/>
            <w:gridSpan w:val="3"/>
          </w:tcPr>
          <w:p>
            <w:pPr>
              <w:jc w:val="center"/>
              <w:ind w:right="520"/>
              <w:spacing w:after="0" w:line="119" w:lineRule="exact"/>
              <w:rPr>
                <w:sz w:val="20"/>
                <w:szCs w:val="20"/>
                <w:color w:val="auto"/>
              </w:rPr>
            </w:pPr>
            <w:r>
              <w:rPr>
                <w:rFonts w:ascii="Arial" w:cs="Arial" w:eastAsia="Arial" w:hAnsi="Arial"/>
                <w:sz w:val="13"/>
                <w:szCs w:val="13"/>
                <w:b w:val="1"/>
                <w:bCs w:val="1"/>
                <w:color w:val="auto"/>
              </w:rPr>
              <w:t>Mezzanine</w:t>
            </w:r>
          </w:p>
        </w:tc>
        <w:tc>
          <w:tcPr>
            <w:tcW w:w="120" w:type="dxa"/>
            <w:vAlign w:val="bottom"/>
          </w:tcPr>
          <w:p>
            <w:pPr>
              <w:spacing w:after="0"/>
              <w:rPr>
                <w:sz w:val="10"/>
                <w:szCs w:val="10"/>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Equity</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debt</w:t>
            </w:r>
          </w:p>
        </w:tc>
        <w:tc>
          <w:tcPr>
            <w:tcW w:w="2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debt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debt</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investments</w:t>
            </w:r>
          </w:p>
        </w:tc>
        <w:tc>
          <w:tcPr>
            <w:tcW w:w="2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investments</w:t>
            </w:r>
          </w:p>
        </w:tc>
        <w:tc>
          <w:tcPr>
            <w:tcW w:w="280" w:type="dxa"/>
            <w:vAlign w:val="bottom"/>
          </w:tcPr>
          <w:p>
            <w:pPr>
              <w:spacing w:after="0"/>
              <w:rPr>
                <w:sz w:val="14"/>
                <w:szCs w:val="14"/>
                <w:color w:val="auto"/>
              </w:rPr>
            </w:pPr>
          </w:p>
        </w:tc>
        <w:tc>
          <w:tcPr>
            <w:tcW w:w="12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8"/>
              </w:rPr>
              <w:t>investments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1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$ 854,972</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$ 103,531</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960,307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Purchases</w:t>
            </w:r>
          </w:p>
        </w:tc>
        <w:tc>
          <w:tcPr>
            <w:tcW w:w="2280" w:type="dxa"/>
            <w:vAlign w:val="bottom"/>
            <w:gridSpan w:val="3"/>
          </w:tcPr>
          <w:p>
            <w:pPr>
              <w:jc w:val="right"/>
              <w:ind w:right="280"/>
              <w:spacing w:after="0"/>
              <w:rPr>
                <w:sz w:val="20"/>
                <w:szCs w:val="20"/>
                <w:color w:val="auto"/>
              </w:rPr>
            </w:pPr>
            <w:r>
              <w:rPr>
                <w:rFonts w:ascii="Arial" w:cs="Arial" w:eastAsia="Arial" w:hAnsi="Arial"/>
                <w:sz w:val="18"/>
                <w:szCs w:val="18"/>
                <w:color w:val="auto"/>
              </w:rPr>
              <w:t>257,098</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63,050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4,641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340"/>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325,289</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2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(51,642)</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(51,642)</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2280" w:type="dxa"/>
            <w:vAlign w:val="bottom"/>
            <w:gridSpan w:val="3"/>
          </w:tcPr>
          <w:p>
            <w:pPr>
              <w:jc w:val="right"/>
              <w:ind w:right="220"/>
              <w:spacing w:after="0"/>
              <w:rPr>
                <w:sz w:val="20"/>
                <w:szCs w:val="20"/>
                <w:color w:val="auto"/>
              </w:rPr>
            </w:pPr>
            <w:r>
              <w:rPr>
                <w:rFonts w:ascii="Arial" w:cs="Arial" w:eastAsia="Arial" w:hAnsi="Arial"/>
                <w:sz w:val="18"/>
                <w:szCs w:val="18"/>
                <w:color w:val="auto"/>
              </w:rPr>
              <w:t>(102,989)</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(464)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(103,453)</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2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392</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238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2280" w:type="dxa"/>
            <w:vAlign w:val="bottom"/>
            <w:gridSpan w:val="3"/>
          </w:tcPr>
          <w:p>
            <w:pPr>
              <w:jc w:val="right"/>
              <w:ind w:right="280"/>
              <w:spacing w:after="0"/>
              <w:rPr>
                <w:sz w:val="20"/>
                <w:szCs w:val="20"/>
                <w:color w:val="auto"/>
              </w:rPr>
            </w:pPr>
            <w:r>
              <w:rPr>
                <w:rFonts w:ascii="Arial" w:cs="Arial" w:eastAsia="Arial" w:hAnsi="Arial"/>
                <w:sz w:val="18"/>
                <w:szCs w:val="18"/>
                <w:color w:val="auto"/>
              </w:rPr>
              <w:t>542</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2,907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3,506</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amortization of discount on securities</w:t>
            </w:r>
          </w:p>
        </w:tc>
        <w:tc>
          <w:tcPr>
            <w:tcW w:w="2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4,204</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4,371</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Transfers into (out of) of Level 3</w:t>
            </w:r>
          </w:p>
        </w:tc>
        <w:tc>
          <w:tcPr>
            <w:tcW w:w="1260" w:type="dxa"/>
            <w:vAlign w:val="bottom"/>
          </w:tcPr>
          <w:p>
            <w:pPr>
              <w:spacing w:after="0"/>
              <w:rPr>
                <w:sz w:val="19"/>
                <w:szCs w:val="19"/>
                <w:color w:val="auto"/>
              </w:rPr>
            </w:pP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Balance, End of Year</w:t>
            </w:r>
          </w:p>
        </w:tc>
        <w:tc>
          <w:tcPr>
            <w:tcW w:w="2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$ 962,577</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$ 169,427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1,139,008</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presents information with respect to net change in unrealized appreciation or depreciation on investments for which Level 3 inputs were used in determining fair value that are still held by the Company at March 31, 2015 and 2014:</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Net Change in Unrealized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Net Change in Unrealized</w:t>
            </w:r>
          </w:p>
        </w:tc>
      </w:tr>
      <w:tr>
        <w:trPr>
          <w:trHeight w:val="149"/>
        </w:trPr>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Appreciation or (Depreciation)</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Appreciation or (Depreciation)</w:t>
            </w:r>
          </w:p>
        </w:tc>
      </w:tr>
      <w:tr>
        <w:trPr>
          <w:trHeight w:val="149"/>
        </w:trPr>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for the Three Months Ended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for the Three Months Ended</w:t>
            </w:r>
          </w:p>
        </w:tc>
      </w:tr>
      <w:tr>
        <w:trPr>
          <w:trHeight w:val="149"/>
        </w:trPr>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March 31, 2015 on</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March 31, 2014 on</w:t>
            </w:r>
          </w:p>
        </w:tc>
      </w:tr>
      <w:tr>
        <w:trPr>
          <w:trHeight w:val="149"/>
        </w:trPr>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Investments Held at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Investments Held at</w:t>
            </w:r>
          </w:p>
        </w:tc>
      </w:tr>
      <w:tr>
        <w:trPr>
          <w:trHeight w:val="171"/>
        </w:trPr>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March 31, 2015</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March 31, 2014</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6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111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gridSpan w:val="2"/>
          </w:tcPr>
          <w:p>
            <w:pPr>
              <w:jc w:val="right"/>
              <w:ind w:right="120"/>
              <w:spacing w:after="0"/>
              <w:rPr>
                <w:sz w:val="20"/>
                <w:szCs w:val="20"/>
                <w:color w:val="auto"/>
              </w:rPr>
            </w:pPr>
            <w:r>
              <w:rPr>
                <w:rFonts w:ascii="Arial" w:cs="Arial" w:eastAsia="Arial" w:hAnsi="Arial"/>
                <w:sz w:val="18"/>
                <w:szCs w:val="18"/>
                <w:color w:val="auto"/>
              </w:rPr>
              <w:t>2,908</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6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60" w:type="dxa"/>
            <w:vAlign w:val="bottom"/>
          </w:tcPr>
          <w:p>
            <w:pPr>
              <w:spacing w:after="0"/>
              <w:rPr>
                <w:sz w:val="18"/>
                <w:szCs w:val="18"/>
                <w:color w:val="auto"/>
              </w:rPr>
            </w:pPr>
          </w:p>
        </w:tc>
        <w:tc>
          <w:tcPr>
            <w:tcW w:w="2460" w:type="dxa"/>
            <w:vAlign w:val="bottom"/>
            <w:gridSpan w:val="2"/>
          </w:tcPr>
          <w:p>
            <w:pPr>
              <w:jc w:val="right"/>
              <w:ind w:right="260"/>
              <w:spacing w:after="0"/>
              <w:rPr>
                <w:sz w:val="20"/>
                <w:szCs w:val="20"/>
                <w:color w:val="auto"/>
              </w:rPr>
            </w:pPr>
            <w:r>
              <w:rPr>
                <w:rFonts w:ascii="Arial" w:cs="Arial" w:eastAsia="Arial" w:hAnsi="Arial"/>
                <w:sz w:val="18"/>
                <w:szCs w:val="18"/>
                <w:color w:val="auto"/>
              </w:rPr>
              <w:t>(453)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r>
      <w:tr>
        <w:trPr>
          <w:trHeight w:val="27"/>
        </w:trPr>
        <w:tc>
          <w:tcPr>
            <w:tcW w:w="4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1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(2,196)</w:t>
            </w:r>
          </w:p>
        </w:tc>
        <w:tc>
          <w:tcPr>
            <w:tcW w:w="4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6,026</w:t>
            </w:r>
          </w:p>
        </w:tc>
      </w:tr>
      <w:tr>
        <w:trPr>
          <w:trHeight w:val="20"/>
        </w:trPr>
        <w:tc>
          <w:tcPr>
            <w:tcW w:w="4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present the fair value of Level 3 Investments at fair value and the significant unobservable inputs used in the valuations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2015 and December 31, 2014: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March 31, 2015</w:t>
            </w:r>
          </w:p>
        </w:tc>
        <w:tc>
          <w:tcPr>
            <w:tcW w:w="13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Valuation</w:t>
            </w:r>
          </w:p>
        </w:tc>
        <w:tc>
          <w:tcPr>
            <w:tcW w:w="220" w:type="dxa"/>
            <w:vAlign w:val="bottom"/>
          </w:tcPr>
          <w:p>
            <w:pPr>
              <w:spacing w:after="0"/>
              <w:rPr>
                <w:sz w:val="10"/>
                <w:szCs w:val="10"/>
                <w:color w:val="auto"/>
              </w:rPr>
            </w:pPr>
          </w:p>
        </w:tc>
        <w:tc>
          <w:tcPr>
            <w:tcW w:w="13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Unobservable</w:t>
            </w:r>
          </w:p>
        </w:tc>
        <w:tc>
          <w:tcPr>
            <w:tcW w:w="17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9"/>
              </w:rPr>
              <w:t>Range (Weighted</w:t>
            </w:r>
          </w:p>
        </w:tc>
        <w:tc>
          <w:tcPr>
            <w:tcW w:w="14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Impact to Valuation</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5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from an Increase to</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ind w:left="380"/>
              <w:spacing w:after="0"/>
              <w:rPr>
                <w:sz w:val="20"/>
                <w:szCs w:val="20"/>
                <w:color w:val="auto"/>
              </w:rPr>
            </w:pPr>
            <w:r>
              <w:rPr>
                <w:rFonts w:ascii="Arial" w:cs="Arial" w:eastAsia="Arial" w:hAnsi="Arial"/>
                <w:sz w:val="14"/>
                <w:szCs w:val="14"/>
                <w:b w:val="1"/>
                <w:bCs w:val="1"/>
                <w:color w:val="auto"/>
              </w:rPr>
              <w:t>Technique</w:t>
            </w:r>
          </w:p>
        </w:tc>
        <w:tc>
          <w:tcPr>
            <w:tcW w:w="220" w:type="dxa"/>
            <w:vAlign w:val="bottom"/>
          </w:tcPr>
          <w:p>
            <w:pPr>
              <w:spacing w:after="0"/>
              <w:rPr>
                <w:sz w:val="14"/>
                <w:szCs w:val="14"/>
                <w:color w:val="auto"/>
              </w:rPr>
            </w:pPr>
          </w:p>
        </w:tc>
        <w:tc>
          <w:tcPr>
            <w:tcW w:w="1380" w:type="dxa"/>
            <w:vAlign w:val="bottom"/>
            <w:gridSpan w:val="3"/>
          </w:tcPr>
          <w:p>
            <w:pPr>
              <w:ind w:left="340"/>
              <w:spacing w:after="0"/>
              <w:rPr>
                <w:sz w:val="20"/>
                <w:szCs w:val="20"/>
                <w:color w:val="auto"/>
              </w:rPr>
            </w:pPr>
            <w:r>
              <w:rPr>
                <w:rFonts w:ascii="Arial" w:cs="Arial" w:eastAsia="Arial" w:hAnsi="Arial"/>
                <w:sz w:val="14"/>
                <w:szCs w:val="14"/>
                <w:b w:val="1"/>
                <w:bCs w:val="1"/>
                <w:color w:val="auto"/>
              </w:rPr>
              <w:t>Input</w:t>
            </w:r>
          </w:p>
        </w:tc>
        <w:tc>
          <w:tcPr>
            <w:tcW w:w="17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Average)</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Input</w:t>
            </w:r>
          </w:p>
        </w:tc>
        <w:tc>
          <w:tcPr>
            <w:tcW w:w="0" w:type="dxa"/>
            <w:vAlign w:val="bottom"/>
          </w:tcPr>
          <w:p>
            <w:pPr>
              <w:spacing w:after="0"/>
              <w:rPr>
                <w:sz w:val="1"/>
                <w:szCs w:val="1"/>
                <w:color w:val="auto"/>
              </w:rPr>
            </w:pPr>
          </w:p>
        </w:tc>
      </w:tr>
      <w:tr>
        <w:trPr>
          <w:trHeight w:val="195"/>
        </w:trPr>
        <w:tc>
          <w:tcPr>
            <w:tcW w:w="398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First-lien debt investments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97"/>
              </w:rPr>
              <w:t>1,132,567</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Income</w:t>
            </w:r>
          </w:p>
        </w:tc>
        <w:tc>
          <w:tcPr>
            <w:tcW w:w="2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Market yield</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7.54% —</w:t>
            </w:r>
          </w:p>
        </w:tc>
        <w:tc>
          <w:tcPr>
            <w:tcW w:w="32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Decrease</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approach</w:t>
            </w:r>
            <w:r>
              <w:rPr>
                <w:rFonts w:ascii="Arial" w:cs="Arial" w:eastAsia="Arial" w:hAnsi="Arial"/>
                <w:sz w:val="15"/>
                <w:szCs w:val="15"/>
                <w:color w:val="auto"/>
              </w:rPr>
              <w:t>(1)</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15.61% (10.63%)</w:t>
            </w: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980" w:type="dxa"/>
            <w:vAlign w:val="bottom"/>
          </w:tcPr>
          <w:p>
            <w:pPr>
              <w:spacing w:after="0" w:line="201" w:lineRule="exact"/>
              <w:rPr>
                <w:sz w:val="20"/>
                <w:szCs w:val="20"/>
                <w:color w:val="auto"/>
              </w:rPr>
            </w:pPr>
            <w:r>
              <w:rPr>
                <w:rFonts w:ascii="Arial" w:cs="Arial" w:eastAsia="Arial" w:hAnsi="Arial"/>
                <w:sz w:val="18"/>
                <w:szCs w:val="18"/>
                <w:color w:val="auto"/>
              </w:rPr>
              <w:t>Second-lien debt 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61,406</w:t>
            </w:r>
          </w:p>
        </w:tc>
        <w:tc>
          <w:tcPr>
            <w:tcW w:w="156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Income</w:t>
            </w:r>
          </w:p>
        </w:tc>
        <w:tc>
          <w:tcPr>
            <w:tcW w:w="1600" w:type="dxa"/>
            <w:vAlign w:val="bottom"/>
            <w:gridSpan w:val="4"/>
          </w:tcPr>
          <w:p>
            <w:pPr>
              <w:ind w:left="220"/>
              <w:spacing w:after="0" w:line="201" w:lineRule="exact"/>
              <w:rPr>
                <w:sz w:val="20"/>
                <w:szCs w:val="20"/>
                <w:color w:val="auto"/>
              </w:rPr>
            </w:pPr>
            <w:r>
              <w:rPr>
                <w:rFonts w:ascii="Arial" w:cs="Arial" w:eastAsia="Arial" w:hAnsi="Arial"/>
                <w:sz w:val="18"/>
                <w:szCs w:val="18"/>
                <w:color w:val="auto"/>
              </w:rPr>
              <w:t>Market yield</w:t>
            </w:r>
          </w:p>
        </w:tc>
        <w:tc>
          <w:tcPr>
            <w:tcW w:w="170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10.93% —</w:t>
            </w:r>
          </w:p>
        </w:tc>
        <w:tc>
          <w:tcPr>
            <w:tcW w:w="15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approach</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10.93% (10.93%)</w:t>
            </w: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4,862</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w:t>
            </w:r>
          </w:p>
        </w:tc>
        <w:tc>
          <w:tcPr>
            <w:tcW w:w="160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Market yield</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19.64% —</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44"/>
        </w:trPr>
        <w:tc>
          <w:tcPr>
            <w:tcW w:w="3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approach</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19.64% (19.64%)</w:t>
            </w: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980" w:type="dxa"/>
            <w:vAlign w:val="bottom"/>
          </w:tcPr>
          <w:p>
            <w:pPr>
              <w:spacing w:after="0" w:line="201" w:lineRule="exact"/>
              <w:rPr>
                <w:sz w:val="20"/>
                <w:szCs w:val="20"/>
                <w:color w:val="auto"/>
              </w:rPr>
            </w:pPr>
            <w:r>
              <w:rPr>
                <w:rFonts w:ascii="Arial" w:cs="Arial" w:eastAsia="Arial" w:hAnsi="Arial"/>
                <w:sz w:val="18"/>
                <w:szCs w:val="18"/>
                <w:color w:val="auto"/>
              </w:rPr>
              <w:t>Equity and other 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8,914</w:t>
            </w:r>
          </w:p>
        </w:tc>
        <w:tc>
          <w:tcPr>
            <w:tcW w:w="160" w:type="dxa"/>
            <w:vAlign w:val="bottom"/>
          </w:tcPr>
          <w:p>
            <w:pPr>
              <w:spacing w:after="0"/>
              <w:rPr>
                <w:sz w:val="17"/>
                <w:szCs w:val="17"/>
                <w:color w:val="auto"/>
              </w:rPr>
            </w:pPr>
          </w:p>
        </w:tc>
        <w:tc>
          <w:tcPr>
            <w:tcW w:w="156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Market Multiple,</w:t>
            </w:r>
          </w:p>
        </w:tc>
        <w:tc>
          <w:tcPr>
            <w:tcW w:w="1600" w:type="dxa"/>
            <w:vAlign w:val="bottom"/>
            <w:gridSpan w:val="4"/>
          </w:tcPr>
          <w:p>
            <w:pPr>
              <w:ind w:left="220"/>
              <w:spacing w:after="0" w:line="201" w:lineRule="exact"/>
              <w:rPr>
                <w:sz w:val="20"/>
                <w:szCs w:val="20"/>
                <w:color w:val="auto"/>
              </w:rPr>
            </w:pPr>
            <w:r>
              <w:rPr>
                <w:rFonts w:ascii="Arial" w:cs="Arial" w:eastAsia="Arial" w:hAnsi="Arial"/>
                <w:sz w:val="18"/>
                <w:szCs w:val="18"/>
                <w:color w:val="auto"/>
              </w:rPr>
              <w:t>Comparable</w:t>
            </w:r>
          </w:p>
        </w:tc>
        <w:tc>
          <w:tcPr>
            <w:tcW w:w="170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9.0x — 13.1x</w:t>
            </w:r>
          </w:p>
        </w:tc>
        <w:tc>
          <w:tcPr>
            <w:tcW w:w="15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Increase or</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Discounted Cash</w:t>
            </w:r>
          </w:p>
        </w:tc>
        <w:tc>
          <w:tcPr>
            <w:tcW w:w="1600" w:type="dxa"/>
            <w:vAlign w:val="bottom"/>
            <w:gridSpan w:val="4"/>
          </w:tcPr>
          <w:p>
            <w:pPr>
              <w:ind w:left="220"/>
              <w:spacing w:after="0"/>
              <w:rPr>
                <w:sz w:val="20"/>
                <w:szCs w:val="20"/>
                <w:color w:val="auto"/>
              </w:rPr>
            </w:pPr>
            <w:r>
              <w:rPr>
                <w:rFonts w:ascii="Arial" w:cs="Arial" w:eastAsia="Arial" w:hAnsi="Arial"/>
                <w:sz w:val="18"/>
                <w:szCs w:val="18"/>
                <w:color w:val="auto"/>
              </w:rPr>
              <w:t>multiple,</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(11.9x) or 12.0%</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Flow or Black</w:t>
            </w:r>
          </w:p>
        </w:tc>
        <w:tc>
          <w:tcPr>
            <w:tcW w:w="1600" w:type="dxa"/>
            <w:vAlign w:val="bottom"/>
            <w:gridSpan w:val="4"/>
          </w:tcPr>
          <w:p>
            <w:pPr>
              <w:ind w:left="220"/>
              <w:spacing w:after="0"/>
              <w:rPr>
                <w:sz w:val="20"/>
                <w:szCs w:val="20"/>
                <w:color w:val="auto"/>
              </w:rPr>
            </w:pPr>
            <w:r>
              <w:rPr>
                <w:rFonts w:ascii="Arial" w:cs="Arial" w:eastAsia="Arial" w:hAnsi="Arial"/>
                <w:sz w:val="18"/>
                <w:szCs w:val="18"/>
                <w:color w:val="auto"/>
              </w:rPr>
              <w:t>discount rate</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or 40%</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Scholes</w:t>
            </w:r>
          </w:p>
        </w:tc>
        <w:tc>
          <w:tcPr>
            <w:tcW w:w="1600" w:type="dxa"/>
            <w:vAlign w:val="bottom"/>
            <w:gridSpan w:val="4"/>
          </w:tcPr>
          <w:p>
            <w:pPr>
              <w:ind w:left="220"/>
              <w:spacing w:after="0"/>
              <w:rPr>
                <w:sz w:val="20"/>
                <w:szCs w:val="20"/>
                <w:color w:val="auto"/>
              </w:rPr>
            </w:pPr>
            <w:r>
              <w:rPr>
                <w:rFonts w:ascii="Arial" w:cs="Arial" w:eastAsia="Arial" w:hAnsi="Arial"/>
                <w:sz w:val="18"/>
                <w:szCs w:val="18"/>
                <w:color w:val="auto"/>
              </w:rPr>
              <w:t>or volatility</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Option Model</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60" w:right="40" w:hanging="452"/>
        <w:spacing w:after="0" w:line="277" w:lineRule="auto"/>
        <w:tabs>
          <w:tab w:leader="none" w:pos="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Includes $54.2 million of first-lien debt investments which, due to the proximity of the transactions relative to the measurement date, were valued using the cost of the investments.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420"/>
          </w:cols>
          <w:pgMar w:left="240" w:top="460" w:right="2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3"/>
              </w:rPr>
              <w:t>December 31, 2014</w:t>
            </w:r>
          </w:p>
        </w:tc>
        <w:tc>
          <w:tcPr>
            <w:tcW w:w="1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Valuation</w:t>
            </w:r>
          </w:p>
        </w:tc>
        <w:tc>
          <w:tcPr>
            <w:tcW w:w="220" w:type="dxa"/>
            <w:vAlign w:val="bottom"/>
          </w:tcPr>
          <w:p>
            <w:pPr>
              <w:spacing w:after="0"/>
              <w:rPr>
                <w:sz w:val="10"/>
                <w:szCs w:val="10"/>
                <w:color w:val="auto"/>
              </w:rPr>
            </w:pPr>
          </w:p>
        </w:tc>
        <w:tc>
          <w:tcPr>
            <w:tcW w:w="144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0"/>
              </w:rPr>
              <w:t>Unobservable</w:t>
            </w:r>
          </w:p>
        </w:tc>
        <w:tc>
          <w:tcPr>
            <w:tcW w:w="16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4"/>
              </w:rPr>
              <w:t>Range (Weighted</w:t>
            </w:r>
          </w:p>
        </w:tc>
        <w:tc>
          <w:tcPr>
            <w:tcW w:w="14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Impact to Valuation</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5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from an Increase to</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ind w:left="380"/>
              <w:spacing w:after="0"/>
              <w:rPr>
                <w:sz w:val="20"/>
                <w:szCs w:val="20"/>
                <w:color w:val="auto"/>
              </w:rPr>
            </w:pPr>
            <w:r>
              <w:rPr>
                <w:rFonts w:ascii="Arial" w:cs="Arial" w:eastAsia="Arial" w:hAnsi="Arial"/>
                <w:sz w:val="14"/>
                <w:szCs w:val="14"/>
                <w:b w:val="1"/>
                <w:bCs w:val="1"/>
                <w:color w:val="auto"/>
              </w:rPr>
              <w:t>Technique</w:t>
            </w:r>
          </w:p>
        </w:tc>
        <w:tc>
          <w:tcPr>
            <w:tcW w:w="220" w:type="dxa"/>
            <w:vAlign w:val="bottom"/>
          </w:tcPr>
          <w:p>
            <w:pPr>
              <w:spacing w:after="0"/>
              <w:rPr>
                <w:sz w:val="14"/>
                <w:szCs w:val="14"/>
                <w:color w:val="auto"/>
              </w:rPr>
            </w:pPr>
          </w:p>
        </w:tc>
        <w:tc>
          <w:tcPr>
            <w:tcW w:w="14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Input</w:t>
            </w:r>
          </w:p>
        </w:tc>
        <w:tc>
          <w:tcPr>
            <w:tcW w:w="16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Average)</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Input</w:t>
            </w:r>
          </w:p>
        </w:tc>
        <w:tc>
          <w:tcPr>
            <w:tcW w:w="0" w:type="dxa"/>
            <w:vAlign w:val="bottom"/>
          </w:tcPr>
          <w:p>
            <w:pPr>
              <w:spacing w:after="0"/>
              <w:rPr>
                <w:sz w:val="1"/>
                <w:szCs w:val="1"/>
                <w:color w:val="auto"/>
              </w:rPr>
            </w:pPr>
          </w:p>
        </w:tc>
      </w:tr>
      <w:tr>
        <w:trPr>
          <w:trHeight w:val="195"/>
        </w:trPr>
        <w:tc>
          <w:tcPr>
            <w:tcW w:w="398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First-lien debt investments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97"/>
              </w:rPr>
              <w:t>1,059,336</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Income</w:t>
            </w:r>
          </w:p>
        </w:tc>
        <w:tc>
          <w:tcPr>
            <w:tcW w:w="2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Market yield</w:t>
            </w: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8.00% —</w:t>
            </w:r>
          </w:p>
        </w:tc>
        <w:tc>
          <w:tcPr>
            <w:tcW w:w="32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Decrease</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approach</w:t>
            </w:r>
            <w:r>
              <w:rPr>
                <w:rFonts w:ascii="Arial" w:cs="Arial" w:eastAsia="Arial" w:hAnsi="Arial"/>
                <w:sz w:val="15"/>
                <w:szCs w:val="15"/>
                <w:color w:val="auto"/>
              </w:rPr>
              <w:t>(1)</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15.35% (10.86%)</w:t>
            </w: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980" w:type="dxa"/>
            <w:vAlign w:val="bottom"/>
          </w:tcPr>
          <w:p>
            <w:pPr>
              <w:spacing w:after="0" w:line="201" w:lineRule="exact"/>
              <w:rPr>
                <w:sz w:val="20"/>
                <w:szCs w:val="20"/>
                <w:color w:val="auto"/>
              </w:rPr>
            </w:pPr>
            <w:r>
              <w:rPr>
                <w:rFonts w:ascii="Arial" w:cs="Arial" w:eastAsia="Arial" w:hAnsi="Arial"/>
                <w:sz w:val="18"/>
                <w:szCs w:val="18"/>
                <w:color w:val="auto"/>
              </w:rPr>
              <w:t>Second-lien debt 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61,250</w:t>
            </w:r>
          </w:p>
        </w:tc>
        <w:tc>
          <w:tcPr>
            <w:tcW w:w="156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Income</w:t>
            </w:r>
          </w:p>
        </w:tc>
        <w:tc>
          <w:tcPr>
            <w:tcW w:w="1660" w:type="dxa"/>
            <w:vAlign w:val="bottom"/>
            <w:gridSpan w:val="4"/>
          </w:tcPr>
          <w:p>
            <w:pPr>
              <w:ind w:left="220"/>
              <w:spacing w:after="0" w:line="201" w:lineRule="exact"/>
              <w:rPr>
                <w:sz w:val="20"/>
                <w:szCs w:val="20"/>
                <w:color w:val="auto"/>
              </w:rPr>
            </w:pPr>
            <w:r>
              <w:rPr>
                <w:rFonts w:ascii="Arial" w:cs="Arial" w:eastAsia="Arial" w:hAnsi="Arial"/>
                <w:sz w:val="18"/>
                <w:szCs w:val="18"/>
                <w:color w:val="auto"/>
              </w:rPr>
              <w:t>Market yield</w:t>
            </w:r>
          </w:p>
        </w:tc>
        <w:tc>
          <w:tcPr>
            <w:tcW w:w="164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10.97% —</w:t>
            </w:r>
          </w:p>
        </w:tc>
        <w:tc>
          <w:tcPr>
            <w:tcW w:w="15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approach</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10.97% (10.97%)</w:t>
            </w: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w:t>
            </w:r>
          </w:p>
        </w:tc>
        <w:tc>
          <w:tcPr>
            <w:tcW w:w="16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Market yield</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20.78% —</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44"/>
        </w:trPr>
        <w:tc>
          <w:tcPr>
            <w:tcW w:w="3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approach</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20.78% (20.78%)</w:t>
            </w: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980" w:type="dxa"/>
            <w:vAlign w:val="bottom"/>
          </w:tcPr>
          <w:p>
            <w:pPr>
              <w:spacing w:after="0" w:line="201" w:lineRule="exact"/>
              <w:rPr>
                <w:sz w:val="20"/>
                <w:szCs w:val="20"/>
                <w:color w:val="auto"/>
              </w:rPr>
            </w:pPr>
            <w:r>
              <w:rPr>
                <w:rFonts w:ascii="Arial" w:cs="Arial" w:eastAsia="Arial" w:hAnsi="Arial"/>
                <w:sz w:val="18"/>
                <w:szCs w:val="18"/>
                <w:color w:val="auto"/>
              </w:rPr>
              <w:t>Equity and other 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9,368</w:t>
            </w:r>
          </w:p>
        </w:tc>
        <w:tc>
          <w:tcPr>
            <w:tcW w:w="160" w:type="dxa"/>
            <w:vAlign w:val="bottom"/>
          </w:tcPr>
          <w:p>
            <w:pPr>
              <w:spacing w:after="0"/>
              <w:rPr>
                <w:sz w:val="17"/>
                <w:szCs w:val="17"/>
                <w:color w:val="auto"/>
              </w:rPr>
            </w:pPr>
          </w:p>
        </w:tc>
        <w:tc>
          <w:tcPr>
            <w:tcW w:w="156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Market Multiple,</w:t>
            </w:r>
          </w:p>
        </w:tc>
        <w:tc>
          <w:tcPr>
            <w:tcW w:w="1660" w:type="dxa"/>
            <w:vAlign w:val="bottom"/>
            <w:gridSpan w:val="4"/>
          </w:tcPr>
          <w:p>
            <w:pPr>
              <w:ind w:left="220"/>
              <w:spacing w:after="0" w:line="201" w:lineRule="exact"/>
              <w:rPr>
                <w:sz w:val="20"/>
                <w:szCs w:val="20"/>
                <w:color w:val="auto"/>
              </w:rPr>
            </w:pPr>
            <w:r>
              <w:rPr>
                <w:rFonts w:ascii="Arial" w:cs="Arial" w:eastAsia="Arial" w:hAnsi="Arial"/>
                <w:sz w:val="18"/>
                <w:szCs w:val="18"/>
                <w:color w:val="auto"/>
              </w:rPr>
              <w:t>Comparable</w:t>
            </w:r>
          </w:p>
        </w:tc>
        <w:tc>
          <w:tcPr>
            <w:tcW w:w="164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7.9x — 13.0x</w:t>
            </w:r>
          </w:p>
        </w:tc>
        <w:tc>
          <w:tcPr>
            <w:tcW w:w="15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Increase or</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Discounted Cash</w:t>
            </w:r>
          </w:p>
        </w:tc>
        <w:tc>
          <w:tcPr>
            <w:tcW w:w="1660" w:type="dxa"/>
            <w:vAlign w:val="bottom"/>
            <w:gridSpan w:val="4"/>
          </w:tcPr>
          <w:p>
            <w:pPr>
              <w:ind w:left="220"/>
              <w:spacing w:after="0"/>
              <w:rPr>
                <w:sz w:val="20"/>
                <w:szCs w:val="20"/>
                <w:color w:val="auto"/>
              </w:rPr>
            </w:pPr>
            <w:r>
              <w:rPr>
                <w:rFonts w:ascii="Arial" w:cs="Arial" w:eastAsia="Arial" w:hAnsi="Arial"/>
                <w:sz w:val="18"/>
                <w:szCs w:val="18"/>
                <w:color w:val="auto"/>
              </w:rPr>
              <w:t>multiple,</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(10.4x) or 14.4%</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Flow or Black</w:t>
            </w:r>
          </w:p>
        </w:tc>
        <w:tc>
          <w:tcPr>
            <w:tcW w:w="1660" w:type="dxa"/>
            <w:vAlign w:val="bottom"/>
            <w:gridSpan w:val="4"/>
          </w:tcPr>
          <w:p>
            <w:pPr>
              <w:ind w:left="220"/>
              <w:spacing w:after="0"/>
              <w:rPr>
                <w:sz w:val="20"/>
                <w:szCs w:val="20"/>
                <w:color w:val="auto"/>
              </w:rPr>
            </w:pPr>
            <w:r>
              <w:rPr>
                <w:rFonts w:ascii="Arial" w:cs="Arial" w:eastAsia="Arial" w:hAnsi="Arial"/>
                <w:sz w:val="18"/>
                <w:szCs w:val="18"/>
                <w:color w:val="auto"/>
              </w:rPr>
              <w:t>discount rate</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or 40%</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Scholes Option</w:t>
            </w:r>
          </w:p>
        </w:tc>
        <w:tc>
          <w:tcPr>
            <w:tcW w:w="1660" w:type="dxa"/>
            <w:vAlign w:val="bottom"/>
            <w:gridSpan w:val="4"/>
          </w:tcPr>
          <w:p>
            <w:pPr>
              <w:ind w:left="220"/>
              <w:spacing w:after="0"/>
              <w:rPr>
                <w:sz w:val="20"/>
                <w:szCs w:val="20"/>
                <w:color w:val="auto"/>
              </w:rPr>
            </w:pPr>
            <w:r>
              <w:rPr>
                <w:rFonts w:ascii="Arial" w:cs="Arial" w:eastAsia="Arial" w:hAnsi="Arial"/>
                <w:sz w:val="18"/>
                <w:szCs w:val="18"/>
                <w:color w:val="auto"/>
              </w:rPr>
              <w:t>or volatility</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Model</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60" w:right="40" w:hanging="452"/>
        <w:spacing w:after="0" w:line="277" w:lineRule="auto"/>
        <w:tabs>
          <w:tab w:leader="none" w:pos="4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Includes $15.6 million of first-lien debt investments which, due to the proximity of the transactions relative to the measurement date, were valued using the cost of the investments.</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8"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Significant unobservable quantitative inputs typically used in the fair value measurement of the Company’s Level 3 debt investments primarily include current market yields, including relevant market indices, but may also include quotes from brokers, dealers, and pricing services as indicated by comparable investments. For the Company’s Level 3 equity investments, multiples of similar companies’ revenues, earnings before income taxes, depreciation and amortization (“EBITDA”) or some combination thereof and comparable market transactions are typically used.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fair value of the Company’s SPV Asset Facility and Revolving Credit Facility, which are categorized as Level 3 within the fair value hierarchy, as of March 31, 2015 and December 31, 2014, approximates their carrying value as the outstanding balances are callable at carrying value. The fair value of the Company’s Convertible Senior Notes, which is categorized as Level 2 within the fair value hierarchy, as of March 31, 2015, was $116.2 million, based on broker quotes received by the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117"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The carrying amounts of the Company’s assets and liabilities, other than investments at fair value,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debt, are classified as Level 2.</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420"/>
          </w:cols>
          <w:pgMar w:left="240" w:top="459" w:right="2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In accordance with the 1940 Act, with certain limitations, the Company is allowed to borrow amounts such that its asset coverage, as defined in the 1940 Act, is at least 200% after such borrowing. As of March 31, 2015 and December 31, 2014, the Company’s asset coverage was 273.4% and 311.0%, respectively.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March 31, 2015 and December 31, 2014: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March 31, 2015</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6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0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Aggregate Principal</w:t>
            </w:r>
          </w:p>
        </w:tc>
        <w:tc>
          <w:tcPr>
            <w:tcW w:w="260" w:type="dxa"/>
            <w:vAlign w:val="bottom"/>
          </w:tcPr>
          <w:p>
            <w:pPr>
              <w:spacing w:after="0"/>
              <w:rPr>
                <w:sz w:val="10"/>
                <w:szCs w:val="10"/>
                <w:color w:val="auto"/>
              </w:rPr>
            </w:pPr>
          </w:p>
        </w:tc>
        <w:tc>
          <w:tcPr>
            <w:tcW w:w="13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Outstanding</w:t>
            </w:r>
          </w:p>
        </w:tc>
        <w:tc>
          <w:tcPr>
            <w:tcW w:w="100" w:type="dxa"/>
            <w:vAlign w:val="bottom"/>
          </w:tcPr>
          <w:p>
            <w:pPr>
              <w:spacing w:after="0"/>
              <w:rPr>
                <w:sz w:val="10"/>
                <w:szCs w:val="10"/>
                <w:color w:val="auto"/>
              </w:rPr>
            </w:pPr>
          </w:p>
        </w:tc>
        <w:tc>
          <w:tcPr>
            <w:tcW w:w="88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w w:val="97"/>
              </w:rPr>
              <w:t>Amount</w:t>
            </w:r>
          </w:p>
        </w:tc>
        <w:tc>
          <w:tcPr>
            <w:tcW w:w="26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r>
      <w:tr>
        <w:trPr>
          <w:trHeight w:val="171"/>
        </w:trPr>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4"/>
          </w:tcPr>
          <w:p>
            <w:pPr>
              <w:spacing w:after="0"/>
              <w:rPr>
                <w:sz w:val="20"/>
                <w:szCs w:val="20"/>
                <w:color w:val="auto"/>
              </w:rPr>
            </w:pPr>
            <w:r>
              <w:rPr>
                <w:rFonts w:ascii="Arial" w:cs="Arial" w:eastAsia="Arial" w:hAnsi="Arial"/>
                <w:sz w:val="14"/>
                <w:szCs w:val="14"/>
                <w:b w:val="1"/>
                <w:bCs w:val="1"/>
                <w:color w:val="auto"/>
              </w:rPr>
              <w:t>Amount Committed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Principal</w:t>
            </w:r>
          </w:p>
        </w:tc>
        <w:tc>
          <w:tcPr>
            <w:tcW w:w="9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9"/>
              </w:rPr>
              <w:t>Available</w:t>
            </w:r>
            <w:r>
              <w:rPr>
                <w:rFonts w:ascii="Arial" w:cs="Arial" w:eastAsia="Arial" w:hAnsi="Arial"/>
                <w:sz w:val="12"/>
                <w:szCs w:val="12"/>
                <w:b w:val="1"/>
                <w:bCs w:val="1"/>
                <w:color w:val="auto"/>
                <w:w w:val="89"/>
              </w:rPr>
              <w:t>(1)</w:t>
            </w:r>
          </w:p>
        </w:tc>
        <w:tc>
          <w:tcPr>
            <w:tcW w:w="26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Value</w:t>
            </w: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SPV Asset Facility</w:t>
            </w:r>
            <w:r>
              <w:rPr>
                <w:rFonts w:ascii="Arial" w:cs="Arial" w:eastAsia="Arial" w:hAnsi="Arial"/>
                <w:sz w:val="15"/>
                <w:szCs w:val="15"/>
                <w:color w:val="auto"/>
              </w:rPr>
              <w:t>(2)</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128,725</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6"/>
              </w:rPr>
              <w:t>128,725</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$128,725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781,250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color w:val="auto"/>
              </w:rPr>
              <w:t>244,437</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445,318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244,437</w:t>
            </w: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115,000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115,000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112,061</w:t>
            </w:r>
          </w:p>
        </w:tc>
      </w:tr>
      <w:tr>
        <w:trPr>
          <w:trHeight w:val="223"/>
        </w:trPr>
        <w:tc>
          <w:tcPr>
            <w:tcW w:w="6320" w:type="dxa"/>
            <w:vAlign w:val="bottom"/>
          </w:tcPr>
          <w:p>
            <w:pPr>
              <w:ind w:left="360"/>
              <w:spacing w:after="0"/>
              <w:rPr>
                <w:sz w:val="20"/>
                <w:szCs w:val="20"/>
                <w:color w:val="auto"/>
              </w:rPr>
            </w:pPr>
            <w:r>
              <w:rPr>
                <w:rFonts w:ascii="Arial" w:cs="Arial" w:eastAsia="Arial" w:hAnsi="Arial"/>
                <w:sz w:val="18"/>
                <w:szCs w:val="18"/>
                <w:b w:val="1"/>
                <w:bCs w:val="1"/>
                <w:color w:val="auto"/>
              </w:rPr>
              <w:t>Total Debt</w:t>
            </w: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1,024,975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6"/>
              </w:rPr>
              <w:t>488,162</w:t>
            </w:r>
          </w:p>
        </w:tc>
        <w:tc>
          <w:tcPr>
            <w:tcW w:w="54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84"/>
              </w:rPr>
              <w:t>$ 445,318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485,223</w:t>
            </w:r>
          </w:p>
        </w:tc>
        <w:tc>
          <w:tcPr>
            <w:tcW w:w="10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6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8"/>
              </w:rPr>
              <w:t>December 31, 2014</w:t>
            </w: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9"/>
        </w:trPr>
        <w:tc>
          <w:tcPr>
            <w:tcW w:w="6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0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Aggregate Principal</w:t>
            </w:r>
          </w:p>
        </w:tc>
        <w:tc>
          <w:tcPr>
            <w:tcW w:w="260" w:type="dxa"/>
            <w:vAlign w:val="bottom"/>
          </w:tcPr>
          <w:p>
            <w:pPr>
              <w:spacing w:after="0"/>
              <w:rPr>
                <w:sz w:val="10"/>
                <w:szCs w:val="10"/>
                <w:color w:val="auto"/>
              </w:rPr>
            </w:pPr>
          </w:p>
        </w:tc>
        <w:tc>
          <w:tcPr>
            <w:tcW w:w="13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Outstanding</w:t>
            </w:r>
          </w:p>
        </w:tc>
        <w:tc>
          <w:tcPr>
            <w:tcW w:w="100" w:type="dxa"/>
            <w:vAlign w:val="bottom"/>
          </w:tcPr>
          <w:p>
            <w:pPr>
              <w:spacing w:after="0"/>
              <w:rPr>
                <w:sz w:val="10"/>
                <w:szCs w:val="10"/>
                <w:color w:val="auto"/>
              </w:rPr>
            </w:pPr>
          </w:p>
        </w:tc>
        <w:tc>
          <w:tcPr>
            <w:tcW w:w="88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w w:val="97"/>
              </w:rPr>
              <w:t>Amount</w:t>
            </w:r>
          </w:p>
        </w:tc>
        <w:tc>
          <w:tcPr>
            <w:tcW w:w="26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r>
      <w:tr>
        <w:trPr>
          <w:trHeight w:val="171"/>
        </w:trPr>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4"/>
          </w:tcPr>
          <w:p>
            <w:pPr>
              <w:spacing w:after="0"/>
              <w:rPr>
                <w:sz w:val="20"/>
                <w:szCs w:val="20"/>
                <w:color w:val="auto"/>
              </w:rPr>
            </w:pPr>
            <w:r>
              <w:rPr>
                <w:rFonts w:ascii="Arial" w:cs="Arial" w:eastAsia="Arial" w:hAnsi="Arial"/>
                <w:sz w:val="14"/>
                <w:szCs w:val="14"/>
                <w:b w:val="1"/>
                <w:bCs w:val="1"/>
                <w:color w:val="auto"/>
              </w:rPr>
              <w:t>Amount Committed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Principal</w:t>
            </w:r>
          </w:p>
        </w:tc>
        <w:tc>
          <w:tcPr>
            <w:tcW w:w="9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9"/>
              </w:rPr>
              <w:t>Available</w:t>
            </w:r>
            <w:r>
              <w:rPr>
                <w:rFonts w:ascii="Arial" w:cs="Arial" w:eastAsia="Arial" w:hAnsi="Arial"/>
                <w:sz w:val="12"/>
                <w:szCs w:val="12"/>
                <w:b w:val="1"/>
                <w:bCs w:val="1"/>
                <w:color w:val="auto"/>
                <w:w w:val="89"/>
              </w:rPr>
              <w:t>(1)</w:t>
            </w:r>
          </w:p>
        </w:tc>
        <w:tc>
          <w:tcPr>
            <w:tcW w:w="26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Value</w:t>
            </w: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SPV Asset Facility</w:t>
            </w:r>
            <w:r>
              <w:rPr>
                <w:rFonts w:ascii="Arial" w:cs="Arial" w:eastAsia="Arial" w:hAnsi="Arial"/>
                <w:sz w:val="15"/>
                <w:szCs w:val="15"/>
                <w:color w:val="auto"/>
              </w:rPr>
              <w:t>(3)</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6"/>
              </w:rPr>
              <w:t>106,725</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45,279</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$106,725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781,250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color w:val="auto"/>
              </w:rPr>
              <w:t>177,216</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466,189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177,216</w:t>
            </w: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115,000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115,000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111,923</w:t>
            </w:r>
          </w:p>
        </w:tc>
      </w:tr>
      <w:tr>
        <w:trPr>
          <w:trHeight w:val="223"/>
        </w:trPr>
        <w:tc>
          <w:tcPr>
            <w:tcW w:w="6320" w:type="dxa"/>
            <w:vAlign w:val="bottom"/>
          </w:tcPr>
          <w:p>
            <w:pPr>
              <w:ind w:left="360"/>
              <w:spacing w:after="0"/>
              <w:rPr>
                <w:sz w:val="20"/>
                <w:szCs w:val="20"/>
                <w:color w:val="auto"/>
              </w:rPr>
            </w:pPr>
            <w:r>
              <w:rPr>
                <w:rFonts w:ascii="Arial" w:cs="Arial" w:eastAsia="Arial" w:hAnsi="Arial"/>
                <w:sz w:val="18"/>
                <w:szCs w:val="18"/>
                <w:b w:val="1"/>
                <w:bCs w:val="1"/>
                <w:color w:val="auto"/>
              </w:rPr>
              <w:t>Total Debt</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1,071,250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6"/>
              </w:rPr>
              <w:t>398,941</w:t>
            </w:r>
          </w:p>
        </w:tc>
        <w:tc>
          <w:tcPr>
            <w:tcW w:w="54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84"/>
              </w:rPr>
              <w:t>$ 511,468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395,864</w:t>
            </w:r>
          </w:p>
        </w:tc>
        <w:tc>
          <w:tcPr>
            <w:tcW w:w="10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460" w:right="100" w:hanging="452"/>
        <w:spacing w:after="0" w:line="261" w:lineRule="auto"/>
        <w:tabs>
          <w:tab w:leader="none" w:pos="4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reinvestment period under the SPV Asset Facility terminated on January 21, 2015 and accordingly any undrawn availability under the facility also terminated.</w:t>
      </w:r>
    </w:p>
    <w:p>
      <w:pPr>
        <w:spacing w:after="0" w:line="18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For the three months ended March 31, 2015 and 2014, the components of interest expense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266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7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2"/>
          </w:tcPr>
          <w:p>
            <w:pPr>
              <w:jc w:val="right"/>
              <w:ind w:right="1540"/>
              <w:spacing w:after="0"/>
              <w:rPr>
                <w:sz w:val="20"/>
                <w:szCs w:val="20"/>
                <w:color w:val="auto"/>
              </w:rPr>
            </w:pPr>
            <w:r>
              <w:rPr>
                <w:rFonts w:ascii="Arial" w:cs="Arial" w:eastAsia="Arial" w:hAnsi="Arial"/>
                <w:sz w:val="14"/>
                <w:szCs w:val="14"/>
                <w:b w:val="1"/>
                <w:bCs w:val="1"/>
                <w:color w:val="auto"/>
                <w:w w:val="98"/>
              </w:rPr>
              <w:t>March 31, 2015</w:t>
            </w:r>
          </w:p>
        </w:tc>
        <w:tc>
          <w:tcPr>
            <w:tcW w:w="140" w:type="dxa"/>
            <w:vAlign w:val="bottom"/>
          </w:tcPr>
          <w:p>
            <w:pPr>
              <w:spacing w:after="0"/>
              <w:rPr>
                <w:sz w:val="14"/>
                <w:szCs w:val="1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March 31, 2014</w:t>
            </w:r>
          </w:p>
        </w:tc>
      </w:t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3,163</w:t>
            </w:r>
          </w:p>
        </w:tc>
        <w:tc>
          <w:tcPr>
            <w:tcW w:w="1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Commitment fees</w:t>
            </w:r>
          </w:p>
        </w:tc>
        <w:tc>
          <w:tcPr>
            <w:tcW w:w="120" w:type="dxa"/>
            <w:vAlign w:val="bottom"/>
          </w:tcPr>
          <w:p>
            <w:pPr>
              <w:spacing w:after="0"/>
              <w:rPr>
                <w:sz w:val="18"/>
                <w:szCs w:val="18"/>
                <w:color w:val="auto"/>
              </w:rPr>
            </w:pPr>
          </w:p>
        </w:tc>
        <w:tc>
          <w:tcPr>
            <w:tcW w:w="2540" w:type="dxa"/>
            <w:vAlign w:val="bottom"/>
            <w:gridSpan w:val="2"/>
          </w:tcPr>
          <w:p>
            <w:pPr>
              <w:jc w:val="right"/>
              <w:ind w:right="1360"/>
              <w:spacing w:after="0"/>
              <w:rPr>
                <w:sz w:val="20"/>
                <w:szCs w:val="20"/>
                <w:color w:val="auto"/>
              </w:rPr>
            </w:pPr>
            <w:r>
              <w:rPr>
                <w:rFonts w:ascii="Arial" w:cs="Arial" w:eastAsia="Arial" w:hAnsi="Arial"/>
                <w:sz w:val="18"/>
                <w:szCs w:val="18"/>
                <w:color w:val="auto"/>
              </w:rPr>
              <w:t>598</w:t>
            </w:r>
          </w:p>
        </w:tc>
        <w:tc>
          <w:tcPr>
            <w:tcW w:w="1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250</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1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742</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578</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20" w:type="dxa"/>
            <w:vAlign w:val="bottom"/>
          </w:tcPr>
          <w:p>
            <w:pPr>
              <w:spacing w:after="0"/>
              <w:rPr>
                <w:sz w:val="18"/>
                <w:szCs w:val="18"/>
                <w:color w:val="auto"/>
              </w:rPr>
            </w:pPr>
          </w:p>
        </w:tc>
        <w:tc>
          <w:tcPr>
            <w:tcW w:w="2540" w:type="dxa"/>
            <w:vAlign w:val="bottom"/>
            <w:gridSpan w:val="2"/>
          </w:tcPr>
          <w:p>
            <w:pPr>
              <w:jc w:val="right"/>
              <w:ind w:right="1360"/>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Swap settlement</w:t>
            </w:r>
          </w:p>
        </w:tc>
        <w:tc>
          <w:tcPr>
            <w:tcW w:w="1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(421)</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23"/>
        </w:trPr>
        <w:tc>
          <w:tcPr>
            <w:tcW w:w="7240" w:type="dxa"/>
            <w:vAlign w:val="bottom"/>
          </w:tcPr>
          <w:p>
            <w:pPr>
              <w:ind w:left="360"/>
              <w:spacing w:after="0"/>
              <w:rPr>
                <w:sz w:val="20"/>
                <w:szCs w:val="20"/>
                <w:color w:val="auto"/>
              </w:rPr>
            </w:pPr>
            <w:r>
              <w:rPr>
                <w:rFonts w:ascii="Arial" w:cs="Arial" w:eastAsia="Arial" w:hAnsi="Arial"/>
                <w:sz w:val="18"/>
                <w:szCs w:val="18"/>
                <w:b w:val="1"/>
                <w:bCs w:val="1"/>
                <w:color w:val="auto"/>
              </w:rPr>
              <w:t>Total Interest Expense</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4,220</w:t>
            </w:r>
          </w:p>
        </w:tc>
        <w:tc>
          <w:tcPr>
            <w:tcW w:w="1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3,824</w:t>
            </w:r>
          </w:p>
        </w:tc>
        <w:tc>
          <w:tcPr>
            <w:tcW w:w="200" w:type="dxa"/>
            <w:vAlign w:val="bottom"/>
          </w:tcPr>
          <w:p>
            <w:pPr>
              <w:spacing w:after="0"/>
              <w:rPr>
                <w:sz w:val="19"/>
                <w:szCs w:val="19"/>
                <w:color w:val="auto"/>
              </w:rPr>
            </w:pPr>
          </w:p>
        </w:tc>
      </w:tr>
      <w:tr>
        <w:trPr>
          <w:trHeight w:val="20"/>
        </w:trPr>
        <w:tc>
          <w:tcPr>
            <w:tcW w:w="7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 (in millions)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54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421.5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471.0</w:t>
            </w: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120" w:type="dxa"/>
            <w:vAlign w:val="bottom"/>
          </w:tcPr>
          <w:p>
            <w:pPr>
              <w:spacing w:after="0"/>
              <w:rPr>
                <w:sz w:val="20"/>
                <w:szCs w:val="20"/>
                <w:color w:val="auto"/>
              </w:rPr>
            </w:pPr>
          </w:p>
        </w:tc>
        <w:tc>
          <w:tcPr>
            <w:tcW w:w="2540" w:type="dxa"/>
            <w:vAlign w:val="bottom"/>
            <w:gridSpan w:val="2"/>
          </w:tcPr>
          <w:p>
            <w:pPr>
              <w:jc w:val="right"/>
              <w:ind w:right="120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0"/>
                <w:szCs w:val="20"/>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On August 23, 2012, the Company entered into a senior secured revolving credit agreement with SunTrust Bank, as administrative agent, and J.P. Morgan Chase Bank, N.A., as syndication agent, and certain other lenders. On July 2, 2013, the Company entered into an agreement to amend and restate the agreement, effective on July 3, 2013. The amended and restated facility, among other things, increased the size of the facility from $200 million to $350 million. The facility included an uncommitted accordion feature that allowed the Company, under certain circumstances, to increase the size of the facility up to $550 million. On September 30, 2013, the Company exercised its right under the accordion feature and increased the size of the facility to $400 million. On January 27, 2014, the Company again exercised its right under the accordion feature and increased the size of the facility to $420 million.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420"/>
          </w:cols>
          <w:pgMar w:left="240" w:top="460" w:right="2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On February 27, 2014, the Company further amended and restated the agreement. The second amended and restated agreement (the Revolving Credit Facility), among other things:</w:t>
      </w:r>
    </w:p>
    <w:p>
      <w:pPr>
        <w:spacing w:after="0" w:line="76" w:lineRule="exact"/>
        <w:rPr>
          <w:sz w:val="20"/>
          <w:szCs w:val="20"/>
          <w:color w:val="auto"/>
        </w:rPr>
      </w:pPr>
    </w:p>
    <w:p>
      <w:pPr>
        <w:ind w:left="900" w:hanging="325"/>
        <w:spacing w:after="0"/>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the Company, under certain circumstances to increase the size of the facility up to $956.3 million;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30" w:lineRule="exact"/>
        <w:rPr>
          <w:rFonts w:ascii="Arial" w:cs="Arial" w:eastAsia="Arial" w:hAnsi="Arial"/>
          <w:sz w:val="18"/>
          <w:szCs w:val="18"/>
          <w:color w:val="auto"/>
        </w:rPr>
      </w:pPr>
    </w:p>
    <w:p>
      <w:pPr>
        <w:ind w:left="1480" w:right="180" w:hanging="446"/>
        <w:spacing w:after="0" w:line="277" w:lineRule="auto"/>
        <w:tabs>
          <w:tab w:leader="none" w:pos="148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the Company, subject to certain conditions, may make borrowings under the facility,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On May 30, 2014, the Company entered into agreements with various financial institutions pursuant to which each of the institutions agreed to provide commitments through the accordion feature of the Revolving Credit Facility, increasing the aggregate commitments from $581.3 million to $781.3 million.</w:t>
      </w:r>
    </w:p>
    <w:p>
      <w:pPr>
        <w:spacing w:after="0" w:line="12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On June 27, 2014, the Company further amended the Revolving Credit Facility to extend the $36.3 million in commitments not previously extended such that the revolving period as it related to all outstanding commitments would expire on February 27, 2018 and the stated maturity date as it related to all outstanding commitments would be February 27, 2019.</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17, 2014, the Company entered into a third amendment to the Revolving Credit Facility:</w:t>
      </w:r>
    </w:p>
    <w:p>
      <w:pPr>
        <w:spacing w:after="0" w:line="131" w:lineRule="exact"/>
        <w:rPr>
          <w:sz w:val="20"/>
          <w:szCs w:val="20"/>
          <w:color w:val="auto"/>
        </w:rPr>
      </w:pPr>
    </w:p>
    <w:p>
      <w:pPr>
        <w:ind w:left="900" w:right="240" w:hanging="325"/>
        <w:spacing w:after="0" w:line="342" w:lineRule="auto"/>
        <w:tabs>
          <w:tab w:leader="none" w:pos="90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decreasing the applicable margin with respect to (i) any loan bearing interest at a rate determined by reference to the Alternate Base Rate from 1.25% to 1.00% and (ii) any loan bearing interest at a rate determined by reference to the Adjusted LIBO Rate from 2.25% to 2.00%;</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decreasing the aggregate commitments from $781.3 million to $766.3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extending the revolving period from February 27, 2018 to October 17, 2018;</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extending the stated maturity date from February 27, 2019 to October 17, 2019;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increasing the sublimit applicable to letters of credit from $20 million to $100 million.</w:t>
      </w:r>
    </w:p>
    <w:p>
      <w:pPr>
        <w:spacing w:after="0" w:line="22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On October 23, 2014, the Company entered into an agreement with a financial institution pursuant to which the institution agreed to provide commitments through the accordion feature, increasing the aggregate commitments from $766.3 million to $776.3 million. On November 3, 2014, an existing lender agreed to increase their commitment through the accordion feature, increasing aggregate commitments from $776.3 million to $781.3 million.</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Revolving Credit Facility continues to include the accordion feature, which would allow the Company, under certain circumstances, to increase the size to a maximum of $956.3 million.</w:t>
      </w:r>
    </w:p>
    <w:p>
      <w:pPr>
        <w:spacing w:after="0" w:line="17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Company may borrow amounts in U.S. dollars or certain other permitted currencies. As of March 31, 2015, the Company had outstanding debt denominated in Swedish Krona (SEK) of 203.1 million, Euro (EUR) of 28.1 million and Pound Sterling (GBP) of 21.0 million on its Revolving Credit Facility, included in the Outstanding Principal amount in the table above.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380"/>
          </w:cols>
          <w:pgMar w:left="240" w:top="460" w:right="27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Amounts drawn under the Revolving Credit Facility, including amounts drawn in respect of letters of credit, bear interest at either LIBOR plus a margin, or the prime rate plus a margin. The Company may elect either the LIBOR or prime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Revolving Credit Facility is guaranteed by TC Lending, LLC and TSL MR, LLC and may be guaranteed by certain domestic subsidiaries that are formed or acquired by the Company in the future.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8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76" w:lineRule="exact"/>
        <w:rPr>
          <w:sz w:val="20"/>
          <w:szCs w:val="20"/>
          <w:color w:val="auto"/>
        </w:rPr>
      </w:pPr>
    </w:p>
    <w:p>
      <w:pPr>
        <w:ind w:left="900" w:hanging="325"/>
        <w:spacing w:after="0"/>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30" w:lineRule="exact"/>
        <w:rPr>
          <w:rFonts w:ascii="Arial" w:cs="Arial" w:eastAsia="Arial" w:hAnsi="Arial"/>
          <w:sz w:val="18"/>
          <w:szCs w:val="18"/>
          <w:color w:val="auto"/>
        </w:rPr>
      </w:pPr>
    </w:p>
    <w:p>
      <w:pPr>
        <w:ind w:left="900" w:right="380" w:hanging="325"/>
        <w:spacing w:after="0" w:line="264" w:lineRule="auto"/>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 liquidity test under which the Company must maintain cash and liquid investments of at least 10% of the covered debt amount under circumstances where the Company’s adjusted covered debt balance is greater than 90% of the Company’s adjusted borrowing base under the facility;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October 17, 2014.</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Net proceeds received from the Company’s IPO, the exercise of the underwriters’ over-allotment option from the IPO, and net proceeds received from the issuance of the Convertible Senior Notes were used to pay down borrowings on the Revolving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SPV Asset Facility</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On May 8, 2012, the “Closing Date,” the Company’s wholly owned subsidiary TPG SL SPV, LLC, a Delaware limited liability company, referred to as TPG SL SPV, entered into a credit and security agreement with Natixis, New York Branch. Also on May 8, 2012, the Company contributed certain investments to TPG SL SPV pursuant to the terms of a Master Sale and Contribution Agreement by and between the Company and TPG SL SPV. The Company consolidates TPG SL SPV in its consolidated financial statements, and no gain or loss was recognized as a result of the contribution. Proceeds from the SPV Asset Facility were permitted to be used to finance the acquisition of eligible assets by TPG SL SPV, including the purchase of such assets from the Company. The Company retains a residual interest in assets contributed to or acquired by TPG SL SPV through its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7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Proceeds received by TPG SL SPV from interest, dividends or fees on assets are required to be used to pay expenses and interest on outstanding borrowings, and the excess can be returned to the Company, subject to certain conditions, on a quarterly basis. Prior to the Commitment Termination Date, proceeds received from principal on assets could be used to pay down borrowings or make additional investments. Following the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420"/>
          </w:cols>
          <w:pgMar w:left="240" w:top="460" w:right="2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On January 21, 2014, TPG SL SPV entered into an agreement to amend and restate the credit and security agreement. The amended and restated facility, among other things:</w:t>
      </w:r>
    </w:p>
    <w:p>
      <w:pPr>
        <w:spacing w:after="0" w:line="76" w:lineRule="exact"/>
        <w:rPr>
          <w:sz w:val="20"/>
          <w:szCs w:val="20"/>
          <w:color w:val="auto"/>
        </w:rPr>
      </w:pPr>
    </w:p>
    <w:p>
      <w:pPr>
        <w:ind w:left="900" w:hanging="325"/>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increased the size of the facility from $100 million to $175 million;</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reopened the reinvestment period thereunder for an additional period of six months following the closing date of January 21, 2014, which reinvestment period was subsequently extended by the borrower for an additional six month period (pursuant to an extension right exercisable by the borrower) so that the reinvestment period would remain open until January 21, 2015;</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extended the stated maturity date from May 8, 2020 to January 21, 2021;</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modified pricing for Natixis to cost of funds + 2.25%;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made certain changes to the eligibility criteria and concentration limits.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reinvestment period under the amended and restated credit and security agreement terminated on January 21, 2015 and accordingly any undrawn availability under the facility also terminated.</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On March 27, 2015, TPG SL SPV further amended the amended and restated credit and security agreement (as amended, SPV Asset Facility). The second amended and restated credit and security agreement, among other things:</w:t>
      </w:r>
    </w:p>
    <w:p>
      <w:pPr>
        <w:spacing w:after="0" w:line="76" w:lineRule="exact"/>
        <w:rPr>
          <w:sz w:val="20"/>
          <w:szCs w:val="20"/>
          <w:color w:val="auto"/>
        </w:rPr>
      </w:pPr>
    </w:p>
    <w:p>
      <w:pPr>
        <w:ind w:left="900" w:hanging="325"/>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reduced the applicable margin with respect to loans from LIBOR lenders from 2.75% to 2.35%;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syndicated a portion of the outstanding loan previously held by affiliates of Natixis to two new lenders.</w:t>
      </w:r>
    </w:p>
    <w:p>
      <w:pPr>
        <w:spacing w:after="0" w:line="225"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Amounts drawn under the original credit and security agreement bore interest at LIBOR plus a margin or base rate plus a margin, in each case at TPG SL SPV’s option. Amounts outstanding under the SPV Asset Facility bear interest at LIBOR plus a margin, base rate plus a margin or the lenders’ cost of funds plus a margin. The undrawn portion of the commitment bore an unutilized commitment fee of 0.75%. This fee ceased to accrue on January 21, 2015 when the reinvestment period ended. The SPV Asset Facility contains customary covenants, including covenants relating to separateness from the Adviser and its affiliates and long-term credit ratings with respect to the underlying collateral obligations, and events of default. The SPV Asset Facility is secured by a perfected first priority security interest in the assets of TPG SL SPV and on any payments received by TPG SL SPV in respect of such assets, which accordingly are not available to pay the Company’s other debt obligations</w:t>
      </w:r>
    </w:p>
    <w:p>
      <w:pPr>
        <w:spacing w:after="0" w:line="17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of March 31, 2015 and December 31, 2014, TPG SL SPV had $360.8 million and $334.0 million, respectively, in investments at fair value, and $128.8 million and $108.8 million, respectively, in liabilities, including the outstanding borrowings, on its balance sheet. As of March 31, 2015 and December 31, 2014, TPG SL SPV had $10.3 million and $10.2 million, respectively, in restricted cash, a component of prepaid expenses and other assets, in the accompanying consolidated financial statements.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of TPG SL SPV are considered the Company’s borrowings for purposes of complying with the asset coverage requirements of the 1940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On June 10, 2014, the Company issued in a private offering $115 million aggregate principal amount convertible senior notes due December 2019 (the “Convertible Senior Notes”). The Convertible Senior Notes were issued in a private placement only to qualified institutional buyers pursuant to Rule 144A under the Securities Act. The Convertible Senior Notes are unsecured, and bear interest at a rate of 4.50% per year, payable semiannually. The Convertible Senior Notes will mature on December 15, 2019. In certain circumstances, the Convertible Senior Notes will be convertible into cash, shares of the Company’s common stock or a combination of cash and shares of the Company’s common stock, at the Company’s election, at an initial conversion rate of 38.7162 shares of common stock per $1,000 principal amount of Convertible Senior Notes, which is equivalent</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360"/>
          </w:cols>
          <w:pgMar w:left="240" w:top="460" w:right="29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to an initial conversion price of approximately $25.83 per share of the Company’s common stock, subject to customary anti-dilution adjustments. The sale of the Convertible Senior Notes generated net proceeds of approximately $110.8 million. The Company used the net proceeds of the offering to pay down debt under the Revolving Credit Facility. In connection with the offering of Convertible Senior Notes, the Company entered into interest rate swaps to continue to align the interest rates of its liabilities with its investment portfolio, which consists of predominately floating rate loans. As a result of the swaps, as of March 31, 2015, the Company’s effective interest rate on the Convertible Senior Notes was three-month LIBOR plus 286 basis points. See Note 5 for further information related to the Company’s interest rate swaps.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Holders may convert their Convertible Senior Notes at their option at any time prior to June 15, 2019 only under the following circumstances:</w:t>
      </w:r>
    </w:p>
    <w:p>
      <w:pPr>
        <w:spacing w:after="0" w:line="35" w:lineRule="exact"/>
        <w:rPr>
          <w:sz w:val="20"/>
          <w:szCs w:val="20"/>
          <w:color w:val="auto"/>
        </w:rPr>
      </w:pPr>
    </w:p>
    <w:p>
      <w:pPr>
        <w:ind w:right="40" w:firstLine="8"/>
        <w:spacing w:after="0" w:line="281" w:lineRule="auto"/>
        <w:tabs>
          <w:tab w:leader="none" w:pos="255" w:val="left"/>
        </w:tabs>
        <w:numPr>
          <w:ilvl w:val="0"/>
          <w:numId w:val="182"/>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2" w:lineRule="exact"/>
        <w:rPr>
          <w:rFonts w:ascii="Arial" w:cs="Arial" w:eastAsia="Arial" w:hAnsi="Arial"/>
          <w:sz w:val="16"/>
          <w:szCs w:val="16"/>
          <w:color w:val="auto"/>
        </w:rPr>
      </w:pPr>
    </w:p>
    <w:p>
      <w:pPr>
        <w:ind w:firstLine="8"/>
        <w:spacing w:after="0" w:line="271" w:lineRule="auto"/>
        <w:tabs>
          <w:tab w:leader="none" w:pos="255" w:val="left"/>
        </w:tabs>
        <w:numPr>
          <w:ilvl w:val="0"/>
          <w:numId w:val="182"/>
        </w:numPr>
        <w:rPr>
          <w:rFonts w:ascii="Arial" w:cs="Arial" w:eastAsia="Arial" w:hAnsi="Arial"/>
          <w:sz w:val="17"/>
          <w:szCs w:val="17"/>
          <w:color w:val="auto"/>
        </w:rPr>
      </w:pPr>
      <w:r>
        <w:rPr>
          <w:rFonts w:ascii="Arial" w:cs="Arial" w:eastAsia="Arial" w:hAnsi="Arial"/>
          <w:sz w:val="17"/>
          <w:szCs w:val="17"/>
          <w:color w:val="auto"/>
        </w:rPr>
        <w:t>during the five business day period after any five consecutive trading day period (the “measurement period”) in which the trading price (as defined in the indenture governing the Convertible Senior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179"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notes are senior unsecured obligations and rank senior in right of payment to the Company’s future indebtedness that is expressly subordinated in right of payment to the notes; equal in right of payment to the Company’s existing and future indebtedness that is not so subordinated; effectively junior in right of payment to any of the Company’s secured indebtedness (including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three months ended March 31, 2015, the components of interest expense related to the Convertible Senior Notes were as follows: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2015</w:t>
            </w:r>
          </w:p>
        </w:tc>
      </w:tr>
      <w:tr>
        <w:trPr>
          <w:trHeight w:val="210"/>
        </w:trPr>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8"/>
                <w:szCs w:val="18"/>
                <w:color w:val="auto"/>
              </w:rPr>
            </w:pPr>
          </w:p>
        </w:tc>
      </w:tr>
      <w:tr>
        <w:trPr>
          <w:trHeight w:val="223"/>
        </w:trPr>
        <w:tc>
          <w:tcPr>
            <w:tcW w:w="6420" w:type="dxa"/>
            <w:vAlign w:val="bottom"/>
          </w:tcPr>
          <w:p>
            <w:pPr>
              <w:ind w:left="360"/>
              <w:spacing w:after="0"/>
              <w:rPr>
                <w:sz w:val="20"/>
                <w:szCs w:val="20"/>
                <w:color w:val="auto"/>
              </w:rPr>
            </w:pPr>
            <w:r>
              <w:rPr>
                <w:rFonts w:ascii="Arial" w:cs="Arial" w:eastAsia="Arial" w:hAnsi="Arial"/>
                <w:sz w:val="18"/>
                <w:szCs w:val="18"/>
                <w:b w:val="1"/>
                <w:bCs w:val="1"/>
                <w:color w:val="auto"/>
              </w:rPr>
              <w:t>Total Interest Expense</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12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Total interest expense in the table above does not include the effect of the interest rate swaps. During the three months ended March 31, 2015, the Company received $1.3 million and paid $0.9 million related to the quarterly settlement of its interest rate swaps. This net amount is a reduction to interest expense in the Company’s consolidated statements of operations. In January 2015, the Company closed out its existing interest rate swaps and simultaneously entered into new interest rate swaps, realizing a cash payment of $2.0 million and increasing pricing to three-month LIBOR plus 286 basis points. Please see Note 5 for further information about the Company’s interest rate swaps.</w:t>
      </w:r>
    </w:p>
    <w:p>
      <w:pPr>
        <w:spacing w:after="0" w:line="18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As of March 31, 2015, the principal amount of the Convertible Senior Notes exceeded the value of the underlying shares multiplied by the per share closing price of the Company’s common stock.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420"/>
          </w:cols>
          <w:pgMar w:left="240" w:top="459" w:right="2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2015, the components of the carrying value of the Convertible Senior Notes and the stated interest rate were as follows:</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December 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Senior Notes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Principal amount of debt</w:t>
            </w:r>
          </w:p>
        </w:tc>
        <w:tc>
          <w:tcPr>
            <w:tcW w:w="1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(2,939)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of debt</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112,061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Stated interest rate</w:t>
            </w: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80" w:type="dxa"/>
            <w:vAlign w:val="bottom"/>
            <w:gridSpan w:val="2"/>
            <w:vMerge w:val="continue"/>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stated interest rate in the table above does not include the effect of the interest rate swaps. The Company’s swap-adjusted interest rate is 3 month LIBOR plus 286 basis points. Please see Note 5 for further information about the Company’s interest rate swaps.</w:t>
      </w:r>
    </w:p>
    <w:p>
      <w:pPr>
        <w:spacing w:after="0" w:line="170"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Convertible Senior Notes Indenture contains certain covenants, including covenants requiring the Company to comply with the requirement under the 1940 Act that the Company’s asset coverage ratio, as defined in the 1940 Act, equal at least 200% and to provide financial information to the holders of the Convertible Senior Notes under certain circumstances. These covenants are subject to important limitations and exceptions that are described in the Convertible Senior Notes Indenture. As of March 31, 2015, the Company was in compliance with the terms of the Convertible Senior Notes Indenture.</w:t>
      </w:r>
    </w:p>
    <w:p>
      <w:pPr>
        <w:spacing w:after="0" w:line="15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Convertible Senior Notes are accounted for in accordance with Accounting Standards Codification (“ASC”) 470-20. Upon conversion of any of the Convertible Senior Notes, the Company intends to pay the outstanding principal amount in cash and, to the extent that the conversion value exceeds the principal amount, the Company has the option to pay in cash or shares of the Company’s common stock (or a combination of cash and shares) in respect of the excess amount, subject to the requirements of the Convertible Senior Notes Indenture. The Company has determined that the embedded conversion options in the Convertible Senior Notes are not required to be separately accounted for as a derivative under U.S. GAAP. In accounting for the Convertible Senior Notes, the Company estimated at the time of issuance separate debt and equity components of the Convertible Senior Notes. An original issue discount equal to the equity components of the Convertible Senior Notes was recorded in “additional paid-in capital” in the accompanying consolidated balance sheet. Additionally, the issuance costs associated with the Convertible Senior Notes were allocated to the debt and equity components in proportion to the allocation of the proceeds and accounted for as debt issuance costs and equity issuance costs, respectively.</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2015 and December 31, 2014, the Company was in compliance with the terms of its debt obligations.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From time to time, the Company may enter into commitments to fund investments. As of March 31, 2015 and December 31, 2014, the Company had the following commitments to fund investments: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March 31, 2015</w:t>
            </w:r>
          </w:p>
        </w:tc>
        <w:tc>
          <w:tcPr>
            <w:tcW w:w="620" w:type="dxa"/>
            <w:vAlign w:val="bottom"/>
          </w:tcPr>
          <w:p>
            <w:pPr>
              <w:spacing w:after="0"/>
              <w:rPr>
                <w:sz w:val="14"/>
                <w:szCs w:val="14"/>
                <w:color w:val="auto"/>
              </w:rPr>
            </w:pP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2014</w:t>
            </w: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revolving loan commitments</w:t>
            </w:r>
          </w:p>
        </w:tc>
        <w:tc>
          <w:tcPr>
            <w:tcW w:w="18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25,660</w:t>
            </w:r>
          </w:p>
        </w:tc>
        <w:tc>
          <w:tcPr>
            <w:tcW w:w="6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34,242</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18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8,690</w:t>
            </w:r>
          </w:p>
        </w:tc>
        <w:tc>
          <w:tcPr>
            <w:tcW w:w="6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13,816</w:t>
            </w:r>
          </w:p>
        </w:tc>
        <w:tc>
          <w:tcPr>
            <w:tcW w:w="120" w:type="dxa"/>
            <w:vAlign w:val="bottom"/>
          </w:tcPr>
          <w:p>
            <w:pPr>
              <w:spacing w:after="0"/>
              <w:rPr>
                <w:sz w:val="19"/>
                <w:szCs w:val="19"/>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Portfolio Company Commitments</w:t>
            </w:r>
          </w:p>
        </w:tc>
        <w:tc>
          <w:tcPr>
            <w:tcW w:w="216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34,350</w:t>
            </w:r>
          </w:p>
        </w:tc>
        <w:tc>
          <w:tcPr>
            <w:tcW w:w="106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48,058</w:t>
            </w:r>
          </w:p>
        </w:tc>
        <w:tc>
          <w:tcPr>
            <w:tcW w:w="120" w:type="dxa"/>
            <w:vAlign w:val="bottom"/>
            <w:shd w:val="clear" w:color="auto" w:fill="CCEEFF"/>
          </w:tcPr>
          <w:p>
            <w:pPr>
              <w:spacing w:after="0"/>
              <w:rPr>
                <w:sz w:val="18"/>
                <w:szCs w:val="18"/>
                <w:color w:val="auto"/>
              </w:rPr>
            </w:pPr>
          </w:p>
        </w:tc>
      </w:tr>
      <w:tr>
        <w:trPr>
          <w:trHeight w:val="20"/>
        </w:trPr>
        <w:tc>
          <w:tcPr>
            <w:tcW w:w="37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3780" w:type="dxa"/>
            <w:vAlign w:val="bottom"/>
          </w:tcPr>
          <w:p>
            <w:pPr>
              <w:spacing w:after="0"/>
              <w:rPr>
                <w:sz w:val="24"/>
                <w:szCs w:val="24"/>
                <w:color w:val="auto"/>
              </w:rPr>
            </w:pPr>
          </w:p>
        </w:tc>
        <w:tc>
          <w:tcPr>
            <w:tcW w:w="2160" w:type="dxa"/>
            <w:vAlign w:val="bottom"/>
            <w:gridSpan w:val="2"/>
          </w:tcPr>
          <w:p>
            <w:pPr>
              <w:jc w:val="right"/>
              <w:ind w:right="1367"/>
              <w:spacing w:after="0"/>
              <w:rPr>
                <w:sz w:val="20"/>
                <w:szCs w:val="20"/>
                <w:color w:val="auto"/>
              </w:rPr>
            </w:pPr>
            <w:r>
              <w:rPr>
                <w:rFonts w:ascii="Arial" w:cs="Arial" w:eastAsia="Arial" w:hAnsi="Arial"/>
                <w:sz w:val="18"/>
                <w:szCs w:val="18"/>
                <w:color w:val="auto"/>
              </w:rPr>
              <w:t>F-75</w:t>
            </w: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March 31, 2015, management is not aware of any pending or threatened litigation.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121"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On March 21, 2014, the Company completed its IPO, issuing 7,000,000 shares at $16.00 per share, and its concurrent private placement, issuing 3,124,984 shares at $16.00 per share. Net of underwriting fees and offering costs, the Company received total cash proceeds of $151.6 million.</w:t>
      </w:r>
    </w:p>
    <w:p>
      <w:pPr>
        <w:spacing w:after="0" w:line="124"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April 2014, the Company issued a total of 1,050,000 shares of stock pursuant to the exercise of the underwriters’ over-allotment option in connection with the Company’s IPO. Net of underwriting fees and offering costs, the Company received total cash proceeds of $15.4 million.</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Prior to December 31, 2013, the Company entered into subscription agreements (collectively, the “Subscription Agreements”) with several investors, including the Adviser and its affiliates, providing for the private placement of the Company’s common stock. Under the terms of the Subscription Agreements, investors were required to fund drawdowns to purchase the Company’s common stock up to the amount of their respective capital commitments on an as-needed basis as determined by the Company with a minimum of 10 business days’ prior notice. Offering costs associated with the private placements were absorbed by the Adviser. The remaining unfunded capital commitments related to these subscription agreements terminated upon the completion of the Company’s IPO.</w:t>
      </w:r>
    </w:p>
    <w:p>
      <w:pPr>
        <w:spacing w:after="0" w:line="19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For the three months ended March 31, 2014, the Company issued 4,234,501 shares and received proceeds of $65 million related to capital drawdowns delivered pursuant to the Subscription Agreement.</w:t>
      </w:r>
    </w:p>
    <w:p>
      <w:pPr>
        <w:spacing w:after="0" w:line="170"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asked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2"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Pursuant to the Company’s dividend reinvestment plan, the following tables summarize the shares issued to stockholders who have not opted out of the Company’s dividend reinvestment plan during the three months ended March 31, 2015 and 2014. All shares issued to stockholders in the tables below are newly issued shares.</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3"/>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3"/>
          </w:tcPr>
          <w:p>
            <w:pPr>
              <w:jc w:val="right"/>
              <w:ind w:right="1180"/>
              <w:spacing w:after="0"/>
              <w:rPr>
                <w:sz w:val="20"/>
                <w:szCs w:val="20"/>
                <w:color w:val="auto"/>
              </w:rPr>
            </w:pPr>
            <w:r>
              <w:rPr>
                <w:rFonts w:ascii="Arial" w:cs="Arial" w:eastAsia="Arial" w:hAnsi="Arial"/>
                <w:sz w:val="14"/>
                <w:szCs w:val="14"/>
                <w:b w:val="1"/>
                <w:bCs w:val="1"/>
                <w:color w:val="auto"/>
              </w:rPr>
              <w:t>March 31, 2015</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320" w:type="dxa"/>
            <w:vAlign w:val="bottom"/>
            <w:vMerge w:val="restart"/>
          </w:tcPr>
          <w:p>
            <w:pPr>
              <w:spacing w:after="0"/>
              <w:rPr>
                <w:sz w:val="10"/>
                <w:szCs w:val="10"/>
                <w:color w:val="auto"/>
              </w:rPr>
            </w:pPr>
          </w:p>
        </w:tc>
        <w:tc>
          <w:tcPr>
            <w:tcW w:w="16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Record Date</w:t>
            </w:r>
          </w:p>
        </w:tc>
        <w:tc>
          <w:tcPr>
            <w:tcW w:w="160" w:type="dxa"/>
            <w:vAlign w:val="bottom"/>
            <w:vMerge w:val="restart"/>
          </w:tcPr>
          <w:p>
            <w:pPr>
              <w:spacing w:after="0"/>
              <w:rPr>
                <w:sz w:val="10"/>
                <w:szCs w:val="10"/>
                <w:color w:val="auto"/>
              </w:rPr>
            </w:pPr>
          </w:p>
        </w:tc>
        <w:tc>
          <w:tcPr>
            <w:tcW w:w="420" w:type="dxa"/>
            <w:vAlign w:val="bottom"/>
          </w:tcPr>
          <w:p>
            <w:pPr>
              <w:spacing w:after="0"/>
              <w:rPr>
                <w:sz w:val="10"/>
                <w:szCs w:val="10"/>
                <w:color w:val="auto"/>
              </w:rPr>
            </w:pPr>
          </w:p>
        </w:tc>
        <w:tc>
          <w:tcPr>
            <w:tcW w:w="2040" w:type="dxa"/>
            <w:vAlign w:val="bottom"/>
            <w:gridSpan w:val="2"/>
          </w:tcPr>
          <w:p>
            <w:pPr>
              <w:jc w:val="right"/>
              <w:ind w:right="1160"/>
              <w:spacing w:after="0" w:line="119" w:lineRule="exact"/>
              <w:rPr>
                <w:sz w:val="20"/>
                <w:szCs w:val="20"/>
                <w:color w:val="auto"/>
              </w:rPr>
            </w:pPr>
            <w:r>
              <w:rPr>
                <w:rFonts w:ascii="Arial" w:cs="Arial" w:eastAsia="Arial" w:hAnsi="Arial"/>
                <w:sz w:val="13"/>
                <w:szCs w:val="13"/>
                <w:b w:val="1"/>
                <w:bCs w:val="1"/>
                <w:color w:val="auto"/>
              </w:rPr>
              <w:t>Date</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Shares Issued</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vMerge w:val="continue"/>
          </w:tcPr>
          <w:p>
            <w:pPr>
              <w:spacing w:after="0"/>
              <w:rPr>
                <w:sz w:val="14"/>
                <w:szCs w:val="14"/>
                <w:color w:val="auto"/>
              </w:rPr>
            </w:pPr>
          </w:p>
        </w:tc>
        <w:tc>
          <w:tcPr>
            <w:tcW w:w="3320" w:type="dxa"/>
            <w:vAlign w:val="bottom"/>
            <w:tcBorders>
              <w:bottom w:val="single" w:sz="8" w:color="CCEEFF"/>
            </w:tcBorders>
            <w:vMerge w:val="continue"/>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Shares Issued</w:t>
            </w:r>
          </w:p>
        </w:tc>
        <w:tc>
          <w:tcPr>
            <w:tcW w:w="5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3, 2014</w:t>
            </w:r>
          </w:p>
        </w:tc>
        <w:tc>
          <w:tcPr>
            <w:tcW w:w="16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7"/>
              </w:rPr>
              <w:t>December 31, 2014</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2, 2015</w:t>
            </w:r>
          </w:p>
        </w:tc>
        <w:tc>
          <w:tcPr>
            <w:tcW w:w="5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Shares Issued</w:t>
            </w: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20" w:type="dxa"/>
            <w:vAlign w:val="bottom"/>
            <w:gridSpan w:val="2"/>
            <w:vMerge w:val="restart"/>
          </w:tcPr>
          <w:p>
            <w:pPr>
              <w:ind w:left="420"/>
              <w:spacing w:after="0"/>
              <w:rPr>
                <w:sz w:val="20"/>
                <w:szCs w:val="20"/>
                <w:color w:val="auto"/>
              </w:rPr>
            </w:pPr>
            <w:r>
              <w:rPr>
                <w:rFonts w:ascii="Arial" w:cs="Arial" w:eastAsia="Arial" w:hAnsi="Arial"/>
                <w:sz w:val="18"/>
                <w:szCs w:val="18"/>
                <w:color w:val="auto"/>
              </w:rPr>
              <w:t>F-76</w:t>
            </w: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2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93"/>
              </w:rPr>
              <w:t>Three Months Ended</w:t>
            </w: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3"/>
          </w:tcPr>
          <w:p>
            <w:pPr>
              <w:jc w:val="center"/>
              <w:ind w:right="900"/>
              <w:spacing w:after="0"/>
              <w:rPr>
                <w:sz w:val="20"/>
                <w:szCs w:val="20"/>
                <w:color w:val="auto"/>
              </w:rPr>
            </w:pPr>
            <w:r>
              <w:rPr>
                <w:rFonts w:ascii="Arial" w:cs="Arial" w:eastAsia="Arial" w:hAnsi="Arial"/>
                <w:sz w:val="14"/>
                <w:szCs w:val="14"/>
                <w:b w:val="1"/>
                <w:bCs w:val="1"/>
                <w:color w:val="auto"/>
                <w:w w:val="96"/>
              </w:rPr>
              <w:t>March 31, 2014</w:t>
            </w:r>
          </w:p>
        </w:tc>
        <w:tc>
          <w:tcPr>
            <w:tcW w:w="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240" w:type="dxa"/>
            <w:vAlign w:val="bottom"/>
            <w:vMerge w:val="restart"/>
          </w:tcPr>
          <w:p>
            <w:pPr>
              <w:spacing w:after="0"/>
              <w:rPr>
                <w:sz w:val="10"/>
                <w:szCs w:val="10"/>
                <w:color w:val="auto"/>
              </w:rPr>
            </w:pPr>
          </w:p>
        </w:tc>
        <w:tc>
          <w:tcPr>
            <w:tcW w:w="16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Record Date</w:t>
            </w:r>
          </w:p>
        </w:tc>
        <w:tc>
          <w:tcPr>
            <w:tcW w:w="180" w:type="dxa"/>
            <w:vAlign w:val="bottom"/>
            <w:vMerge w:val="restart"/>
          </w:tcPr>
          <w:p>
            <w:pPr>
              <w:spacing w:after="0"/>
              <w:rPr>
                <w:sz w:val="10"/>
                <w:szCs w:val="10"/>
                <w:color w:val="auto"/>
              </w:rPr>
            </w:pPr>
          </w:p>
        </w:tc>
        <w:tc>
          <w:tcPr>
            <w:tcW w:w="380" w:type="dxa"/>
            <w:vAlign w:val="bottom"/>
          </w:tcPr>
          <w:p>
            <w:pPr>
              <w:spacing w:after="0"/>
              <w:rPr>
                <w:sz w:val="10"/>
                <w:szCs w:val="10"/>
                <w:color w:val="auto"/>
              </w:rPr>
            </w:pPr>
          </w:p>
        </w:tc>
        <w:tc>
          <w:tcPr>
            <w:tcW w:w="2160" w:type="dxa"/>
            <w:vAlign w:val="bottom"/>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rPr>
              <w:t>Date</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Shares Issued</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vMerge w:val="continue"/>
          </w:tcPr>
          <w:p>
            <w:pPr>
              <w:spacing w:after="0"/>
              <w:rPr>
                <w:sz w:val="14"/>
                <w:szCs w:val="14"/>
                <w:color w:val="auto"/>
              </w:rPr>
            </w:pPr>
          </w:p>
        </w:tc>
        <w:tc>
          <w:tcPr>
            <w:tcW w:w="3240" w:type="dxa"/>
            <w:vAlign w:val="bottom"/>
            <w:tcBorders>
              <w:bottom w:val="single" w:sz="8" w:color="CCEEFF"/>
            </w:tcBorders>
            <w:vMerge w:val="continue"/>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vMerge w:val="continue"/>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Shares Issued</w:t>
            </w:r>
          </w:p>
        </w:tc>
        <w:tc>
          <w:tcPr>
            <w:tcW w:w="5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16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8"/>
              </w:rPr>
              <w:t>December 31, 2013</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February 13, 2014</w:t>
            </w:r>
          </w:p>
        </w:tc>
        <w:tc>
          <w:tcPr>
            <w:tcW w:w="5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502,200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Shares Issued</w:t>
            </w: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502,200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Prior to the Company’s IPO, the number of shares issued through the dividend reinvestment plan was determined by dividing the total dollar amount of the dividend payable to such stockholder by the net asset value per share of the common stock on the record date of the dividend. The common stock issued through the dividend reinvestment plan was rounded down to the nearest whole share to avoid the issuance of fractional shares, and fractional shares were paid in cash.</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On November 3, 2014, the Company’s Board approved a stock repurchase plan (the “Company 10b5-1 Plan”) to acquire up to $50 million in the aggregate of the Company’s common stock at prices below the Company’s net asset value per share, in accordance with the guidelines specified in Rule 10b-18 and Rule 10b5-1 of the Exchange Act.</w:t>
      </w:r>
    </w:p>
    <w:p>
      <w:pPr>
        <w:spacing w:after="0" w:line="18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Company 10b5-1 Plan is designed to allow the Company to repurchase its common stock at times when it otherwise might be prevented from doing so under insider trading laws. The Company 10b5-1 Plan requires an agent selected by the Company to repurchase shares of common stock on the Company’s behalf when the market price per share is below the most recently reported net asset value per share (including any updates, corrections or adjustments publicly announced by the Company to any previously announced net asset value per share). Under the Company 10b5-1 Plan, the agent will increase the volume of purchases made as the price of the Company’s common stock declines, subject to volume restrictions. The timing and amount of any stock repurchases will depend on the terms and conditions of the Company 10b5-1 Plan, the market price of the common stock and trading volumes, and no assurance can be given that any particular amount of common stock will be repurchased.</w:t>
      </w:r>
    </w:p>
    <w:p>
      <w:pPr>
        <w:spacing w:after="0" w:line="167"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Unless extended or terminated by the Board, the Company 10b5-1 Plan will be in effect through the earlier of June 30, 2015 or such time as the approved $50 million repurchase amount has been fully utilized, subject to certain conditions.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2015, no shares had been repurchased under the Company 10b5-1 Plan.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Three Months Ended</w:t>
            </w: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78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March 31, 2015</w:t>
            </w:r>
          </w:p>
        </w:tc>
        <w:tc>
          <w:tcPr>
            <w:tcW w:w="1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8"/>
              </w:rPr>
              <w:t>March 31, 2014</w:t>
            </w:r>
          </w:p>
        </w:tc>
        <w:tc>
          <w:tcPr>
            <w:tcW w:w="100" w:type="dxa"/>
            <w:vAlign w:val="bottom"/>
            <w:tcBorders>
              <w:bottom w:val="single" w:sz="8" w:color="CCEEFF"/>
            </w:tcBorders>
          </w:tcPr>
          <w:p>
            <w:pPr>
              <w:spacing w:after="0"/>
              <w:rPr>
                <w:sz w:val="12"/>
                <w:szCs w:val="12"/>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w w:val="99"/>
              </w:rPr>
              <w:t>Increase in net assets resulting from operations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24,468</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25,348</w:t>
            </w:r>
          </w:p>
        </w:tc>
        <w:tc>
          <w:tcPr>
            <w:tcW w:w="100" w:type="dxa"/>
            <w:vAlign w:val="bottom"/>
            <w:shd w:val="clear" w:color="auto" w:fill="CCEEFF"/>
          </w:tcPr>
          <w:p>
            <w:pPr>
              <w:spacing w:after="0"/>
              <w:rPr>
                <w:sz w:val="18"/>
                <w:szCs w:val="18"/>
                <w:color w:val="auto"/>
              </w:rPr>
            </w:pPr>
          </w:p>
        </w:tc>
      </w:tr>
      <w:tr>
        <w:trPr>
          <w:trHeight w:val="202"/>
        </w:trPr>
        <w:tc>
          <w:tcPr>
            <w:tcW w:w="3780" w:type="dxa"/>
            <w:vAlign w:val="bottom"/>
          </w:tcPr>
          <w:p>
            <w:pPr>
              <w:spacing w:after="0" w:line="201" w:lineRule="exact"/>
              <w:rPr>
                <w:sz w:val="20"/>
                <w:szCs w:val="20"/>
                <w:color w:val="auto"/>
              </w:rPr>
            </w:pPr>
            <w:r>
              <w:rPr>
                <w:rFonts w:ascii="Arial" w:cs="Arial" w:eastAsia="Arial" w:hAnsi="Arial"/>
                <w:sz w:val="18"/>
                <w:szCs w:val="18"/>
                <w:color w:val="auto"/>
              </w:rPr>
              <w:t>Weighted average shares of common stock</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780" w:type="dxa"/>
            <w:vAlign w:val="bottom"/>
          </w:tcPr>
          <w:p>
            <w:pPr>
              <w:ind w:left="180"/>
              <w:spacing w:after="0"/>
              <w:rPr>
                <w:sz w:val="20"/>
                <w:szCs w:val="20"/>
                <w:color w:val="auto"/>
              </w:rPr>
            </w:pPr>
            <w:r>
              <w:rPr>
                <w:rFonts w:ascii="Arial" w:cs="Arial" w:eastAsia="Arial" w:hAnsi="Arial"/>
                <w:sz w:val="18"/>
                <w:szCs w:val="18"/>
                <w:color w:val="auto"/>
              </w:rPr>
              <w:t>outstanding—basic and diluted</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53,902,074</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41,539,083</w:t>
            </w:r>
          </w:p>
        </w:tc>
        <w:tc>
          <w:tcPr>
            <w:tcW w:w="100" w:type="dxa"/>
            <w:vAlign w:val="bottom"/>
          </w:tcPr>
          <w:p>
            <w:pPr>
              <w:spacing w:after="0"/>
              <w:rPr>
                <w:sz w:val="20"/>
                <w:szCs w:val="20"/>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w w:val="99"/>
              </w:rPr>
              <w:t>Earnings per common share—basic and diluted</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00" w:type="dxa"/>
            <w:vAlign w:val="bottom"/>
            <w:shd w:val="clear" w:color="auto" w:fill="CCEEFF"/>
          </w:tcPr>
          <w:p>
            <w:pPr>
              <w:spacing w:after="0"/>
              <w:rPr>
                <w:sz w:val="18"/>
                <w:szCs w:val="18"/>
                <w:color w:val="auto"/>
              </w:rPr>
            </w:pPr>
          </w:p>
        </w:tc>
      </w:tr>
      <w:tr>
        <w:trPr>
          <w:trHeight w:val="365"/>
        </w:trPr>
        <w:tc>
          <w:tcPr>
            <w:tcW w:w="3780" w:type="dxa"/>
            <w:vAlign w:val="bottom"/>
          </w:tcPr>
          <w:p>
            <w:pPr>
              <w:spacing w:after="0"/>
              <w:rPr>
                <w:sz w:val="24"/>
                <w:szCs w:val="24"/>
                <w:color w:val="auto"/>
              </w:rPr>
            </w:pPr>
          </w:p>
        </w:tc>
        <w:tc>
          <w:tcPr>
            <w:tcW w:w="1140" w:type="dxa"/>
            <w:vAlign w:val="bottom"/>
            <w:gridSpan w:val="2"/>
          </w:tcPr>
          <w:p>
            <w:pPr>
              <w:jc w:val="right"/>
              <w:ind w:right="345"/>
              <w:spacing w:after="0"/>
              <w:rPr>
                <w:sz w:val="20"/>
                <w:szCs w:val="20"/>
                <w:color w:val="auto"/>
              </w:rPr>
            </w:pPr>
            <w:r>
              <w:rPr>
                <w:rFonts w:ascii="Arial" w:cs="Arial" w:eastAsia="Arial" w:hAnsi="Arial"/>
                <w:sz w:val="18"/>
                <w:szCs w:val="18"/>
                <w:color w:val="auto"/>
              </w:rPr>
              <w:t>F-77</w:t>
            </w: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40" w:top="460" w:right="29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the purpose of calculating diluted earnings per common share, the average closing price of the Company’s common stock for the three months ended March 31, 2015 was less than the conversion price for the Convertible Senior Notes outstanding as of March 31, 2015. Therefore, for all periods presented in the financial statements, the underlying shares for the intrinsic value of the embedded options in the Convertible Senior Notes have no impact on the computation of diluted earnings per common share.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Dividends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dividends declared during the three months ended March 31,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2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March 31, 2015</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00" w:type="dxa"/>
            <w:vAlign w:val="bottom"/>
            <w:gridSpan w:val="2"/>
            <w:vMerge w:val="continue"/>
          </w:tcPr>
          <w:p>
            <w:pPr>
              <w:spacing w:after="0"/>
              <w:rPr>
                <w:sz w:val="12"/>
                <w:szCs w:val="12"/>
                <w:color w:val="auto"/>
              </w:rPr>
            </w:pPr>
          </w:p>
        </w:tc>
        <w:tc>
          <w:tcPr>
            <w:tcW w:w="1780" w:type="dxa"/>
            <w:vAlign w:val="bottom"/>
            <w:gridSpan w:val="2"/>
          </w:tcPr>
          <w:p>
            <w:pPr>
              <w:ind w:left="300"/>
              <w:spacing w:after="0" w:line="142" w:lineRule="exact"/>
              <w:rPr>
                <w:sz w:val="20"/>
                <w:szCs w:val="20"/>
                <w:color w:val="auto"/>
              </w:rPr>
            </w:pPr>
            <w:r>
              <w:rPr>
                <w:rFonts w:ascii="Arial" w:cs="Arial" w:eastAsia="Arial" w:hAnsi="Arial"/>
                <w:sz w:val="14"/>
                <w:szCs w:val="14"/>
                <w:b w:val="1"/>
                <w:bCs w:val="1"/>
                <w:color w:val="auto"/>
              </w:rPr>
              <w:t>Record Date</w:t>
            </w:r>
          </w:p>
        </w:tc>
        <w:tc>
          <w:tcPr>
            <w:tcW w:w="172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rPr>
              <w:t>Payment Date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w w:val="92"/>
              </w:rPr>
              <w:t>Dividend per Share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February 24,</w:t>
            </w:r>
          </w:p>
        </w:tc>
        <w:tc>
          <w:tcPr>
            <w:tcW w:w="3620" w:type="dxa"/>
            <w:vAlign w:val="bottom"/>
            <w:tcBorders>
              <w:top w:val="single" w:sz="8" w:color="CCEEFF"/>
            </w:tcBorders>
            <w:shd w:val="clear" w:color="auto" w:fill="CCEEFF"/>
          </w:tcPr>
          <w:p>
            <w:pPr>
              <w:jc w:val="right"/>
              <w:ind w:right="3070"/>
              <w:spacing w:after="0"/>
              <w:rPr>
                <w:sz w:val="20"/>
                <w:szCs w:val="20"/>
                <w:color w:val="auto"/>
              </w:rPr>
            </w:pPr>
            <w:r>
              <w:rPr>
                <w:rFonts w:ascii="Arial" w:cs="Arial" w:eastAsia="Arial" w:hAnsi="Arial"/>
                <w:sz w:val="18"/>
                <w:szCs w:val="18"/>
                <w:color w:val="auto"/>
              </w:rPr>
              <w:t>2015</w:t>
            </w:r>
          </w:p>
        </w:tc>
        <w:tc>
          <w:tcPr>
            <w:tcW w:w="14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89"/>
              </w:rPr>
              <w:t>March 31, 2015</w:t>
            </w:r>
          </w:p>
        </w:tc>
        <w:tc>
          <w:tcPr>
            <w:tcW w:w="3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91"/>
              </w:rPr>
              <w:t>April 30, 2015</w:t>
            </w:r>
          </w:p>
        </w:tc>
        <w:tc>
          <w:tcPr>
            <w:tcW w:w="4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Dividends Declared</w:t>
            </w:r>
          </w:p>
        </w:tc>
        <w:tc>
          <w:tcPr>
            <w:tcW w:w="1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620" w:type="dxa"/>
            <w:vAlign w:val="bottom"/>
            <w:vMerge w:val="restart"/>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March 31, 2014</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vMerge w:val="continue"/>
          </w:tcPr>
          <w:p>
            <w:pPr>
              <w:spacing w:after="0"/>
              <w:rPr>
                <w:sz w:val="12"/>
                <w:szCs w:val="12"/>
                <w:color w:val="auto"/>
              </w:rPr>
            </w:pPr>
          </w:p>
        </w:tc>
        <w:tc>
          <w:tcPr>
            <w:tcW w:w="3620" w:type="dxa"/>
            <w:vAlign w:val="bottom"/>
            <w:tcBorders>
              <w:bottom w:val="single" w:sz="8" w:color="CCEEFF"/>
            </w:tcBorders>
            <w:vMerge w:val="continue"/>
          </w:tcPr>
          <w:p>
            <w:pPr>
              <w:spacing w:after="0"/>
              <w:rPr>
                <w:sz w:val="12"/>
                <w:szCs w:val="12"/>
                <w:color w:val="auto"/>
              </w:rPr>
            </w:pPr>
          </w:p>
        </w:tc>
        <w:tc>
          <w:tcPr>
            <w:tcW w:w="140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rPr>
              <w:t>Record Date</w:t>
            </w:r>
          </w:p>
        </w:tc>
        <w:tc>
          <w:tcPr>
            <w:tcW w:w="38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Payment Date</w:t>
            </w:r>
          </w:p>
        </w:tc>
        <w:tc>
          <w:tcPr>
            <w:tcW w:w="4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2"/>
              </w:rPr>
              <w:t>Dividend per Share</w:t>
            </w:r>
          </w:p>
        </w:tc>
        <w:tc>
          <w:tcPr>
            <w:tcW w:w="12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26, 2014</w:t>
            </w:r>
          </w:p>
        </w:tc>
        <w:tc>
          <w:tcPr>
            <w:tcW w:w="140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9"/>
              </w:rPr>
              <w:t>March 31, 2014</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April 30, 2014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Dividends Declared</w:t>
            </w:r>
          </w:p>
        </w:tc>
        <w:tc>
          <w:tcPr>
            <w:tcW w:w="1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dividends declared during the three months ended March 31, 2015 and 2014 were derived from net investment income, determined on a tax basis.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character of shareholder distributions attributable to the three months ended March 31, 2015 and 2014 were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jc w:val="right"/>
              <w:ind w:right="37"/>
              <w:spacing w:after="0"/>
              <w:rPr>
                <w:sz w:val="20"/>
                <w:szCs w:val="20"/>
                <w:color w:val="auto"/>
              </w:rPr>
            </w:pPr>
            <w:r>
              <w:rPr>
                <w:rFonts w:ascii="Arial" w:cs="Arial" w:eastAsia="Arial" w:hAnsi="Arial"/>
                <w:sz w:val="14"/>
                <w:szCs w:val="14"/>
                <w:b w:val="1"/>
                <w:bCs w:val="1"/>
                <w:color w:val="auto"/>
                <w:w w:val="95"/>
              </w:rPr>
              <w:t>Three Months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jc w:val="right"/>
              <w:ind w:right="217"/>
              <w:spacing w:after="0"/>
              <w:rPr>
                <w:sz w:val="20"/>
                <w:szCs w:val="20"/>
                <w:color w:val="auto"/>
              </w:rPr>
            </w:pPr>
            <w:r>
              <w:rPr>
                <w:rFonts w:ascii="Arial" w:cs="Arial" w:eastAsia="Arial" w:hAnsi="Arial"/>
                <w:sz w:val="14"/>
                <w:szCs w:val="14"/>
                <w:b w:val="1"/>
                <w:bCs w:val="1"/>
                <w:color w:val="auto"/>
              </w:rPr>
              <w:t>March 31, 2015</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2014</w:t>
            </w:r>
          </w:p>
        </w:tc>
      </w:tr>
      <w:tr>
        <w:trPr>
          <w:trHeight w:val="210"/>
        </w:trPr>
        <w:tc>
          <w:tcPr>
            <w:tcW w:w="20" w:type="dxa"/>
            <w:vAlign w:val="bottom"/>
          </w:tcPr>
          <w:p>
            <w:pPr>
              <w:spacing w:after="0"/>
              <w:rPr>
                <w:sz w:val="18"/>
                <w:szCs w:val="18"/>
                <w:color w:val="auto"/>
              </w:rPr>
            </w:pPr>
          </w:p>
        </w:tc>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Ordinary Income</w:t>
            </w:r>
            <w:r>
              <w:rPr>
                <w:rFonts w:ascii="Arial" w:cs="Arial" w:eastAsia="Arial" w:hAnsi="Arial"/>
                <w:sz w:val="15"/>
                <w:szCs w:val="15"/>
                <w:color w:val="auto"/>
              </w:rPr>
              <w:t>(1)</w:t>
            </w:r>
          </w:p>
        </w:tc>
        <w:tc>
          <w:tcPr>
            <w:tcW w:w="17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Capital Gains</w:t>
            </w:r>
          </w:p>
        </w:tc>
        <w:tc>
          <w:tcPr>
            <w:tcW w:w="17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77" w:lineRule="auto"/>
        <w:tabs>
          <w:tab w:leader="none" w:pos="4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For the three months ended March 31, 2015 and 2014, 75.9% and 84.0% of ordinary income qualified as interest related dividend which is exempt from U.S. withholding tax applicable to non U.S. shareholders.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400"/>
          </w:cols>
          <w:pgMar w:left="240" w:top="459" w:right="25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reconciles increase in net assets resulting from operations for the three months ended March 31, 2015 and 2014 to taxable income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2015 and 2014:</w:t>
      </w:r>
    </w:p>
    <w:p>
      <w:pPr>
        <w:spacing w:after="0" w:line="21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4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March 31, 2015</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 2014</w:t>
            </w: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24,468</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25,348</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Adjustments: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on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(5,715)</w:t>
            </w:r>
          </w:p>
        </w:tc>
      </w:tr>
      <w:tr>
        <w:trPr>
          <w:trHeight w:val="216"/>
        </w:trPr>
        <w:tc>
          <w:tcPr>
            <w:tcW w:w="4840" w:type="dxa"/>
            <w:vAlign w:val="bottom"/>
          </w:tcPr>
          <w:p>
            <w:pPr>
              <w:ind w:left="360"/>
              <w:spacing w:after="0"/>
              <w:rPr>
                <w:sz w:val="20"/>
                <w:szCs w:val="20"/>
                <w:color w:val="auto"/>
              </w:rPr>
            </w:pPr>
            <w:r>
              <w:rPr>
                <w:rFonts w:ascii="Arial" w:cs="Arial" w:eastAsia="Arial" w:hAnsi="Arial"/>
                <w:sz w:val="18"/>
                <w:szCs w:val="18"/>
                <w:color w:val="auto"/>
              </w:rPr>
              <w:t>Other income for tax purposes, not book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organization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r>
      <w:tr>
        <w:trPr>
          <w:trHeight w:val="216"/>
        </w:trPr>
        <w:tc>
          <w:tcPr>
            <w:tcW w:w="4840" w:type="dxa"/>
            <w:vAlign w:val="bottom"/>
          </w:tcPr>
          <w:p>
            <w:pPr>
              <w:ind w:left="360"/>
              <w:spacing w:after="0"/>
              <w:rPr>
                <w:sz w:val="20"/>
                <w:szCs w:val="20"/>
                <w:color w:val="auto"/>
              </w:rPr>
            </w:pPr>
            <w:r>
              <w:rPr>
                <w:rFonts w:ascii="Arial" w:cs="Arial" w:eastAsia="Arial" w:hAnsi="Arial"/>
                <w:sz w:val="18"/>
                <w:szCs w:val="18"/>
                <w:color w:val="auto"/>
              </w:rPr>
              <w:t>Other expenses not currently deductible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8"/>
                <w:szCs w:val="18"/>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book-tax differences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(1,188)</w:t>
            </w:r>
          </w:p>
        </w:tc>
      </w:tr>
      <w:tr>
        <w:trPr>
          <w:trHeight w:val="223"/>
        </w:trPr>
        <w:tc>
          <w:tcPr>
            <w:tcW w:w="4840" w:type="dxa"/>
            <w:vAlign w:val="bottom"/>
          </w:tcPr>
          <w:p>
            <w:pPr>
              <w:ind w:left="720"/>
              <w:spacing w:after="0"/>
              <w:rPr>
                <w:sz w:val="20"/>
                <w:szCs w:val="20"/>
                <w:color w:val="auto"/>
              </w:rPr>
            </w:pPr>
            <w:r>
              <w:rPr>
                <w:rFonts w:ascii="Arial" w:cs="Arial" w:eastAsia="Arial" w:hAnsi="Arial"/>
                <w:sz w:val="18"/>
                <w:szCs w:val="18"/>
                <w:b w:val="1"/>
                <w:bCs w:val="1"/>
                <w:color w:val="auto"/>
              </w:rPr>
              <w:t>Taxable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24,190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18,601</w:t>
            </w:r>
          </w:p>
        </w:tc>
        <w:tc>
          <w:tcPr>
            <w:tcW w:w="140" w:type="dxa"/>
            <w:vAlign w:val="bottom"/>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 Taxable income is an estimate and is not fully determined until the Company’s tax return is filed.</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makes certain adjustments to the classification of stockholders’ equity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undistributed net investment income or undistributed net realized gains on investments, as appropriate. In addition, due to the Company’s differing fiscal, tax, and excise tax year ends, the best estimates available are recorded to the above accounts in the period that such differences arise or are identifiable.</w:t>
      </w:r>
    </w:p>
    <w:p>
      <w:pPr>
        <w:spacing w:after="0" w:line="188"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During the three months ended March 31, 2015, permanent differences were principally related to $1.7 million of recharacterization of prepayment penalties for tax purposes between ordinary income and capital gains, $1.9 million attributable to derivative reclassifications, and $0.3 million attributable to accrued U.S. federal excise taxes. During the three months ended March 31, 2014, permanent differences of $1.6 million were principally attributable to foreign currency reclassifications, $1.0 million of recharacterization of prepayment penalties for tax purposes between ordinary income and capital gains, as well as $9 thousand attributed to accrued U.S. federal excise taxes.</w:t>
      </w:r>
    </w:p>
    <w:p>
      <w:pPr>
        <w:spacing w:after="0" w:line="188"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 xml:space="preserve">The Company neither has any uncertain tax positions that met the recognition or measurement criteria of ASC 740-10-25, </w:t>
      </w:r>
      <w:r>
        <w:rPr>
          <w:rFonts w:ascii="Arial" w:cs="Arial" w:eastAsia="Arial" w:hAnsi="Arial"/>
          <w:sz w:val="17"/>
          <w:szCs w:val="17"/>
          <w:i w:val="1"/>
          <w:iCs w:val="1"/>
          <w:color w:val="auto"/>
        </w:rPr>
        <w:t>Income Taxes</w:t>
      </w:r>
      <w:r>
        <w:rPr>
          <w:rFonts w:ascii="Arial" w:cs="Arial" w:eastAsia="Arial" w:hAnsi="Arial"/>
          <w:sz w:val="17"/>
          <w:szCs w:val="17"/>
          <w:color w:val="auto"/>
        </w:rPr>
        <w:t>, nor did the Company have any unrecognized tax benefits as of the periods presented herein. Although the Company files federal and state tax returns, our major tax jurisdiction is federal. Our inception-to-date federal tax year remains subject to examination by the Internal Revenue Service.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cost of the Company’s investments as of March 31, 2015 and December 31, 2014, approximates their amortized cost.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420"/>
          </w:cols>
          <w:pgMar w:left="240" w:top="460" w:right="2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Highlights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following per share data and ratios have been derived from information provided in the consolidated financial statements. The following are the financial highlights for one share of common stock outstanding during the three months ended March 31, 2015 and 2014.</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95"/>
              </w:rPr>
              <w:t>Three Months Ended</w:t>
            </w:r>
          </w:p>
        </w:tc>
        <w:tc>
          <w:tcPr>
            <w:tcW w:w="560" w:type="dxa"/>
            <w:vAlign w:val="bottom"/>
          </w:tcPr>
          <w:p>
            <w:pPr>
              <w:spacing w:after="0"/>
              <w:rPr>
                <w:sz w:val="14"/>
                <w:szCs w:val="14"/>
                <w:color w:val="auto"/>
              </w:rPr>
            </w:pPr>
          </w:p>
        </w:tc>
        <w:tc>
          <w:tcPr>
            <w:tcW w:w="15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3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March 31, 2015</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March 31, 2014</w:t>
            </w:r>
          </w:p>
        </w:tc>
      </w:tr>
      <w:tr>
        <w:trPr>
          <w:trHeight w:val="196"/>
        </w:trPr>
        <w:tc>
          <w:tcPr>
            <w:tcW w:w="3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15.53</w:t>
            </w:r>
          </w:p>
        </w:tc>
        <w:tc>
          <w:tcPr>
            <w:tcW w:w="7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15.52</w:t>
            </w:r>
          </w:p>
        </w:tc>
        <w:tc>
          <w:tcPr>
            <w:tcW w:w="20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5"/>
                <w:szCs w:val="15"/>
                <w:color w:val="auto"/>
              </w:rPr>
              <w:t>(1)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00" w:type="dxa"/>
            <w:vAlign w:val="bottom"/>
            <w:shd w:val="clear" w:color="auto" w:fill="CCEEFF"/>
          </w:tcPr>
          <w:p>
            <w:pPr>
              <w:spacing w:after="0"/>
              <w:rPr>
                <w:sz w:val="18"/>
                <w:szCs w:val="18"/>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Net realized and unrealized gain</w:t>
            </w:r>
            <w:r>
              <w:rPr>
                <w:rFonts w:ascii="Arial" w:cs="Arial" w:eastAsia="Arial" w:hAnsi="Arial"/>
                <w:sz w:val="15"/>
                <w:szCs w:val="15"/>
                <w:color w:val="auto"/>
              </w:rPr>
              <w:t>(1)</w:t>
            </w: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200" w:type="dxa"/>
            <w:vAlign w:val="bottom"/>
          </w:tcPr>
          <w:p>
            <w:pPr>
              <w:spacing w:after="0"/>
              <w:rPr>
                <w:sz w:val="19"/>
                <w:szCs w:val="19"/>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from operations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200" w:type="dxa"/>
            <w:vAlign w:val="bottom"/>
            <w:shd w:val="clear" w:color="auto" w:fill="CCEEFF"/>
          </w:tcPr>
          <w:p>
            <w:pPr>
              <w:spacing w:after="0"/>
              <w:rPr>
                <w:sz w:val="18"/>
                <w:szCs w:val="18"/>
                <w:color w:val="auto"/>
              </w:rPr>
            </w:pPr>
          </w:p>
        </w:tc>
      </w:tr>
      <w:tr>
        <w:trPr>
          <w:trHeight w:val="202"/>
        </w:trPr>
        <w:tc>
          <w:tcPr>
            <w:tcW w:w="3840" w:type="dxa"/>
            <w:vAlign w:val="bottom"/>
          </w:tcPr>
          <w:p>
            <w:pPr>
              <w:spacing w:after="0" w:line="201" w:lineRule="exact"/>
              <w:rPr>
                <w:sz w:val="20"/>
                <w:szCs w:val="20"/>
                <w:color w:val="auto"/>
              </w:rPr>
            </w:pPr>
            <w:r>
              <w:rPr>
                <w:rFonts w:ascii="Arial" w:cs="Arial" w:eastAsia="Arial" w:hAnsi="Arial"/>
                <w:sz w:val="18"/>
                <w:szCs w:val="18"/>
                <w:color w:val="auto"/>
              </w:rPr>
              <w:t>Issuance of common stock, net of offering</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3840" w:type="dxa"/>
            <w:vAlign w:val="bottom"/>
          </w:tcPr>
          <w:p>
            <w:pPr>
              <w:ind w:left="180"/>
              <w:spacing w:after="0"/>
              <w:rPr>
                <w:sz w:val="20"/>
                <w:szCs w:val="20"/>
                <w:color w:val="auto"/>
              </w:rPr>
            </w:pPr>
            <w:r>
              <w:rPr>
                <w:rFonts w:ascii="Arial" w:cs="Arial" w:eastAsia="Arial" w:hAnsi="Arial"/>
                <w:sz w:val="18"/>
                <w:szCs w:val="18"/>
                <w:color w:val="auto"/>
              </w:rPr>
              <w:t>costs</w:t>
            </w:r>
            <w:r>
              <w:rPr>
                <w:rFonts w:ascii="Arial" w:cs="Arial" w:eastAsia="Arial" w:hAnsi="Arial"/>
                <w:sz w:val="15"/>
                <w:szCs w:val="15"/>
                <w:color w:val="auto"/>
              </w:rPr>
              <w:t>(1)</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(0.24)</w:t>
            </w:r>
          </w:p>
        </w:tc>
      </w:tr>
      <w:tr>
        <w:trPr>
          <w:trHeight w:val="202"/>
        </w:trPr>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Dividends declared from net investment</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w:t>
            </w:r>
            <w:r>
              <w:rPr>
                <w:rFonts w:ascii="Arial" w:cs="Arial" w:eastAsia="Arial" w:hAnsi="Arial"/>
                <w:sz w:val="15"/>
                <w:szCs w:val="15"/>
                <w:color w:val="auto"/>
              </w:rPr>
              <w:t>(2)</w:t>
            </w: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(0.39)</w:t>
            </w: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(0.38)</w:t>
            </w:r>
          </w:p>
        </w:tc>
      </w:tr>
      <w:tr>
        <w:trPr>
          <w:trHeight w:val="230"/>
        </w:trPr>
        <w:tc>
          <w:tcPr>
            <w:tcW w:w="3840" w:type="dxa"/>
            <w:vAlign w:val="bottom"/>
          </w:tcPr>
          <w:p>
            <w:pPr>
              <w:ind w:left="360"/>
              <w:spacing w:after="0"/>
              <w:rPr>
                <w:sz w:val="20"/>
                <w:szCs w:val="20"/>
                <w:color w:val="auto"/>
              </w:rPr>
            </w:pPr>
            <w:r>
              <w:rPr>
                <w:rFonts w:ascii="Arial" w:cs="Arial" w:eastAsia="Arial" w:hAnsi="Arial"/>
                <w:sz w:val="18"/>
                <w:szCs w:val="18"/>
                <w:color w:val="auto"/>
              </w:rPr>
              <w:t>Total increase (decrease) in net assets</w:t>
            </w: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20"/>
                <w:szCs w:val="20"/>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Asset Value, End of Period</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7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200" w:type="dxa"/>
            <w:vAlign w:val="bottom"/>
            <w:shd w:val="clear" w:color="auto" w:fill="CCEEFF"/>
          </w:tcPr>
          <w:p>
            <w:pPr>
              <w:spacing w:after="0"/>
              <w:rPr>
                <w:sz w:val="18"/>
                <w:szCs w:val="18"/>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Per share market value at end of period</w:t>
            </w:r>
          </w:p>
        </w:tc>
        <w:tc>
          <w:tcPr>
            <w:tcW w:w="6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17.21</w:t>
            </w: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16.60</w:t>
            </w:r>
          </w:p>
        </w:tc>
        <w:tc>
          <w:tcPr>
            <w:tcW w:w="200" w:type="dxa"/>
            <w:vAlign w:val="bottom"/>
          </w:tcPr>
          <w:p>
            <w:pPr>
              <w:spacing w:after="0"/>
              <w:rPr>
                <w:sz w:val="19"/>
                <w:szCs w:val="19"/>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return based on market value</w:t>
            </w:r>
            <w:r>
              <w:rPr>
                <w:rFonts w:ascii="Arial" w:cs="Arial" w:eastAsia="Arial" w:hAnsi="Arial"/>
                <w:sz w:val="15"/>
                <w:szCs w:val="15"/>
                <w:color w:val="auto"/>
              </w:rPr>
              <w:t>(3)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4.6%</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Total return based on net asset value</w:t>
            </w:r>
            <w:r>
              <w:rPr>
                <w:rFonts w:ascii="Arial" w:cs="Arial" w:eastAsia="Arial" w:hAnsi="Arial"/>
                <w:sz w:val="15"/>
                <w:szCs w:val="15"/>
                <w:color w:val="auto"/>
              </w:rPr>
              <w:t>(4)</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2"/>
          </w:tcPr>
          <w:p>
            <w:pPr>
              <w:jc w:val="right"/>
              <w:ind w:right="580"/>
              <w:spacing w:after="0"/>
              <w:rPr>
                <w:sz w:val="20"/>
                <w:szCs w:val="20"/>
                <w:color w:val="auto"/>
              </w:rPr>
            </w:pPr>
            <w:r>
              <w:rPr>
                <w:rFonts w:ascii="Arial" w:cs="Arial" w:eastAsia="Arial" w:hAnsi="Arial"/>
                <w:sz w:val="18"/>
                <w:szCs w:val="18"/>
                <w:color w:val="auto"/>
              </w:rPr>
              <w:t>3.0%</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End of Period</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53,959,848</w:t>
            </w: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51,887,708</w:t>
            </w:r>
          </w:p>
        </w:tc>
        <w:tc>
          <w:tcPr>
            <w:tcW w:w="20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color w:val="auto"/>
              </w:rPr>
              <w:t>Ratios / Supplemental Data</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Ratio of net expenses to average net assets</w:t>
            </w:r>
            <w:r>
              <w:rPr>
                <w:rFonts w:ascii="Arial" w:cs="Arial" w:eastAsia="Arial" w:hAnsi="Arial"/>
                <w:sz w:val="15"/>
                <w:szCs w:val="15"/>
                <w:color w:val="auto"/>
              </w:rPr>
              <w:t>(5)</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7.9%</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r>
      <w:tr>
        <w:trPr>
          <w:trHeight w:val="202"/>
        </w:trPr>
        <w:tc>
          <w:tcPr>
            <w:tcW w:w="3840" w:type="dxa"/>
            <w:vAlign w:val="bottom"/>
          </w:tcPr>
          <w:p>
            <w:pPr>
              <w:spacing w:after="0" w:line="201" w:lineRule="exact"/>
              <w:rPr>
                <w:sz w:val="20"/>
                <w:szCs w:val="20"/>
                <w:color w:val="auto"/>
              </w:rPr>
            </w:pPr>
            <w:r>
              <w:rPr>
                <w:rFonts w:ascii="Arial" w:cs="Arial" w:eastAsia="Arial" w:hAnsi="Arial"/>
                <w:sz w:val="18"/>
                <w:szCs w:val="18"/>
                <w:color w:val="auto"/>
              </w:rPr>
              <w:t>Ratio of net investment income to average</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3840" w:type="dxa"/>
            <w:vAlign w:val="bottom"/>
          </w:tcPr>
          <w:p>
            <w:pPr>
              <w:ind w:left="180"/>
              <w:spacing w:after="0"/>
              <w:rPr>
                <w:sz w:val="20"/>
                <w:szCs w:val="20"/>
                <w:color w:val="auto"/>
              </w:rPr>
            </w:pPr>
            <w:r>
              <w:rPr>
                <w:rFonts w:ascii="Arial" w:cs="Arial" w:eastAsia="Arial" w:hAnsi="Arial"/>
                <w:sz w:val="18"/>
                <w:szCs w:val="18"/>
                <w:color w:val="auto"/>
              </w:rPr>
              <w:t>net assets</w:t>
            </w:r>
            <w:r>
              <w:rPr>
                <w:rFonts w:ascii="Arial" w:cs="Arial" w:eastAsia="Arial" w:hAnsi="Arial"/>
                <w:sz w:val="15"/>
                <w:szCs w:val="15"/>
                <w:color w:val="auto"/>
              </w:rPr>
              <w:t>(5)</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2"/>
          </w:tcPr>
          <w:p>
            <w:pPr>
              <w:jc w:val="right"/>
              <w:ind w:right="580"/>
              <w:spacing w:after="0"/>
              <w:rPr>
                <w:sz w:val="20"/>
                <w:szCs w:val="20"/>
                <w:color w:val="auto"/>
              </w:rPr>
            </w:pPr>
            <w:r>
              <w:rPr>
                <w:rFonts w:ascii="Arial" w:cs="Arial" w:eastAsia="Arial" w:hAnsi="Arial"/>
                <w:sz w:val="18"/>
                <w:szCs w:val="18"/>
                <w:color w:val="auto"/>
              </w:rPr>
              <w:t>9.9%</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13.8%</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w:t>
            </w:r>
            <w:r>
              <w:rPr>
                <w:rFonts w:ascii="Arial" w:cs="Arial" w:eastAsia="Arial" w:hAnsi="Arial"/>
                <w:sz w:val="15"/>
                <w:szCs w:val="15"/>
                <w:color w:val="auto"/>
              </w:rPr>
              <w:t>(5)</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19.9%</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Net assets, end of period</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841,530</w:t>
            </w:r>
          </w:p>
        </w:tc>
        <w:tc>
          <w:tcPr>
            <w:tcW w:w="7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804,755</w:t>
            </w:r>
          </w:p>
        </w:tc>
        <w:tc>
          <w:tcPr>
            <w:tcW w:w="200" w:type="dxa"/>
            <w:vAlign w:val="bottom"/>
          </w:tcPr>
          <w:p>
            <w:pPr>
              <w:spacing w:after="0"/>
              <w:rPr>
                <w:sz w:val="20"/>
                <w:szCs w:val="20"/>
                <w:color w:val="auto"/>
              </w:rPr>
            </w:pPr>
          </w:p>
        </w:tc>
      </w:tr>
    </w:tbl>
    <w:p>
      <w:pPr>
        <w:spacing w:after="0" w:line="214" w:lineRule="exact"/>
        <w:rPr>
          <w:sz w:val="20"/>
          <w:szCs w:val="20"/>
          <w:color w:val="auto"/>
        </w:rPr>
      </w:pPr>
    </w:p>
    <w:p>
      <w:pPr>
        <w:ind w:left="460" w:hanging="452"/>
        <w:spacing w:after="0"/>
        <w:tabs>
          <w:tab w:leader="none" w:pos="4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Total return based on market value is calculated as the change in market value per share during the period plus declared dividends per share, divided by the beginning market value per share.</w:t>
      </w:r>
    </w:p>
    <w:p>
      <w:pPr>
        <w:ind w:left="460" w:hanging="452"/>
        <w:spacing w:after="0" w:line="250" w:lineRule="auto"/>
        <w:tabs>
          <w:tab w:leader="none" w:pos="4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Total return based on net asset value is calculated as the change in net asset value per share during the period plus declared dividends per share, divided by the beginning net asset value per share.</w:t>
      </w:r>
    </w:p>
    <w:p>
      <w:pPr>
        <w:ind w:left="460" w:hanging="452"/>
        <w:spacing w:after="0"/>
        <w:tabs>
          <w:tab w:leader="none" w:pos="4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ratios reflect an annualized amount.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360"/>
          </w:cols>
          <w:pgMar w:left="240" w:top="459" w:right="299" w:bottom="1440" w:gutter="0" w:footer="0" w:header="0"/>
        </w:sectPr>
      </w:pPr>
    </w:p>
    <w:bookmarkStart w:id="267" w:name="page268"/>
    <w:bookmarkEnd w:id="267"/>
    <w:tbl>
      <w:tblPr>
        <w:tblLayout w:type="fixed"/>
        <w:tblInd w:w="0" w:type="dxa"/>
        <w:tblCellMar>
          <w:top w:w="0" w:type="dxa"/>
          <w:left w:w="0" w:type="dxa"/>
          <w:bottom w:w="0" w:type="dxa"/>
          <w:right w:w="0" w:type="dxa"/>
        </w:tblCellMar>
      </w:tblPr>
      <w:tr>
        <w:trPr>
          <w:trHeight w:val="207"/>
        </w:trPr>
        <w:tc>
          <w:tcPr>
            <w:tcW w:w="10060" w:type="dxa"/>
            <w:vAlign w:val="bottom"/>
            <w:gridSpan w:val="14"/>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126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1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40" w:type="dxa"/>
            <w:vAlign w:val="bottom"/>
            <w:gridSpan w:val="11"/>
          </w:tcPr>
          <w:p>
            <w:pPr>
              <w:jc w:val="center"/>
              <w:ind w:right="2860"/>
              <w:spacing w:after="0"/>
              <w:rPr>
                <w:sz w:val="20"/>
                <w:szCs w:val="20"/>
                <w:color w:val="auto"/>
              </w:rPr>
            </w:pPr>
            <w:r>
              <w:rPr>
                <w:rFonts w:ascii="Arial" w:cs="Arial" w:eastAsia="Arial" w:hAnsi="Arial"/>
                <w:sz w:val="18"/>
                <w:szCs w:val="18"/>
                <w:b w:val="1"/>
                <w:bCs w:val="1"/>
                <w:color w:val="auto"/>
              </w:rPr>
              <w:t>TPG SPECIALTY LENDING, INC.</w:t>
            </w:r>
          </w:p>
        </w:tc>
        <w:tc>
          <w:tcPr>
            <w:tcW w:w="1260" w:type="dxa"/>
            <w:vAlign w:val="bottom"/>
          </w:tcPr>
          <w:p>
            <w:pPr>
              <w:spacing w:after="0"/>
              <w:rPr>
                <w:sz w:val="24"/>
                <w:szCs w:val="24"/>
                <w:color w:val="auto"/>
              </w:rPr>
            </w:pPr>
          </w:p>
        </w:tc>
      </w:tr>
      <w:tr>
        <w:trPr>
          <w:trHeight w:val="324"/>
        </w:trPr>
        <w:tc>
          <w:tcPr>
            <w:tcW w:w="1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0" w:type="dxa"/>
            <w:vAlign w:val="bottom"/>
            <w:gridSpan w:val="10"/>
          </w:tcPr>
          <w:p>
            <w:pPr>
              <w:jc w:val="center"/>
              <w:ind w:right="3280"/>
              <w:spacing w:after="0"/>
              <w:rPr>
                <w:sz w:val="20"/>
                <w:szCs w:val="20"/>
                <w:color w:val="auto"/>
              </w:rPr>
            </w:pPr>
            <w:r>
              <w:rPr>
                <w:rFonts w:ascii="Arial" w:cs="Arial" w:eastAsia="Arial" w:hAnsi="Arial"/>
                <w:sz w:val="18"/>
                <w:szCs w:val="18"/>
                <w:b w:val="1"/>
                <w:bCs w:val="1"/>
                <w:color w:val="auto"/>
                <w:w w:val="95"/>
              </w:rPr>
              <w:t>PART C</w:t>
            </w:r>
          </w:p>
        </w:tc>
        <w:tc>
          <w:tcPr>
            <w:tcW w:w="1260" w:type="dxa"/>
            <w:vAlign w:val="bottom"/>
          </w:tcPr>
          <w:p>
            <w:pPr>
              <w:spacing w:after="0"/>
              <w:rPr>
                <w:sz w:val="24"/>
                <w:szCs w:val="24"/>
                <w:color w:val="auto"/>
              </w:rPr>
            </w:pPr>
          </w:p>
        </w:tc>
      </w:tr>
      <w:tr>
        <w:trPr>
          <w:trHeight w:val="324"/>
        </w:trPr>
        <w:tc>
          <w:tcPr>
            <w:tcW w:w="1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0" w:type="dxa"/>
            <w:vAlign w:val="bottom"/>
            <w:gridSpan w:val="10"/>
          </w:tcPr>
          <w:p>
            <w:pPr>
              <w:jc w:val="center"/>
              <w:ind w:right="3280"/>
              <w:spacing w:after="0"/>
              <w:rPr>
                <w:sz w:val="20"/>
                <w:szCs w:val="20"/>
                <w:color w:val="auto"/>
              </w:rPr>
            </w:pPr>
            <w:r>
              <w:rPr>
                <w:rFonts w:ascii="Arial" w:cs="Arial" w:eastAsia="Arial" w:hAnsi="Arial"/>
                <w:sz w:val="18"/>
                <w:szCs w:val="18"/>
                <w:b w:val="1"/>
                <w:bCs w:val="1"/>
                <w:color w:val="auto"/>
                <w:w w:val="94"/>
              </w:rPr>
              <w:t>Other Information</w:t>
            </w:r>
          </w:p>
        </w:tc>
        <w:tc>
          <w:tcPr>
            <w:tcW w:w="1260" w:type="dxa"/>
            <w:vAlign w:val="bottom"/>
          </w:tcPr>
          <w:p>
            <w:pPr>
              <w:spacing w:after="0"/>
              <w:rPr>
                <w:sz w:val="24"/>
                <w:szCs w:val="24"/>
                <w:color w:val="auto"/>
              </w:rPr>
            </w:pPr>
          </w:p>
        </w:tc>
      </w:tr>
      <w:tr>
        <w:trPr>
          <w:trHeight w:val="338"/>
        </w:trPr>
        <w:tc>
          <w:tcPr>
            <w:tcW w:w="10060" w:type="dxa"/>
            <w:vAlign w:val="bottom"/>
            <w:gridSpan w:val="14"/>
          </w:tcPr>
          <w:p>
            <w:pPr>
              <w:spacing w:after="0"/>
              <w:rPr>
                <w:sz w:val="20"/>
                <w:szCs w:val="20"/>
                <w:color w:val="auto"/>
              </w:rPr>
            </w:pPr>
            <w:r>
              <w:rPr>
                <w:rFonts w:ascii="Arial" w:cs="Arial" w:eastAsia="Arial" w:hAnsi="Arial"/>
                <w:sz w:val="18"/>
                <w:szCs w:val="18"/>
                <w:b w:val="1"/>
                <w:bCs w:val="1"/>
                <w:color w:val="auto"/>
              </w:rPr>
              <w:t>Item 25.   Financial Statements and Exhibits</w:t>
            </w:r>
          </w:p>
        </w:tc>
        <w:tc>
          <w:tcPr>
            <w:tcW w:w="1260" w:type="dxa"/>
            <w:vAlign w:val="bottom"/>
          </w:tcPr>
          <w:p>
            <w:pPr>
              <w:spacing w:after="0"/>
              <w:rPr>
                <w:sz w:val="24"/>
                <w:szCs w:val="24"/>
                <w:color w:val="auto"/>
              </w:rPr>
            </w:pPr>
          </w:p>
        </w:tc>
      </w:tr>
      <w:tr>
        <w:trPr>
          <w:trHeight w:val="324"/>
        </w:trPr>
        <w:tc>
          <w:tcPr>
            <w:tcW w:w="10060" w:type="dxa"/>
            <w:vAlign w:val="bottom"/>
            <w:gridSpan w:val="14"/>
          </w:tcPr>
          <w:p>
            <w:pPr>
              <w:spacing w:after="0"/>
              <w:rPr>
                <w:sz w:val="20"/>
                <w:szCs w:val="20"/>
                <w:color w:val="auto"/>
              </w:rPr>
            </w:pPr>
            <w:r>
              <w:rPr>
                <w:rFonts w:ascii="Arial" w:cs="Arial" w:eastAsia="Arial" w:hAnsi="Arial"/>
                <w:sz w:val="18"/>
                <w:szCs w:val="18"/>
                <w:b w:val="1"/>
                <w:bCs w:val="1"/>
                <w:color w:val="auto"/>
              </w:rPr>
              <w:t>(1) Financial Statements</w:t>
            </w:r>
          </w:p>
        </w:tc>
        <w:tc>
          <w:tcPr>
            <w:tcW w:w="1260" w:type="dxa"/>
            <w:vAlign w:val="bottom"/>
          </w:tcPr>
          <w:p>
            <w:pPr>
              <w:spacing w:after="0"/>
              <w:rPr>
                <w:sz w:val="24"/>
                <w:szCs w:val="24"/>
                <w:color w:val="auto"/>
              </w:rPr>
            </w:pPr>
          </w:p>
        </w:tc>
      </w:tr>
      <w:tr>
        <w:trPr>
          <w:trHeight w:val="324"/>
        </w:trPr>
        <w:tc>
          <w:tcPr>
            <w:tcW w:w="10060" w:type="dxa"/>
            <w:vAlign w:val="bottom"/>
            <w:gridSpan w:val="14"/>
          </w:tcPr>
          <w:p>
            <w:pPr>
              <w:ind w:left="460"/>
              <w:spacing w:after="0"/>
              <w:rPr>
                <w:sz w:val="20"/>
                <w:szCs w:val="20"/>
                <w:color w:val="auto"/>
              </w:rPr>
            </w:pPr>
            <w:r>
              <w:rPr>
                <w:rFonts w:ascii="Arial" w:cs="Arial" w:eastAsia="Arial" w:hAnsi="Arial"/>
                <w:sz w:val="18"/>
                <w:szCs w:val="18"/>
                <w:color w:val="auto"/>
              </w:rPr>
              <w:t>The following financial statements of TPG Specialty Lending, Inc. are provided in Part A of this Registration Statement:</w:t>
            </w:r>
          </w:p>
        </w:tc>
        <w:tc>
          <w:tcPr>
            <w:tcW w:w="1260" w:type="dxa"/>
            <w:vAlign w:val="bottom"/>
          </w:tcPr>
          <w:p>
            <w:pPr>
              <w:spacing w:after="0"/>
              <w:rPr>
                <w:sz w:val="24"/>
                <w:szCs w:val="24"/>
                <w:color w:val="auto"/>
              </w:rPr>
            </w:pPr>
          </w:p>
        </w:tc>
      </w:tr>
      <w:tr>
        <w:trPr>
          <w:trHeight w:val="445"/>
        </w:trPr>
        <w:tc>
          <w:tcPr>
            <w:tcW w:w="10060" w:type="dxa"/>
            <w:vAlign w:val="bottom"/>
            <w:gridSpan w:val="14"/>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1260" w:type="dxa"/>
            <w:vAlign w:val="bottom"/>
          </w:tcPr>
          <w:p>
            <w:pPr>
              <w:spacing w:after="0"/>
              <w:rPr>
                <w:sz w:val="24"/>
                <w:szCs w:val="24"/>
                <w:color w:val="auto"/>
              </w:rPr>
            </w:pPr>
          </w:p>
        </w:tc>
      </w:tr>
      <w:tr>
        <w:trPr>
          <w:trHeight w:val="190"/>
        </w:trPr>
        <w:tc>
          <w:tcPr>
            <w:tcW w:w="10060" w:type="dxa"/>
            <w:vAlign w:val="bottom"/>
            <w:gridSpan w:val="14"/>
          </w:tcPr>
          <w:p>
            <w:pPr>
              <w:spacing w:after="0" w:line="190" w:lineRule="exact"/>
              <w:rPr>
                <w:rFonts w:ascii="Arial" w:cs="Arial" w:eastAsia="Arial" w:hAnsi="Arial"/>
                <w:sz w:val="18"/>
                <w:szCs w:val="18"/>
                <w:color w:val="0000EE"/>
              </w:rPr>
            </w:pPr>
            <w:hyperlink w:anchor="page189">
              <w:r>
                <w:rPr>
                  <w:rFonts w:ascii="Arial" w:cs="Arial" w:eastAsia="Arial" w:hAnsi="Arial"/>
                  <w:sz w:val="18"/>
                  <w:szCs w:val="18"/>
                  <w:color w:val="0000EE"/>
                </w:rPr>
                <w:t>Report of Independent Registered Public Accounting Firm</w:t>
              </w:r>
            </w:hyperlink>
          </w:p>
        </w:tc>
        <w:tc>
          <w:tcPr>
            <w:tcW w:w="126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90">
              <w:r>
                <w:rPr>
                  <w:rFonts w:ascii="Arial" w:cs="Arial" w:eastAsia="Arial" w:hAnsi="Arial"/>
                  <w:sz w:val="18"/>
                  <w:szCs w:val="18"/>
                  <w:color w:val="0000EE"/>
                  <w:w w:val="88"/>
                </w:rPr>
                <w:t>Consolidated Balance Sheets as of December 31, 2014 and 2013</w:t>
              </w:r>
            </w:hyperlink>
          </w:p>
        </w:tc>
        <w:tc>
          <w:tcPr>
            <w:tcW w:w="5400" w:type="dxa"/>
            <w:vAlign w:val="bottom"/>
            <w:gridSpan w:val="10"/>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10060" w:type="dxa"/>
            <w:vAlign w:val="bottom"/>
            <w:gridSpan w:val="14"/>
          </w:tcPr>
          <w:p>
            <w:pPr>
              <w:spacing w:after="0" w:line="196" w:lineRule="exact"/>
              <w:rPr>
                <w:rFonts w:ascii="Arial" w:cs="Arial" w:eastAsia="Arial" w:hAnsi="Arial"/>
                <w:sz w:val="18"/>
                <w:szCs w:val="18"/>
                <w:color w:val="0000EE"/>
              </w:rPr>
            </w:pPr>
            <w:hyperlink w:anchor="page191">
              <w:r>
                <w:rPr>
                  <w:rFonts w:ascii="Arial" w:cs="Arial" w:eastAsia="Arial" w:hAnsi="Arial"/>
                  <w:sz w:val="18"/>
                  <w:szCs w:val="18"/>
                  <w:color w:val="0000EE"/>
                </w:rPr>
                <w:t>Consolidated Statements of Operations for the Years Ended December 31, 2014, 2013 and 2012</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69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Consolidated Schedules of Investments as of December 31, 2014 and 2013</w:t>
              </w:r>
            </w:hyperlink>
          </w:p>
        </w:tc>
        <w:tc>
          <w:tcPr>
            <w:tcW w:w="3160" w:type="dxa"/>
            <w:vAlign w:val="bottom"/>
            <w:gridSpan w:val="4"/>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10060" w:type="dxa"/>
            <w:vAlign w:val="bottom"/>
            <w:gridSpan w:val="14"/>
          </w:tcPr>
          <w:p>
            <w:pPr>
              <w:spacing w:after="0" w:line="196" w:lineRule="exact"/>
              <w:rPr>
                <w:rFonts w:ascii="Arial" w:cs="Arial" w:eastAsia="Arial" w:hAnsi="Arial"/>
                <w:sz w:val="18"/>
                <w:szCs w:val="18"/>
                <w:color w:val="0000EE"/>
              </w:rPr>
            </w:pPr>
            <w:hyperlink w:anchor="page199">
              <w:r>
                <w:rPr>
                  <w:rFonts w:ascii="Arial" w:cs="Arial" w:eastAsia="Arial" w:hAnsi="Arial"/>
                  <w:sz w:val="18"/>
                  <w:szCs w:val="18"/>
                  <w:color w:val="0000EE"/>
                </w:rPr>
                <w:t>Consolidated Statements of Changes in Net Assets for the Years Ended December 31, 2014, 2013 and 2012</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F-12</w:t>
            </w:r>
          </w:p>
        </w:tc>
      </w:tr>
      <w:tr>
        <w:trPr>
          <w:trHeight w:val="196"/>
        </w:trPr>
        <w:tc>
          <w:tcPr>
            <w:tcW w:w="7740" w:type="dxa"/>
            <w:vAlign w:val="bottom"/>
            <w:tcBorders>
              <w:top w:val="single" w:sz="8" w:color="0000EE"/>
            </w:tcBorders>
            <w:gridSpan w:val="13"/>
          </w:tcPr>
          <w:p>
            <w:pPr>
              <w:spacing w:after="0" w:line="196" w:lineRule="exact"/>
              <w:rPr>
                <w:rFonts w:ascii="Arial" w:cs="Arial" w:eastAsia="Arial" w:hAnsi="Arial"/>
                <w:sz w:val="18"/>
                <w:szCs w:val="18"/>
                <w:color w:val="0000EE"/>
                <w:w w:val="99"/>
              </w:rPr>
            </w:pPr>
            <w:hyperlink w:anchor="page200">
              <w:r>
                <w:rPr>
                  <w:rFonts w:ascii="Arial" w:cs="Arial" w:eastAsia="Arial" w:hAnsi="Arial"/>
                  <w:sz w:val="18"/>
                  <w:szCs w:val="18"/>
                  <w:color w:val="0000EE"/>
                  <w:w w:val="99"/>
                </w:rPr>
                <w:t>Consolidated Statements of Cash Flows for the Years Ended December 31, 2014, 2013 and 2012</w:t>
              </w:r>
            </w:hyperlink>
          </w:p>
        </w:tc>
        <w:tc>
          <w:tcPr>
            <w:tcW w:w="232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F-13</w:t>
            </w:r>
          </w:p>
        </w:tc>
      </w:tr>
      <w:tr>
        <w:trPr>
          <w:trHeight w:val="196"/>
        </w:trPr>
        <w:tc>
          <w:tcPr>
            <w:tcW w:w="31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201">
              <w:r>
                <w:rPr>
                  <w:rFonts w:ascii="Arial" w:cs="Arial" w:eastAsia="Arial" w:hAnsi="Arial"/>
                  <w:sz w:val="18"/>
                  <w:szCs w:val="18"/>
                  <w:color w:val="0000EE"/>
                  <w:w w:val="89"/>
                </w:rPr>
                <w:t>Notes to Consolidated Financial Statements</w:t>
              </w:r>
            </w:hyperlink>
          </w:p>
        </w:tc>
        <w:tc>
          <w:tcPr>
            <w:tcW w:w="3800" w:type="dxa"/>
            <w:vAlign w:val="bottom"/>
            <w:tcBorders>
              <w:top w:val="single" w:sz="8" w:color="0000EE"/>
            </w:tcBorders>
            <w:gridSpan w:val="9"/>
          </w:tcPr>
          <w:p>
            <w:pPr>
              <w:spacing w:after="0"/>
              <w:rPr>
                <w:sz w:val="17"/>
                <w:szCs w:val="17"/>
                <w:color w:val="auto"/>
              </w:rPr>
            </w:pPr>
          </w:p>
        </w:tc>
        <w:tc>
          <w:tcPr>
            <w:tcW w:w="3100" w:type="dxa"/>
            <w:vAlign w:val="bottom"/>
            <w:gridSpan w:val="3"/>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F-14</w:t>
            </w:r>
          </w:p>
        </w:tc>
      </w:tr>
      <w:tr>
        <w:trPr>
          <w:trHeight w:val="438"/>
        </w:trPr>
        <w:tc>
          <w:tcPr>
            <w:tcW w:w="10060" w:type="dxa"/>
            <w:vAlign w:val="bottom"/>
            <w:gridSpan w:val="14"/>
          </w:tcPr>
          <w:p>
            <w:pPr>
              <w:spacing w:after="0"/>
              <w:rPr>
                <w:sz w:val="20"/>
                <w:szCs w:val="20"/>
                <w:color w:val="auto"/>
              </w:rPr>
            </w:pPr>
            <w:r>
              <w:rPr>
                <w:rFonts w:ascii="Arial" w:cs="Arial" w:eastAsia="Arial" w:hAnsi="Arial"/>
                <w:sz w:val="18"/>
                <w:szCs w:val="18"/>
                <w:b w:val="1"/>
                <w:bCs w:val="1"/>
                <w:color w:val="auto"/>
              </w:rPr>
              <w:t>Interim Unaudited Consolidated Financial Statements</w:t>
            </w:r>
          </w:p>
        </w:tc>
        <w:tc>
          <w:tcPr>
            <w:tcW w:w="1260" w:type="dxa"/>
            <w:vAlign w:val="bottom"/>
          </w:tcPr>
          <w:p>
            <w:pPr>
              <w:spacing w:after="0"/>
              <w:rPr>
                <w:sz w:val="24"/>
                <w:szCs w:val="24"/>
                <w:color w:val="auto"/>
              </w:rPr>
            </w:pPr>
          </w:p>
        </w:tc>
      </w:tr>
      <w:tr>
        <w:trPr>
          <w:trHeight w:val="190"/>
        </w:trPr>
        <w:tc>
          <w:tcPr>
            <w:tcW w:w="10060" w:type="dxa"/>
            <w:vAlign w:val="bottom"/>
            <w:gridSpan w:val="14"/>
          </w:tcPr>
          <w:p>
            <w:pPr>
              <w:spacing w:after="0" w:line="190" w:lineRule="exact"/>
              <w:rPr>
                <w:rFonts w:ascii="Arial" w:cs="Arial" w:eastAsia="Arial" w:hAnsi="Arial"/>
                <w:sz w:val="18"/>
                <w:szCs w:val="18"/>
                <w:color w:val="0000EE"/>
              </w:rPr>
            </w:pPr>
            <w:hyperlink w:anchor="page230">
              <w:r>
                <w:rPr>
                  <w:rFonts w:ascii="Arial" w:cs="Arial" w:eastAsia="Arial" w:hAnsi="Arial"/>
                  <w:sz w:val="18"/>
                  <w:szCs w:val="18"/>
                  <w:color w:val="0000EE"/>
                </w:rPr>
                <w:t>Consolidated Balance Sheets as of March 31, 2015 and December 31, 2014</w:t>
              </w:r>
            </w:hyperlink>
          </w:p>
        </w:tc>
        <w:tc>
          <w:tcPr>
            <w:tcW w:w="1260" w:type="dxa"/>
            <w:vAlign w:val="bottom"/>
          </w:tcPr>
          <w:p>
            <w:pPr>
              <w:jc w:val="right"/>
              <w:spacing w:after="0" w:line="190" w:lineRule="exact"/>
              <w:rPr>
                <w:sz w:val="20"/>
                <w:szCs w:val="20"/>
                <w:color w:val="auto"/>
              </w:rPr>
            </w:pPr>
            <w:r>
              <w:rPr>
                <w:rFonts w:ascii="Arial" w:cs="Arial" w:eastAsia="Arial" w:hAnsi="Arial"/>
                <w:sz w:val="18"/>
                <w:szCs w:val="18"/>
                <w:color w:val="auto"/>
              </w:rPr>
              <w:t>F-43</w:t>
            </w:r>
          </w:p>
        </w:tc>
      </w:tr>
      <w:tr>
        <w:trPr>
          <w:trHeight w:val="20"/>
        </w:trPr>
        <w:tc>
          <w:tcPr>
            <w:tcW w:w="5440" w:type="dxa"/>
            <w:vAlign w:val="bottom"/>
            <w:gridSpan w:val="6"/>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10060" w:type="dxa"/>
            <w:vAlign w:val="bottom"/>
            <w:gridSpan w:val="14"/>
          </w:tcPr>
          <w:p>
            <w:pPr>
              <w:spacing w:after="0" w:line="196" w:lineRule="exact"/>
              <w:rPr>
                <w:rFonts w:ascii="Arial" w:cs="Arial" w:eastAsia="Arial" w:hAnsi="Arial"/>
                <w:sz w:val="18"/>
                <w:szCs w:val="18"/>
                <w:color w:val="0000EE"/>
              </w:rPr>
            </w:pPr>
            <w:hyperlink w:anchor="page231">
              <w:r>
                <w:rPr>
                  <w:rFonts w:ascii="Arial" w:cs="Arial" w:eastAsia="Arial" w:hAnsi="Arial"/>
                  <w:sz w:val="18"/>
                  <w:szCs w:val="18"/>
                  <w:color w:val="0000EE"/>
                </w:rPr>
                <w:t>Consolidated Statements of Operations for the Three Months Ended March 31, 2015 and 2014</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F-44</w:t>
            </w:r>
          </w:p>
        </w:tc>
      </w:tr>
      <w:tr>
        <w:trPr>
          <w:trHeight w:val="196"/>
        </w:trPr>
        <w:tc>
          <w:tcPr>
            <w:tcW w:w="6800" w:type="dxa"/>
            <w:vAlign w:val="bottom"/>
            <w:tcBorders>
              <w:top w:val="single" w:sz="8" w:color="0000EE"/>
            </w:tcBorders>
            <w:gridSpan w:val="8"/>
          </w:tcPr>
          <w:p>
            <w:pPr>
              <w:spacing w:after="0" w:line="196" w:lineRule="exact"/>
              <w:rPr>
                <w:rFonts w:ascii="Arial" w:cs="Arial" w:eastAsia="Arial" w:hAnsi="Arial"/>
                <w:sz w:val="18"/>
                <w:szCs w:val="18"/>
                <w:color w:val="0000EE"/>
                <w:w w:val="98"/>
              </w:rPr>
            </w:pPr>
            <w:hyperlink w:anchor="page232">
              <w:r>
                <w:rPr>
                  <w:rFonts w:ascii="Arial" w:cs="Arial" w:eastAsia="Arial" w:hAnsi="Arial"/>
                  <w:sz w:val="18"/>
                  <w:szCs w:val="18"/>
                  <w:color w:val="0000EE"/>
                  <w:w w:val="98"/>
                </w:rPr>
                <w:t>Consolidated Schedules of Investments as of March 31, 2015 and December 31, 2014</w:t>
              </w:r>
            </w:hyperlink>
          </w:p>
        </w:tc>
        <w:tc>
          <w:tcPr>
            <w:tcW w:w="3260" w:type="dxa"/>
            <w:vAlign w:val="bottom"/>
            <w:gridSpan w:val="6"/>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F-45</w:t>
            </w:r>
          </w:p>
        </w:tc>
      </w:tr>
      <w:tr>
        <w:trPr>
          <w:trHeight w:val="20"/>
        </w:trPr>
        <w:tc>
          <w:tcPr>
            <w:tcW w:w="6180" w:type="dxa"/>
            <w:vAlign w:val="bottom"/>
            <w:gridSpan w:val="7"/>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10060" w:type="dxa"/>
            <w:vAlign w:val="bottom"/>
            <w:gridSpan w:val="14"/>
          </w:tcPr>
          <w:p>
            <w:pPr>
              <w:spacing w:after="0" w:line="196" w:lineRule="exact"/>
              <w:rPr>
                <w:rFonts w:ascii="Arial" w:cs="Arial" w:eastAsia="Arial" w:hAnsi="Arial"/>
                <w:sz w:val="18"/>
                <w:szCs w:val="18"/>
                <w:color w:val="0000EE"/>
              </w:rPr>
            </w:pPr>
            <w:hyperlink w:anchor="page240">
              <w:r>
                <w:rPr>
                  <w:rFonts w:ascii="Arial" w:cs="Arial" w:eastAsia="Arial" w:hAnsi="Arial"/>
                  <w:sz w:val="18"/>
                  <w:szCs w:val="18"/>
                  <w:color w:val="0000EE"/>
                </w:rPr>
                <w:t>Consolidated Statements of Changes in Net Assets for the Three Months Ended March 31, 2015 and 2014</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F-53</w:t>
            </w:r>
          </w:p>
        </w:tc>
      </w:tr>
      <w:tr>
        <w:trPr>
          <w:trHeight w:val="196"/>
        </w:trPr>
        <w:tc>
          <w:tcPr>
            <w:tcW w:w="76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241">
              <w:r>
                <w:rPr>
                  <w:rFonts w:ascii="Arial" w:cs="Arial" w:eastAsia="Arial" w:hAnsi="Arial"/>
                  <w:sz w:val="18"/>
                  <w:szCs w:val="18"/>
                  <w:color w:val="0000EE"/>
                </w:rPr>
                <w:t>Consolidated Statements of Cash Flows for the Three Months Ended March 31, 2015 and 2014</w:t>
              </w:r>
            </w:hyperlink>
          </w:p>
        </w:tc>
        <w:tc>
          <w:tcPr>
            <w:tcW w:w="2420" w:type="dxa"/>
            <w:vAlign w:val="bottom"/>
            <w:gridSpan w:val="2"/>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F-54</w:t>
            </w:r>
          </w:p>
        </w:tc>
      </w:tr>
      <w:tr>
        <w:trPr>
          <w:trHeight w:val="196"/>
        </w:trPr>
        <w:tc>
          <w:tcPr>
            <w:tcW w:w="31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242">
              <w:r>
                <w:rPr>
                  <w:rFonts w:ascii="Arial" w:cs="Arial" w:eastAsia="Arial" w:hAnsi="Arial"/>
                  <w:sz w:val="18"/>
                  <w:szCs w:val="18"/>
                  <w:color w:val="0000EE"/>
                  <w:w w:val="89"/>
                </w:rPr>
                <w:t>Notes to Consolidated Financial Statements</w:t>
              </w:r>
            </w:hyperlink>
          </w:p>
        </w:tc>
        <w:tc>
          <w:tcPr>
            <w:tcW w:w="3700" w:type="dxa"/>
            <w:vAlign w:val="bottom"/>
            <w:tcBorders>
              <w:top w:val="single" w:sz="8" w:color="0000EE"/>
            </w:tcBorders>
            <w:gridSpan w:val="7"/>
          </w:tcPr>
          <w:p>
            <w:pPr>
              <w:spacing w:after="0"/>
              <w:rPr>
                <w:sz w:val="17"/>
                <w:szCs w:val="17"/>
                <w:color w:val="auto"/>
              </w:rPr>
            </w:pPr>
          </w:p>
        </w:tc>
        <w:tc>
          <w:tcPr>
            <w:tcW w:w="3200" w:type="dxa"/>
            <w:vAlign w:val="bottom"/>
            <w:gridSpan w:val="5"/>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F-55</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(2) Exhibits</w:t>
      </w:r>
    </w:p>
    <w:p>
      <w:pPr>
        <w:spacing w:after="0" w:line="135" w:lineRule="exact"/>
        <w:rPr>
          <w:sz w:val="20"/>
          <w:szCs w:val="20"/>
          <w:color w:val="auto"/>
        </w:rPr>
      </w:pPr>
    </w:p>
    <w:p>
      <w:pPr>
        <w:jc w:val="both"/>
        <w:ind w:left="880" w:right="60" w:hanging="879"/>
        <w:spacing w:after="0" w:line="277" w:lineRule="auto"/>
        <w:tabs>
          <w:tab w:leader="none" w:pos="86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Amended and Restated Certificate of Incorporation (incorporated by reference to Exhibit 3.1 to Amendment No. 1 to the Company’s Registration Statement on Form 10 filed on March 14, 2011)</w:t>
      </w:r>
    </w:p>
    <w:p>
      <w:pPr>
        <w:spacing w:after="0" w:line="62" w:lineRule="exact"/>
        <w:rPr>
          <w:sz w:val="20"/>
          <w:szCs w:val="20"/>
          <w:color w:val="auto"/>
        </w:rPr>
      </w:pPr>
    </w:p>
    <w:p>
      <w:pPr>
        <w:ind w:left="880" w:right="440" w:hanging="879"/>
        <w:spacing w:after="0" w:line="277" w:lineRule="auto"/>
        <w:tabs>
          <w:tab w:leader="none" w:pos="86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Certificate of Amendment to Amended and Restated Certificate of Incorporation (incorporated by reference to Exhibit 3.1 to the Company’s Current Report on Form 8-K filed on March 12, 2014)</w:t>
      </w:r>
    </w:p>
    <w:p>
      <w:pPr>
        <w:spacing w:after="0" w:line="62" w:lineRule="exact"/>
        <w:rPr>
          <w:sz w:val="20"/>
          <w:szCs w:val="20"/>
          <w:color w:val="auto"/>
        </w:rPr>
      </w:pPr>
    </w:p>
    <w:p>
      <w:pPr>
        <w:ind w:left="880" w:right="180" w:hanging="872"/>
        <w:spacing w:after="0" w:line="277" w:lineRule="auto"/>
        <w:tabs>
          <w:tab w:leader="none" w:pos="8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Bylaws (incorporated by reference to Exhibit 3.2 to Amendment No. 1 to the Company’s Registration Statement on Form 10 filed on March 14, 2011)</w:t>
      </w:r>
    </w:p>
    <w:p>
      <w:pPr>
        <w:spacing w:after="0" w:line="62" w:lineRule="exact"/>
        <w:rPr>
          <w:rFonts w:ascii="Arial" w:cs="Arial" w:eastAsia="Arial" w:hAnsi="Arial"/>
          <w:sz w:val="18"/>
          <w:szCs w:val="18"/>
          <w:color w:val="auto"/>
        </w:rPr>
      </w:pPr>
    </w:p>
    <w:p>
      <w:pPr>
        <w:ind w:left="880" w:hanging="872"/>
        <w:spacing w:after="0"/>
        <w:tabs>
          <w:tab w:leader="none" w:pos="8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880" w:hanging="879"/>
        <w:spacing w:after="0" w:line="277" w:lineRule="auto"/>
        <w:tabs>
          <w:tab w:leader="none" w:pos="860" w:val="left"/>
        </w:tabs>
        <w:rPr>
          <w:sz w:val="20"/>
          <w:szCs w:val="20"/>
          <w:color w:val="auto"/>
        </w:rPr>
      </w:pPr>
      <w:r>
        <w:rPr>
          <w:rFonts w:ascii="Arial" w:cs="Arial" w:eastAsia="Arial" w:hAnsi="Arial"/>
          <w:sz w:val="18"/>
          <w:szCs w:val="18"/>
          <w:color w:val="auto"/>
        </w:rPr>
        <w:t>(d)(1)</w:t>
      </w:r>
      <w:r>
        <w:rPr>
          <w:sz w:val="20"/>
          <w:szCs w:val="20"/>
          <w:color w:val="auto"/>
        </w:rPr>
        <w:tab/>
      </w:r>
      <w:r>
        <w:rPr>
          <w:rFonts w:ascii="Arial" w:cs="Arial" w:eastAsia="Arial" w:hAnsi="Arial"/>
          <w:sz w:val="18"/>
          <w:szCs w:val="18"/>
          <w:color w:val="auto"/>
        </w:rPr>
        <w:t>Form of Subscription Agreement in connection with the Private Offerings (incorporated by reference to Exhibit 4.1 to the Company’s Registration Statement on Form 10 filed on January 14, 2011)</w:t>
      </w:r>
    </w:p>
    <w:p>
      <w:pPr>
        <w:spacing w:after="0" w:line="62" w:lineRule="exact"/>
        <w:rPr>
          <w:sz w:val="20"/>
          <w:szCs w:val="20"/>
          <w:color w:val="auto"/>
        </w:rPr>
      </w:pPr>
    </w:p>
    <w:p>
      <w:pPr>
        <w:ind w:left="880" w:right="120" w:hanging="879"/>
        <w:spacing w:after="0" w:line="277" w:lineRule="auto"/>
        <w:tabs>
          <w:tab w:leader="none" w:pos="860" w:val="left"/>
        </w:tabs>
        <w:rPr>
          <w:sz w:val="20"/>
          <w:szCs w:val="20"/>
          <w:color w:val="auto"/>
        </w:rPr>
      </w:pPr>
      <w:r>
        <w:rPr>
          <w:rFonts w:ascii="Arial" w:cs="Arial" w:eastAsia="Arial" w:hAnsi="Arial"/>
          <w:sz w:val="18"/>
          <w:szCs w:val="18"/>
          <w:color w:val="auto"/>
        </w:rPr>
        <w:t>(d)(2)</w:t>
      </w:r>
      <w:r>
        <w:rPr>
          <w:sz w:val="20"/>
          <w:szCs w:val="20"/>
          <w:color w:val="auto"/>
        </w:rPr>
        <w:tab/>
      </w:r>
      <w:r>
        <w:rPr>
          <w:rFonts w:ascii="Arial" w:cs="Arial" w:eastAsia="Arial" w:hAnsi="Arial"/>
          <w:sz w:val="18"/>
          <w:szCs w:val="18"/>
          <w:color w:val="auto"/>
        </w:rPr>
        <w:t>Form of Common Stock Certificate (incorporated by reference to Exhibit 4.2 to the Company’s Annual Report on Form 10-K filed on March 22, 2012)</w:t>
      </w:r>
    </w:p>
    <w:p>
      <w:pPr>
        <w:spacing w:after="0" w:line="62" w:lineRule="exact"/>
        <w:rPr>
          <w:sz w:val="20"/>
          <w:szCs w:val="20"/>
          <w:color w:val="auto"/>
        </w:rPr>
      </w:pPr>
    </w:p>
    <w:p>
      <w:pPr>
        <w:ind w:left="880" w:right="220" w:hanging="879"/>
        <w:spacing w:after="0" w:line="277" w:lineRule="auto"/>
        <w:tabs>
          <w:tab w:leader="none" w:pos="860" w:val="left"/>
        </w:tabs>
        <w:rPr>
          <w:sz w:val="20"/>
          <w:szCs w:val="20"/>
          <w:color w:val="auto"/>
        </w:rPr>
      </w:pPr>
      <w:r>
        <w:rPr>
          <w:rFonts w:ascii="Arial" w:cs="Arial" w:eastAsia="Arial" w:hAnsi="Arial"/>
          <w:sz w:val="18"/>
          <w:szCs w:val="18"/>
          <w:color w:val="auto"/>
        </w:rPr>
        <w:t>(d)(3)</w:t>
      </w:r>
      <w:r>
        <w:rPr>
          <w:sz w:val="20"/>
          <w:szCs w:val="20"/>
          <w:color w:val="auto"/>
        </w:rPr>
        <w:tab/>
      </w:r>
      <w:r>
        <w:rPr>
          <w:rFonts w:ascii="Arial" w:cs="Arial" w:eastAsia="Arial" w:hAnsi="Arial"/>
          <w:sz w:val="18"/>
          <w:szCs w:val="18"/>
          <w:color w:val="auto"/>
        </w:rPr>
        <w:t>Indenture, dated June 10, 2014, between TPG Specialty Lending, Inc. and Wells Fargo Bank, National Association, as Trustee (incorporated by reference to Exhibit 4.1 to the Company’s Current Report on Form 8-K filed on June 10, 2014)</w:t>
      </w:r>
    </w:p>
    <w:p>
      <w:pPr>
        <w:spacing w:after="0" w:line="62" w:lineRule="exact"/>
        <w:rPr>
          <w:sz w:val="20"/>
          <w:szCs w:val="20"/>
          <w:color w:val="auto"/>
        </w:rPr>
      </w:pPr>
    </w:p>
    <w:p>
      <w:pPr>
        <w:ind w:left="880" w:right="40" w:hanging="879"/>
        <w:spacing w:after="0" w:line="277" w:lineRule="auto"/>
        <w:tabs>
          <w:tab w:leader="none" w:pos="860" w:val="left"/>
        </w:tabs>
        <w:rPr>
          <w:sz w:val="20"/>
          <w:szCs w:val="20"/>
          <w:color w:val="auto"/>
        </w:rPr>
      </w:pPr>
      <w:r>
        <w:rPr>
          <w:rFonts w:ascii="Arial" w:cs="Arial" w:eastAsia="Arial" w:hAnsi="Arial"/>
          <w:sz w:val="18"/>
          <w:szCs w:val="18"/>
          <w:color w:val="auto"/>
        </w:rPr>
        <w:t>(d)(4)</w:t>
      </w:r>
      <w:r>
        <w:rPr>
          <w:sz w:val="20"/>
          <w:szCs w:val="20"/>
          <w:color w:val="auto"/>
        </w:rPr>
        <w:tab/>
      </w:r>
      <w:r>
        <w:rPr>
          <w:rFonts w:ascii="Arial" w:cs="Arial" w:eastAsia="Arial" w:hAnsi="Arial"/>
          <w:sz w:val="18"/>
          <w:szCs w:val="18"/>
          <w:color w:val="auto"/>
        </w:rPr>
        <w:t>Form of 4.50% Convertible Senior Notes Due 2019 (incorporated by reference to Exhibit 4.2 to the Company’s Current Report on Form 8-K filed on June 10, 2014)</w:t>
      </w:r>
    </w:p>
    <w:p>
      <w:pPr>
        <w:spacing w:after="0" w:line="6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(d)(5)</w:t>
      </w:r>
      <w:r>
        <w:rPr>
          <w:sz w:val="20"/>
          <w:szCs w:val="20"/>
          <w:color w:val="auto"/>
        </w:rPr>
        <w:tab/>
      </w:r>
      <w:r>
        <w:rPr>
          <w:rFonts w:ascii="Arial" w:cs="Arial" w:eastAsia="Arial" w:hAnsi="Arial"/>
          <w:sz w:val="18"/>
          <w:szCs w:val="18"/>
          <w:color w:val="auto"/>
        </w:rPr>
        <w:t>Form of Indenture (1)</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(d)(6)</w:t>
      </w:r>
      <w:r>
        <w:rPr>
          <w:sz w:val="20"/>
          <w:szCs w:val="20"/>
          <w:color w:val="auto"/>
        </w:rPr>
        <w:tab/>
      </w:r>
      <w:r>
        <w:rPr>
          <w:rFonts w:ascii="Arial" w:cs="Arial" w:eastAsia="Arial" w:hAnsi="Arial"/>
          <w:sz w:val="18"/>
          <w:szCs w:val="18"/>
          <w:color w:val="auto"/>
        </w:rPr>
        <w:t>Statement of Eligibility of Trustee on Form T-1 (1)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46" w:right="2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80" w:right="220" w:hanging="879"/>
        <w:spacing w:after="0" w:line="277" w:lineRule="auto"/>
        <w:tabs>
          <w:tab w:leader="none" w:pos="860" w:val="left"/>
        </w:tabs>
        <w:rPr>
          <w:sz w:val="20"/>
          <w:szCs w:val="20"/>
          <w:color w:val="auto"/>
        </w:rPr>
      </w:pPr>
      <w:r>
        <w:rPr>
          <w:rFonts w:ascii="Arial" w:cs="Arial" w:eastAsia="Arial" w:hAnsi="Arial"/>
          <w:sz w:val="18"/>
          <w:szCs w:val="18"/>
          <w:color w:val="auto"/>
        </w:rPr>
        <w:t>(d)(7)</w:t>
      </w:r>
      <w:r>
        <w:rPr>
          <w:sz w:val="20"/>
          <w:szCs w:val="20"/>
          <w:color w:val="auto"/>
        </w:rPr>
        <w:tab/>
      </w:r>
      <w:r>
        <w:rPr>
          <w:rFonts w:ascii="Arial" w:cs="Arial" w:eastAsia="Arial" w:hAnsi="Arial"/>
          <w:sz w:val="18"/>
          <w:szCs w:val="18"/>
          <w:color w:val="auto"/>
        </w:rPr>
        <w:t>Form of Subscription Certificate (incorporated by reference to Exhibit (d)(7) to Pre-Effective Amendment No. 1 to the Company’s Registration Statement on Form N-2 filed on July 25, 2014)</w:t>
      </w:r>
    </w:p>
    <w:p>
      <w:pPr>
        <w:spacing w:after="0" w:line="62" w:lineRule="exact"/>
        <w:rPr>
          <w:sz w:val="20"/>
          <w:szCs w:val="20"/>
          <w:color w:val="auto"/>
        </w:rPr>
      </w:pPr>
    </w:p>
    <w:p>
      <w:pPr>
        <w:ind w:left="880" w:right="200" w:hanging="872"/>
        <w:spacing w:after="0" w:line="277" w:lineRule="auto"/>
        <w:tabs>
          <w:tab w:leader="none" w:pos="8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Dividend Reinvestment Plan of TPG Specialty Lending, Inc. (incorporated by reference to Exhibit (e) to Pre-Effective Amendment No. 4 to the Company’s Registration Statement on Form N-2 filed on March 17, 2014)</w:t>
      </w:r>
    </w:p>
    <w:p>
      <w:pPr>
        <w:spacing w:after="0" w:line="62" w:lineRule="exact"/>
        <w:rPr>
          <w:rFonts w:ascii="Arial" w:cs="Arial" w:eastAsia="Arial" w:hAnsi="Arial"/>
          <w:sz w:val="18"/>
          <w:szCs w:val="18"/>
          <w:color w:val="auto"/>
        </w:rPr>
      </w:pPr>
    </w:p>
    <w:p>
      <w:pPr>
        <w:ind w:left="880" w:hanging="872"/>
        <w:spacing w:after="0"/>
        <w:tabs>
          <w:tab w:leader="none" w:pos="8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880" w:right="360" w:hanging="872"/>
        <w:spacing w:after="0" w:line="308" w:lineRule="auto"/>
        <w:tabs>
          <w:tab w:leader="none" w:pos="88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Amended and Restated Investment Advisory and Management Agreement, dated December 12, 2011, between the Company and the Adviser (incorporated by reference to Exhibit 10.1 to the Company’s Current Report on Form 8-K filed on December 13, 2011)</w:t>
      </w:r>
    </w:p>
    <w:p>
      <w:pPr>
        <w:spacing w:after="0" w:line="3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(h)(1)</w:t>
      </w:r>
      <w:r>
        <w:rPr>
          <w:sz w:val="20"/>
          <w:szCs w:val="20"/>
          <w:color w:val="auto"/>
        </w:rPr>
        <w:tab/>
      </w:r>
      <w:r>
        <w:rPr>
          <w:rFonts w:ascii="Arial" w:cs="Arial" w:eastAsia="Arial" w:hAnsi="Arial"/>
          <w:sz w:val="18"/>
          <w:szCs w:val="18"/>
          <w:color w:val="auto"/>
        </w:rPr>
        <w:t>Form of Underwriting Agreement for Equity Securities (1)</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(h)(2)</w:t>
      </w:r>
      <w:r>
        <w:rPr>
          <w:sz w:val="20"/>
          <w:szCs w:val="20"/>
          <w:color w:val="auto"/>
        </w:rPr>
        <w:tab/>
      </w:r>
      <w:r>
        <w:rPr>
          <w:rFonts w:ascii="Arial" w:cs="Arial" w:eastAsia="Arial" w:hAnsi="Arial"/>
          <w:sz w:val="18"/>
          <w:szCs w:val="18"/>
          <w:color w:val="auto"/>
        </w:rPr>
        <w:t>Form of Underwriting Agreement for Debt Securities (1)</w:t>
      </w:r>
    </w:p>
    <w:p>
      <w:pPr>
        <w:spacing w:after="0" w:line="117" w:lineRule="exact"/>
        <w:rPr>
          <w:sz w:val="20"/>
          <w:szCs w:val="20"/>
          <w:color w:val="auto"/>
        </w:rPr>
      </w:pPr>
    </w:p>
    <w:p>
      <w:pPr>
        <w:ind w:left="880" w:hanging="872"/>
        <w:spacing w:after="0"/>
        <w:tabs>
          <w:tab w:leader="none" w:pos="8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880" w:right="220" w:hanging="872"/>
        <w:spacing w:after="0" w:line="277" w:lineRule="auto"/>
        <w:tabs>
          <w:tab w:leader="none" w:pos="8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Custodian Agreement dated November 29, 2012 between TPG Specialty Lending, Inc. and State Street Bank and Trust Company (incorporated by reference to Exhibit 10.1 to the Company’s Current Report on Form 8-K filed on December 4, 2012)</w:t>
      </w:r>
    </w:p>
    <w:p>
      <w:pPr>
        <w:spacing w:after="0" w:line="62" w:lineRule="exact"/>
        <w:rPr>
          <w:sz w:val="20"/>
          <w:szCs w:val="20"/>
          <w:color w:val="auto"/>
        </w:rPr>
      </w:pPr>
    </w:p>
    <w:p>
      <w:pPr>
        <w:ind w:left="880" w:right="600" w:hanging="879"/>
        <w:spacing w:after="0" w:line="277" w:lineRule="auto"/>
        <w:tabs>
          <w:tab w:leader="none" w:pos="860" w:val="left"/>
        </w:tabs>
        <w:rPr>
          <w:sz w:val="20"/>
          <w:szCs w:val="20"/>
          <w:color w:val="auto"/>
        </w:rPr>
      </w:pPr>
      <w:r>
        <w:rPr>
          <w:rFonts w:ascii="Arial" w:cs="Arial" w:eastAsia="Arial" w:hAnsi="Arial"/>
          <w:sz w:val="18"/>
          <w:szCs w:val="18"/>
          <w:color w:val="auto"/>
        </w:rPr>
        <w:t>(k)(1)</w:t>
      </w:r>
      <w:r>
        <w:rPr>
          <w:sz w:val="20"/>
          <w:szCs w:val="20"/>
          <w:color w:val="auto"/>
        </w:rPr>
        <w:tab/>
      </w:r>
      <w:r>
        <w:rPr>
          <w:rFonts w:ascii="Arial" w:cs="Arial" w:eastAsia="Arial" w:hAnsi="Arial"/>
          <w:sz w:val="18"/>
          <w:szCs w:val="18"/>
          <w:color w:val="auto"/>
        </w:rPr>
        <w:t>Form of Indemnification Agreement between the Company and certain officers and directors (incorporated by reference to Exhibit 10.3 to Amendment No. 1 to the Company’s Registration Statement on Form 10 filed on March 14, 2011)</w:t>
      </w:r>
    </w:p>
    <w:p>
      <w:pPr>
        <w:spacing w:after="0" w:line="62" w:lineRule="exact"/>
        <w:rPr>
          <w:sz w:val="20"/>
          <w:szCs w:val="20"/>
          <w:color w:val="auto"/>
        </w:rPr>
      </w:pPr>
    </w:p>
    <w:p>
      <w:pPr>
        <w:ind w:left="880" w:right="160" w:hanging="879"/>
        <w:spacing w:after="0" w:line="277" w:lineRule="auto"/>
        <w:tabs>
          <w:tab w:leader="none" w:pos="860" w:val="left"/>
        </w:tabs>
        <w:rPr>
          <w:sz w:val="20"/>
          <w:szCs w:val="20"/>
          <w:color w:val="auto"/>
        </w:rPr>
      </w:pPr>
      <w:r>
        <w:rPr>
          <w:rFonts w:ascii="Arial" w:cs="Arial" w:eastAsia="Arial" w:hAnsi="Arial"/>
          <w:sz w:val="18"/>
          <w:szCs w:val="18"/>
          <w:color w:val="auto"/>
        </w:rPr>
        <w:t>(k)(2)</w:t>
      </w:r>
      <w:r>
        <w:rPr>
          <w:sz w:val="20"/>
          <w:szCs w:val="20"/>
          <w:color w:val="auto"/>
        </w:rPr>
        <w:tab/>
      </w:r>
      <w:r>
        <w:rPr>
          <w:rFonts w:ascii="Arial" w:cs="Arial" w:eastAsia="Arial" w:hAnsi="Arial"/>
          <w:sz w:val="18"/>
          <w:szCs w:val="18"/>
          <w:color w:val="auto"/>
        </w:rPr>
        <w:t>Administration Agreement, dated as of March 15, 2011, between the Company and the Adviser (incorporated by reference to Exhibit 10.1 to the Company’s Current Report on Form 8-K filed on March 15, 2011)</w:t>
      </w:r>
    </w:p>
    <w:p>
      <w:pPr>
        <w:spacing w:after="0" w:line="62" w:lineRule="exact"/>
        <w:rPr>
          <w:sz w:val="20"/>
          <w:szCs w:val="20"/>
          <w:color w:val="auto"/>
        </w:rPr>
      </w:pPr>
    </w:p>
    <w:p>
      <w:pPr>
        <w:ind w:left="880" w:right="60" w:hanging="879"/>
        <w:spacing w:after="0" w:line="286" w:lineRule="auto"/>
        <w:tabs>
          <w:tab w:leader="none" w:pos="860" w:val="left"/>
        </w:tabs>
        <w:rPr>
          <w:sz w:val="20"/>
          <w:szCs w:val="20"/>
          <w:color w:val="auto"/>
        </w:rPr>
      </w:pPr>
      <w:r>
        <w:rPr>
          <w:rFonts w:ascii="Arial" w:cs="Arial" w:eastAsia="Arial" w:hAnsi="Arial"/>
          <w:sz w:val="17"/>
          <w:szCs w:val="17"/>
          <w:color w:val="auto"/>
        </w:rPr>
        <w:t>(k)(3)</w:t>
      </w:r>
      <w:r>
        <w:rPr>
          <w:sz w:val="20"/>
          <w:szCs w:val="20"/>
          <w:color w:val="auto"/>
        </w:rPr>
        <w:tab/>
      </w:r>
      <w:r>
        <w:rPr>
          <w:rFonts w:ascii="Arial" w:cs="Arial" w:eastAsia="Arial" w:hAnsi="Arial"/>
          <w:sz w:val="17"/>
          <w:szCs w:val="17"/>
          <w:color w:val="auto"/>
        </w:rPr>
        <w:t>Revolving Credit and Security Agreement, dated May 8, 2012, among TPG SL SPV, LLC, as Borrower, the Lenders from Time to Time Parties Hereto, Natixis, New York Branch, as Facility Agent and The Bank of New York Mellon Trust Company, N.A., as Collateral Agent (incorporated by reference to Exhibit 10.1 to the Company’s Quarterly Report on Form 10-Q filed on August 13, 2012)</w:t>
      </w:r>
    </w:p>
    <w:p>
      <w:pPr>
        <w:spacing w:after="0" w:line="57" w:lineRule="exact"/>
        <w:rPr>
          <w:sz w:val="20"/>
          <w:szCs w:val="20"/>
          <w:color w:val="auto"/>
        </w:rPr>
      </w:pPr>
    </w:p>
    <w:p>
      <w:pPr>
        <w:jc w:val="both"/>
        <w:ind w:left="880" w:right="180" w:hanging="879"/>
        <w:spacing w:after="0" w:line="342" w:lineRule="auto"/>
        <w:tabs>
          <w:tab w:leader="none" w:pos="860" w:val="left"/>
        </w:tabs>
        <w:rPr>
          <w:sz w:val="20"/>
          <w:szCs w:val="20"/>
          <w:color w:val="auto"/>
        </w:rPr>
      </w:pPr>
      <w:r>
        <w:rPr>
          <w:rFonts w:ascii="Arial" w:cs="Arial" w:eastAsia="Arial" w:hAnsi="Arial"/>
          <w:sz w:val="16"/>
          <w:szCs w:val="16"/>
          <w:color w:val="auto"/>
        </w:rPr>
        <w:t>(k)(4)</w:t>
      </w:r>
      <w:r>
        <w:rPr>
          <w:sz w:val="20"/>
          <w:szCs w:val="20"/>
          <w:color w:val="auto"/>
        </w:rPr>
        <w:tab/>
      </w:r>
      <w:r>
        <w:rPr>
          <w:rFonts w:ascii="Arial" w:cs="Arial" w:eastAsia="Arial" w:hAnsi="Arial"/>
          <w:sz w:val="16"/>
          <w:szCs w:val="16"/>
          <w:color w:val="auto"/>
        </w:rPr>
        <w:t>Master Sale and Contribution Agreement by and between TPG Specialty Lending, Inc., as the Originator and TPG SL SPV, LLC, as the Buyer, dated as of May 8, 2012 (incorporated by reference to Exhibit 10.2 to the Company’s Quarterly Report on Form 10-Q filed on August 13, 2012)</w:t>
      </w:r>
    </w:p>
    <w:p>
      <w:pPr>
        <w:spacing w:after="0" w:line="16" w:lineRule="exact"/>
        <w:rPr>
          <w:sz w:val="20"/>
          <w:szCs w:val="20"/>
          <w:color w:val="auto"/>
        </w:rPr>
      </w:pPr>
    </w:p>
    <w:p>
      <w:pPr>
        <w:jc w:val="both"/>
        <w:ind w:left="880" w:right="200" w:hanging="879"/>
        <w:spacing w:after="0" w:line="264" w:lineRule="auto"/>
        <w:tabs>
          <w:tab w:leader="none" w:pos="860" w:val="left"/>
        </w:tabs>
        <w:rPr>
          <w:sz w:val="20"/>
          <w:szCs w:val="20"/>
          <w:color w:val="auto"/>
        </w:rPr>
      </w:pPr>
      <w:r>
        <w:rPr>
          <w:rFonts w:ascii="Arial" w:cs="Arial" w:eastAsia="Arial" w:hAnsi="Arial"/>
          <w:sz w:val="18"/>
          <w:szCs w:val="18"/>
          <w:color w:val="auto"/>
        </w:rPr>
        <w:t>(k)(5)</w:t>
      </w:r>
      <w:r>
        <w:rPr>
          <w:sz w:val="20"/>
          <w:szCs w:val="20"/>
          <w:color w:val="auto"/>
        </w:rPr>
        <w:tab/>
      </w:r>
      <w:r>
        <w:rPr>
          <w:rFonts w:ascii="Arial" w:cs="Arial" w:eastAsia="Arial" w:hAnsi="Arial"/>
          <w:sz w:val="18"/>
          <w:szCs w:val="18"/>
          <w:color w:val="auto"/>
        </w:rPr>
        <w:t>Senior Secured Revolving Credit Agreement, dated as of August 23, 2012, among TPG Specialty Lending, Inc., as Borrower, the Lenders Party Hereto and SunTrust Bank, as Administrative Agent, JPMorgan Chase Bank, N.A., as Syndication Agent (incorporated by reference to Exhibit 10.1 to the Company’s Quarterly Report on Form 10-Q filed on November 14, 2012)</w:t>
      </w:r>
    </w:p>
    <w:p>
      <w:pPr>
        <w:spacing w:after="0" w:line="73" w:lineRule="exact"/>
        <w:rPr>
          <w:sz w:val="20"/>
          <w:szCs w:val="20"/>
          <w:color w:val="auto"/>
        </w:rPr>
      </w:pPr>
    </w:p>
    <w:p>
      <w:pPr>
        <w:ind w:left="880" w:hanging="879"/>
        <w:spacing w:after="0" w:line="264" w:lineRule="auto"/>
        <w:tabs>
          <w:tab w:leader="none" w:pos="860" w:val="left"/>
        </w:tabs>
        <w:rPr>
          <w:sz w:val="20"/>
          <w:szCs w:val="20"/>
          <w:color w:val="auto"/>
        </w:rPr>
      </w:pPr>
      <w:r>
        <w:rPr>
          <w:rFonts w:ascii="Arial" w:cs="Arial" w:eastAsia="Arial" w:hAnsi="Arial"/>
          <w:sz w:val="18"/>
          <w:szCs w:val="18"/>
          <w:color w:val="auto"/>
        </w:rPr>
        <w:t>(k)(6)</w:t>
      </w:r>
      <w:r>
        <w:rPr>
          <w:sz w:val="20"/>
          <w:szCs w:val="20"/>
          <w:color w:val="auto"/>
        </w:rPr>
        <w:tab/>
      </w:r>
      <w:r>
        <w:rPr>
          <w:rFonts w:ascii="Arial" w:cs="Arial" w:eastAsia="Arial" w:hAnsi="Arial"/>
          <w:sz w:val="18"/>
          <w:szCs w:val="18"/>
          <w:color w:val="auto"/>
        </w:rPr>
        <w:t>Instrument of Removal, Appointment and Acceptance, dated November 29, 2012, among State Street Bank and Trust Company and TPG SL SPV, LLC, TPG Specialty Lending, Inc. and the Bank of New York Mellon Trust Company, N.A. (incorporated by reference to Exhibit 10.1 to the Company’s Current Report on Form 8-K filed on January 2, 2013)</w:t>
      </w:r>
    </w:p>
    <w:p>
      <w:pPr>
        <w:spacing w:after="0" w:line="73" w:lineRule="exact"/>
        <w:rPr>
          <w:sz w:val="20"/>
          <w:szCs w:val="20"/>
          <w:color w:val="auto"/>
        </w:rPr>
      </w:pPr>
    </w:p>
    <w:p>
      <w:pPr>
        <w:jc w:val="both"/>
        <w:ind w:left="880" w:right="140" w:hanging="879"/>
        <w:spacing w:after="0" w:line="264" w:lineRule="auto"/>
        <w:tabs>
          <w:tab w:leader="none" w:pos="860" w:val="left"/>
        </w:tabs>
        <w:rPr>
          <w:sz w:val="20"/>
          <w:szCs w:val="20"/>
          <w:color w:val="auto"/>
        </w:rPr>
      </w:pPr>
      <w:r>
        <w:rPr>
          <w:rFonts w:ascii="Arial" w:cs="Arial" w:eastAsia="Arial" w:hAnsi="Arial"/>
          <w:sz w:val="18"/>
          <w:szCs w:val="18"/>
          <w:color w:val="auto"/>
        </w:rPr>
        <w:t>(k)(7)</w:t>
      </w:r>
      <w:r>
        <w:rPr>
          <w:sz w:val="20"/>
          <w:szCs w:val="20"/>
          <w:color w:val="auto"/>
        </w:rPr>
        <w:tab/>
      </w:r>
      <w:r>
        <w:rPr>
          <w:rFonts w:ascii="Arial" w:cs="Arial" w:eastAsia="Arial" w:hAnsi="Arial"/>
          <w:sz w:val="18"/>
          <w:szCs w:val="18"/>
          <w:color w:val="auto"/>
        </w:rPr>
        <w:t>Amended and Restated Senior Secured Revolving Credit Agreement, dated as of July 2, 2013, among TPG Specialty Lending, Inc., the lenders party thereto, SunTrust Bank as administrative agent and JPMorgan Chase Bank N.A. as syndication agent (incorporated by reference to Exhibit 10.1 to the Company’s Current Report on Form 8-K filed on July 9, 2013)</w:t>
      </w:r>
    </w:p>
    <w:p>
      <w:pPr>
        <w:spacing w:after="0" w:line="73" w:lineRule="exact"/>
        <w:rPr>
          <w:sz w:val="20"/>
          <w:szCs w:val="20"/>
          <w:color w:val="auto"/>
        </w:rPr>
      </w:pPr>
    </w:p>
    <w:p>
      <w:pPr>
        <w:jc w:val="both"/>
        <w:ind w:left="880" w:right="40" w:hanging="879"/>
        <w:spacing w:after="0" w:line="312" w:lineRule="auto"/>
        <w:tabs>
          <w:tab w:leader="none" w:pos="860" w:val="left"/>
        </w:tabs>
        <w:rPr>
          <w:sz w:val="20"/>
          <w:szCs w:val="20"/>
          <w:color w:val="auto"/>
        </w:rPr>
      </w:pPr>
      <w:r>
        <w:rPr>
          <w:rFonts w:ascii="Arial" w:cs="Arial" w:eastAsia="Arial" w:hAnsi="Arial"/>
          <w:sz w:val="16"/>
          <w:szCs w:val="16"/>
          <w:color w:val="auto"/>
        </w:rPr>
        <w:t>(k)(8)</w:t>
      </w:r>
      <w:r>
        <w:rPr>
          <w:sz w:val="20"/>
          <w:szCs w:val="20"/>
          <w:color w:val="auto"/>
        </w:rPr>
        <w:tab/>
      </w:r>
      <w:r>
        <w:rPr>
          <w:rFonts w:ascii="Arial" w:cs="Arial" w:eastAsia="Arial" w:hAnsi="Arial"/>
          <w:sz w:val="16"/>
          <w:szCs w:val="16"/>
          <w:color w:val="auto"/>
        </w:rPr>
        <w:t>Amendment No. 1 dated July 17, 2013 to Revolving Credit and Security Agreement, dated May 8, 2012, among TPG SL SPV, LLC, as Borrower, the Lenders from Time to Time Parties Hereto, Natixis, New York Branch, as Facility Agent and The Bank of New York Mellon Trust Company, N.A., as Collateral Agent (incorporated by reference to Exhibit 10.1 to the Company’s Quarterly Report on Form 10-Q filed on August 9, 2013)</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20"/>
          </w:cols>
          <w:pgMar w:left="240" w:top="460" w:right="2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40" w:right="100" w:hanging="839"/>
        <w:spacing w:after="0" w:line="286" w:lineRule="auto"/>
        <w:tabs>
          <w:tab w:leader="none" w:pos="820" w:val="left"/>
        </w:tabs>
        <w:rPr>
          <w:sz w:val="20"/>
          <w:szCs w:val="20"/>
          <w:color w:val="auto"/>
        </w:rPr>
      </w:pPr>
      <w:r>
        <w:rPr>
          <w:rFonts w:ascii="Arial" w:cs="Arial" w:eastAsia="Arial" w:hAnsi="Arial"/>
          <w:sz w:val="17"/>
          <w:szCs w:val="17"/>
          <w:color w:val="auto"/>
        </w:rPr>
        <w:t>(k)(9)</w:t>
      </w:r>
      <w:r>
        <w:rPr>
          <w:sz w:val="20"/>
          <w:szCs w:val="20"/>
          <w:color w:val="auto"/>
        </w:rPr>
        <w:tab/>
      </w:r>
      <w:r>
        <w:rPr>
          <w:rFonts w:ascii="Arial" w:cs="Arial" w:eastAsia="Arial" w:hAnsi="Arial"/>
          <w:sz w:val="17"/>
          <w:szCs w:val="17"/>
          <w:color w:val="auto"/>
        </w:rPr>
        <w:t>Amended and Restated Revolving Credit and Security Agreement, dated as of January 21, 2014, among TPG SL SPV, LLC, as Borrower, the Lenders from Time to Time Parties Hereto, Natixis, New York Branch, as Facility Agent and State Street Bank and Trust Company, as Collateral Agent (incorporated by reference to Exhibit 10.18 to the Company’s Annual Report on Form 10-K filed on March 4, 2014)</w:t>
      </w:r>
    </w:p>
    <w:p>
      <w:pPr>
        <w:spacing w:after="0" w:line="57" w:lineRule="exact"/>
        <w:rPr>
          <w:sz w:val="20"/>
          <w:szCs w:val="20"/>
          <w:color w:val="auto"/>
        </w:rPr>
      </w:pPr>
    </w:p>
    <w:p>
      <w:pPr>
        <w:ind w:left="840" w:hanging="839"/>
        <w:spacing w:after="0" w:line="264" w:lineRule="auto"/>
        <w:tabs>
          <w:tab w:leader="none" w:pos="820" w:val="left"/>
        </w:tabs>
        <w:rPr>
          <w:sz w:val="20"/>
          <w:szCs w:val="20"/>
          <w:color w:val="auto"/>
        </w:rPr>
      </w:pPr>
      <w:r>
        <w:rPr>
          <w:rFonts w:ascii="Arial" w:cs="Arial" w:eastAsia="Arial" w:hAnsi="Arial"/>
          <w:sz w:val="18"/>
          <w:szCs w:val="18"/>
          <w:color w:val="auto"/>
        </w:rPr>
        <w:t>(k)(10)</w:t>
      </w:r>
      <w:r>
        <w:rPr>
          <w:sz w:val="20"/>
          <w:szCs w:val="20"/>
          <w:color w:val="auto"/>
        </w:rPr>
        <w:tab/>
      </w:r>
      <w:r>
        <w:rPr>
          <w:rFonts w:ascii="Arial" w:cs="Arial" w:eastAsia="Arial" w:hAnsi="Arial"/>
          <w:sz w:val="18"/>
          <w:szCs w:val="18"/>
          <w:color w:val="auto"/>
        </w:rPr>
        <w:t>Amended and Restated Master Sale and Contribution Agreement by and between TPG Specialty Lending, Inc., as the Originator and TPG SL SPV, LLC, as the Buyer, dated as of January 21, 2014 (incorporated by reference to Exhibit 10.19 to the Company’s Annual Report on Form 10-K filed on March 4, 2014)</w:t>
      </w:r>
    </w:p>
    <w:p>
      <w:pPr>
        <w:spacing w:after="0" w:line="73" w:lineRule="exact"/>
        <w:rPr>
          <w:sz w:val="20"/>
          <w:szCs w:val="20"/>
          <w:color w:val="auto"/>
        </w:rPr>
      </w:pPr>
    </w:p>
    <w:p>
      <w:pPr>
        <w:ind w:left="840" w:hanging="839"/>
        <w:spacing w:after="0" w:line="286" w:lineRule="auto"/>
        <w:tabs>
          <w:tab w:leader="none" w:pos="820" w:val="left"/>
        </w:tabs>
        <w:rPr>
          <w:sz w:val="20"/>
          <w:szCs w:val="20"/>
          <w:color w:val="auto"/>
        </w:rPr>
      </w:pPr>
      <w:r>
        <w:rPr>
          <w:rFonts w:ascii="Arial" w:cs="Arial" w:eastAsia="Arial" w:hAnsi="Arial"/>
          <w:sz w:val="17"/>
          <w:szCs w:val="17"/>
          <w:color w:val="auto"/>
        </w:rPr>
        <w:t>(k)(11)</w:t>
      </w:r>
      <w:r>
        <w:rPr>
          <w:sz w:val="20"/>
          <w:szCs w:val="20"/>
          <w:color w:val="auto"/>
        </w:rPr>
        <w:tab/>
      </w:r>
      <w:r>
        <w:rPr>
          <w:rFonts w:ascii="Arial" w:cs="Arial" w:eastAsia="Arial" w:hAnsi="Arial"/>
          <w:sz w:val="17"/>
          <w:szCs w:val="17"/>
          <w:color w:val="auto"/>
        </w:rPr>
        <w:t>Second Amended and Restated Senior Secured Credit Agreement, dated February 27, 2014, among TPG Specialty Lending, Inc., as Borrower, the Lenders Party Hereto and SunTrust Bank, as Administrative Agent, and JPMorgan Chase Bank, N.A., as Syndication Agent (incorporated by reference to Exhibit 10.20 to the Company’s Annual Report on Form 10-K filed on March 4, 2014)</w:t>
      </w:r>
    </w:p>
    <w:p>
      <w:pPr>
        <w:spacing w:after="0" w:line="57" w:lineRule="exact"/>
        <w:rPr>
          <w:sz w:val="20"/>
          <w:szCs w:val="20"/>
          <w:color w:val="auto"/>
        </w:rPr>
      </w:pPr>
    </w:p>
    <w:p>
      <w:pPr>
        <w:ind w:left="840" w:hanging="839"/>
        <w:spacing w:after="0" w:line="312" w:lineRule="auto"/>
        <w:tabs>
          <w:tab w:leader="none" w:pos="820" w:val="left"/>
        </w:tabs>
        <w:rPr>
          <w:sz w:val="20"/>
          <w:szCs w:val="20"/>
          <w:color w:val="auto"/>
        </w:rPr>
      </w:pPr>
      <w:r>
        <w:rPr>
          <w:rFonts w:ascii="Arial" w:cs="Arial" w:eastAsia="Arial" w:hAnsi="Arial"/>
          <w:sz w:val="16"/>
          <w:szCs w:val="16"/>
          <w:color w:val="auto"/>
        </w:rPr>
        <w:t>(k)(12)</w:t>
      </w:r>
      <w:r>
        <w:rPr>
          <w:sz w:val="20"/>
          <w:szCs w:val="20"/>
          <w:color w:val="auto"/>
        </w:rPr>
        <w:tab/>
      </w:r>
      <w:r>
        <w:rPr>
          <w:rFonts w:ascii="Arial" w:cs="Arial" w:eastAsia="Arial" w:hAnsi="Arial"/>
          <w:sz w:val="16"/>
          <w:szCs w:val="16"/>
          <w:color w:val="auto"/>
        </w:rPr>
        <w:t>Form of Increase Letter pursuant to the Second Amended and Restated Senior Secured Credit Agreement, dated February 27, 2014, among TPG Specialty Lending, Inc., as Borrower, the Lenders Party Hereto and SunTrust Bank, as Administrative Agent, and JPMorgan Chase Bank, N.A., as Syndication Agent (incorporated by reference to Exhibit 10.3 to the Company’s Quarterly Report on Form 10-Q filed on August 4, 2014)</w:t>
      </w:r>
    </w:p>
    <w:p>
      <w:pPr>
        <w:spacing w:after="0" w:line="39" w:lineRule="exact"/>
        <w:rPr>
          <w:sz w:val="20"/>
          <w:szCs w:val="20"/>
          <w:color w:val="auto"/>
        </w:rPr>
      </w:pPr>
    </w:p>
    <w:p>
      <w:pPr>
        <w:ind w:left="840" w:right="140" w:hanging="839"/>
        <w:spacing w:after="0" w:line="264" w:lineRule="auto"/>
        <w:tabs>
          <w:tab w:leader="none" w:pos="820" w:val="left"/>
        </w:tabs>
        <w:rPr>
          <w:sz w:val="20"/>
          <w:szCs w:val="20"/>
          <w:color w:val="auto"/>
        </w:rPr>
      </w:pPr>
      <w:r>
        <w:rPr>
          <w:rFonts w:ascii="Arial" w:cs="Arial" w:eastAsia="Arial" w:hAnsi="Arial"/>
          <w:sz w:val="18"/>
          <w:szCs w:val="18"/>
          <w:color w:val="auto"/>
        </w:rPr>
        <w:t>(k)(13)</w:t>
      </w:r>
      <w:r>
        <w:rPr>
          <w:sz w:val="20"/>
          <w:szCs w:val="20"/>
          <w:color w:val="auto"/>
        </w:rPr>
        <w:tab/>
      </w:r>
      <w:r>
        <w:rPr>
          <w:rFonts w:ascii="Arial" w:cs="Arial" w:eastAsia="Arial" w:hAnsi="Arial"/>
          <w:sz w:val="18"/>
          <w:szCs w:val="18"/>
          <w:color w:val="auto"/>
        </w:rPr>
        <w:t>First Amendment to the Second Amended and Restated Senior Secured Revolving Credit Agreement, dated June 3, 2014, among TPG Specialty Lending, Inc., as Borrower, the Lenders party thereto and SunTrust Bank, as Administrative Agent and Collateral Agent (incorporated by reference to Exhibit 10.4 to the Company’s Quarterly Report on Form 10-Q filed on August 4, 2014)</w:t>
      </w:r>
    </w:p>
    <w:p>
      <w:pPr>
        <w:spacing w:after="0" w:line="73" w:lineRule="exact"/>
        <w:rPr>
          <w:sz w:val="20"/>
          <w:szCs w:val="20"/>
          <w:color w:val="auto"/>
        </w:rPr>
      </w:pPr>
    </w:p>
    <w:p>
      <w:pPr>
        <w:ind w:left="840" w:right="320" w:hanging="839"/>
        <w:spacing w:after="0" w:line="286" w:lineRule="auto"/>
        <w:tabs>
          <w:tab w:leader="none" w:pos="820" w:val="left"/>
        </w:tabs>
        <w:rPr>
          <w:sz w:val="20"/>
          <w:szCs w:val="20"/>
          <w:color w:val="auto"/>
        </w:rPr>
      </w:pPr>
      <w:r>
        <w:rPr>
          <w:rFonts w:ascii="Arial" w:cs="Arial" w:eastAsia="Arial" w:hAnsi="Arial"/>
          <w:sz w:val="17"/>
          <w:szCs w:val="17"/>
          <w:color w:val="auto"/>
        </w:rPr>
        <w:t>(k)(14)</w:t>
      </w:r>
      <w:r>
        <w:rPr>
          <w:sz w:val="20"/>
          <w:szCs w:val="20"/>
          <w:color w:val="auto"/>
        </w:rPr>
        <w:tab/>
      </w:r>
      <w:r>
        <w:rPr>
          <w:rFonts w:ascii="Arial" w:cs="Arial" w:eastAsia="Arial" w:hAnsi="Arial"/>
          <w:sz w:val="17"/>
          <w:szCs w:val="17"/>
          <w:color w:val="auto"/>
        </w:rPr>
        <w:t>Second Amendment to the Second Amended and Restated Senior Secured Revolving Credit Agreement, dated June 27, 2014, among TPG Specialty Lending, Inc., as Borrower, Morgan Stanley Bank, N.A., as a Lender, and SunTrust Bank, as Administrative Agent (incorporated by reference to Exhibit 10.5 to the Company’s Quarterly Report on Form 10-Q filed on August 4, 2014)</w:t>
      </w:r>
    </w:p>
    <w:p>
      <w:pPr>
        <w:spacing w:after="0" w:line="57" w:lineRule="exact"/>
        <w:rPr>
          <w:sz w:val="20"/>
          <w:szCs w:val="20"/>
          <w:color w:val="auto"/>
        </w:rPr>
      </w:pPr>
    </w:p>
    <w:p>
      <w:pPr>
        <w:ind w:left="840" w:right="20" w:hanging="839"/>
        <w:spacing w:after="0" w:line="264" w:lineRule="auto"/>
        <w:tabs>
          <w:tab w:leader="none" w:pos="820" w:val="left"/>
        </w:tabs>
        <w:rPr>
          <w:sz w:val="20"/>
          <w:szCs w:val="20"/>
          <w:color w:val="auto"/>
        </w:rPr>
      </w:pPr>
      <w:r>
        <w:rPr>
          <w:rFonts w:ascii="Arial" w:cs="Arial" w:eastAsia="Arial" w:hAnsi="Arial"/>
          <w:sz w:val="18"/>
          <w:szCs w:val="18"/>
          <w:color w:val="auto"/>
        </w:rPr>
        <w:t>(k)(15)</w:t>
      </w:r>
      <w:r>
        <w:rPr>
          <w:sz w:val="20"/>
          <w:szCs w:val="20"/>
          <w:color w:val="auto"/>
        </w:rPr>
        <w:tab/>
      </w:r>
      <w:r>
        <w:rPr>
          <w:rFonts w:ascii="Arial" w:cs="Arial" w:eastAsia="Arial" w:hAnsi="Arial"/>
          <w:sz w:val="18"/>
          <w:szCs w:val="18"/>
          <w:color w:val="auto"/>
        </w:rPr>
        <w:t>Third Amendment to the Second Amended and Restated Senior Secured Revolving Credit Agreement, dated October 17, 2014, among TPG Specialty Lending, Inc., as Borrower, the Lenders party thereto and SunTrust Bank, as Administrative Agent (incorporated by reference to Exhibit 10.1 to the Company’s Quarterly Report on Form 10-Q filed on November 3, 2014)</w:t>
      </w:r>
    </w:p>
    <w:p>
      <w:pPr>
        <w:spacing w:after="0" w:line="73" w:lineRule="exact"/>
        <w:rPr>
          <w:sz w:val="20"/>
          <w:szCs w:val="20"/>
          <w:color w:val="auto"/>
        </w:rPr>
      </w:pPr>
    </w:p>
    <w:p>
      <w:pPr>
        <w:ind w:left="840" w:right="40" w:hanging="839"/>
        <w:spacing w:after="0" w:line="286" w:lineRule="auto"/>
        <w:tabs>
          <w:tab w:leader="none" w:pos="820" w:val="left"/>
        </w:tabs>
        <w:rPr>
          <w:sz w:val="20"/>
          <w:szCs w:val="20"/>
          <w:color w:val="auto"/>
        </w:rPr>
      </w:pPr>
      <w:r>
        <w:rPr>
          <w:rFonts w:ascii="Arial" w:cs="Arial" w:eastAsia="Arial" w:hAnsi="Arial"/>
          <w:sz w:val="17"/>
          <w:szCs w:val="17"/>
          <w:color w:val="auto"/>
        </w:rPr>
        <w:t>(k)(16)</w:t>
      </w:r>
      <w:r>
        <w:rPr>
          <w:sz w:val="20"/>
          <w:szCs w:val="20"/>
          <w:color w:val="auto"/>
        </w:rPr>
        <w:tab/>
      </w:r>
      <w:r>
        <w:rPr>
          <w:rFonts w:ascii="Arial" w:cs="Arial" w:eastAsia="Arial" w:hAnsi="Arial"/>
          <w:sz w:val="17"/>
          <w:szCs w:val="17"/>
          <w:color w:val="auto"/>
        </w:rPr>
        <w:t>Second Amended and Restated Credit and Security Agreement, dated as of March 27, 2015, among TPG SL SPV, LLC, as Borrower, the Lenders from Time to Time Parties Hereto, Natixis, New York Branch, as Facility Agent and State Street Bank and Trust Company, as Collateral Agent (incorporated by reference to Exhibit 10.1 to the Company’s Current Report on Form 8-K filed on March 30, 2015)</w:t>
      </w:r>
    </w:p>
    <w:p>
      <w:pPr>
        <w:spacing w:after="0" w:line="57" w:lineRule="exact"/>
        <w:rPr>
          <w:sz w:val="20"/>
          <w:szCs w:val="20"/>
          <w:color w:val="auto"/>
        </w:rPr>
      </w:pPr>
    </w:p>
    <w:p>
      <w:pPr>
        <w:ind w:left="840" w:hanging="832"/>
        <w:spacing w:after="0"/>
        <w:tabs>
          <w:tab w:leader="none" w:pos="8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Opinion and Consent of Cleary Gottlieb Steen &amp; Hamilton LLP (1)</w:t>
      </w:r>
    </w:p>
    <w:p>
      <w:pPr>
        <w:spacing w:after="0" w:line="117" w:lineRule="exact"/>
        <w:rPr>
          <w:rFonts w:ascii="Arial" w:cs="Arial" w:eastAsia="Arial" w:hAnsi="Arial"/>
          <w:sz w:val="18"/>
          <w:szCs w:val="18"/>
          <w:color w:val="auto"/>
        </w:rPr>
      </w:pPr>
    </w:p>
    <w:p>
      <w:pPr>
        <w:ind w:left="840" w:hanging="832"/>
        <w:spacing w:after="0"/>
        <w:tabs>
          <w:tab w:leader="none" w:pos="8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(n)(1)</w:t>
      </w:r>
      <w:r>
        <w:rPr>
          <w:sz w:val="20"/>
          <w:szCs w:val="20"/>
          <w:color w:val="auto"/>
        </w:rPr>
        <w:tab/>
      </w:r>
      <w:r>
        <w:rPr>
          <w:rFonts w:ascii="Arial" w:cs="Arial" w:eastAsia="Arial" w:hAnsi="Arial"/>
          <w:sz w:val="18"/>
          <w:szCs w:val="18"/>
          <w:color w:val="auto"/>
        </w:rPr>
        <w:t>Consent of Cleary Gottlieb Steen &amp; Hamilton LLP (included in Exhibit (l))</w:t>
      </w:r>
    </w:p>
    <w:p>
      <w:pPr>
        <w:spacing w:after="0" w:line="1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(n)(2)</w:t>
      </w:r>
      <w:r>
        <w:rPr>
          <w:sz w:val="20"/>
          <w:szCs w:val="20"/>
          <w:color w:val="auto"/>
        </w:rPr>
        <w:tab/>
      </w:r>
      <w:r>
        <w:rPr>
          <w:rFonts w:ascii="Arial" w:cs="Arial" w:eastAsia="Arial" w:hAnsi="Arial"/>
          <w:sz w:val="18"/>
          <w:szCs w:val="18"/>
          <w:color w:val="auto"/>
        </w:rPr>
        <w:t>Consent of KPMG LLP, dated June 15, 2015</w:t>
      </w:r>
    </w:p>
    <w:p>
      <w:pPr>
        <w:spacing w:after="0" w:line="1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(n)(3)</w:t>
      </w:r>
      <w:r>
        <w:rPr>
          <w:sz w:val="20"/>
          <w:szCs w:val="20"/>
          <w:color w:val="auto"/>
        </w:rPr>
        <w:tab/>
      </w:r>
      <w:r>
        <w:rPr>
          <w:rFonts w:ascii="Arial" w:cs="Arial" w:eastAsia="Arial" w:hAnsi="Arial"/>
          <w:sz w:val="18"/>
          <w:szCs w:val="18"/>
          <w:color w:val="auto"/>
        </w:rPr>
        <w:t>Report of KPMG LLP, dated April 16, 2015 (1)</w:t>
      </w:r>
    </w:p>
    <w:p>
      <w:pPr>
        <w:spacing w:after="0" w:line="117" w:lineRule="exact"/>
        <w:rPr>
          <w:sz w:val="20"/>
          <w:szCs w:val="20"/>
          <w:color w:val="auto"/>
        </w:rPr>
      </w:pPr>
    </w:p>
    <w:p>
      <w:pPr>
        <w:ind w:left="840" w:hanging="832"/>
        <w:spacing w:after="0"/>
        <w:tabs>
          <w:tab w:leader="none" w:pos="8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840" w:hanging="832"/>
        <w:spacing w:after="0"/>
        <w:tabs>
          <w:tab w:leader="none" w:pos="8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840" w:hanging="832"/>
        <w:spacing w:after="0"/>
        <w:tabs>
          <w:tab w:leader="none" w:pos="8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840" w:right="140" w:hanging="839"/>
        <w:spacing w:after="0" w:line="277" w:lineRule="auto"/>
        <w:tabs>
          <w:tab w:leader="none" w:pos="820" w:val="left"/>
        </w:tabs>
        <w:rPr>
          <w:sz w:val="20"/>
          <w:szCs w:val="20"/>
          <w:color w:val="auto"/>
        </w:rPr>
      </w:pPr>
      <w:r>
        <w:rPr>
          <w:rFonts w:ascii="Arial" w:cs="Arial" w:eastAsia="Arial" w:hAnsi="Arial"/>
          <w:sz w:val="18"/>
          <w:szCs w:val="18"/>
          <w:color w:val="auto"/>
        </w:rPr>
        <w:t>(r)(1)</w:t>
      </w:r>
      <w:r>
        <w:rPr>
          <w:sz w:val="20"/>
          <w:szCs w:val="20"/>
          <w:color w:val="auto"/>
        </w:rPr>
        <w:tab/>
      </w:r>
      <w:r>
        <w:rPr>
          <w:rFonts w:ascii="Arial" w:cs="Arial" w:eastAsia="Arial" w:hAnsi="Arial"/>
          <w:sz w:val="18"/>
          <w:szCs w:val="18"/>
          <w:color w:val="auto"/>
        </w:rPr>
        <w:t>Code of Ethics of TPG Specialty Lending, Inc. (incorporated by reference to Exhibit (r)(1) to Pre-Effective Amendment No. 4 to the Company’s Registration Statement on Form N-2 filed on March 17, 2014)</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380"/>
          </w:cols>
          <w:pgMar w:left="240" w:top="459" w:right="27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(r)(2)</w:t>
            </w:r>
          </w:p>
        </w:tc>
        <w:tc>
          <w:tcPr>
            <w:tcW w:w="10680" w:type="dxa"/>
            <w:vAlign w:val="bottom"/>
          </w:tcPr>
          <w:p>
            <w:pPr>
              <w:ind w:left="320"/>
              <w:spacing w:after="0"/>
              <w:rPr>
                <w:sz w:val="20"/>
                <w:szCs w:val="20"/>
                <w:color w:val="auto"/>
              </w:rPr>
            </w:pPr>
            <w:r>
              <w:rPr>
                <w:rFonts w:ascii="Arial" w:cs="Arial" w:eastAsia="Arial" w:hAnsi="Arial"/>
                <w:sz w:val="18"/>
                <w:szCs w:val="18"/>
                <w:color w:val="auto"/>
                <w:w w:val="97"/>
              </w:rPr>
              <w:t>Code of Ethics of TSL Advisers, LLC (incorporated by reference to Exhibit (r)(2) to Pre-Effective Amendment No. 4 to the Company’s</w:t>
            </w:r>
          </w:p>
        </w:tc>
      </w:tr>
      <w:tr>
        <w:trPr>
          <w:trHeight w:val="230"/>
        </w:trPr>
        <w:tc>
          <w:tcPr>
            <w:tcW w:w="720" w:type="dxa"/>
            <w:vAlign w:val="bottom"/>
          </w:tcPr>
          <w:p>
            <w:pPr>
              <w:spacing w:after="0"/>
              <w:rPr>
                <w:sz w:val="20"/>
                <w:szCs w:val="20"/>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Registration Statement on Form N-2 filed on March 17, 2014)</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10680" w:type="dxa"/>
            <w:vAlign w:val="bottom"/>
          </w:tcPr>
          <w:p>
            <w:pPr>
              <w:ind w:left="320"/>
              <w:spacing w:after="0"/>
              <w:rPr>
                <w:sz w:val="20"/>
                <w:szCs w:val="20"/>
                <w:color w:val="auto"/>
              </w:rPr>
            </w:pPr>
            <w:r>
              <w:rPr>
                <w:rFonts w:ascii="Arial" w:cs="Arial" w:eastAsia="Arial" w:hAnsi="Arial"/>
                <w:sz w:val="18"/>
                <w:szCs w:val="18"/>
                <w:color w:val="auto"/>
                <w:w w:val="98"/>
              </w:rPr>
              <w:t>Form of Preliminary Prospectus Supplement For Common Stock Offerings (incorporated by reference to Exhibit 99.1 to Pre-Effective</w:t>
            </w:r>
          </w:p>
        </w:tc>
      </w:tr>
      <w:tr>
        <w:trPr>
          <w:trHeight w:val="230"/>
        </w:trPr>
        <w:tc>
          <w:tcPr>
            <w:tcW w:w="720" w:type="dxa"/>
            <w:vAlign w:val="bottom"/>
          </w:tcPr>
          <w:p>
            <w:pPr>
              <w:spacing w:after="0"/>
              <w:rPr>
                <w:sz w:val="20"/>
                <w:szCs w:val="20"/>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Amendment No. 1 to the Company’s Registration Statement on Form N-2 filed on July 25, 2014)</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10680" w:type="dxa"/>
            <w:vAlign w:val="bottom"/>
          </w:tcPr>
          <w:p>
            <w:pPr>
              <w:ind w:left="320"/>
              <w:spacing w:after="0"/>
              <w:rPr>
                <w:sz w:val="20"/>
                <w:szCs w:val="20"/>
                <w:color w:val="auto"/>
              </w:rPr>
            </w:pPr>
            <w:r>
              <w:rPr>
                <w:rFonts w:ascii="Arial" w:cs="Arial" w:eastAsia="Arial" w:hAnsi="Arial"/>
                <w:sz w:val="18"/>
                <w:szCs w:val="18"/>
                <w:color w:val="auto"/>
                <w:w w:val="97"/>
              </w:rPr>
              <w:t>Form of Preliminary Prospectus Supplement For Preferred Stock Offerings (incorporated by reference to Exhibit 99.2 to Pre-Effective</w:t>
            </w:r>
          </w:p>
        </w:tc>
      </w:tr>
      <w:tr>
        <w:trPr>
          <w:trHeight w:val="230"/>
        </w:trPr>
        <w:tc>
          <w:tcPr>
            <w:tcW w:w="720" w:type="dxa"/>
            <w:vAlign w:val="bottom"/>
          </w:tcPr>
          <w:p>
            <w:pPr>
              <w:spacing w:after="0"/>
              <w:rPr>
                <w:sz w:val="20"/>
                <w:szCs w:val="20"/>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Amendment No. 1 to the Company’s Registration Statement on Form N-2 filed on July 25, 2014)</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99.3</w:t>
            </w:r>
          </w:p>
        </w:tc>
        <w:tc>
          <w:tcPr>
            <w:tcW w:w="10680" w:type="dxa"/>
            <w:vAlign w:val="bottom"/>
          </w:tcPr>
          <w:p>
            <w:pPr>
              <w:ind w:left="320"/>
              <w:spacing w:after="0"/>
              <w:rPr>
                <w:sz w:val="20"/>
                <w:szCs w:val="20"/>
                <w:color w:val="auto"/>
              </w:rPr>
            </w:pPr>
            <w:r>
              <w:rPr>
                <w:rFonts w:ascii="Arial" w:cs="Arial" w:eastAsia="Arial" w:hAnsi="Arial"/>
                <w:sz w:val="18"/>
                <w:szCs w:val="18"/>
                <w:color w:val="auto"/>
                <w:w w:val="98"/>
              </w:rPr>
              <w:t>Form of Preliminary Prospectus Supplement For Debt Securities Offerings (incorporated by reference to Exhibit 99.3 to Pre-Effective</w:t>
            </w:r>
          </w:p>
        </w:tc>
      </w:tr>
      <w:tr>
        <w:trPr>
          <w:trHeight w:val="230"/>
        </w:trPr>
        <w:tc>
          <w:tcPr>
            <w:tcW w:w="720" w:type="dxa"/>
            <w:vAlign w:val="bottom"/>
          </w:tcPr>
          <w:p>
            <w:pPr>
              <w:spacing w:after="0"/>
              <w:rPr>
                <w:sz w:val="20"/>
                <w:szCs w:val="20"/>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Amendment No. 1 to the Company’s Registration Statement on Form N-2 filed on July 25, 2014)</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99.4</w:t>
            </w:r>
          </w:p>
        </w:tc>
        <w:tc>
          <w:tcPr>
            <w:tcW w:w="10680" w:type="dxa"/>
            <w:vAlign w:val="bottom"/>
          </w:tcPr>
          <w:p>
            <w:pPr>
              <w:ind w:left="320"/>
              <w:spacing w:after="0"/>
              <w:rPr>
                <w:sz w:val="20"/>
                <w:szCs w:val="20"/>
                <w:color w:val="auto"/>
              </w:rPr>
            </w:pPr>
            <w:r>
              <w:rPr>
                <w:rFonts w:ascii="Arial" w:cs="Arial" w:eastAsia="Arial" w:hAnsi="Arial"/>
                <w:sz w:val="18"/>
                <w:szCs w:val="18"/>
                <w:color w:val="auto"/>
                <w:w w:val="92"/>
              </w:rPr>
              <w:t>Form of Preliminary Prospectus Supplement For Rights Offerings (incorporated by reference to Exhibit 99.4 to Pre-Effective Amendment No.</w:t>
            </w:r>
          </w:p>
        </w:tc>
      </w:tr>
      <w:tr>
        <w:trPr>
          <w:trHeight w:val="230"/>
        </w:trPr>
        <w:tc>
          <w:tcPr>
            <w:tcW w:w="720" w:type="dxa"/>
            <w:vAlign w:val="bottom"/>
          </w:tcPr>
          <w:p>
            <w:pPr>
              <w:spacing w:after="0"/>
              <w:rPr>
                <w:sz w:val="20"/>
                <w:szCs w:val="20"/>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1 to the Company’s Registration Statement on Form N-2 filed on July 25, 2014)</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99.5</w:t>
            </w:r>
          </w:p>
        </w:tc>
        <w:tc>
          <w:tcPr>
            <w:tcW w:w="10680" w:type="dxa"/>
            <w:vAlign w:val="bottom"/>
          </w:tcPr>
          <w:p>
            <w:pPr>
              <w:ind w:left="320"/>
              <w:spacing w:after="0"/>
              <w:rPr>
                <w:sz w:val="20"/>
                <w:szCs w:val="20"/>
                <w:color w:val="auto"/>
              </w:rPr>
            </w:pPr>
            <w:r>
              <w:rPr>
                <w:rFonts w:ascii="Arial" w:cs="Arial" w:eastAsia="Arial" w:hAnsi="Arial"/>
                <w:sz w:val="18"/>
                <w:szCs w:val="18"/>
                <w:color w:val="auto"/>
                <w:w w:val="91"/>
              </w:rPr>
              <w:t>Form of Preliminary Prospectus Supplement For Warrant Offerings (incorporated by reference to Exhibit 99.5 to Pre-Effective Amendment No.</w:t>
            </w:r>
          </w:p>
        </w:tc>
      </w:tr>
      <w:tr>
        <w:trPr>
          <w:trHeight w:val="230"/>
        </w:trPr>
        <w:tc>
          <w:tcPr>
            <w:tcW w:w="720" w:type="dxa"/>
            <w:vAlign w:val="bottom"/>
          </w:tcPr>
          <w:p>
            <w:pPr>
              <w:spacing w:after="0"/>
              <w:rPr>
                <w:sz w:val="20"/>
                <w:szCs w:val="20"/>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1 to the Company’s Registration Statement on Form N-2 filed on July 25, 2014)</w:t>
            </w:r>
          </w:p>
        </w:tc>
      </w:tr>
    </w:tbl>
    <w:p>
      <w:pPr>
        <w:spacing w:after="0" w:line="107" w:lineRule="exact"/>
        <w:rPr>
          <w:sz w:val="20"/>
          <w:szCs w:val="20"/>
          <w:color w:val="auto"/>
        </w:rPr>
      </w:pPr>
    </w:p>
    <w:p>
      <w:pPr>
        <w:ind w:left="460" w:hanging="452"/>
        <w:spacing w:after="0"/>
        <w:tabs>
          <w:tab w:leader="none" w:pos="4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Previously filed as an exhibit to this registration statement.</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121" w:lineRule="exact"/>
        <w:rPr>
          <w:sz w:val="20"/>
          <w:szCs w:val="20"/>
          <w:color w:val="auto"/>
        </w:rPr>
      </w:pPr>
    </w:p>
    <w:p>
      <w:pPr>
        <w:ind w:right="700" w:firstLine="456"/>
        <w:spacing w:after="0" w:line="308" w:lineRule="auto"/>
        <w:rPr>
          <w:sz w:val="20"/>
          <w:szCs w:val="20"/>
          <w:color w:val="auto"/>
        </w:rPr>
      </w:pPr>
      <w:r>
        <w:rPr>
          <w:rFonts w:ascii="Arial" w:cs="Arial" w:eastAsia="Arial" w:hAnsi="Arial"/>
          <w:sz w:val="17"/>
          <w:szCs w:val="17"/>
          <w:color w:val="auto"/>
        </w:rPr>
        <w:t>The information contained under the heading “Plan of Distribution” in this Registration Statement is incorporated herein by reference and any information concerning any underwriters for a particular offering will be contained in the prospectus supplement related to that offering.</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Arial" w:cs="Arial" w:eastAsia="Arial" w:hAnsi="Arial"/>
                <w:sz w:val="18"/>
                <w:szCs w:val="18"/>
                <w:b w:val="1"/>
                <w:bCs w:val="1"/>
                <w:color w:val="auto"/>
              </w:rPr>
              <w:t>Item 27.</w:t>
            </w:r>
          </w:p>
        </w:tc>
        <w:tc>
          <w:tcPr>
            <w:tcW w:w="7680" w:type="dxa"/>
            <w:vAlign w:val="bottom"/>
            <w:gridSpan w:val="2"/>
          </w:tcPr>
          <w:p>
            <w:pPr>
              <w:ind w:left="140"/>
              <w:spacing w:after="0"/>
              <w:rPr>
                <w:sz w:val="20"/>
                <w:szCs w:val="20"/>
                <w:color w:val="auto"/>
              </w:rPr>
            </w:pPr>
            <w:r>
              <w:rPr>
                <w:rFonts w:ascii="Arial" w:cs="Arial" w:eastAsia="Arial" w:hAnsi="Arial"/>
                <w:sz w:val="18"/>
                <w:szCs w:val="18"/>
                <w:b w:val="1"/>
                <w:bCs w:val="1"/>
                <w:color w:val="auto"/>
              </w:rPr>
              <w:t>Other Expenses of Issuance and Distribution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780" w:type="dxa"/>
            <w:vAlign w:val="bottom"/>
          </w:tcPr>
          <w:p>
            <w:pPr>
              <w:spacing w:after="0"/>
              <w:rPr>
                <w:sz w:val="10"/>
                <w:szCs w:val="10"/>
                <w:color w:val="auto"/>
              </w:rPr>
            </w:pPr>
          </w:p>
        </w:tc>
        <w:tc>
          <w:tcPr>
            <w:tcW w:w="1060" w:type="dxa"/>
            <w:vAlign w:val="bottom"/>
            <w:vMerge w:val="restart"/>
          </w:tcPr>
          <w:p>
            <w:pPr>
              <w:spacing w:after="0"/>
              <w:rPr>
                <w:sz w:val="10"/>
                <w:szCs w:val="10"/>
                <w:color w:val="auto"/>
              </w:rPr>
            </w:pPr>
          </w:p>
        </w:tc>
        <w:tc>
          <w:tcPr>
            <w:tcW w:w="6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87,150.00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FINRA filing fee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113,000.00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NYSE listing fee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100,000.00(1)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Printing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50,000.00(1)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300,000.00(1)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25,000.00(1)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24,850.00(1)</w:t>
            </w: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2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700,000.00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These amounts are estimates.</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28.</w:t>
      </w:r>
      <w:r>
        <w:rPr>
          <w:sz w:val="20"/>
          <w:szCs w:val="20"/>
          <w:color w:val="auto"/>
        </w:rPr>
        <w:tab/>
      </w:r>
      <w:r>
        <w:rPr>
          <w:rFonts w:ascii="Arial" w:cs="Arial" w:eastAsia="Arial" w:hAnsi="Arial"/>
          <w:sz w:val="16"/>
          <w:szCs w:val="16"/>
          <w:b w:val="1"/>
          <w:bCs w:val="1"/>
          <w:color w:val="auto"/>
        </w:rPr>
        <w:t>Persons Controlled by or Under Common Control</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information contained under the headings “The Company,” “Management,” “Related-Party Transactions and Certain Relationships” and “Control Persons and Principal Stockholders” in this Registration Statement is incorporated herein by reference.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29.</w:t>
      </w:r>
      <w:r>
        <w:rPr>
          <w:sz w:val="20"/>
          <w:szCs w:val="20"/>
          <w:color w:val="auto"/>
        </w:rPr>
        <w:tab/>
      </w:r>
      <w:r>
        <w:rPr>
          <w:rFonts w:ascii="Arial" w:cs="Arial" w:eastAsia="Arial" w:hAnsi="Arial"/>
          <w:sz w:val="16"/>
          <w:szCs w:val="16"/>
          <w:b w:val="1"/>
          <w:bCs w:val="1"/>
          <w:color w:val="auto"/>
        </w:rPr>
        <w:t>Number of Holders of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approximate number of record holders of our common stock as of May 20, 2015.</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Title of Class</w:t>
            </w:r>
          </w:p>
        </w:tc>
        <w:tc>
          <w:tcPr>
            <w:tcW w:w="47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Number of Record Holders</w:t>
            </w:r>
          </w:p>
        </w:tc>
      </w:tr>
      <w:tr>
        <w:trPr>
          <w:trHeight w:val="210"/>
        </w:trPr>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2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$0.01 par value</w:t>
            </w:r>
          </w:p>
        </w:tc>
        <w:tc>
          <w:tcPr>
            <w:tcW w:w="29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tcBorders>
              <w:top w:val="single" w:sz="8" w:color="CCEEFF"/>
            </w:tcBorders>
            <w:shd w:val="clear" w:color="auto" w:fill="CCEEFF"/>
          </w:tcPr>
          <w:p>
            <w:pPr>
              <w:spacing w:after="0"/>
              <w:rPr>
                <w:sz w:val="18"/>
                <w:szCs w:val="18"/>
                <w:color w:val="auto"/>
              </w:rPr>
            </w:pPr>
          </w:p>
        </w:tc>
      </w:tr>
      <w:tr>
        <w:trPr>
          <w:trHeight w:val="365"/>
        </w:trPr>
        <w:tc>
          <w:tcPr>
            <w:tcW w:w="8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720" w:type="dxa"/>
            <w:vAlign w:val="bottom"/>
            <w:gridSpan w:val="3"/>
          </w:tcPr>
          <w:p>
            <w:pPr>
              <w:ind w:left="700"/>
              <w:spacing w:after="0"/>
              <w:rPr>
                <w:sz w:val="20"/>
                <w:szCs w:val="20"/>
                <w:color w:val="auto"/>
              </w:rPr>
            </w:pPr>
            <w:r>
              <w:rPr>
                <w:rFonts w:ascii="Arial" w:cs="Arial" w:eastAsia="Arial" w:hAnsi="Arial"/>
                <w:sz w:val="18"/>
                <w:szCs w:val="18"/>
                <w:color w:val="auto"/>
              </w:rPr>
              <w:t>C-4</w:t>
            </w:r>
          </w:p>
        </w:tc>
      </w:tr>
    </w:tbl>
    <w:p>
      <w:pPr>
        <w:sectPr>
          <w:pgSz w:w="11900" w:h="16838" w:orient="portrait"/>
          <w:cols w:equalWidth="0" w:num="1">
            <w:col w:w="11400"/>
          </w:cols>
          <w:pgMar w:left="240" w:top="460" w:right="25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Indemnification</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Section 145 of the DGCL allows for the indemnification of officers, directors and any corporate agents in terms sufficiently broad to indemnify these persons under certain circumstances for liabilities, including reimbursement for expenses, incurred arising under the Securities Act. Our certificate of incorporation and bylaws provide that we shall indemnify our directors and officers to the fullest extent authorized or permitted by law and this right to indemnification shall continue as to a person who has ceased to be a director or officer and shall inure to the benefit of his or her heirs, executors and personal and legal representatives; provided, however, that, except for proceedings to enforce rights to indemnification, we are not obligated to indemnify any director or officer (or his or her heirs, executors or personal or legal representatives) in connection with a proceeding (or part thereof) initiated by the person unless the proceeding (or part thereof) was authorized or consented to by the Board. The right to indemnification conferred includes the right to be paid by us the expenses incurred in defending or otherwise participating in any proceeding in advance of its final disposition.</w:t>
      </w:r>
    </w:p>
    <w:p>
      <w:pPr>
        <w:spacing w:after="0" w:line="179"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So long as we are regulated under the 1940 Act, the above indemnification is limited by the 1940 Act or by any valid rule, regulation or order of the SEC thereunder. The 1940 Act provides, among other things, that a company may not indemnify any director or officer against liability to it or its security holders to which he or she might otherwise be subject by reason of his or her willful misfeasance, bad faith, gross negligence or reckless disregard of the duties involved in the conduct of his or her office unless a determination is made by final decision of a court, by vote of a majority of a quorum of directors who are disinterested, non-party directors or by independent legal counsel that the liability for which indemnification is sought did not arise out of the foregoing conduct.</w:t>
      </w:r>
    </w:p>
    <w:p>
      <w:pPr>
        <w:spacing w:after="0" w:line="193"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In addition, we have entered into indemnification agreements with our directors and officers that provide for a contractual right to indemnification to the fullest extent permitted by the DGCL. A form of indemnification agreement has been filed as an exhibit to this Registration Statement.</w:t>
      </w:r>
    </w:p>
    <w:p>
      <w:pPr>
        <w:spacing w:after="0" w:line="124"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such repeal or modification with respect to any acts or omissions occurring prior to such repeal or modification.</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these Agreements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or any other person or entity affiliated with the Adviser, including without limitation the Administrator, or is or was a member of the Adviser’s Investment Review Committee (each such person hereinafter an “Indemnitee”), on the same general terms set forth in the certificate of incorporation.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420"/>
          </w:cols>
          <w:pgMar w:left="240" w:top="459" w:right="2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Insofar as indemnification for liability arising under the Securities Act may be permitted to directors, officers and controlling persons of the Registrant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3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Investment Advisor</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 description of any other business, profession, vocation or employment of a substantial nature in which the Adviser, and each managing director, director or executive officer of the Adviser, is or has been during the past two fiscal years, engaged in for his or her own account or in the capacity of director, officer, employee, partner or trustee, is set forth in this Registration Statement in the sections entitled “The Company,” “Management” and “Management and Other Agreements.” Additional information regarding the Adviser and its officers is set forth in its Form ADV, filed with the SEC (SEC File No. 801-72185), and is incorporated herein by reference.</w:t>
      </w:r>
    </w:p>
    <w:p>
      <w:pPr>
        <w:spacing w:after="0" w:line="33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 of Accounts and Records</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All accounts, books and other documents required to be maintained by Section 31(a) of the 1940 Act, and the rules thereunder are maintained at the offices of:</w:t>
      </w:r>
    </w:p>
    <w:p>
      <w:pPr>
        <w:spacing w:after="0" w:line="76" w:lineRule="exact"/>
        <w:rPr>
          <w:sz w:val="20"/>
          <w:szCs w:val="20"/>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Registrant, 301 Commerce Street, Suite 3300, Fort Worth, TX 76102;</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transfer agent, State Street Bank and Trust Company, 200 Clarendon Street, Boston, MA 02116;</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custodian, State Street Bank and Trust Company, 1 Lincoln Street Boston, MA 02111;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Adviser, 301 Commerce Street, Suite 3300, Fort Worth, TX 76102.</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6"/>
          <w:szCs w:val="16"/>
          <w:b w:val="1"/>
          <w:bCs w:val="1"/>
          <w:color w:val="auto"/>
        </w:rPr>
        <w:t>Undertakings</w:t>
      </w:r>
    </w:p>
    <w:p>
      <w:pPr>
        <w:spacing w:after="0" w:line="135" w:lineRule="exact"/>
        <w:rPr>
          <w:sz w:val="20"/>
          <w:szCs w:val="20"/>
          <w:color w:val="auto"/>
        </w:rPr>
      </w:pPr>
    </w:p>
    <w:p>
      <w:pPr>
        <w:ind w:left="900" w:right="40" w:hanging="446"/>
        <w:spacing w:after="0" w:line="264" w:lineRule="auto"/>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We undertake to suspend the offering of shares until the prospectus is amended if (1) subsequent to the effective date of its registration statement, the net asset value declines more than 10% from its net asset value as of the effective date of the registration statement; or (2) the net asset value increases to an amount greater than the net proceeds as stated in the prospectus.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900" w:right="20" w:hanging="446"/>
        <w:spacing w:after="0" w:line="273" w:lineRule="auto"/>
        <w:tabs>
          <w:tab w:leader="none" w:pos="90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We undertake, in the event that the securities being registered are to be offered to existing stockholders pursuant to warrants or rights and any securities not taken by shareholders are to be reoffered to the public, to supplement the prospectus, after the expiration of the subscription period, to set forth the results of the subscription offer, the transactions by the underwriters during the subscription period, the amount of unsubscribed securities to be purchased by underwriters, and the terms of any subsequent underwriting thereof. We further undertake that if any public offering by the underwriters of the securities being registered is to be made on terms differing from those set forth on the cover page of the prospectus, we shall file a post-effective amendment to set forth the terms of such offering.</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400"/>
          </w:cols>
          <w:pgMar w:left="240" w:top="460" w:right="25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We hereby undertake: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the registration statement: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19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920" w:right="20" w:hanging="440"/>
        <w:spacing w:after="0" w:line="264" w:lineRule="auto"/>
        <w:tabs>
          <w:tab w:leader="none" w:pos="1920" w:val="left"/>
        </w:tabs>
        <w:numPr>
          <w:ilvl w:val="2"/>
          <w:numId w:val="19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spacing w:after="0" w:line="86" w:lineRule="exact"/>
        <w:rPr>
          <w:rFonts w:ascii="Arial" w:cs="Arial" w:eastAsia="Arial" w:hAnsi="Arial"/>
          <w:sz w:val="18"/>
          <w:szCs w:val="18"/>
          <w:color w:val="auto"/>
        </w:rPr>
      </w:pPr>
    </w:p>
    <w:p>
      <w:pPr>
        <w:ind w:left="1920" w:right="100" w:hanging="440"/>
        <w:spacing w:after="0" w:line="277" w:lineRule="auto"/>
        <w:tabs>
          <w:tab w:leader="none" w:pos="1920" w:val="left"/>
        </w:tabs>
        <w:numPr>
          <w:ilvl w:val="2"/>
          <w:numId w:val="19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5" w:lineRule="exact"/>
        <w:rPr>
          <w:rFonts w:ascii="Arial" w:cs="Arial" w:eastAsia="Arial" w:hAnsi="Arial"/>
          <w:sz w:val="18"/>
          <w:szCs w:val="18"/>
          <w:color w:val="auto"/>
        </w:rPr>
      </w:pPr>
    </w:p>
    <w:p>
      <w:pPr>
        <w:ind w:left="1480" w:right="160" w:hanging="567"/>
        <w:spacing w:after="0" w:line="264" w:lineRule="auto"/>
        <w:tabs>
          <w:tab w:leader="none" w:pos="148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86" w:lineRule="exact"/>
        <w:rPr>
          <w:rFonts w:ascii="Arial" w:cs="Arial" w:eastAsia="Arial" w:hAnsi="Arial"/>
          <w:sz w:val="18"/>
          <w:szCs w:val="18"/>
          <w:color w:val="auto"/>
        </w:rPr>
      </w:pPr>
    </w:p>
    <w:p>
      <w:pPr>
        <w:ind w:left="1480" w:right="280" w:hanging="567"/>
        <w:spacing w:after="0" w:line="277" w:lineRule="auto"/>
        <w:tabs>
          <w:tab w:leader="none" w:pos="148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 and</w:t>
      </w:r>
    </w:p>
    <w:p>
      <w:pPr>
        <w:spacing w:after="0" w:line="75" w:lineRule="exact"/>
        <w:rPr>
          <w:rFonts w:ascii="Arial" w:cs="Arial" w:eastAsia="Arial" w:hAnsi="Arial"/>
          <w:sz w:val="18"/>
          <w:szCs w:val="18"/>
          <w:color w:val="auto"/>
        </w:rPr>
      </w:pPr>
    </w:p>
    <w:p>
      <w:pPr>
        <w:ind w:left="1480" w:right="100" w:hanging="567"/>
        <w:spacing w:after="0" w:line="290" w:lineRule="auto"/>
        <w:tabs>
          <w:tab w:leader="none" w:pos="1480" w:val="left"/>
        </w:tabs>
        <w:numPr>
          <w:ilvl w:val="1"/>
          <w:numId w:val="194"/>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to any purchaser, if we are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supercede or modify any statement that was made in the registration statement or prospectus that was part of the registration statement or made in any such document immediately prior to such date of first use.</w:t>
      </w:r>
    </w:p>
    <w:p>
      <w:pPr>
        <w:spacing w:after="0" w:line="71" w:lineRule="exact"/>
        <w:rPr>
          <w:rFonts w:ascii="Arial" w:cs="Arial" w:eastAsia="Arial" w:hAnsi="Arial"/>
          <w:sz w:val="16"/>
          <w:szCs w:val="16"/>
          <w:color w:val="auto"/>
        </w:rPr>
      </w:pPr>
    </w:p>
    <w:p>
      <w:pPr>
        <w:ind w:left="1480" w:hanging="567"/>
        <w:spacing w:after="0" w:line="279" w:lineRule="auto"/>
        <w:tabs>
          <w:tab w:leader="none" w:pos="1480" w:val="left"/>
        </w:tabs>
        <w:numPr>
          <w:ilvl w:val="1"/>
          <w:numId w:val="194"/>
        </w:numPr>
        <w:rPr>
          <w:rFonts w:ascii="Arial" w:cs="Arial" w:eastAsia="Arial" w:hAnsi="Arial"/>
          <w:sz w:val="17"/>
          <w:szCs w:val="17"/>
          <w:color w:val="auto"/>
        </w:rPr>
      </w:pPr>
      <w:r>
        <w:rPr>
          <w:rFonts w:ascii="Arial" w:cs="Arial" w:eastAsia="Arial" w:hAnsi="Arial"/>
          <w:sz w:val="17"/>
          <w:szCs w:val="17"/>
          <w:color w:val="auto"/>
        </w:rPr>
        <w:t>that, for the purpose of determining our liability under the Securities Act to any purchaser in the initial distribution of securities, we undertake that in a primary offering of our securities pursuant to this registration statement, regardless of the underwriting method used to sell the securities to the purchaser, if the securities are offered or sold to such purchaser by means of any of the following communications, we will be a seller to the purchaser and will be considered to offer or sell such securities to the purchaser:</w:t>
      </w:r>
    </w:p>
    <w:p>
      <w:pPr>
        <w:spacing w:after="0" w:line="76" w:lineRule="exact"/>
        <w:rPr>
          <w:rFonts w:ascii="Arial" w:cs="Arial" w:eastAsia="Arial" w:hAnsi="Arial"/>
          <w:sz w:val="17"/>
          <w:szCs w:val="17"/>
          <w:color w:val="auto"/>
        </w:rPr>
      </w:pPr>
    </w:p>
    <w:p>
      <w:pPr>
        <w:ind w:left="1920" w:right="600" w:hanging="440"/>
        <w:spacing w:after="0" w:line="277" w:lineRule="auto"/>
        <w:tabs>
          <w:tab w:leader="none" w:pos="1920" w:val="left"/>
        </w:tabs>
        <w:numPr>
          <w:ilvl w:val="2"/>
          <w:numId w:val="194"/>
        </w:numPr>
        <w:rPr>
          <w:rFonts w:ascii="Arial" w:cs="Arial" w:eastAsia="Arial" w:hAnsi="Arial"/>
          <w:sz w:val="18"/>
          <w:szCs w:val="18"/>
          <w:color w:val="auto"/>
        </w:rPr>
      </w:pPr>
      <w:r>
        <w:rPr>
          <w:rFonts w:ascii="Arial" w:cs="Arial" w:eastAsia="Arial" w:hAnsi="Arial"/>
          <w:sz w:val="18"/>
          <w:szCs w:val="18"/>
          <w:color w:val="auto"/>
        </w:rPr>
        <w:t>any preliminary prospectus or prospectus of ours relating to the offering required to be filed pursuant to Rule 497 under the Securities Act;</w:t>
      </w:r>
    </w:p>
    <w:p>
      <w:pPr>
        <w:spacing w:after="0" w:line="75" w:lineRule="exact"/>
        <w:rPr>
          <w:rFonts w:ascii="Arial" w:cs="Arial" w:eastAsia="Arial" w:hAnsi="Arial"/>
          <w:sz w:val="18"/>
          <w:szCs w:val="18"/>
          <w:color w:val="auto"/>
        </w:rPr>
      </w:pPr>
    </w:p>
    <w:p>
      <w:pPr>
        <w:ind w:left="1920" w:right="700" w:hanging="440"/>
        <w:spacing w:after="0" w:line="277" w:lineRule="auto"/>
        <w:tabs>
          <w:tab w:leader="none" w:pos="1920" w:val="left"/>
        </w:tabs>
        <w:numPr>
          <w:ilvl w:val="2"/>
          <w:numId w:val="194"/>
        </w:numPr>
        <w:rPr>
          <w:rFonts w:ascii="Arial" w:cs="Arial" w:eastAsia="Arial" w:hAnsi="Arial"/>
          <w:sz w:val="18"/>
          <w:szCs w:val="18"/>
          <w:color w:val="auto"/>
        </w:rPr>
      </w:pPr>
      <w:r>
        <w:rPr>
          <w:rFonts w:ascii="Arial" w:cs="Arial" w:eastAsia="Arial" w:hAnsi="Arial"/>
          <w:sz w:val="18"/>
          <w:szCs w:val="18"/>
          <w:color w:val="auto"/>
        </w:rPr>
        <w:t>the portion of any advertisement pursuant to Rule 482 under the Securities Act relating to the offering containing material information about us or our securities provided by or on behalf of us; and</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2"/>
          <w:numId w:val="19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us to the purchaser.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We undertake that:</w:t>
      </w:r>
    </w:p>
    <w:p>
      <w:pPr>
        <w:spacing w:after="0" w:line="130" w:lineRule="exact"/>
        <w:rPr>
          <w:rFonts w:ascii="Arial" w:cs="Arial" w:eastAsia="Arial" w:hAnsi="Arial"/>
          <w:sz w:val="18"/>
          <w:szCs w:val="18"/>
          <w:color w:val="auto"/>
        </w:rPr>
      </w:pPr>
    </w:p>
    <w:p>
      <w:pPr>
        <w:ind w:left="1480" w:right="80" w:hanging="567"/>
        <w:spacing w:after="0" w:line="312" w:lineRule="auto"/>
        <w:tabs>
          <w:tab w:leader="none" w:pos="1480" w:val="left"/>
        </w:tabs>
        <w:numPr>
          <w:ilvl w:val="1"/>
          <w:numId w:val="194"/>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the information omitted from the form of prospectus filed as part of this registration statement in reliance upon Rule 430A and contained in a form of prospectus filed by us pursuant to Rule 497(h) under the Securities Act shall be deemed to be part of this registration statement as of the time it was declared effective; and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400"/>
          </w:cols>
          <w:pgMar w:left="240" w:top="460" w:right="25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567"/>
        <w:spacing w:after="0" w:line="264" w:lineRule="auto"/>
        <w:tabs>
          <w:tab w:leader="none" w:pos="148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We undertake to send by first class mail or other means designed to ensure equally prompt delivery, within two business days of receipt of a written or oral request, any Statement of Additional Information.</w:t>
      </w:r>
    </w:p>
    <w:p>
      <w:pPr>
        <w:spacing w:after="0" w:line="75" w:lineRule="exact"/>
        <w:rPr>
          <w:rFonts w:ascii="Arial" w:cs="Arial" w:eastAsia="Arial" w:hAnsi="Arial"/>
          <w:sz w:val="18"/>
          <w:szCs w:val="18"/>
          <w:color w:val="auto"/>
        </w:rPr>
      </w:pPr>
    </w:p>
    <w:p>
      <w:pPr>
        <w:jc w:val="both"/>
        <w:ind w:left="900" w:right="60" w:hanging="446"/>
        <w:spacing w:after="0" w:line="264" w:lineRule="auto"/>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We undertake to file a post-effective amendment to the registration statement pursuant to Section 8(c) of the Securities Act in respect of any one or more offerings by us of shares of our common stock (including subscription rights to purchase shares of common stock) below net asset value as of the date of the commencement of such offering.</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We undertake to file a post-effective amendment or a new registration statement for any offering of debt securities referred to as “senior.”</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1380"/>
          </w:cols>
          <w:pgMar w:left="240" w:top="459" w:right="27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has duly caused this Pre-Effective Amendment No. 2 to the Registration Statement on Form N-2 to be signed on its behalf by the undersigned, thereunto duly authorized, in the City of New York, and the State of New York on the 15th day of June, 2015.</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Michael Fishman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Co-Chief Executive Officer</w:t>
      </w:r>
    </w:p>
    <w:p>
      <w:pPr>
        <w:spacing w:after="0" w:line="21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Pre-Effective Amendment No. 2 to the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0" w:type="dxa"/>
            <w:vAlign w:val="bottom"/>
            <w:tcBorders>
              <w:bottom w:val="single" w:sz="8" w:color="auto"/>
            </w:tcBorders>
          </w:tcPr>
          <w:p>
            <w:pPr>
              <w:spacing w:after="0"/>
              <w:rPr>
                <w:sz w:val="16"/>
                <w:szCs w:val="16"/>
                <w:color w:val="auto"/>
              </w:rPr>
            </w:pPr>
          </w:p>
        </w:tc>
        <w:tc>
          <w:tcPr>
            <w:tcW w:w="47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2"/>
              </w:rPr>
              <w:t>Signature</w:t>
            </w:r>
          </w:p>
        </w:tc>
        <w:tc>
          <w:tcPr>
            <w:tcW w:w="100" w:type="dxa"/>
            <w:vAlign w:val="bottom"/>
          </w:tcPr>
          <w:p>
            <w:pPr>
              <w:spacing w:after="0"/>
              <w:rPr>
                <w:sz w:val="16"/>
                <w:szCs w:val="16"/>
                <w:color w:val="auto"/>
              </w:rPr>
            </w:pPr>
          </w:p>
        </w:tc>
        <w:tc>
          <w:tcPr>
            <w:tcW w:w="3940" w:type="dxa"/>
            <w:vAlign w:val="bottom"/>
            <w:tcBorders>
              <w:bottom w:val="single" w:sz="8" w:color="auto"/>
            </w:tcBorders>
          </w:tcPr>
          <w:p>
            <w:pPr>
              <w:ind w:left="182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3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92"/>
              </w:rPr>
              <w:t>/s/ Michael Fishman</w:t>
            </w: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Co-Chief Executive Officer and Director (Principal</w:t>
            </w:r>
          </w:p>
        </w:tc>
        <w:tc>
          <w:tcPr>
            <w:tcW w:w="2100" w:type="dxa"/>
            <w:vAlign w:val="bottom"/>
          </w:tcPr>
          <w:p>
            <w:pPr>
              <w:jc w:val="center"/>
              <w:spacing w:after="0"/>
              <w:rPr>
                <w:sz w:val="20"/>
                <w:szCs w:val="20"/>
                <w:color w:val="auto"/>
              </w:rPr>
            </w:pPr>
            <w:r>
              <w:rPr>
                <w:rFonts w:ascii="Arial" w:cs="Arial" w:eastAsia="Arial" w:hAnsi="Arial"/>
                <w:sz w:val="18"/>
                <w:szCs w:val="18"/>
                <w:color w:val="auto"/>
                <w:w w:val="87"/>
              </w:rPr>
              <w:t>June 15, 2015</w:t>
            </w:r>
          </w:p>
        </w:tc>
      </w:tr>
      <w:tr>
        <w:trPr>
          <w:trHeight w:val="224"/>
        </w:trPr>
        <w:tc>
          <w:tcPr>
            <w:tcW w:w="340" w:type="dxa"/>
            <w:vAlign w:val="bottom"/>
          </w:tcPr>
          <w:p>
            <w:pPr>
              <w:spacing w:after="0"/>
              <w:rPr>
                <w:sz w:val="19"/>
                <w:szCs w:val="19"/>
                <w:color w:val="auto"/>
              </w:rPr>
            </w:pPr>
          </w:p>
        </w:tc>
        <w:tc>
          <w:tcPr>
            <w:tcW w:w="47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Michael Fishman</w:t>
            </w:r>
          </w:p>
        </w:tc>
        <w:tc>
          <w:tcPr>
            <w:tcW w:w="10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Executive Officer)</w:t>
            </w:r>
          </w:p>
        </w:tc>
        <w:tc>
          <w:tcPr>
            <w:tcW w:w="2100" w:type="dxa"/>
            <w:vAlign w:val="bottom"/>
          </w:tcPr>
          <w:p>
            <w:pPr>
              <w:spacing w:after="0"/>
              <w:rPr>
                <w:sz w:val="19"/>
                <w:szCs w:val="19"/>
                <w:color w:val="auto"/>
              </w:rPr>
            </w:pPr>
          </w:p>
        </w:tc>
      </w:tr>
      <w:tr>
        <w:trPr>
          <w:trHeight w:val="431"/>
        </w:trPr>
        <w:tc>
          <w:tcPr>
            <w:tcW w:w="458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Co-Chief Executive Officer, Director and Chairman</w:t>
            </w:r>
          </w:p>
        </w:tc>
        <w:tc>
          <w:tcPr>
            <w:tcW w:w="2100" w:type="dxa"/>
            <w:vAlign w:val="bottom"/>
          </w:tcPr>
          <w:p>
            <w:pPr>
              <w:jc w:val="center"/>
              <w:spacing w:after="0"/>
              <w:rPr>
                <w:sz w:val="20"/>
                <w:szCs w:val="20"/>
                <w:color w:val="auto"/>
              </w:rPr>
            </w:pPr>
            <w:r>
              <w:rPr>
                <w:rFonts w:ascii="Arial" w:cs="Arial" w:eastAsia="Arial" w:hAnsi="Arial"/>
                <w:sz w:val="18"/>
                <w:szCs w:val="18"/>
                <w:color w:val="auto"/>
                <w:w w:val="87"/>
              </w:rPr>
              <w:t>June 15, 2015</w:t>
            </w:r>
          </w:p>
        </w:tc>
      </w:tr>
      <w:tr>
        <w:trPr>
          <w:trHeight w:val="224"/>
        </w:trPr>
        <w:tc>
          <w:tcPr>
            <w:tcW w:w="340" w:type="dxa"/>
            <w:vAlign w:val="bottom"/>
          </w:tcPr>
          <w:p>
            <w:pPr>
              <w:spacing w:after="0"/>
              <w:rPr>
                <w:sz w:val="19"/>
                <w:szCs w:val="19"/>
                <w:color w:val="auto"/>
              </w:rPr>
            </w:pPr>
          </w:p>
        </w:tc>
        <w:tc>
          <w:tcPr>
            <w:tcW w:w="474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Joshua Easterly</w:t>
            </w:r>
          </w:p>
        </w:tc>
        <w:tc>
          <w:tcPr>
            <w:tcW w:w="10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of the Board of Directors</w:t>
            </w:r>
          </w:p>
        </w:tc>
        <w:tc>
          <w:tcPr>
            <w:tcW w:w="2100" w:type="dxa"/>
            <w:vAlign w:val="bottom"/>
          </w:tcPr>
          <w:p>
            <w:pPr>
              <w:spacing w:after="0"/>
              <w:rPr>
                <w:sz w:val="19"/>
                <w:szCs w:val="19"/>
                <w:color w:val="auto"/>
              </w:rPr>
            </w:pPr>
          </w:p>
        </w:tc>
      </w:tr>
      <w:tr>
        <w:trPr>
          <w:trHeight w:val="431"/>
        </w:trPr>
        <w:tc>
          <w:tcPr>
            <w:tcW w:w="458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 and</w:t>
            </w:r>
          </w:p>
        </w:tc>
        <w:tc>
          <w:tcPr>
            <w:tcW w:w="2100" w:type="dxa"/>
            <w:vAlign w:val="bottom"/>
          </w:tcPr>
          <w:p>
            <w:pPr>
              <w:jc w:val="center"/>
              <w:spacing w:after="0"/>
              <w:rPr>
                <w:sz w:val="20"/>
                <w:szCs w:val="20"/>
                <w:color w:val="auto"/>
              </w:rPr>
            </w:pPr>
            <w:r>
              <w:rPr>
                <w:rFonts w:ascii="Arial" w:cs="Arial" w:eastAsia="Arial" w:hAnsi="Arial"/>
                <w:sz w:val="18"/>
                <w:szCs w:val="18"/>
                <w:color w:val="auto"/>
                <w:w w:val="87"/>
              </w:rPr>
              <w:t>June 15, 2015</w:t>
            </w:r>
          </w:p>
        </w:tc>
      </w:tr>
      <w:tr>
        <w:trPr>
          <w:trHeight w:val="224"/>
        </w:trPr>
        <w:tc>
          <w:tcPr>
            <w:tcW w:w="340" w:type="dxa"/>
            <w:vAlign w:val="bottom"/>
          </w:tcPr>
          <w:p>
            <w:pPr>
              <w:spacing w:after="0"/>
              <w:rPr>
                <w:sz w:val="19"/>
                <w:szCs w:val="19"/>
                <w:color w:val="auto"/>
              </w:rPr>
            </w:pPr>
          </w:p>
        </w:tc>
        <w:tc>
          <w:tcPr>
            <w:tcW w:w="47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Alan Kirshenbaum</w:t>
            </w:r>
          </w:p>
        </w:tc>
        <w:tc>
          <w:tcPr>
            <w:tcW w:w="10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Accounting Officer)</w:t>
            </w:r>
          </w:p>
        </w:tc>
        <w:tc>
          <w:tcPr>
            <w:tcW w:w="2100" w:type="dxa"/>
            <w:vAlign w:val="bottom"/>
          </w:tcPr>
          <w:p>
            <w:pPr>
              <w:spacing w:after="0"/>
              <w:rPr>
                <w:sz w:val="19"/>
                <w:szCs w:val="19"/>
                <w:color w:val="auto"/>
              </w:rPr>
            </w:pPr>
          </w:p>
        </w:tc>
      </w:tr>
      <w:tr>
        <w:trPr>
          <w:trHeight w:val="431"/>
        </w:trPr>
        <w:tc>
          <w:tcPr>
            <w:tcW w:w="458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Director and Chairman of the Audit Committee</w:t>
            </w:r>
          </w:p>
        </w:tc>
        <w:tc>
          <w:tcPr>
            <w:tcW w:w="2100" w:type="dxa"/>
            <w:vAlign w:val="bottom"/>
          </w:tcPr>
          <w:p>
            <w:pPr>
              <w:jc w:val="center"/>
              <w:spacing w:after="0"/>
              <w:rPr>
                <w:sz w:val="20"/>
                <w:szCs w:val="20"/>
                <w:color w:val="auto"/>
              </w:rPr>
            </w:pPr>
            <w:r>
              <w:rPr>
                <w:rFonts w:ascii="Arial" w:cs="Arial" w:eastAsia="Arial" w:hAnsi="Arial"/>
                <w:sz w:val="18"/>
                <w:szCs w:val="18"/>
                <w:color w:val="auto"/>
                <w:w w:val="87"/>
              </w:rPr>
              <w:t>June 15, 2015</w:t>
            </w:r>
          </w:p>
        </w:tc>
      </w:tr>
      <w:tr>
        <w:trPr>
          <w:trHeight w:val="224"/>
        </w:trPr>
        <w:tc>
          <w:tcPr>
            <w:tcW w:w="340" w:type="dxa"/>
            <w:vAlign w:val="bottom"/>
          </w:tcPr>
          <w:p>
            <w:pPr>
              <w:spacing w:after="0"/>
              <w:rPr>
                <w:sz w:val="19"/>
                <w:szCs w:val="19"/>
                <w:color w:val="auto"/>
              </w:rPr>
            </w:pPr>
          </w:p>
        </w:tc>
        <w:tc>
          <w:tcPr>
            <w:tcW w:w="47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John A. Ross</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458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87"/>
              </w:rPr>
              <w:t>June 15, 2015</w:t>
            </w:r>
          </w:p>
        </w:tc>
      </w:tr>
      <w:tr>
        <w:trPr>
          <w:trHeight w:val="224"/>
        </w:trPr>
        <w:tc>
          <w:tcPr>
            <w:tcW w:w="340" w:type="dxa"/>
            <w:vAlign w:val="bottom"/>
          </w:tcPr>
          <w:p>
            <w:pPr>
              <w:spacing w:after="0"/>
              <w:rPr>
                <w:sz w:val="19"/>
                <w:szCs w:val="19"/>
                <w:color w:val="auto"/>
              </w:rPr>
            </w:pPr>
          </w:p>
        </w:tc>
        <w:tc>
          <w:tcPr>
            <w:tcW w:w="474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Richard A. Higginbotham</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458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87"/>
              </w:rPr>
              <w:t>June 15, 2015</w:t>
            </w:r>
          </w:p>
        </w:tc>
      </w:tr>
      <w:tr>
        <w:trPr>
          <w:trHeight w:val="224"/>
        </w:trPr>
        <w:tc>
          <w:tcPr>
            <w:tcW w:w="340" w:type="dxa"/>
            <w:vAlign w:val="bottom"/>
          </w:tcPr>
          <w:p>
            <w:pPr>
              <w:spacing w:after="0"/>
              <w:rPr>
                <w:sz w:val="19"/>
                <w:szCs w:val="19"/>
                <w:color w:val="auto"/>
              </w:rPr>
            </w:pPr>
          </w:p>
        </w:tc>
        <w:tc>
          <w:tcPr>
            <w:tcW w:w="47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Ronald K. Tanemura</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58"/>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By: /s/ Michael Fishman</w:t>
            </w:r>
          </w:p>
        </w:tc>
        <w:tc>
          <w:tcPr>
            <w:tcW w:w="1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95"/>
        </w:trPr>
        <w:tc>
          <w:tcPr>
            <w:tcW w:w="340" w:type="dxa"/>
            <w:vAlign w:val="bottom"/>
          </w:tcPr>
          <w:p>
            <w:pPr>
              <w:spacing w:after="0"/>
              <w:rPr>
                <w:sz w:val="16"/>
                <w:szCs w:val="16"/>
                <w:color w:val="auto"/>
              </w:rPr>
            </w:pPr>
          </w:p>
        </w:tc>
        <w:tc>
          <w:tcPr>
            <w:tcW w:w="424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Michael Fishman</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4740" w:type="dxa"/>
            <w:vAlign w:val="bottom"/>
            <w:gridSpan w:val="2"/>
          </w:tcPr>
          <w:p>
            <w:pPr>
              <w:ind w:left="120"/>
              <w:spacing w:after="0"/>
              <w:rPr>
                <w:sz w:val="20"/>
                <w:szCs w:val="20"/>
                <w:color w:val="auto"/>
              </w:rPr>
            </w:pPr>
            <w:r>
              <w:rPr>
                <w:rFonts w:ascii="Arial" w:cs="Arial" w:eastAsia="Arial" w:hAnsi="Arial"/>
                <w:sz w:val="18"/>
                <w:szCs w:val="18"/>
                <w:color w:val="auto"/>
              </w:rPr>
              <w:t>Attorney-in-fact</w:t>
            </w:r>
          </w:p>
        </w:tc>
        <w:tc>
          <w:tcPr>
            <w:tcW w:w="1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tcPr>
          <w:p>
            <w:pPr>
              <w:spacing w:after="0"/>
              <w:rPr>
                <w:sz w:val="20"/>
                <w:szCs w:val="20"/>
                <w:color w:val="auto"/>
              </w:rPr>
            </w:pPr>
          </w:p>
        </w:tc>
      </w:tr>
    </w:tbl>
    <w:p>
      <w:pPr>
        <w:sectPr>
          <w:pgSz w:w="11900" w:h="16838" w:orient="portrait"/>
          <w:cols w:equalWidth="0" w:num="1">
            <w:col w:w="11420"/>
          </w:cols>
          <w:pgMar w:left="240" w:top="460" w:right="239" w:bottom="1440" w:gutter="0" w:footer="0" w:header="0"/>
        </w:sectPr>
      </w:pPr>
    </w:p>
    <w:bookmarkStart w:id="276" w:name="page277"/>
    <w:bookmarkEnd w:id="276"/>
    <w:p>
      <w:pPr>
        <w:jc w:val="right"/>
        <w:spacing w:after="0"/>
        <w:rPr>
          <w:sz w:val="20"/>
          <w:szCs w:val="20"/>
          <w:color w:val="auto"/>
        </w:rPr>
      </w:pPr>
      <w:r>
        <w:rPr>
          <w:rFonts w:ascii="Arial" w:cs="Arial" w:eastAsia="Arial" w:hAnsi="Arial"/>
          <w:sz w:val="18"/>
          <w:szCs w:val="18"/>
          <w:b w:val="1"/>
          <w:bCs w:val="1"/>
          <w:color w:val="auto"/>
        </w:rPr>
        <w:t>Exhibit (n)(2)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1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consent to the use of our report dated February 24, 2015, with respect to the consolidated balance sheets of TPG Specialty Lending, Inc. (and subsidiaries) (the Company), including the consolidated schedules of investments, as of December 31, 2014 and 2013, and the related consolidated statements of operations, changes in net assets and cash flows for each of the years in the three-year period ended December 31, 2014, and the effectiveness of internal control over financial reporting as of December 31, 2014, and our report dated April 16, 2015 on the consolidated senior securities schedule of the Company, included herein, and to the references to our firm under the headings “Senior Securities”, and “Experts” in the prospectus.</w:t>
      </w:r>
    </w:p>
    <w:p>
      <w:pPr>
        <w:spacing w:after="0" w:line="26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15, 2015</w:t>
      </w:r>
    </w:p>
    <w:p>
      <w:pPr>
        <w:sectPr>
          <w:pgSz w:w="11900" w:h="16838" w:orient="portrait"/>
          <w:cols w:equalWidth="0" w:num="1">
            <w:col w:w="11420"/>
          </w:cols>
          <w:pgMar w:left="240" w:top="121" w:right="239" w:bottom="1440" w:gutter="0" w:footer="0" w:header="0"/>
        </w:sectPr>
      </w:pPr>
    </w:p>
    <w:bookmarkStart w:id="277" w:name="page278"/>
    <w:bookmarkEnd w:id="27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190373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15,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VIA EDGAR CORRESPONDENCE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20549-7553</w:t>
      </w:r>
    </w:p>
    <w:p>
      <w:pPr>
        <w:spacing w:after="0" w:line="23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TPG Specialty Lending, Inc.</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Amendment No. 1 to Registration Statement on Form N-2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Filed May 28, 2015</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File No. 333-203450</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Dear Mr. Williamson:</w:t>
      </w:r>
    </w:p>
    <w:p>
      <w:pPr>
        <w:spacing w:after="0" w:line="117"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On behalf of TPG Specialty Lending, Inc. (the “</w:t>
      </w:r>
      <w:r>
        <w:rPr>
          <w:rFonts w:ascii="Arial" w:cs="Arial" w:eastAsia="Arial" w:hAnsi="Arial"/>
          <w:sz w:val="18"/>
          <w:szCs w:val="18"/>
          <w:u w:val="single" w:color="auto"/>
          <w:color w:val="auto"/>
        </w:rPr>
        <w:t>Company</w:t>
      </w:r>
      <w:r>
        <w:rPr>
          <w:rFonts w:ascii="Arial" w:cs="Arial" w:eastAsia="Arial" w:hAnsi="Arial"/>
          <w:sz w:val="18"/>
          <w:szCs w:val="18"/>
          <w:color w:val="auto"/>
        </w:rPr>
        <w:t>”), set forth below are responses to the comments of the staff (the “</w:t>
      </w:r>
      <w:r>
        <w:rPr>
          <w:rFonts w:ascii="Arial" w:cs="Arial" w:eastAsia="Arial" w:hAnsi="Arial"/>
          <w:sz w:val="18"/>
          <w:szCs w:val="18"/>
          <w:u w:val="single" w:color="auto"/>
          <w:color w:val="auto"/>
        </w:rPr>
        <w:t>Staff</w:t>
      </w:r>
      <w:r>
        <w:rPr>
          <w:rFonts w:ascii="Arial" w:cs="Arial" w:eastAsia="Arial" w:hAnsi="Arial"/>
          <w:sz w:val="18"/>
          <w:szCs w:val="18"/>
          <w:color w:val="auto"/>
        </w:rPr>
        <w:t>”) of the Securities and Exchange Commission in its letter dated June 9, 2015 with respect to Amendment No. 1 to the above referenced Registration Statement on Form N-2 filed on May 28, 2015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filed today Amendment No. 2 (“</w:t>
      </w:r>
      <w:r>
        <w:rPr>
          <w:rFonts w:ascii="Arial" w:cs="Arial" w:eastAsia="Arial" w:hAnsi="Arial"/>
          <w:sz w:val="16"/>
          <w:szCs w:val="16"/>
          <w:u w:val="single" w:color="auto"/>
          <w:color w:val="auto"/>
        </w:rPr>
        <w:t>Amendment No. 2</w:t>
      </w:r>
      <w:r>
        <w:rPr>
          <w:rFonts w:ascii="Arial" w:cs="Arial" w:eastAsia="Arial" w:hAnsi="Arial"/>
          <w:sz w:val="16"/>
          <w:szCs w:val="16"/>
          <w:color w:val="auto"/>
        </w:rPr>
        <w:t>”) to the Registration Statement, together with this letter via EDGAR submission.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in this letter are as defined in Amendment No. 2.</w:t>
      </w:r>
    </w:p>
    <w:p>
      <w:pPr>
        <w:spacing w:after="0" w:line="21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For your convenience, the text of the Staff’s comments is set forth in bold below, followed in each case by the Company’s response. Unless otherwise indicated, all page references in the responses set forth below are to the pages of 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134620</wp:posOffset>
            </wp:positionV>
            <wp:extent cx="5831840" cy="6858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831840" cy="6858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78" w:name="page279"/>
    <w:bookmarkEnd w:id="2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117" w:lineRule="exact"/>
        <w:rPr>
          <w:sz w:val="20"/>
          <w:szCs w:val="20"/>
          <w:color w:val="auto"/>
        </w:rPr>
      </w:pPr>
    </w:p>
    <w:p>
      <w:pPr>
        <w:ind w:right="340" w:firstLine="8"/>
        <w:spacing w:after="0" w:line="266" w:lineRule="auto"/>
        <w:tabs>
          <w:tab w:leader="none" w:pos="18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comment two and partially reissue. Please provide us a copy of your current 10b5-1 plan on a supplemental basis, pursuant to Rule 418 of Regulation C. Also, please revise your 10b5-1 plan to provide that repurchases will not commence until 60 days after the most recent distribution has ended.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In response to the Staff’s comment, the Company is sending to the Staff, under separate cover, a copy of its 10b5-1 plan. Pursuant to Rule 418(b) of Regulation C under the Securities Act of 1933, as amended, the Company respectfully requests that the Staff return such copy upon completion of its review.</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acknowledges the Staff’s comment to revise its 10b5-1 plan to provide that repurchases will not commence until 60 days after the most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recent distribution has ended and provides the following discussion of its 10b5-1 plan. The Company believes that its 10b5-1 plan complies with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applicable provisions of Rules 10b5-1 and 10b-18 under, and Regulation M promulgated under, the Securities Exchange Act of 1934, as amended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and respectfully submits that it does not believe that revision of the 10b5-1 plan to prohibit repurchases for 60 days following a distribution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 warranted.</w:t>
      </w:r>
    </w:p>
    <w:p>
      <w:pPr>
        <w:spacing w:after="0" w:line="211" w:lineRule="exact"/>
        <w:rPr>
          <w:sz w:val="20"/>
          <w:szCs w:val="20"/>
          <w:color w:val="auto"/>
        </w:rPr>
      </w:pPr>
    </w:p>
    <w:p>
      <w:pPr>
        <w:jc w:val="both"/>
        <w:ind w:right="120" w:firstLine="456"/>
        <w:spacing w:after="0" w:line="286" w:lineRule="auto"/>
        <w:rPr>
          <w:sz w:val="20"/>
          <w:szCs w:val="20"/>
          <w:color w:val="auto"/>
        </w:rPr>
      </w:pPr>
      <w:r>
        <w:rPr>
          <w:rFonts w:ascii="Arial" w:cs="Arial" w:eastAsia="Arial" w:hAnsi="Arial"/>
          <w:sz w:val="17"/>
          <w:szCs w:val="17"/>
          <w:color w:val="auto"/>
        </w:rPr>
        <w:t>As previously noted to the Staff, the Company’s 10b5-1 plan complies with the conditions required under the safe harbor provided by Rule 10b-18 of the Exchange Act and provides for suspension of purchases under the plan during any equity distribution of the Company in compliance with Regulation M. The Company does not believe that applicable securities laws require the 60-day restricted period requested by the Staff.</w:t>
      </w:r>
    </w:p>
    <w:p>
      <w:pPr>
        <w:spacing w:after="0" w:line="166"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Rule 10b5-1(c) allows insiders, including issuers, to implement trading plans that they can use to demonstrate that trades made pursuant to such a plan were not “on the basis of” non-public information and, consequently, do not violate insider trading regulations and judicial precedents. In order to establish such a trading plan, an insider must enter into it at a time when the insider is not in possession of material non-public information. The insider must relinquish discretion over trades made pursuant to the 10b5-1 plan. Any purchases or sales made under a 10b5-1 plan must conform to the written terms of such plan, and the insider must have entered into such plan in good faith. The Company entered into the 10b5-1 plan in good faith at a time it was not in possession of material non-public information and has relinquished to the broker all discretion over trades made pursuant to the terms of the plan.</w:t>
      </w:r>
    </w:p>
    <w:p>
      <w:pPr>
        <w:spacing w:after="0" w:line="165"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Rule 10b-18 provides the conditions for a safe harbor for Rule 10b5-1 claims for issuer and affiliate purchases of securities, including (i) effecting the purchases through one broker-dealer, (ii) requiring that any purchases not be the opening purchase or be effected prior to the close of trading as provided in the rule, (iii) effecting purchases at the purchase price provided in the rule, and (iv) limiting volume so as not to exceed 25% of the ADTV (defined for purposes of the rule as “the average daily trading volume reported for the security during the four calendar weeks preceding the week in which the Rule 10b-18 purchase is to be effected”). The Company 10b5-1 plan expressly addresses each of these conditions in its terms.</w:t>
      </w:r>
    </w:p>
    <w:p>
      <w:pPr>
        <w:sectPr>
          <w:pgSz w:w="11900" w:h="16838" w:orient="portrait"/>
          <w:cols w:equalWidth="0" w:num="1">
            <w:col w:w="11400"/>
          </w:cols>
          <w:pgMar w:left="240" w:top="274" w:right="259" w:bottom="1440" w:gutter="0" w:footer="0" w:header="0"/>
        </w:sectPr>
      </w:pPr>
    </w:p>
    <w:bookmarkStart w:id="279" w:name="page280"/>
    <w:bookmarkEnd w:id="2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10b5-1 plan provides for the suspension of any purchases under the plan during any equity distribution by the Company in compliance with Regulation M. Rule 102 of Regulation M provides that “[i]n connection with a distribution of securities effected by or on behalf of an issuer or selling security holder, it shall be unlawful for such person, or any affiliated purchaser of such person, directly or indirectly, to bid for, purchase, or attempt to induce any person to bid for or purchase, a covered security during the applicable restricted period.”</w:t>
      </w:r>
    </w:p>
    <w:p>
      <w:pPr>
        <w:spacing w:after="0" w:line="18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Pursuant to Regulation M, the beginning of a restricted period depends on the ADTV (as defined in Regulation M) of the relevant securities and the public float of the issuer. Under the definition thereof, the “restricted period” for securities with an ADTV of $100,000 or more of an issuer whose common equity securities have a public float value of $25 million or more, begins on the later of one business day prior to the determination of an offering price in the distribution or such time that a person becomes a distribution participant. For issuers that do not meet the ADTV and public float requirement described above, the “restricted period” begins on the later of five business days prior to the determination of the offering price or such time that a person becomes a distribution participant.</w:t>
      </w:r>
    </w:p>
    <w:p>
      <w:pPr>
        <w:spacing w:after="0" w:line="193"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ADTV is itself defined as “the worldwide average daily trading volume during the two full calendar months immediately preceding, or any consecutive 60 calendar days ending within the 10 calendar days preceding, the filing of the registration statement; or, if there is no registration statement or if the distribution involves the sale of securities on a delayed basis pursuant to § 230.415 of this chapter, two full calendar months immediately preceding, or any consecutive 60 calendar days ending within the 10 calendar days preceding, the determination of the offering price.”</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does not believe that either Rule 10b5-1 or Rule 10b-18 requires an issuer to restrict purchases under a 10b5-1 plan for 60 days following the completion of a distribution. While the Company understands that ADTV is defined in Regulation M with reference to a 60-day period prior to an offering, even if the Company did not meet the requisite ADTV for a shortened Regulation M restricted period, the restricted period for an equity distribution by the Company would begin five business days prior to the pricing of the offering and would end upon the completion of the distribution, in no case would Regulation M require that the restricted period last past the completion of the distribution. (Moreover, Regulation M generally would not apply to a distribution by the Company of non-convertible debt, as there would be no pre-existing market for the relevant securities in which the Company or others could make purchases.)</w:t>
      </w:r>
    </w:p>
    <w:p>
      <w:pPr>
        <w:spacing w:after="0" w:line="189" w:lineRule="exact"/>
        <w:rPr>
          <w:sz w:val="20"/>
          <w:szCs w:val="20"/>
          <w:color w:val="auto"/>
        </w:rPr>
      </w:pPr>
    </w:p>
    <w:p>
      <w:pPr>
        <w:ind w:right="560" w:firstLine="456"/>
        <w:spacing w:after="0" w:line="264" w:lineRule="auto"/>
        <w:rPr>
          <w:sz w:val="20"/>
          <w:szCs w:val="20"/>
          <w:color w:val="auto"/>
        </w:rPr>
      </w:pPr>
      <w:r>
        <w:rPr>
          <w:rFonts w:ascii="Arial" w:cs="Arial" w:eastAsia="Arial" w:hAnsi="Arial"/>
          <w:sz w:val="18"/>
          <w:szCs w:val="18"/>
          <w:color w:val="auto"/>
        </w:rPr>
        <w:t>The Company is not aware of any other federal securities law rule or regulation that would impose a requirement for a 60-day restriction on repurchases under the 10b5-1 plan. Furthermore, the Company is not aware of any market practice of other business development companies, or other companies that utilize 10b5-1 plans to so restrict repurchase following a distribution.</w:t>
      </w:r>
    </w:p>
    <w:p>
      <w:pPr>
        <w:sectPr>
          <w:pgSz w:w="11900" w:h="16838" w:orient="portrait"/>
          <w:cols w:equalWidth="0" w:num="1">
            <w:col w:w="11380"/>
          </w:cols>
          <w:pgMar w:left="240" w:top="274" w:right="279" w:bottom="1440" w:gutter="0" w:footer="0" w:header="0"/>
        </w:sectPr>
      </w:pPr>
    </w:p>
    <w:bookmarkStart w:id="280" w:name="page281"/>
    <w:bookmarkEnd w:id="2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Company respectfully requests that in light of the foregoing, no 60-day restriction be required to be included in the Company 10b5-1 plan. The Company respectfully requests the opportunity to discuss any such restriction of its 10b5-1 plan with the Staff.</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this Prospectus, page iii</w:t>
      </w:r>
    </w:p>
    <w:p>
      <w:pPr>
        <w:spacing w:after="0" w:line="117" w:lineRule="exact"/>
        <w:rPr>
          <w:sz w:val="20"/>
          <w:szCs w:val="20"/>
          <w:color w:val="auto"/>
        </w:rPr>
      </w:pPr>
    </w:p>
    <w:p>
      <w:pPr>
        <w:ind w:right="120" w:firstLine="8"/>
        <w:spacing w:after="0" w:line="282" w:lineRule="auto"/>
        <w:tabs>
          <w:tab w:leader="none" w:pos="18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comment three and the revised text. Please remove the reference to “together with any exhibits that we have filed with the SEC and the additional information described under ‘Available Information.’”</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response to the Staff’s comment, the Company has revised the disclosure on page iii.</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Fees and Expenses, page 15</w:t>
      </w:r>
    </w:p>
    <w:p>
      <w:pPr>
        <w:spacing w:after="0" w:line="117" w:lineRule="exact"/>
        <w:rPr>
          <w:sz w:val="20"/>
          <w:szCs w:val="20"/>
          <w:color w:val="auto"/>
        </w:rPr>
      </w:pPr>
    </w:p>
    <w:p>
      <w:pPr>
        <w:jc w:val="both"/>
        <w:ind w:firstLine="8"/>
        <w:spacing w:after="0" w:line="386" w:lineRule="auto"/>
        <w:tabs>
          <w:tab w:leader="none" w:pos="180" w:val="left"/>
        </w:tabs>
        <w:numPr>
          <w:ilvl w:val="0"/>
          <w:numId w:val="199"/>
        </w:numPr>
        <w:rPr>
          <w:rFonts w:ascii="Arial" w:cs="Arial" w:eastAsia="Arial" w:hAnsi="Arial"/>
          <w:sz w:val="15"/>
          <w:szCs w:val="15"/>
          <w:b w:val="1"/>
          <w:bCs w:val="1"/>
          <w:color w:val="auto"/>
        </w:rPr>
      </w:pPr>
      <w:r>
        <w:rPr>
          <w:rFonts w:ascii="Arial" w:cs="Arial" w:eastAsia="Arial" w:hAnsi="Arial"/>
          <w:sz w:val="15"/>
          <w:szCs w:val="15"/>
          <w:b w:val="1"/>
          <w:bCs w:val="1"/>
          <w:color w:val="auto"/>
        </w:rPr>
        <w:t>We note your response to comment six and reissue our comment. Please revise to use actual expenses where appropriate. To the extent that future expenses may or will be materially higher, consider clarifying disclosure in appropriate location(s), such as Management’s Discussion and Analysis.</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response to the Staff’s comment, the Company has revised the Fees and Expenses section starting on page 15 to use actual annual expenses where appropriate.</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Company agrees to add additional disclosure on interest expenses to the leverage discussion in the Key Components of Our Results of Operations section on page 59 in line with the below in its future annual and quarterly reports (additions in italics):</w:t>
      </w:r>
    </w:p>
    <w:p>
      <w:pPr>
        <w:spacing w:after="0" w:line="76" w:lineRule="exact"/>
        <w:rPr>
          <w:sz w:val="20"/>
          <w:szCs w:val="20"/>
          <w:color w:val="auto"/>
        </w:rPr>
      </w:pPr>
    </w:p>
    <w:p>
      <w:pPr>
        <w:ind w:left="900" w:hanging="325"/>
        <w:spacing w:after="0" w:line="255" w:lineRule="auto"/>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w:t>
      </w:r>
      <w:r>
        <w:rPr>
          <w:rFonts w:ascii="Arial" w:cs="Arial" w:eastAsia="Arial" w:hAnsi="Arial"/>
          <w:sz w:val="18"/>
          <w:szCs w:val="18"/>
          <w:i w:val="1"/>
          <w:iCs w:val="1"/>
          <w:color w:val="auto"/>
        </w:rPr>
        <w:t>, however, our total borrowings are limited so that our asset coverage ratio cannot fall</w:t>
      </w:r>
      <w:r>
        <w:rPr>
          <w:rFonts w:ascii="Arial" w:cs="Arial" w:eastAsia="Arial" w:hAnsi="Arial"/>
          <w:sz w:val="18"/>
          <w:szCs w:val="18"/>
          <w:color w:val="auto"/>
        </w:rPr>
        <w:t xml:space="preserve"> </w:t>
      </w:r>
      <w:r>
        <w:rPr>
          <w:rFonts w:ascii="Arial" w:cs="Arial" w:eastAsia="Arial" w:hAnsi="Arial"/>
          <w:sz w:val="18"/>
          <w:szCs w:val="18"/>
          <w:i w:val="1"/>
          <w:iCs w:val="1"/>
          <w:color w:val="auto"/>
        </w:rPr>
        <w:t>below 200%, as defined in the 1940 Act</w:t>
      </w:r>
      <w:r>
        <w:rPr>
          <w:rFonts w:ascii="Arial" w:cs="Arial" w:eastAsia="Arial" w:hAnsi="Arial"/>
          <w:sz w:val="18"/>
          <w:szCs w:val="18"/>
          <w:color w:val="auto"/>
        </w:rPr>
        <w:t>. In any period, our interest expense will depend largely on the extent of our borrowing</w:t>
      </w:r>
      <w:r>
        <w:rPr>
          <w:rFonts w:ascii="Arial" w:cs="Arial" w:eastAsia="Arial" w:hAnsi="Arial"/>
          <w:sz w:val="18"/>
          <w:szCs w:val="18"/>
          <w:i w:val="1"/>
          <w:iCs w:val="1"/>
          <w:color w:val="auto"/>
        </w:rPr>
        <w:t xml:space="preserve"> and we expect interest expense will increase as we increase leverage over time within the limits of the 1940 Act</w:t>
      </w:r>
      <w:r>
        <w:rPr>
          <w:rFonts w:ascii="Arial" w:cs="Arial" w:eastAsia="Arial" w:hAnsi="Arial"/>
          <w:sz w:val="18"/>
          <w:szCs w:val="18"/>
          <w:color w:val="auto"/>
        </w:rPr>
        <w:t>. In addition, we may continue to dedicate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to financing facilities.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 of our Debt Securities, page 159</w:t>
      </w:r>
    </w:p>
    <w:p>
      <w:pPr>
        <w:spacing w:after="0" w:line="117" w:lineRule="exact"/>
        <w:rPr>
          <w:sz w:val="20"/>
          <w:szCs w:val="20"/>
          <w:color w:val="auto"/>
        </w:rPr>
      </w:pPr>
    </w:p>
    <w:p>
      <w:pPr>
        <w:ind w:right="200" w:firstLine="8"/>
        <w:spacing w:after="0" w:line="266" w:lineRule="auto"/>
        <w:tabs>
          <w:tab w:leader="none" w:pos="18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comment 12; however, we are unable to locate where you undertook to clear all staff comments prior to the commencement of any debt offering whenever the preliminary prospectus supplement differs materially from the form of prospectus supplement included in the registration statement at effectiveness. Please provide this undertaking.</w:t>
      </w:r>
    </w:p>
    <w:p>
      <w:pPr>
        <w:sectPr>
          <w:pgSz w:w="11900" w:h="16838" w:orient="portrait"/>
          <w:cols w:equalWidth="0" w:num="1">
            <w:col w:w="11320"/>
          </w:cols>
          <w:pgMar w:left="240" w:top="274" w:right="339" w:bottom="1440" w:gutter="0" w:footer="0" w:header="0"/>
        </w:sectPr>
      </w:pPr>
    </w:p>
    <w:bookmarkStart w:id="281" w:name="page282"/>
    <w:bookmarkEnd w:id="2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undertakes to clear all staff comments prior to the commencement of any debt offering whenever the preliminary prospectus supplement differs materially from the form of prospectus supplement included in the Registration Statement at effectiveness.</w:t>
      </w:r>
    </w:p>
    <w:p>
      <w:pPr>
        <w:spacing w:after="0" w:line="170" w:lineRule="exact"/>
        <w:rPr>
          <w:sz w:val="20"/>
          <w:szCs w:val="20"/>
          <w:color w:val="auto"/>
        </w:rPr>
      </w:pPr>
    </w:p>
    <w:p>
      <w:pPr>
        <w:jc w:val="center"/>
        <w:ind w:right="-59"/>
        <w:spacing w:after="0"/>
        <w:tabs>
          <w:tab w:leader="none" w:pos="16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tab/>
        <w:t>*</w:t>
      </w:r>
    </w:p>
    <w:p>
      <w:pPr>
        <w:spacing w:after="0" w:line="225"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We hope that these responses adequately address the Staff’s comments. If the Staff has any questions concerning this letter or requires further information, please do not hesitate to contact Adam Fleisher at (212) 225-2286 or Helena Grannis at (212) 225-2376.</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Adam E. Fleisher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Adam E. Fleisher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Enclosure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cc: Vincent J. DiStefano</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Securities and Exchange Commission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David Stiepleman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Jennifer Mello</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TPG Specialty Lending, Inc.</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Michael A. Gerstenzang</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Helena K. Grannis</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Cleary Gottlieb Steen &amp; Hamilton LLP</w:t>
      </w:r>
    </w:p>
    <w:sectPr>
      <w:pgSz w:w="11900" w:h="16838" w:orient="portrait"/>
      <w:cols w:equalWidth="0" w:num="1">
        <w:col w:w="11360"/>
      </w:cols>
      <w:pgMar w:left="24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3534A4"/>
    <w:multiLevelType w:val="hybridMultilevel"/>
    <w:lvl w:ilvl="0">
      <w:lvlJc w:val="left"/>
      <w:lvlText w:val="☐"/>
      <w:numFmt w:val="bullet"/>
      <w:start w:val="1"/>
    </w:lvl>
  </w:abstractNum>
  <w:abstractNum w:abstractNumId="1">
    <w:nsid w:val="73A1821B"/>
    <w:multiLevelType w:val="hybridMultilevel"/>
    <w:lvl w:ilvl="0">
      <w:lvlJc w:val="left"/>
      <w:lvlText w:val="(%1)"/>
      <w:numFmt w:val="decimal"/>
      <w:start w:val="1"/>
    </w:lvl>
  </w:abstractNum>
  <w:abstractNum w:abstractNumId="2">
    <w:nsid w:val="7DE67713"/>
    <w:multiLevelType w:val="hybridMultilevel"/>
    <w:lvl w:ilvl="0">
      <w:lvlJc w:val="left"/>
      <w:lvlText w:val="•"/>
      <w:numFmt w:val="bullet"/>
      <w:start w:val="1"/>
    </w:lvl>
  </w:abstractNum>
  <w:abstractNum w:abstractNumId="3">
    <w:nsid w:val="555C55B5"/>
    <w:multiLevelType w:val="hybridMultilevel"/>
    <w:lvl w:ilvl="0">
      <w:lvlJc w:val="left"/>
      <w:lvlText w:val="•"/>
      <w:numFmt w:val="bullet"/>
      <w:start w:val="1"/>
    </w:lvl>
    <w:lvl w:ilvl="1">
      <w:lvlJc w:val="left"/>
      <w:lvlText w:val="•"/>
      <w:numFmt w:val="bullet"/>
      <w:start w:val="1"/>
    </w:lvl>
  </w:abstractNum>
  <w:abstractNum w:abstractNumId="4">
    <w:nsid w:val="3FA62ACA"/>
    <w:multiLevelType w:val="hybridMultilevel"/>
    <w:lvl w:ilvl="0">
      <w:lvlJc w:val="left"/>
      <w:lvlText w:val="•"/>
      <w:numFmt w:val="bullet"/>
      <w:start w:val="1"/>
    </w:lvl>
    <w:lvl w:ilvl="1">
      <w:lvlJc w:val="left"/>
      <w:lvlText w:val="•"/>
      <w:numFmt w:val="bullet"/>
      <w:start w:val="1"/>
    </w:lvl>
  </w:abstractNum>
  <w:abstractNum w:abstractNumId="5">
    <w:nsid w:val="14FCE74E"/>
    <w:multiLevelType w:val="hybridMultilevel"/>
    <w:lvl w:ilvl="0">
      <w:lvlJc w:val="left"/>
      <w:lvlText w:val="•"/>
      <w:numFmt w:val="bullet"/>
      <w:start w:val="1"/>
    </w:lvl>
  </w:abstractNum>
  <w:abstractNum w:abstractNumId="6">
    <w:nsid w:val="6A3DD3E8"/>
    <w:multiLevelType w:val="hybridMultilevel"/>
    <w:lvl w:ilvl="0">
      <w:lvlJc w:val="left"/>
      <w:lvlText w:val="•"/>
      <w:numFmt w:val="bullet"/>
      <w:start w:val="1"/>
    </w:lvl>
  </w:abstractNum>
  <w:abstractNum w:abstractNumId="7">
    <w:nsid w:val="71C91298"/>
    <w:multiLevelType w:val="hybridMultilevel"/>
    <w:lvl w:ilvl="0">
      <w:lvlJc w:val="left"/>
      <w:lvlText w:val="•"/>
      <w:numFmt w:val="bullet"/>
      <w:start w:val="1"/>
    </w:lvl>
  </w:abstractNum>
  <w:abstractNum w:abstractNumId="8">
    <w:nsid w:val="9DAF632"/>
    <w:multiLevelType w:val="hybridMultilevel"/>
    <w:lvl w:ilvl="0">
      <w:lvlJc w:val="left"/>
      <w:lvlText w:val="•"/>
      <w:numFmt w:val="bullet"/>
      <w:start w:val="1"/>
    </w:lvl>
  </w:abstractNum>
  <w:abstractNum w:abstractNumId="9">
    <w:nsid w:val="53299938"/>
    <w:multiLevelType w:val="hybridMultilevel"/>
    <w:lvl w:ilvl="0">
      <w:lvlJc w:val="left"/>
      <w:lvlText w:val="(%1)"/>
      <w:numFmt w:val="lowerLetter"/>
      <w:start w:val="2"/>
    </w:lvl>
  </w:abstractNum>
  <w:abstractNum w:abstractNumId="10">
    <w:nsid w:val="1FBFE8E0"/>
    <w:multiLevelType w:val="hybridMultilevel"/>
    <w:lvl w:ilvl="0">
      <w:lvlJc w:val="left"/>
      <w:lvlText w:val="(%1)"/>
      <w:numFmt w:val="decimal"/>
      <w:start w:val="1"/>
    </w:lvl>
  </w:abstractNum>
  <w:abstractNum w:abstractNumId="11">
    <w:nsid w:val="5092CA79"/>
    <w:multiLevelType w:val="hybridMultilevel"/>
    <w:lvl w:ilvl="0">
      <w:lvlJc w:val="left"/>
      <w:lvlText w:val="(%1)"/>
      <w:numFmt w:val="decimal"/>
      <w:start w:val="6"/>
    </w:lvl>
  </w:abstractNum>
  <w:abstractNum w:abstractNumId="12">
    <w:nsid w:val="1D545C4D"/>
    <w:multiLevelType w:val="hybridMultilevel"/>
    <w:lvl w:ilvl="0">
      <w:lvlJc w:val="left"/>
      <w:lvlText w:val="(%1)"/>
      <w:numFmt w:val="decimal"/>
      <w:start w:val="1"/>
    </w:lvl>
  </w:abstractNum>
  <w:abstractNum w:abstractNumId="13">
    <w:nsid w:val="59ADEA3D"/>
    <w:multiLevelType w:val="hybridMultilevel"/>
    <w:lvl w:ilvl="0">
      <w:lvlJc w:val="left"/>
      <w:lvlText w:val="(%1)"/>
      <w:numFmt w:val="decimal"/>
      <w:start w:val="1"/>
    </w:lvl>
  </w:abstractNum>
  <w:abstractNum w:abstractNumId="14">
    <w:nsid w:val="288F1A34"/>
    <w:multiLevelType w:val="hybridMultilevel"/>
    <w:lvl w:ilvl="0">
      <w:lvlJc w:val="left"/>
      <w:lvlText w:val="(%1)"/>
      <w:numFmt w:val="decimal"/>
      <w:start w:val="1"/>
    </w:lvl>
  </w:abstractNum>
  <w:abstractNum w:abstractNumId="15">
    <w:nsid w:val="2A155DBC"/>
    <w:multiLevelType w:val="hybridMultilevel"/>
    <w:lvl w:ilvl="0">
      <w:lvlJc w:val="left"/>
      <w:lvlText w:val="•"/>
      <w:numFmt w:val="bullet"/>
      <w:start w:val="1"/>
    </w:lvl>
    <w:lvl w:ilvl="1">
      <w:lvlJc w:val="left"/>
      <w:lvlText w:val="•"/>
      <w:numFmt w:val="bullet"/>
      <w:start w:val="1"/>
    </w:lvl>
  </w:abstractNum>
  <w:abstractNum w:abstractNumId="16">
    <w:nsid w:val="1D9F6E5F"/>
    <w:multiLevelType w:val="hybridMultilevel"/>
    <w:lvl w:ilvl="0">
      <w:lvlJc w:val="left"/>
      <w:lvlText w:val="•"/>
      <w:numFmt w:val="bullet"/>
      <w:start w:val="1"/>
    </w:lvl>
  </w:abstractNum>
  <w:abstractNum w:abstractNumId="17">
    <w:nsid w:val="97E1B4E"/>
    <w:multiLevelType w:val="hybridMultilevel"/>
    <w:lvl w:ilvl="0">
      <w:lvlJc w:val="left"/>
      <w:lvlText w:val="•"/>
      <w:numFmt w:val="bullet"/>
      <w:start w:val="1"/>
    </w:lvl>
  </w:abstractNum>
  <w:abstractNum w:abstractNumId="18">
    <w:nsid w:val="51088277"/>
    <w:multiLevelType w:val="hybridMultilevel"/>
    <w:lvl w:ilvl="0">
      <w:lvlJc w:val="left"/>
      <w:lvlText w:val="•"/>
      <w:numFmt w:val="bullet"/>
      <w:start w:val="1"/>
    </w:lvl>
  </w:abstractNum>
  <w:abstractNum w:abstractNumId="19">
    <w:nsid w:val="1CA0C5FA"/>
    <w:multiLevelType w:val="hybridMultilevel"/>
    <w:lvl w:ilvl="0">
      <w:lvlJc w:val="left"/>
      <w:lvlText w:val="•"/>
      <w:numFmt w:val="bullet"/>
      <w:start w:val="1"/>
    </w:lvl>
  </w:abstractNum>
  <w:abstractNum w:abstractNumId="20">
    <w:nsid w:val="53584BCB"/>
    <w:multiLevelType w:val="hybridMultilevel"/>
    <w:lvl w:ilvl="0">
      <w:lvlJc w:val="left"/>
      <w:lvlText w:val="•"/>
      <w:numFmt w:val="bullet"/>
      <w:start w:val="1"/>
    </w:lvl>
  </w:abstractNum>
  <w:abstractNum w:abstractNumId="21">
    <w:nsid w:val="415E286C"/>
    <w:multiLevelType w:val="hybridMultilevel"/>
    <w:lvl w:ilvl="0">
      <w:lvlJc w:val="left"/>
      <w:lvlText w:val="•"/>
      <w:numFmt w:val="bullet"/>
      <w:start w:val="1"/>
    </w:lvl>
  </w:abstractNum>
  <w:abstractNum w:abstractNumId="22">
    <w:nsid w:val="7C58FD05"/>
    <w:multiLevelType w:val="hybridMultilevel"/>
    <w:lvl w:ilvl="0">
      <w:lvlJc w:val="left"/>
      <w:lvlText w:val="•"/>
      <w:numFmt w:val="bullet"/>
      <w:start w:val="1"/>
    </w:lvl>
  </w:abstractNum>
  <w:abstractNum w:abstractNumId="23">
    <w:nsid w:val="23D86AAC"/>
    <w:multiLevelType w:val="hybridMultilevel"/>
    <w:lvl w:ilvl="0">
      <w:lvlJc w:val="left"/>
      <w:lvlText w:val="•"/>
      <w:numFmt w:val="bullet"/>
      <w:start w:val="1"/>
    </w:lvl>
  </w:abstractNum>
  <w:abstractNum w:abstractNumId="24">
    <w:nsid w:val="45E6D486"/>
    <w:multiLevelType w:val="hybridMultilevel"/>
    <w:lvl w:ilvl="0">
      <w:lvlJc w:val="left"/>
      <w:lvlText w:val="•"/>
      <w:numFmt w:val="bullet"/>
      <w:start w:val="1"/>
    </w:lvl>
  </w:abstractNum>
  <w:abstractNum w:abstractNumId="25">
    <w:nsid w:val="5C10FE21"/>
    <w:multiLevelType w:val="hybridMultilevel"/>
    <w:lvl w:ilvl="0">
      <w:lvlJc w:val="left"/>
      <w:lvlText w:val="(%1)"/>
      <w:numFmt w:val="upperLetter"/>
      <w:start w:val="2"/>
    </w:lvl>
  </w:abstractNum>
  <w:abstractNum w:abstractNumId="26">
    <w:nsid w:val="E7FFA2B"/>
    <w:multiLevelType w:val="hybridMultilevel"/>
    <w:lvl w:ilvl="0">
      <w:lvlJc w:val="left"/>
      <w:lvlText w:val="(%1)"/>
      <w:numFmt w:val="decimal"/>
      <w:start w:val="1"/>
    </w:lvl>
  </w:abstractNum>
  <w:abstractNum w:abstractNumId="27">
    <w:nsid w:val="3C5991AA"/>
    <w:multiLevelType w:val="hybridMultilevel"/>
    <w:lvl w:ilvl="0">
      <w:lvlJc w:val="left"/>
      <w:lvlText w:val="*"/>
      <w:numFmt w:val="bullet"/>
      <w:start w:val="1"/>
    </w:lvl>
  </w:abstractNum>
  <w:abstractNum w:abstractNumId="28">
    <w:nsid w:val="4BD8591A"/>
    <w:multiLevelType w:val="hybridMultilevel"/>
    <w:lvl w:ilvl="0">
      <w:lvlJc w:val="left"/>
      <w:lvlText w:val="(%1)"/>
      <w:numFmt w:val="decimal"/>
      <w:start w:val="1"/>
    </w:lvl>
  </w:abstractNum>
  <w:abstractNum w:abstractNumId="29">
    <w:nsid w:val="78DF6A55"/>
    <w:multiLevelType w:val="hybridMultilevel"/>
    <w:lvl w:ilvl="0">
      <w:lvlJc w:val="left"/>
      <w:lvlText w:val="•"/>
      <w:numFmt w:val="bullet"/>
      <w:start w:val="1"/>
    </w:lvl>
  </w:abstractNum>
  <w:abstractNum w:abstractNumId="30">
    <w:nsid w:val="39B7AAA2"/>
    <w:multiLevelType w:val="hybridMultilevel"/>
    <w:lvl w:ilvl="0">
      <w:lvlJc w:val="left"/>
      <w:lvlText w:val="•"/>
      <w:numFmt w:val="bullet"/>
      <w:start w:val="1"/>
    </w:lvl>
  </w:abstractNum>
  <w:abstractNum w:abstractNumId="31">
    <w:nsid w:val="2B0D8DBE"/>
    <w:multiLevelType w:val="hybridMultilevel"/>
    <w:lvl w:ilvl="0">
      <w:lvlJc w:val="left"/>
      <w:lvlText w:val="•"/>
      <w:numFmt w:val="bullet"/>
      <w:start w:val="1"/>
    </w:lvl>
  </w:abstractNum>
  <w:abstractNum w:abstractNumId="32">
    <w:nsid w:val="6C80EC70"/>
    <w:multiLevelType w:val="hybridMultilevel"/>
    <w:lvl w:ilvl="0">
      <w:lvlJc w:val="left"/>
      <w:lvlText w:val="•"/>
      <w:numFmt w:val="bullet"/>
      <w:start w:val="1"/>
    </w:lvl>
  </w:abstractNum>
  <w:abstractNum w:abstractNumId="33">
    <w:nsid w:val="379E21B5"/>
    <w:multiLevelType w:val="hybridMultilevel"/>
    <w:lvl w:ilvl="0">
      <w:lvlJc w:val="left"/>
      <w:lvlText w:val="•"/>
      <w:numFmt w:val="bullet"/>
      <w:start w:val="1"/>
    </w:lvl>
  </w:abstractNum>
  <w:abstractNum w:abstractNumId="34">
    <w:nsid w:val="69E373"/>
    <w:multiLevelType w:val="hybridMultilevel"/>
    <w:lvl w:ilvl="0">
      <w:lvlJc w:val="left"/>
      <w:lvlText w:val="(%1)"/>
      <w:numFmt w:val="decimal"/>
      <w:start w:val="1"/>
    </w:lvl>
  </w:abstractNum>
  <w:abstractNum w:abstractNumId="35">
    <w:nsid w:val="2C27173B"/>
    <w:multiLevelType w:val="hybridMultilevel"/>
    <w:lvl w:ilvl="0">
      <w:lvlJc w:val="left"/>
      <w:lvlText w:val="•"/>
      <w:numFmt w:val="bullet"/>
      <w:start w:val="1"/>
    </w:lvl>
  </w:abstractNum>
  <w:abstractNum w:abstractNumId="36">
    <w:nsid w:val="4C9B0904"/>
    <w:multiLevelType w:val="hybridMultilevel"/>
    <w:lvl w:ilvl="0">
      <w:lvlJc w:val="left"/>
      <w:lvlText w:val="•"/>
      <w:numFmt w:val="bullet"/>
      <w:start w:val="1"/>
    </w:lvl>
  </w:abstractNum>
  <w:abstractNum w:abstractNumId="37">
    <w:nsid w:val="6AA7B75C"/>
    <w:multiLevelType w:val="hybridMultilevel"/>
    <w:lvl w:ilvl="0">
      <w:lvlJc w:val="left"/>
      <w:lvlText w:val="•"/>
      <w:numFmt w:val="bullet"/>
      <w:start w:val="1"/>
    </w:lvl>
  </w:abstractNum>
  <w:abstractNum w:abstractNumId="38">
    <w:nsid w:val="1DF029D3"/>
    <w:multiLevelType w:val="hybridMultilevel"/>
    <w:lvl w:ilvl="0">
      <w:lvlJc w:val="left"/>
      <w:lvlText w:val="(%1)"/>
      <w:numFmt w:val="decimal"/>
      <w:start w:val="1"/>
    </w:lvl>
  </w:abstractNum>
  <w:abstractNum w:abstractNumId="39">
    <w:nsid w:val="5675FF36"/>
    <w:multiLevelType w:val="hybridMultilevel"/>
    <w:lvl w:ilvl="0">
      <w:lvlJc w:val="left"/>
      <w:lvlText w:val="•"/>
      <w:numFmt w:val="bullet"/>
      <w:start w:val="1"/>
    </w:lvl>
    <w:lvl w:ilvl="1">
      <w:lvlJc w:val="left"/>
      <w:lvlText w:val="•"/>
      <w:numFmt w:val="bullet"/>
      <w:start w:val="1"/>
    </w:lvl>
  </w:abstractNum>
  <w:abstractNum w:abstractNumId="40">
    <w:nsid w:val="3DD15094"/>
    <w:multiLevelType w:val="hybridMultilevel"/>
    <w:lvl w:ilvl="0">
      <w:lvlJc w:val="left"/>
      <w:lvlText w:val="•"/>
      <w:numFmt w:val="bullet"/>
      <w:start w:val="1"/>
    </w:lvl>
  </w:abstractNum>
  <w:abstractNum w:abstractNumId="41">
    <w:nsid w:val="3DB012B3"/>
    <w:multiLevelType w:val="hybridMultilevel"/>
    <w:lvl w:ilvl="0">
      <w:lvlJc w:val="left"/>
      <w:lvlText w:val="•"/>
      <w:numFmt w:val="bullet"/>
      <w:start w:val="1"/>
    </w:lvl>
  </w:abstractNum>
  <w:abstractNum w:abstractNumId="42">
    <w:nsid w:val="2708C9AF"/>
    <w:multiLevelType w:val="hybridMultilevel"/>
    <w:lvl w:ilvl="0">
      <w:lvlJc w:val="left"/>
      <w:lvlText w:val="•"/>
      <w:numFmt w:val="bullet"/>
      <w:start w:val="1"/>
    </w:lvl>
  </w:abstractNum>
  <w:abstractNum w:abstractNumId="43">
    <w:nsid w:val="5B25ACE2"/>
    <w:multiLevelType w:val="hybridMultilevel"/>
    <w:lvl w:ilvl="0">
      <w:lvlJc w:val="left"/>
      <w:lvlText w:val="(%1)"/>
      <w:numFmt w:val="decimal"/>
      <w:start w:val="1"/>
    </w:lvl>
  </w:abstractNum>
  <w:abstractNum w:abstractNumId="44">
    <w:nsid w:val="175DFCF0"/>
    <w:multiLevelType w:val="hybridMultilevel"/>
    <w:lvl w:ilvl="0">
      <w:lvlJc w:val="left"/>
      <w:lvlText w:val="•"/>
      <w:numFmt w:val="bullet"/>
      <w:start w:val="1"/>
    </w:lvl>
  </w:abstractNum>
  <w:abstractNum w:abstractNumId="45">
    <w:nsid w:val="4F97E3E4"/>
    <w:multiLevelType w:val="hybridMultilevel"/>
    <w:lvl w:ilvl="0">
      <w:lvlJc w:val="left"/>
      <w:lvlText w:val="•"/>
      <w:numFmt w:val="bullet"/>
      <w:start w:val="1"/>
    </w:lvl>
  </w:abstractNum>
  <w:abstractNum w:abstractNumId="46">
    <w:nsid w:val="53B0A9E"/>
    <w:multiLevelType w:val="hybridMultilevel"/>
    <w:lvl w:ilvl="0">
      <w:lvlJc w:val="left"/>
      <w:lvlText w:val="•"/>
      <w:numFmt w:val="bullet"/>
      <w:start w:val="1"/>
    </w:lvl>
  </w:abstractNum>
  <w:abstractNum w:abstractNumId="47">
    <w:nsid w:val="34FD6B4F"/>
    <w:multiLevelType w:val="hybridMultilevel"/>
    <w:lvl w:ilvl="0">
      <w:lvlJc w:val="left"/>
      <w:lvlText w:val="•"/>
      <w:numFmt w:val="bullet"/>
      <w:start w:val="1"/>
    </w:lvl>
  </w:abstractNum>
  <w:abstractNum w:abstractNumId="48">
    <w:nsid w:val="5915FF32"/>
    <w:multiLevelType w:val="hybridMultilevel"/>
    <w:lvl w:ilvl="0">
      <w:lvlJc w:val="left"/>
      <w:lvlText w:val="•"/>
      <w:numFmt w:val="bullet"/>
      <w:start w:val="1"/>
    </w:lvl>
  </w:abstractNum>
  <w:abstractNum w:abstractNumId="49">
    <w:nsid w:val="56438D15"/>
    <w:multiLevelType w:val="hybridMultilevel"/>
    <w:lvl w:ilvl="0">
      <w:lvlJc w:val="left"/>
      <w:lvlText w:val="•"/>
      <w:numFmt w:val="bullet"/>
      <w:start w:val="1"/>
    </w:lvl>
  </w:abstractNum>
  <w:abstractNum w:abstractNumId="50">
    <w:nsid w:val="519E3149"/>
    <w:multiLevelType w:val="hybridMultilevel"/>
    <w:lvl w:ilvl="0">
      <w:lvlJc w:val="left"/>
      <w:lvlText w:val="•"/>
      <w:numFmt w:val="bullet"/>
      <w:start w:val="1"/>
    </w:lvl>
  </w:abstractNum>
  <w:abstractNum w:abstractNumId="51">
    <w:nsid w:val="2C6E4AFD"/>
    <w:multiLevelType w:val="hybridMultilevel"/>
    <w:lvl w:ilvl="0">
      <w:lvlJc w:val="left"/>
      <w:lvlText w:val="(%1)"/>
      <w:numFmt w:val="decimal"/>
      <w:start w:val="1"/>
    </w:lvl>
  </w:abstractNum>
  <w:abstractNum w:abstractNumId="52">
    <w:nsid w:val="17A1B582"/>
    <w:multiLevelType w:val="hybridMultilevel"/>
    <w:lvl w:ilvl="0">
      <w:lvlJc w:val="left"/>
      <w:lvlText w:val="•"/>
      <w:numFmt w:val="bullet"/>
      <w:start w:val="1"/>
    </w:lvl>
    <w:lvl w:ilvl="1">
      <w:lvlJc w:val="left"/>
      <w:lvlText w:val="•"/>
      <w:numFmt w:val="bullet"/>
      <w:start w:val="1"/>
    </w:lvl>
  </w:abstractNum>
  <w:abstractNum w:abstractNumId="53">
    <w:nsid w:val="4DF72E4E"/>
    <w:multiLevelType w:val="hybridMultilevel"/>
    <w:lvl w:ilvl="0">
      <w:lvlJc w:val="left"/>
      <w:lvlText w:val="•"/>
      <w:numFmt w:val="bullet"/>
      <w:start w:val="1"/>
    </w:lvl>
  </w:abstractNum>
  <w:abstractNum w:abstractNumId="54">
    <w:nsid w:val="5046B5A9"/>
    <w:multiLevelType w:val="hybridMultilevel"/>
    <w:lvl w:ilvl="0">
      <w:lvlJc w:val="left"/>
      <w:lvlText w:val="•"/>
      <w:numFmt w:val="bullet"/>
      <w:start w:val="1"/>
    </w:lvl>
  </w:abstractNum>
  <w:abstractNum w:abstractNumId="55">
    <w:nsid w:val="5D888A08"/>
    <w:multiLevelType w:val="hybridMultilevel"/>
    <w:lvl w:ilvl="0">
      <w:lvlJc w:val="left"/>
      <w:lvlText w:val="•"/>
      <w:numFmt w:val="bullet"/>
      <w:start w:val="1"/>
    </w:lvl>
  </w:abstractNum>
  <w:abstractNum w:abstractNumId="56">
    <w:nsid w:val="2A082C70"/>
    <w:multiLevelType w:val="hybridMultilevel"/>
    <w:lvl w:ilvl="0">
      <w:lvlJc w:val="left"/>
      <w:lvlText w:val="•"/>
      <w:numFmt w:val="bullet"/>
      <w:start w:val="1"/>
    </w:lvl>
  </w:abstractNum>
  <w:abstractNum w:abstractNumId="57">
    <w:nsid w:val="5EC6AFD4"/>
    <w:multiLevelType w:val="hybridMultilevel"/>
    <w:lvl w:ilvl="0">
      <w:lvlJc w:val="left"/>
      <w:lvlText w:val="•"/>
      <w:numFmt w:val="bullet"/>
      <w:start w:val="1"/>
    </w:lvl>
  </w:abstractNum>
  <w:abstractNum w:abstractNumId="58">
    <w:nsid w:val="19E21BB2"/>
    <w:multiLevelType w:val="hybridMultilevel"/>
    <w:lvl w:ilvl="0">
      <w:lvlJc w:val="left"/>
      <w:lvlText w:val="•"/>
      <w:numFmt w:val="bullet"/>
      <w:start w:val="1"/>
    </w:lvl>
  </w:abstractNum>
  <w:abstractNum w:abstractNumId="59">
    <w:nsid w:val="75E0858A"/>
    <w:multiLevelType w:val="hybridMultilevel"/>
    <w:lvl w:ilvl="0">
      <w:lvlJc w:val="left"/>
      <w:lvlText w:val="•"/>
      <w:numFmt w:val="bullet"/>
      <w:start w:val="1"/>
    </w:lvl>
  </w:abstractNum>
  <w:abstractNum w:abstractNumId="60">
    <w:nsid w:val="57A61A29"/>
    <w:multiLevelType w:val="hybridMultilevel"/>
    <w:lvl w:ilvl="0">
      <w:lvlJc w:val="left"/>
      <w:lvlText w:val="•"/>
      <w:numFmt w:val="bullet"/>
      <w:start w:val="1"/>
    </w:lvl>
  </w:abstractNum>
  <w:abstractNum w:abstractNumId="61">
    <w:nsid w:val="5399C654"/>
    <w:multiLevelType w:val="hybridMultilevel"/>
    <w:lvl w:ilvl="0">
      <w:lvlJc w:val="left"/>
      <w:lvlText w:val="•"/>
      <w:numFmt w:val="bullet"/>
      <w:start w:val="1"/>
    </w:lvl>
    <w:lvl w:ilvl="1">
      <w:lvlJc w:val="left"/>
      <w:lvlText w:val="•"/>
      <w:numFmt w:val="bullet"/>
      <w:start w:val="1"/>
    </w:lvl>
  </w:abstractNum>
  <w:abstractNum w:abstractNumId="62">
    <w:nsid w:val="20EE1348"/>
    <w:multiLevelType w:val="hybridMultilevel"/>
    <w:lvl w:ilvl="0">
      <w:lvlJc w:val="left"/>
      <w:lvlText w:val="•"/>
      <w:numFmt w:val="bullet"/>
      <w:start w:val="1"/>
    </w:lvl>
    <w:lvl w:ilvl="1">
      <w:lvlJc w:val="left"/>
      <w:lvlText w:val="•"/>
      <w:numFmt w:val="bullet"/>
      <w:start w:val="1"/>
    </w:lvl>
  </w:abstractNum>
  <w:abstractNum w:abstractNumId="63">
    <w:nsid w:val="4427069A"/>
    <w:multiLevelType w:val="hybridMultilevel"/>
    <w:lvl w:ilvl="0">
      <w:lvlJc w:val="left"/>
      <w:lvlText w:val="•"/>
      <w:numFmt w:val="bullet"/>
      <w:start w:val="1"/>
    </w:lvl>
  </w:abstractNum>
  <w:abstractNum w:abstractNumId="64">
    <w:nsid w:val="B37E80A"/>
    <w:multiLevelType w:val="hybridMultilevel"/>
    <w:lvl w:ilvl="0">
      <w:lvlJc w:val="left"/>
      <w:lvlText w:val="(%1)"/>
      <w:numFmt w:val="decimal"/>
      <w:start w:val="1"/>
    </w:lvl>
  </w:abstractNum>
  <w:abstractNum w:abstractNumId="65">
    <w:nsid w:val="2157F6BC"/>
    <w:multiLevelType w:val="hybridMultilevel"/>
    <w:lvl w:ilvl="0">
      <w:lvlJc w:val="left"/>
      <w:lvlText w:val="(%1)"/>
      <w:numFmt w:val="decimal"/>
      <w:start w:val="1"/>
    </w:lvl>
  </w:abstractNum>
  <w:abstractNum w:abstractNumId="66">
    <w:nsid w:val="704E1DD5"/>
    <w:multiLevelType w:val="hybridMultilevel"/>
    <w:lvl w:ilvl="0">
      <w:lvlJc w:val="left"/>
      <w:lvlText w:val="(%1)"/>
      <w:numFmt w:val="decimal"/>
      <w:start w:val="1"/>
    </w:lvl>
  </w:abstractNum>
  <w:abstractNum w:abstractNumId="67">
    <w:nsid w:val="57D2F10E"/>
    <w:multiLevelType w:val="hybridMultilevel"/>
    <w:lvl w:ilvl="0">
      <w:lvlJc w:val="left"/>
      <w:lvlText w:val="(%1)"/>
      <w:numFmt w:val="lowerLetter"/>
      <w:start w:val="1"/>
    </w:lvl>
  </w:abstractNum>
  <w:abstractNum w:abstractNumId="68">
    <w:nsid w:val="BFFAE18"/>
    <w:multiLevelType w:val="hybridMultilevel"/>
    <w:lvl w:ilvl="0">
      <w:lvlJc w:val="left"/>
      <w:lvlText w:val="•"/>
      <w:numFmt w:val="bullet"/>
      <w:start w:val="1"/>
    </w:lvl>
  </w:abstractNum>
  <w:abstractNum w:abstractNumId="69">
    <w:nsid w:val="E3E47A8"/>
    <w:multiLevelType w:val="hybridMultilevel"/>
    <w:lvl w:ilvl="0">
      <w:lvlJc w:val="left"/>
      <w:lvlText w:val="•"/>
      <w:numFmt w:val="bullet"/>
      <w:start w:val="1"/>
    </w:lvl>
  </w:abstractNum>
  <w:abstractNum w:abstractNumId="70">
    <w:nsid w:val="2E48F044"/>
    <w:multiLevelType w:val="hybridMultilevel"/>
    <w:lvl w:ilvl="0">
      <w:lvlJc w:val="left"/>
      <w:lvlText w:val="•"/>
      <w:numFmt w:val="bullet"/>
      <w:start w:val="1"/>
    </w:lvl>
  </w:abstractNum>
  <w:abstractNum w:abstractNumId="71">
    <w:nsid w:val="49D0FEAC"/>
    <w:multiLevelType w:val="hybridMultilevel"/>
    <w:lvl w:ilvl="0">
      <w:lvlJc w:val="left"/>
      <w:lvlText w:val="•"/>
      <w:numFmt w:val="bullet"/>
      <w:start w:val="1"/>
    </w:lvl>
  </w:abstractNum>
  <w:abstractNum w:abstractNumId="72">
    <w:nsid w:val="4BEE5A5B"/>
    <w:multiLevelType w:val="hybridMultilevel"/>
    <w:lvl w:ilvl="0">
      <w:lvlJc w:val="left"/>
      <w:lvlText w:val="•"/>
      <w:numFmt w:val="bullet"/>
      <w:start w:val="1"/>
    </w:lvl>
  </w:abstractNum>
  <w:abstractNum w:abstractNumId="73">
    <w:nsid w:val="5551B9F3"/>
    <w:multiLevelType w:val="hybridMultilevel"/>
    <w:lvl w:ilvl="0">
      <w:lvlJc w:val="left"/>
      <w:lvlText w:val="•"/>
      <w:numFmt w:val="bullet"/>
      <w:start w:val="1"/>
    </w:lvl>
  </w:abstractNum>
  <w:abstractNum w:abstractNumId="74">
    <w:nsid w:val="24F6AB8E"/>
    <w:multiLevelType w:val="hybridMultilevel"/>
    <w:lvl w:ilvl="0">
      <w:lvlJc w:val="left"/>
      <w:lvlText w:val="•"/>
      <w:numFmt w:val="bullet"/>
      <w:start w:val="1"/>
    </w:lvl>
  </w:abstractNum>
  <w:abstractNum w:abstractNumId="75">
    <w:nsid w:val="634C574C"/>
    <w:multiLevelType w:val="hybridMultilevel"/>
    <w:lvl w:ilvl="0">
      <w:lvlJc w:val="left"/>
      <w:lvlText w:val="•"/>
      <w:numFmt w:val="bullet"/>
      <w:start w:val="1"/>
    </w:lvl>
  </w:abstractNum>
  <w:abstractNum w:abstractNumId="76">
    <w:nsid w:val="24E99DD7"/>
    <w:multiLevelType w:val="hybridMultilevel"/>
    <w:lvl w:ilvl="0">
      <w:lvlJc w:val="left"/>
      <w:lvlText w:val="•"/>
      <w:numFmt w:val="bullet"/>
      <w:start w:val="1"/>
    </w:lvl>
  </w:abstractNum>
  <w:abstractNum w:abstractNumId="77">
    <w:nsid w:val="2A31B62D"/>
    <w:multiLevelType w:val="hybridMultilevel"/>
    <w:lvl w:ilvl="0">
      <w:lvlJc w:val="left"/>
      <w:lvlText w:val="•"/>
      <w:numFmt w:val="bullet"/>
      <w:start w:val="1"/>
    </w:lvl>
  </w:abstractNum>
  <w:abstractNum w:abstractNumId="78">
    <w:nsid w:val="1849C29B"/>
    <w:multiLevelType w:val="hybridMultilevel"/>
    <w:lvl w:ilvl="0">
      <w:lvlJc w:val="left"/>
      <w:lvlText w:val="•"/>
      <w:numFmt w:val="bullet"/>
      <w:start w:val="1"/>
    </w:lvl>
  </w:abstractNum>
  <w:abstractNum w:abstractNumId="79">
    <w:nsid w:val="7DFF9D09"/>
    <w:multiLevelType w:val="hybridMultilevel"/>
    <w:lvl w:ilvl="0">
      <w:lvlJc w:val="left"/>
      <w:lvlText w:val="(%1)"/>
      <w:numFmt w:val="lowerRoman"/>
      <w:start w:val="1"/>
    </w:lvl>
  </w:abstractNum>
  <w:abstractNum w:abstractNumId="80">
    <w:nsid w:val="754342"/>
    <w:multiLevelType w:val="hybridMultilevel"/>
    <w:lvl w:ilvl="0">
      <w:lvlJc w:val="left"/>
      <w:lvlText w:val="(%1)"/>
      <w:numFmt w:val="lowerRoman"/>
      <w:start w:val="2"/>
    </w:lvl>
  </w:abstractNum>
  <w:abstractNum w:abstractNumId="81">
    <w:nsid w:val="69E7F3E5"/>
    <w:multiLevelType w:val="hybridMultilevel"/>
    <w:lvl w:ilvl="0">
      <w:lvlJc w:val="left"/>
      <w:lvlText w:val="•"/>
      <w:numFmt w:val="bullet"/>
      <w:start w:val="1"/>
    </w:lvl>
  </w:abstractNum>
  <w:abstractNum w:abstractNumId="82">
    <w:nsid w:val="2A6DE806"/>
    <w:multiLevelType w:val="hybridMultilevel"/>
    <w:lvl w:ilvl="0">
      <w:lvlJc w:val="left"/>
      <w:lvlText w:val="="/>
      <w:numFmt w:val="bullet"/>
      <w:start w:val="1"/>
    </w:lvl>
  </w:abstractNum>
  <w:abstractNum w:abstractNumId="83">
    <w:nsid w:val="1816F8C4"/>
    <w:multiLevelType w:val="hybridMultilevel"/>
    <w:lvl w:ilvl="0">
      <w:lvlJc w:val="left"/>
      <w:lvlText w:val="(%1)"/>
      <w:numFmt w:val="decimal"/>
    </w:lvl>
    <w:lvl w:ilvl="1">
      <w:lvlJc w:val="left"/>
      <w:lvlText w:val="="/>
      <w:numFmt w:val="bullet"/>
      <w:start w:val="1"/>
    </w:lvl>
  </w:abstractNum>
  <w:abstractNum w:abstractNumId="84">
    <w:nsid w:val="37DF2233"/>
    <w:multiLevelType w:val="hybridMultilevel"/>
    <w:lvl w:ilvl="0">
      <w:lvlJc w:val="left"/>
      <w:lvlText w:val="(*)"/>
      <w:numFmt w:val="bullet"/>
      <w:start w:val="1"/>
    </w:lvl>
  </w:abstractNum>
  <w:abstractNum w:abstractNumId="85">
    <w:nsid w:val="7AB49DAF"/>
    <w:multiLevelType w:val="hybridMultilevel"/>
    <w:lvl w:ilvl="0">
      <w:lvlJc w:val="left"/>
      <w:lvlText w:val="•"/>
      <w:numFmt w:val="bullet"/>
      <w:start w:val="1"/>
    </w:lvl>
  </w:abstractNum>
  <w:abstractNum w:abstractNumId="86">
    <w:nsid w:val="759F82CD"/>
    <w:multiLevelType w:val="hybridMultilevel"/>
    <w:lvl w:ilvl="0">
      <w:lvlJc w:val="left"/>
      <w:lvlText w:val="•"/>
      <w:numFmt w:val="bullet"/>
      <w:start w:val="1"/>
    </w:lvl>
  </w:abstractNum>
  <w:abstractNum w:abstractNumId="87">
    <w:nsid w:val="61E74EA3"/>
    <w:multiLevelType w:val="hybridMultilevel"/>
    <w:lvl w:ilvl="0">
      <w:lvlJc w:val="left"/>
      <w:lvlText w:val="•"/>
      <w:numFmt w:val="bullet"/>
      <w:start w:val="1"/>
    </w:lvl>
  </w:abstractNum>
  <w:abstractNum w:abstractNumId="88">
    <w:nsid w:val="597B4D84"/>
    <w:multiLevelType w:val="hybridMultilevel"/>
    <w:lvl w:ilvl="0">
      <w:lvlJc w:val="left"/>
      <w:lvlText w:val="•"/>
      <w:numFmt w:val="bullet"/>
      <w:start w:val="1"/>
    </w:lvl>
  </w:abstractNum>
  <w:abstractNum w:abstractNumId="89">
    <w:nsid w:val="F819E7F"/>
    <w:multiLevelType w:val="hybridMultilevel"/>
    <w:lvl w:ilvl="0">
      <w:lvlJc w:val="left"/>
      <w:lvlText w:val="•"/>
      <w:numFmt w:val="bullet"/>
      <w:start w:val="1"/>
    </w:lvl>
  </w:abstractNum>
  <w:abstractNum w:abstractNumId="90">
    <w:nsid w:val="57C7D42D"/>
    <w:multiLevelType w:val="hybridMultilevel"/>
    <w:lvl w:ilvl="0">
      <w:lvlJc w:val="left"/>
      <w:lvlText w:val="•"/>
      <w:numFmt w:val="bullet"/>
      <w:start w:val="1"/>
    </w:lvl>
  </w:abstractNum>
  <w:abstractNum w:abstractNumId="91">
    <w:nsid w:val="312167AD"/>
    <w:multiLevelType w:val="hybridMultilevel"/>
    <w:lvl w:ilvl="0">
      <w:lvlJc w:val="left"/>
      <w:lvlText w:val="•"/>
      <w:numFmt w:val="bullet"/>
      <w:start w:val="1"/>
    </w:lvl>
  </w:abstractNum>
  <w:abstractNum w:abstractNumId="92">
    <w:nsid w:val="631B64D4"/>
    <w:multiLevelType w:val="hybridMultilevel"/>
    <w:lvl w:ilvl="0">
      <w:lvlJc w:val="left"/>
      <w:lvlText w:val="•"/>
      <w:numFmt w:val="bullet"/>
      <w:start w:val="1"/>
    </w:lvl>
  </w:abstractNum>
  <w:abstractNum w:abstractNumId="93">
    <w:nsid w:val="78B5E776"/>
    <w:multiLevelType w:val="hybridMultilevel"/>
    <w:lvl w:ilvl="0">
      <w:lvlJc w:val="left"/>
      <w:lvlText w:val="•"/>
      <w:numFmt w:val="bullet"/>
      <w:start w:val="1"/>
    </w:lvl>
  </w:abstractNum>
  <w:abstractNum w:abstractNumId="94">
    <w:nsid w:val="75486E47"/>
    <w:multiLevelType w:val="hybridMultilevel"/>
    <w:lvl w:ilvl="0">
      <w:lvlJc w:val="left"/>
      <w:lvlText w:val="•"/>
      <w:numFmt w:val="bullet"/>
      <w:start w:val="1"/>
    </w:lvl>
  </w:abstractNum>
  <w:abstractNum w:abstractNumId="95">
    <w:nsid w:val="6E534CDE"/>
    <w:multiLevelType w:val="hybridMultilevel"/>
    <w:lvl w:ilvl="0">
      <w:lvlJc w:val="left"/>
      <w:lvlText w:val="•"/>
      <w:numFmt w:val="bullet"/>
      <w:start w:val="1"/>
    </w:lvl>
  </w:abstractNum>
  <w:abstractNum w:abstractNumId="96">
    <w:nsid w:val="1A0DDE32"/>
    <w:multiLevelType w:val="hybridMultilevel"/>
    <w:lvl w:ilvl="0">
      <w:lvlJc w:val="left"/>
      <w:lvlText w:val="•"/>
      <w:numFmt w:val="bullet"/>
      <w:start w:val="1"/>
    </w:lvl>
  </w:abstractNum>
  <w:abstractNum w:abstractNumId="97">
    <w:nsid w:val="65968C1C"/>
    <w:multiLevelType w:val="hybridMultilevel"/>
    <w:lvl w:ilvl="0">
      <w:lvlJc w:val="left"/>
      <w:lvlText w:val="*"/>
      <w:numFmt w:val="bullet"/>
      <w:start w:val="1"/>
    </w:lvl>
  </w:abstractNum>
  <w:abstractNum w:abstractNumId="98">
    <w:nsid w:val="46263DEC"/>
    <w:multiLevelType w:val="hybridMultilevel"/>
    <w:lvl w:ilvl="0">
      <w:lvlJc w:val="left"/>
      <w:lvlText w:val="(%1)"/>
      <w:numFmt w:val="decimal"/>
      <w:start w:val="1"/>
    </w:lvl>
  </w:abstractNum>
  <w:abstractNum w:abstractNumId="99">
    <w:nsid w:val="260D8C4A"/>
    <w:multiLevelType w:val="hybridMultilevel"/>
    <w:lvl w:ilvl="0">
      <w:lvlJc w:val="left"/>
      <w:lvlText w:val="(%1)"/>
      <w:numFmt w:val="decimal"/>
      <w:start w:val="2"/>
    </w:lvl>
  </w:abstractNum>
  <w:abstractNum w:abstractNumId="100">
    <w:nsid w:val="73D4D3C4"/>
    <w:multiLevelType w:val="hybridMultilevel"/>
    <w:lvl w:ilvl="0">
      <w:lvlJc w:val="left"/>
      <w:lvlText w:val="(%1)"/>
      <w:numFmt w:val="decimal"/>
      <w:start w:val="7"/>
    </w:lvl>
  </w:abstractNum>
  <w:abstractNum w:abstractNumId="101">
    <w:nsid w:val="746F2E30"/>
    <w:multiLevelType w:val="hybridMultilevel"/>
    <w:lvl w:ilvl="0">
      <w:lvlJc w:val="left"/>
      <w:lvlText w:val="(%1)"/>
      <w:numFmt w:val="decimal"/>
      <w:start w:val="1"/>
    </w:lvl>
  </w:abstractNum>
  <w:abstractNum w:abstractNumId="102">
    <w:nsid w:val="6FDE8AF6"/>
    <w:multiLevelType w:val="hybridMultilevel"/>
    <w:lvl w:ilvl="0">
      <w:lvlJc w:val="left"/>
      <w:lvlText w:val="•"/>
      <w:numFmt w:val="bullet"/>
      <w:start w:val="1"/>
    </w:lvl>
  </w:abstractNum>
  <w:abstractNum w:abstractNumId="103">
    <w:nsid w:val="3FC32E20"/>
    <w:multiLevelType w:val="hybridMultilevel"/>
    <w:lvl w:ilvl="0">
      <w:lvlJc w:val="left"/>
      <w:lvlText w:val="•"/>
      <w:numFmt w:val="bullet"/>
      <w:start w:val="1"/>
    </w:lvl>
  </w:abstractNum>
  <w:abstractNum w:abstractNumId="104">
    <w:nsid w:val="49C0E823"/>
    <w:multiLevelType w:val="hybridMultilevel"/>
    <w:lvl w:ilvl="0">
      <w:lvlJc w:val="left"/>
      <w:lvlText w:val="•"/>
      <w:numFmt w:val="bullet"/>
      <w:start w:val="1"/>
    </w:lvl>
  </w:abstractNum>
  <w:abstractNum w:abstractNumId="105">
    <w:nsid w:val="14D53685"/>
    <w:multiLevelType w:val="hybridMultilevel"/>
    <w:lvl w:ilvl="0">
      <w:lvlJc w:val="left"/>
      <w:lvlText w:val="•"/>
      <w:numFmt w:val="bullet"/>
      <w:start w:val="1"/>
    </w:lvl>
  </w:abstractNum>
  <w:abstractNum w:abstractNumId="106">
    <w:nsid w:val="230F856C"/>
    <w:multiLevelType w:val="hybridMultilevel"/>
    <w:lvl w:ilvl="0">
      <w:lvlJc w:val="left"/>
      <w:lvlText w:val="•"/>
      <w:numFmt w:val="bullet"/>
      <w:start w:val="1"/>
    </w:lvl>
  </w:abstractNum>
  <w:abstractNum w:abstractNumId="107">
    <w:nsid w:val="6EAA85FB"/>
    <w:multiLevelType w:val="hybridMultilevel"/>
    <w:lvl w:ilvl="0">
      <w:lvlJc w:val="left"/>
      <w:lvlText w:val="•"/>
      <w:numFmt w:val="bullet"/>
      <w:start w:val="1"/>
    </w:lvl>
  </w:abstractNum>
  <w:abstractNum w:abstractNumId="108">
    <w:nsid w:val="3F06ECB2"/>
    <w:multiLevelType w:val="hybridMultilevel"/>
    <w:lvl w:ilvl="0">
      <w:lvlJc w:val="left"/>
      <w:lvlText w:val="(%1)"/>
      <w:numFmt w:val="lowerRoman"/>
      <w:start w:val="1"/>
    </w:lvl>
  </w:abstractNum>
  <w:abstractNum w:abstractNumId="109">
    <w:nsid w:val="3B594807"/>
    <w:multiLevelType w:val="hybridMultilevel"/>
    <w:lvl w:ilvl="0">
      <w:lvlJc w:val="left"/>
      <w:lvlText w:val="(%1)"/>
      <w:numFmt w:val="lowerRoman"/>
      <w:start w:val="3"/>
    </w:lvl>
  </w:abstractNum>
  <w:abstractNum w:abstractNumId="110">
    <w:nsid w:val="6CAA2304"/>
    <w:multiLevelType w:val="hybridMultilevel"/>
    <w:lvl w:ilvl="0">
      <w:lvlJc w:val="left"/>
      <w:lvlText w:val="(%1)"/>
      <w:numFmt w:val="lowerRoman"/>
      <w:start w:val="1"/>
    </w:lvl>
  </w:abstractNum>
  <w:abstractNum w:abstractNumId="111">
    <w:nsid w:val="3F7C2FF4"/>
    <w:multiLevelType w:val="hybridMultilevel"/>
    <w:lvl w:ilvl="0">
      <w:lvlJc w:val="left"/>
      <w:lvlText w:val="•"/>
      <w:numFmt w:val="bullet"/>
      <w:start w:val="1"/>
    </w:lvl>
  </w:abstractNum>
  <w:abstractNum w:abstractNumId="112">
    <w:nsid w:val="25413BEC"/>
    <w:multiLevelType w:val="hybridMultilevel"/>
    <w:lvl w:ilvl="0">
      <w:lvlJc w:val="left"/>
      <w:lvlText w:val="•"/>
      <w:numFmt w:val="bullet"/>
      <w:start w:val="1"/>
    </w:lvl>
  </w:abstractNum>
  <w:abstractNum w:abstractNumId="113">
    <w:nsid w:val="17180B0B"/>
    <w:multiLevelType w:val="hybridMultilevel"/>
    <w:lvl w:ilvl="0">
      <w:lvlJc w:val="left"/>
      <w:lvlText w:val="•"/>
      <w:numFmt w:val="bullet"/>
      <w:start w:val="1"/>
    </w:lvl>
  </w:abstractNum>
  <w:abstractNum w:abstractNumId="114">
    <w:nsid w:val="579328B9"/>
    <w:multiLevelType w:val="hybridMultilevel"/>
    <w:lvl w:ilvl="0">
      <w:lvlJc w:val="left"/>
      <w:lvlText w:val="•"/>
      <w:numFmt w:val="bullet"/>
      <w:start w:val="1"/>
    </w:lvl>
  </w:abstractNum>
  <w:abstractNum w:abstractNumId="115">
    <w:nsid w:val="5D205E20"/>
    <w:multiLevelType w:val="hybridMultilevel"/>
    <w:lvl w:ilvl="0">
      <w:lvlJc w:val="left"/>
      <w:lvlText w:val="•"/>
      <w:numFmt w:val="bullet"/>
      <w:start w:val="1"/>
    </w:lvl>
  </w:abstractNum>
  <w:abstractNum w:abstractNumId="116">
    <w:nsid w:val="11CCA8BA"/>
    <w:multiLevelType w:val="hybridMultilevel"/>
    <w:lvl w:ilvl="0">
      <w:lvlJc w:val="left"/>
      <w:lvlText w:val="•"/>
      <w:numFmt w:val="bullet"/>
      <w:start w:val="1"/>
    </w:lvl>
  </w:abstractNum>
  <w:abstractNum w:abstractNumId="117">
    <w:nsid w:val="4D32AB86"/>
    <w:multiLevelType w:val="hybridMultilevel"/>
    <w:lvl w:ilvl="0">
      <w:lvlJc w:val="left"/>
      <w:lvlText w:val="•"/>
      <w:numFmt w:val="bullet"/>
      <w:start w:val="1"/>
    </w:lvl>
  </w:abstractNum>
  <w:abstractNum w:abstractNumId="118">
    <w:nsid w:val="3F07ACC3"/>
    <w:multiLevelType w:val="hybridMultilevel"/>
    <w:lvl w:ilvl="0">
      <w:lvlJc w:val="left"/>
      <w:lvlText w:val="•"/>
      <w:numFmt w:val="bullet"/>
      <w:start w:val="1"/>
    </w:lvl>
  </w:abstractNum>
  <w:abstractNum w:abstractNumId="119">
    <w:nsid w:val="6B47F63E"/>
    <w:multiLevelType w:val="hybridMultilevel"/>
    <w:lvl w:ilvl="0">
      <w:lvlJc w:val="left"/>
      <w:lvlText w:val="•"/>
      <w:numFmt w:val="bullet"/>
      <w:start w:val="1"/>
    </w:lvl>
  </w:abstractNum>
  <w:abstractNum w:abstractNumId="120">
    <w:nsid w:val="5CB44A05"/>
    <w:multiLevelType w:val="hybridMultilevel"/>
    <w:lvl w:ilvl="0">
      <w:lvlJc w:val="left"/>
      <w:lvlText w:val="•"/>
      <w:numFmt w:val="bullet"/>
      <w:start w:val="1"/>
    </w:lvl>
  </w:abstractNum>
  <w:abstractNum w:abstractNumId="121">
    <w:nsid w:val="16CF80F1"/>
    <w:multiLevelType w:val="hybridMultilevel"/>
    <w:lvl w:ilvl="0">
      <w:lvlJc w:val="left"/>
      <w:lvlText w:val="•"/>
      <w:numFmt w:val="bullet"/>
      <w:start w:val="1"/>
    </w:lvl>
  </w:abstractNum>
  <w:abstractNum w:abstractNumId="122">
    <w:nsid w:val="1C695DEC"/>
    <w:multiLevelType w:val="hybridMultilevel"/>
    <w:lvl w:ilvl="0">
      <w:lvlJc w:val="left"/>
      <w:lvlText w:val="•"/>
      <w:numFmt w:val="bullet"/>
      <w:start w:val="1"/>
    </w:lvl>
  </w:abstractNum>
  <w:abstractNum w:abstractNumId="123">
    <w:nsid w:val="3FCFAED9"/>
    <w:multiLevelType w:val="hybridMultilevel"/>
    <w:lvl w:ilvl="0">
      <w:lvlJc w:val="left"/>
      <w:lvlText w:val="•"/>
      <w:numFmt w:val="bullet"/>
      <w:start w:val="1"/>
    </w:lvl>
  </w:abstractNum>
  <w:abstractNum w:abstractNumId="124">
    <w:nsid w:val="F856867"/>
    <w:multiLevelType w:val="hybridMultilevel"/>
    <w:lvl w:ilvl="0">
      <w:lvlJc w:val="left"/>
      <w:lvlText w:val="•"/>
      <w:numFmt w:val="bullet"/>
      <w:start w:val="1"/>
    </w:lvl>
  </w:abstractNum>
  <w:abstractNum w:abstractNumId="125">
    <w:nsid w:val="11B1CC33"/>
    <w:multiLevelType w:val="hybridMultilevel"/>
    <w:lvl w:ilvl="0">
      <w:lvlJc w:val="left"/>
      <w:lvlText w:val="•"/>
      <w:numFmt w:val="bullet"/>
      <w:start w:val="1"/>
    </w:lvl>
  </w:abstractNum>
  <w:abstractNum w:abstractNumId="126">
    <w:nsid w:val="2E22FBB7"/>
    <w:multiLevelType w:val="hybridMultilevel"/>
    <w:lvl w:ilvl="0">
      <w:lvlJc w:val="left"/>
      <w:lvlText w:val="•"/>
      <w:numFmt w:val="bullet"/>
      <w:start w:val="1"/>
    </w:lvl>
  </w:abstractNum>
  <w:abstractNum w:abstractNumId="127">
    <w:nsid w:val="29934699"/>
    <w:multiLevelType w:val="hybridMultilevel"/>
    <w:lvl w:ilvl="0">
      <w:lvlJc w:val="left"/>
      <w:lvlText w:val="•"/>
      <w:numFmt w:val="bullet"/>
      <w:start w:val="1"/>
    </w:lvl>
  </w:abstractNum>
  <w:abstractNum w:abstractNumId="128">
    <w:nsid w:val="77485850"/>
    <w:multiLevelType w:val="hybridMultilevel"/>
    <w:lvl w:ilvl="0">
      <w:lvlJc w:val="left"/>
      <w:lvlText w:val="•"/>
      <w:numFmt w:val="bullet"/>
      <w:start w:val="1"/>
    </w:lvl>
  </w:abstractNum>
  <w:abstractNum w:abstractNumId="129">
    <w:nsid w:val="744939A3"/>
    <w:multiLevelType w:val="hybridMultilevel"/>
    <w:lvl w:ilvl="0">
      <w:lvlJc w:val="left"/>
      <w:lvlText w:val="•"/>
      <w:numFmt w:val="bullet"/>
      <w:start w:val="1"/>
    </w:lvl>
  </w:abstractNum>
  <w:abstractNum w:abstractNumId="130">
    <w:nsid w:val="4FA0D2E3"/>
    <w:multiLevelType w:val="hybridMultilevel"/>
    <w:lvl w:ilvl="0">
      <w:lvlJc w:val="left"/>
      <w:lvlText w:val="•"/>
      <w:numFmt w:val="bullet"/>
      <w:start w:val="1"/>
    </w:lvl>
  </w:abstractNum>
  <w:abstractNum w:abstractNumId="131">
    <w:nsid w:val="6B1D2C14"/>
    <w:multiLevelType w:val="hybridMultilevel"/>
    <w:lvl w:ilvl="0">
      <w:lvlJc w:val="left"/>
      <w:lvlText w:val="•"/>
      <w:numFmt w:val="bullet"/>
      <w:start w:val="1"/>
    </w:lvl>
  </w:abstractNum>
  <w:abstractNum w:abstractNumId="132">
    <w:nsid w:val="68B867D3"/>
    <w:multiLevelType w:val="hybridMultilevel"/>
    <w:lvl w:ilvl="0">
      <w:lvlJc w:val="left"/>
      <w:lvlText w:val="•"/>
      <w:numFmt w:val="bullet"/>
      <w:start w:val="1"/>
    </w:lvl>
  </w:abstractNum>
  <w:abstractNum w:abstractNumId="133">
    <w:nsid w:val="3F7F5DD9"/>
    <w:multiLevelType w:val="hybridMultilevel"/>
    <w:lvl w:ilvl="0">
      <w:lvlJc w:val="left"/>
      <w:lvlText w:val="•"/>
      <w:numFmt w:val="bullet"/>
      <w:start w:val="1"/>
    </w:lvl>
  </w:abstractNum>
  <w:abstractNum w:abstractNumId="134">
    <w:nsid w:val="2AE05A34"/>
    <w:multiLevelType w:val="hybridMultilevel"/>
    <w:lvl w:ilvl="0">
      <w:lvlJc w:val="left"/>
      <w:lvlText w:val="•"/>
      <w:numFmt w:val="bullet"/>
      <w:start w:val="1"/>
    </w:lvl>
    <w:lvl w:ilvl="1">
      <w:lvlJc w:val="left"/>
      <w:lvlText w:val="•"/>
      <w:numFmt w:val="bullet"/>
      <w:start w:val="1"/>
    </w:lvl>
  </w:abstractNum>
  <w:abstractNum w:abstractNumId="135">
    <w:nsid w:val="32794FF7"/>
    <w:multiLevelType w:val="hybridMultilevel"/>
    <w:lvl w:ilvl="0">
      <w:lvlJc w:val="left"/>
      <w:lvlText w:val="•"/>
      <w:numFmt w:val="bullet"/>
      <w:start w:val="1"/>
    </w:lvl>
  </w:abstractNum>
  <w:abstractNum w:abstractNumId="136">
    <w:nsid w:val="5454945E"/>
    <w:multiLevelType w:val="hybridMultilevel"/>
    <w:lvl w:ilvl="0">
      <w:lvlJc w:val="left"/>
      <w:lvlText w:val="•"/>
      <w:numFmt w:val="bullet"/>
      <w:start w:val="1"/>
    </w:lvl>
  </w:abstractNum>
  <w:abstractNum w:abstractNumId="137">
    <w:nsid w:val="4DEFDFA0"/>
    <w:multiLevelType w:val="hybridMultilevel"/>
    <w:lvl w:ilvl="0">
      <w:lvlJc w:val="left"/>
      <w:lvlText w:val="(%1)"/>
      <w:numFmt w:val="decimal"/>
      <w:start w:val="1"/>
    </w:lvl>
  </w:abstractNum>
  <w:abstractNum w:abstractNumId="138">
    <w:nsid w:val="2123D5F2"/>
    <w:multiLevelType w:val="hybridMultilevel"/>
    <w:lvl w:ilvl="0">
      <w:lvlJc w:val="left"/>
      <w:lvlText w:val="(%1)"/>
      <w:numFmt w:val="decimal"/>
      <w:start w:val="1"/>
    </w:lvl>
  </w:abstractNum>
  <w:abstractNum w:abstractNumId="139">
    <w:nsid w:val="135B8110"/>
    <w:multiLevelType w:val="hybridMultilevel"/>
    <w:lvl w:ilvl="0">
      <w:lvlJc w:val="left"/>
      <w:lvlText w:val="(%1)"/>
      <w:numFmt w:val="lowerLetter"/>
      <w:start w:val="1"/>
    </w:lvl>
  </w:abstractNum>
  <w:abstractNum w:abstractNumId="140">
    <w:nsid w:val="94927A8"/>
    <w:multiLevelType w:val="hybridMultilevel"/>
    <w:lvl w:ilvl="0">
      <w:lvlJc w:val="left"/>
      <w:lvlText w:val="(%1)"/>
      <w:numFmt w:val="decimal"/>
      <w:start w:val="1"/>
    </w:lvl>
  </w:abstractNum>
  <w:abstractNum w:abstractNumId="141">
    <w:nsid w:val="DCDF8F6"/>
    <w:multiLevelType w:val="hybridMultilevel"/>
    <w:lvl w:ilvl="0">
      <w:lvlJc w:val="left"/>
      <w:lvlText w:val="•"/>
      <w:numFmt w:val="bullet"/>
      <w:start w:val="1"/>
    </w:lvl>
  </w:abstractNum>
  <w:abstractNum w:abstractNumId="142">
    <w:nsid w:val="52D7B105"/>
    <w:multiLevelType w:val="hybridMultilevel"/>
    <w:lvl w:ilvl="0">
      <w:lvlJc w:val="left"/>
      <w:lvlText w:val="•"/>
      <w:numFmt w:val="bullet"/>
      <w:start w:val="1"/>
    </w:lvl>
  </w:abstractNum>
  <w:abstractNum w:abstractNumId="143">
    <w:nsid w:val="2E8A6394"/>
    <w:multiLevelType w:val="hybridMultilevel"/>
    <w:lvl w:ilvl="0">
      <w:lvlJc w:val="left"/>
      <w:lvlText w:val="•"/>
      <w:numFmt w:val="bullet"/>
      <w:start w:val="1"/>
    </w:lvl>
  </w:abstractNum>
  <w:abstractNum w:abstractNumId="144">
    <w:nsid w:val="24E60401"/>
    <w:multiLevelType w:val="hybridMultilevel"/>
    <w:lvl w:ilvl="0">
      <w:lvlJc w:val="left"/>
      <w:lvlText w:val="(%1)"/>
      <w:numFmt w:val="lowerRoman"/>
      <w:start w:val="1"/>
    </w:lvl>
  </w:abstractNum>
  <w:abstractNum w:abstractNumId="145">
    <w:nsid w:val="2A6AD9BE"/>
    <w:multiLevelType w:val="hybridMultilevel"/>
    <w:lvl w:ilvl="0">
      <w:lvlJc w:val="left"/>
      <w:lvlText w:val="•"/>
      <w:numFmt w:val="bullet"/>
      <w:start w:val="1"/>
    </w:lvl>
  </w:abstractNum>
  <w:abstractNum w:abstractNumId="146">
    <w:nsid w:val="BAAC1B4"/>
    <w:multiLevelType w:val="hybridMultilevel"/>
    <w:lvl w:ilvl="0">
      <w:lvlJc w:val="left"/>
      <w:lvlText w:val="(%1)"/>
      <w:numFmt w:val="decimal"/>
      <w:start w:val="1"/>
    </w:lvl>
  </w:abstractNum>
  <w:abstractNum w:abstractNumId="147">
    <w:nsid w:val="36B2ACBC"/>
    <w:multiLevelType w:val="hybridMultilevel"/>
    <w:lvl w:ilvl="0">
      <w:lvlJc w:val="left"/>
      <w:lvlText w:val="(%1)"/>
      <w:numFmt w:val="decimal"/>
      <w:start w:val="1"/>
    </w:lvl>
  </w:abstractNum>
  <w:abstractNum w:abstractNumId="148">
    <w:nsid w:val="779D8544"/>
    <w:multiLevelType w:val="hybridMultilevel"/>
    <w:lvl w:ilvl="0">
      <w:lvlJc w:val="left"/>
      <w:lvlText w:val="(%1)"/>
      <w:numFmt w:val="decimal"/>
      <w:start w:val="1"/>
    </w:lvl>
  </w:abstractNum>
  <w:abstractNum w:abstractNumId="149">
    <w:nsid w:val="4AB26E78"/>
    <w:multiLevelType w:val="hybridMultilevel"/>
    <w:lvl w:ilvl="0">
      <w:lvlJc w:val="left"/>
      <w:lvlText w:val="•"/>
      <w:numFmt w:val="bullet"/>
      <w:start w:val="1"/>
    </w:lvl>
    <w:lvl w:ilvl="1">
      <w:lvlJc w:val="left"/>
      <w:lvlText w:val="•"/>
      <w:numFmt w:val="bullet"/>
      <w:start w:val="1"/>
    </w:lvl>
  </w:abstractNum>
  <w:abstractNum w:abstractNumId="150">
    <w:nsid w:val="21FAA2FA"/>
    <w:multiLevelType w:val="hybridMultilevel"/>
    <w:lvl w:ilvl="0">
      <w:lvlJc w:val="left"/>
      <w:lvlText w:val="•"/>
      <w:numFmt w:val="bullet"/>
      <w:start w:val="1"/>
    </w:lvl>
  </w:abstractNum>
  <w:abstractNum w:abstractNumId="151">
    <w:nsid w:val="5451CF49"/>
    <w:multiLevelType w:val="hybridMultilevel"/>
    <w:lvl w:ilvl="0">
      <w:lvlJc w:val="left"/>
      <w:lvlText w:val="•"/>
      <w:numFmt w:val="bullet"/>
      <w:start w:val="1"/>
    </w:lvl>
  </w:abstractNum>
  <w:abstractNum w:abstractNumId="152">
    <w:nsid w:val="6181EF69"/>
    <w:multiLevelType w:val="hybridMultilevel"/>
    <w:lvl w:ilvl="0">
      <w:lvlJc w:val="left"/>
      <w:lvlText w:val="•"/>
      <w:numFmt w:val="bullet"/>
      <w:start w:val="1"/>
    </w:lvl>
  </w:abstractNum>
  <w:abstractNum w:abstractNumId="153">
    <w:nsid w:val="3E6400E6"/>
    <w:multiLevelType w:val="hybridMultilevel"/>
    <w:lvl w:ilvl="0">
      <w:lvlJc w:val="left"/>
      <w:lvlText w:val="(%1)"/>
      <w:numFmt w:val="decimal"/>
      <w:start w:val="1"/>
    </w:lvl>
  </w:abstractNum>
  <w:abstractNum w:abstractNumId="154">
    <w:nsid w:val="14217E23"/>
    <w:multiLevelType w:val="hybridMultilevel"/>
    <w:lvl w:ilvl="0">
      <w:lvlJc w:val="left"/>
      <w:lvlText w:val="(%1)"/>
      <w:numFmt w:val="decimal"/>
      <w:start w:val="1"/>
    </w:lvl>
  </w:abstractNum>
  <w:abstractNum w:abstractNumId="155">
    <w:nsid w:val="710757D0"/>
    <w:multiLevelType w:val="hybridMultilevel"/>
    <w:lvl w:ilvl="0">
      <w:lvlJc w:val="left"/>
      <w:lvlText w:val="(%1)"/>
      <w:numFmt w:val="decimal"/>
      <w:start w:val="1"/>
    </w:lvl>
  </w:abstractNum>
  <w:abstractNum w:abstractNumId="156">
    <w:nsid w:val="5015CD1A"/>
    <w:multiLevelType w:val="hybridMultilevel"/>
    <w:lvl w:ilvl="0">
      <w:lvlJc w:val="left"/>
      <w:lvlText w:val="(%1)"/>
      <w:numFmt w:val="decimal"/>
      <w:start w:val="1"/>
    </w:lvl>
  </w:abstractNum>
  <w:abstractNum w:abstractNumId="157">
    <w:nsid w:val="424479DA"/>
    <w:multiLevelType w:val="hybridMultilevel"/>
    <w:lvl w:ilvl="0">
      <w:lvlJc w:val="left"/>
      <w:lvlText w:val="(%1)"/>
      <w:numFmt w:val="decimal"/>
      <w:start w:val="1"/>
    </w:lvl>
  </w:abstractNum>
  <w:abstractNum w:abstractNumId="158">
    <w:nsid w:val="1A9A9E69"/>
    <w:multiLevelType w:val="hybridMultilevel"/>
    <w:lvl w:ilvl="0">
      <w:lvlJc w:val="left"/>
      <w:lvlText w:val="(%1)"/>
      <w:numFmt w:val="decimal"/>
      <w:start w:val="1"/>
    </w:lvl>
  </w:abstractNum>
  <w:abstractNum w:abstractNumId="159">
    <w:nsid w:val="475E256A"/>
    <w:multiLevelType w:val="hybridMultilevel"/>
    <w:lvl w:ilvl="0">
      <w:lvlJc w:val="left"/>
      <w:lvlText w:val="(%1)"/>
      <w:numFmt w:val="decimal"/>
      <w:start w:val="1"/>
    </w:lvl>
  </w:abstractNum>
  <w:abstractNum w:abstractNumId="160">
    <w:nsid w:val="368DB37E"/>
    <w:multiLevelType w:val="hybridMultilevel"/>
    <w:lvl w:ilvl="0">
      <w:lvlJc w:val="left"/>
      <w:lvlText w:val="(%1)"/>
      <w:numFmt w:val="decimal"/>
      <w:start w:val="1"/>
    </w:lvl>
  </w:abstractNum>
  <w:abstractNum w:abstractNumId="161">
    <w:nsid w:val="6A3B714C"/>
    <w:multiLevelType w:val="hybridMultilevel"/>
    <w:lvl w:ilvl="0">
      <w:lvlJc w:val="left"/>
      <w:lvlText w:val="(%1)"/>
      <w:numFmt w:val="decimal"/>
      <w:start w:val="1"/>
    </w:lvl>
  </w:abstractNum>
  <w:abstractNum w:abstractNumId="162">
    <w:nsid w:val="327B517E"/>
    <w:multiLevelType w:val="hybridMultilevel"/>
    <w:lvl w:ilvl="0">
      <w:lvlJc w:val="left"/>
      <w:lvlText w:val="(%1)"/>
      <w:numFmt w:val="lowerLetter"/>
      <w:start w:val="1"/>
    </w:lvl>
  </w:abstractNum>
  <w:abstractNum w:abstractNumId="163">
    <w:nsid w:val="1F461B51"/>
    <w:multiLevelType w:val="hybridMultilevel"/>
    <w:lvl w:ilvl="0">
      <w:lvlJc w:val="left"/>
      <w:lvlText w:val="(%1)"/>
      <w:numFmt w:val="decimal"/>
      <w:start w:val="1"/>
    </w:lvl>
  </w:abstractNum>
  <w:abstractNum w:abstractNumId="164">
    <w:nsid w:val="29BACF25"/>
    <w:multiLevelType w:val="hybridMultilevel"/>
    <w:lvl w:ilvl="0">
      <w:lvlJc w:val="left"/>
      <w:lvlText w:val="(%1)"/>
      <w:numFmt w:val="lowerLetter"/>
      <w:start w:val="1"/>
    </w:lvl>
  </w:abstractNum>
  <w:abstractNum w:abstractNumId="165">
    <w:nsid w:val="5D5BABB3"/>
    <w:multiLevelType w:val="hybridMultilevel"/>
    <w:lvl w:ilvl="0">
      <w:lvlJc w:val="left"/>
      <w:lvlText w:val="•"/>
      <w:numFmt w:val="bullet"/>
      <w:start w:val="1"/>
    </w:lvl>
  </w:abstractNum>
  <w:abstractNum w:abstractNumId="166">
    <w:nsid w:val="51BF6B48"/>
    <w:multiLevelType w:val="hybridMultilevel"/>
    <w:lvl w:ilvl="0">
      <w:lvlJc w:val="left"/>
      <w:lvlText w:val="•"/>
      <w:numFmt w:val="bullet"/>
      <w:start w:val="1"/>
    </w:lvl>
  </w:abstractNum>
  <w:abstractNum w:abstractNumId="167">
    <w:nsid w:val="7E0F6384"/>
    <w:multiLevelType w:val="hybridMultilevel"/>
    <w:lvl w:ilvl="0">
      <w:lvlJc w:val="left"/>
      <w:lvlText w:val="•"/>
      <w:numFmt w:val="bullet"/>
      <w:start w:val="1"/>
    </w:lvl>
  </w:abstractNum>
  <w:abstractNum w:abstractNumId="168">
    <w:nsid w:val="2B4B8B53"/>
    <w:multiLevelType w:val="hybridMultilevel"/>
    <w:lvl w:ilvl="0">
      <w:lvlJc w:val="left"/>
      <w:lvlText w:val="•"/>
      <w:numFmt w:val="bullet"/>
      <w:start w:val="1"/>
    </w:lvl>
  </w:abstractNum>
  <w:abstractNum w:abstractNumId="169">
    <w:nsid w:val="72E3413A"/>
    <w:multiLevelType w:val="hybridMultilevel"/>
    <w:lvl w:ilvl="0">
      <w:lvlJc w:val="left"/>
      <w:lvlText w:val="(%1)"/>
      <w:numFmt w:val="lowerRoman"/>
      <w:start w:val="1"/>
    </w:lvl>
  </w:abstractNum>
  <w:abstractNum w:abstractNumId="170">
    <w:nsid w:val="116AE494"/>
    <w:multiLevelType w:val="hybridMultilevel"/>
    <w:lvl w:ilvl="0">
      <w:lvlJc w:val="left"/>
      <w:lvlText w:val="(%1)"/>
      <w:numFmt w:val="lowerRoman"/>
      <w:start w:val="2"/>
    </w:lvl>
  </w:abstractNum>
  <w:abstractNum w:abstractNumId="171">
    <w:nsid w:val="3494B2FB"/>
    <w:multiLevelType w:val="hybridMultilevel"/>
    <w:lvl w:ilvl="0">
      <w:lvlJc w:val="left"/>
      <w:lvlText w:val="•"/>
      <w:numFmt w:val="bullet"/>
      <w:start w:val="1"/>
    </w:lvl>
  </w:abstractNum>
  <w:abstractNum w:abstractNumId="172">
    <w:nsid w:val="B13A31"/>
    <w:multiLevelType w:val="hybridMultilevel"/>
    <w:lvl w:ilvl="0">
      <w:lvlJc w:val="left"/>
      <w:lvlText w:val="(%1)"/>
      <w:numFmt w:val="decimal"/>
      <w:start w:val="1"/>
    </w:lvl>
  </w:abstractNum>
  <w:abstractNum w:abstractNumId="173">
    <w:nsid w:val="64429599"/>
    <w:multiLevelType w:val="hybridMultilevel"/>
    <w:lvl w:ilvl="0">
      <w:lvlJc w:val="left"/>
      <w:lvlText w:val="(%1)"/>
      <w:numFmt w:val="decimal"/>
      <w:start w:val="1"/>
    </w:lvl>
  </w:abstractNum>
  <w:abstractNum w:abstractNumId="174">
    <w:nsid w:val="631F1690"/>
    <w:multiLevelType w:val="hybridMultilevel"/>
    <w:lvl w:ilvl="0">
      <w:lvlJc w:val="left"/>
      <w:lvlText w:val="(%1)"/>
      <w:numFmt w:val="decimal"/>
      <w:start w:val="1"/>
    </w:lvl>
  </w:abstractNum>
  <w:abstractNum w:abstractNumId="175">
    <w:nsid w:val="25973E32"/>
    <w:multiLevelType w:val="hybridMultilevel"/>
    <w:lvl w:ilvl="0">
      <w:lvlJc w:val="left"/>
      <w:lvlText w:val="(%1)"/>
      <w:numFmt w:val="decimal"/>
      <w:start w:val="1"/>
    </w:lvl>
  </w:abstractNum>
  <w:abstractNum w:abstractNumId="176">
    <w:nsid w:val="EAD6F57"/>
    <w:multiLevelType w:val="hybridMultilevel"/>
    <w:lvl w:ilvl="0">
      <w:lvlJc w:val="left"/>
      <w:lvlText w:val="•"/>
      <w:numFmt w:val="bullet"/>
      <w:start w:val="1"/>
    </w:lvl>
    <w:lvl w:ilvl="1">
      <w:lvlJc w:val="left"/>
      <w:lvlText w:val="•"/>
      <w:numFmt w:val="bullet"/>
      <w:start w:val="1"/>
    </w:lvl>
  </w:abstractNum>
  <w:abstractNum w:abstractNumId="177">
    <w:nsid w:val="6EC9D844"/>
    <w:multiLevelType w:val="hybridMultilevel"/>
    <w:lvl w:ilvl="0">
      <w:lvlJc w:val="left"/>
      <w:lvlText w:val="•"/>
      <w:numFmt w:val="bullet"/>
      <w:start w:val="1"/>
    </w:lvl>
  </w:abstractNum>
  <w:abstractNum w:abstractNumId="178">
    <w:nsid w:val="5C49EAEE"/>
    <w:multiLevelType w:val="hybridMultilevel"/>
    <w:lvl w:ilvl="0">
      <w:lvlJc w:val="left"/>
      <w:lvlText w:val="•"/>
      <w:numFmt w:val="bullet"/>
      <w:start w:val="1"/>
    </w:lvl>
  </w:abstractNum>
  <w:abstractNum w:abstractNumId="179">
    <w:nsid w:val="64AF49B"/>
    <w:multiLevelType w:val="hybridMultilevel"/>
    <w:lvl w:ilvl="0">
      <w:lvlJc w:val="left"/>
      <w:lvlText w:val="•"/>
      <w:numFmt w:val="bullet"/>
      <w:start w:val="1"/>
    </w:lvl>
  </w:abstractNum>
  <w:abstractNum w:abstractNumId="180">
    <w:nsid w:val="397C46BC"/>
    <w:multiLevelType w:val="hybridMultilevel"/>
    <w:lvl w:ilvl="0">
      <w:lvlJc w:val="left"/>
      <w:lvlText w:val="•"/>
      <w:numFmt w:val="bullet"/>
      <w:start w:val="1"/>
    </w:lvl>
  </w:abstractNum>
  <w:abstractNum w:abstractNumId="181">
    <w:nsid w:val="7E448DE9"/>
    <w:multiLevelType w:val="hybridMultilevel"/>
    <w:lvl w:ilvl="0">
      <w:lvlJc w:val="left"/>
      <w:lvlText w:val="(%1)"/>
      <w:numFmt w:val="decimal"/>
      <w:start w:val="1"/>
    </w:lvl>
  </w:abstractNum>
  <w:abstractNum w:abstractNumId="182">
    <w:nsid w:val="5A9CC3E5"/>
    <w:multiLevelType w:val="hybridMultilevel"/>
    <w:lvl w:ilvl="0">
      <w:lvlJc w:val="left"/>
      <w:lvlText w:val="(%1)"/>
      <w:numFmt w:val="decimal"/>
      <w:start w:val="1"/>
    </w:lvl>
  </w:abstractNum>
  <w:abstractNum w:abstractNumId="183">
    <w:nsid w:val="1AFE3625"/>
    <w:multiLevelType w:val="hybridMultilevel"/>
    <w:lvl w:ilvl="0">
      <w:lvlJc w:val="left"/>
      <w:lvlText w:val="(%1)"/>
      <w:numFmt w:val="decimal"/>
      <w:start w:val="1"/>
    </w:lvl>
  </w:abstractNum>
  <w:abstractNum w:abstractNumId="184">
    <w:nsid w:val="3CA88ECF"/>
    <w:multiLevelType w:val="hybridMultilevel"/>
    <w:lvl w:ilvl="0">
      <w:lvlJc w:val="left"/>
      <w:lvlText w:val="(%1)"/>
      <w:numFmt w:val="lowerLetter"/>
      <w:start w:val="2"/>
    </w:lvl>
  </w:abstractNum>
  <w:abstractNum w:abstractNumId="185">
    <w:nsid w:val="6EBE4208"/>
    <w:multiLevelType w:val="hybridMultilevel"/>
    <w:lvl w:ilvl="0">
      <w:lvlJc w:val="left"/>
      <w:lvlText w:val="(%1)"/>
      <w:numFmt w:val="lowerLetter"/>
      <w:start w:val="5"/>
    </w:lvl>
  </w:abstractNum>
  <w:abstractNum w:abstractNumId="186">
    <w:nsid w:val="C058DF5"/>
    <w:multiLevelType w:val="hybridMultilevel"/>
    <w:lvl w:ilvl="0">
      <w:lvlJc w:val="left"/>
      <w:lvlText w:val="(%1)"/>
      <w:numFmt w:val="lowerLetter"/>
      <w:start w:val="9"/>
    </w:lvl>
  </w:abstractNum>
  <w:abstractNum w:abstractNumId="187">
    <w:nsid w:val="CBE5BE9"/>
    <w:multiLevelType w:val="hybridMultilevel"/>
    <w:lvl w:ilvl="0">
      <w:lvlJc w:val="left"/>
      <w:lvlText w:val="(%1)"/>
      <w:numFmt w:val="lowerLetter"/>
      <w:start w:val="12"/>
    </w:lvl>
  </w:abstractNum>
  <w:abstractNum w:abstractNumId="188">
    <w:nsid w:val="3102BBE2"/>
    <w:multiLevelType w:val="hybridMultilevel"/>
    <w:lvl w:ilvl="0">
      <w:lvlJc w:val="left"/>
      <w:lvlText w:val="(%1)"/>
      <w:numFmt w:val="lowerLetter"/>
      <w:start w:val="15"/>
    </w:lvl>
  </w:abstractNum>
  <w:abstractNum w:abstractNumId="189">
    <w:nsid w:val="26A02C5E"/>
    <w:multiLevelType w:val="hybridMultilevel"/>
    <w:lvl w:ilvl="0">
      <w:lvlJc w:val="left"/>
      <w:lvlText w:val="(%1)"/>
      <w:numFmt w:val="decimal"/>
      <w:start w:val="1"/>
    </w:lvl>
  </w:abstractNum>
  <w:abstractNum w:abstractNumId="190">
    <w:nsid w:val="541C8153"/>
    <w:multiLevelType w:val="hybridMultilevel"/>
    <w:lvl w:ilvl="0">
      <w:lvlJc w:val="left"/>
      <w:lvlText w:val="(%1)"/>
      <w:numFmt w:val="decimal"/>
      <w:start w:val="1"/>
    </w:lvl>
  </w:abstractNum>
  <w:abstractNum w:abstractNumId="191">
    <w:nsid w:val="67906F60"/>
    <w:multiLevelType w:val="hybridMultilevel"/>
    <w:lvl w:ilvl="0">
      <w:lvlJc w:val="left"/>
      <w:lvlText w:val="(%1)"/>
      <w:numFmt w:val="decimal"/>
      <w:start w:val="1"/>
    </w:lvl>
  </w:abstractNum>
  <w:abstractNum w:abstractNumId="192">
    <w:nsid w:val="10DB9DAA"/>
    <w:multiLevelType w:val="hybridMultilevel"/>
    <w:lvl w:ilvl="0">
      <w:lvlJc w:val="left"/>
      <w:lvlText w:val="(%1)"/>
      <w:numFmt w:val="decimal"/>
      <w:start w:val="1"/>
    </w:lvl>
  </w:abstractNum>
  <w:abstractNum w:abstractNumId="193">
    <w:nsid w:val="697D2D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94">
    <w:nsid w:val="6D68AB2"/>
    <w:multiLevelType w:val="hybridMultilevel"/>
    <w:lvl w:ilvl="0">
      <w:lvlJc w:val="left"/>
      <w:lvlText w:val="%1"/>
      <w:numFmt w:val="decimal"/>
      <w:start w:val="1"/>
    </w:lvl>
    <w:lvl w:ilvl="1">
      <w:lvlJc w:val="left"/>
      <w:lvlText w:val="(%2)"/>
      <w:numFmt w:val="lowerLetter"/>
      <w:start w:val="2"/>
    </w:lvl>
  </w:abstractNum>
  <w:abstractNum w:abstractNumId="195">
    <w:nsid w:val="3A966CD0"/>
    <w:multiLevelType w:val="hybridMultilevel"/>
    <w:lvl w:ilvl="0">
      <w:lvlJc w:val="left"/>
      <w:lvlText w:val="(%1)"/>
      <w:numFmt w:val="decimal"/>
      <w:start w:val="6"/>
    </w:lvl>
    <w:lvl w:ilvl="1">
      <w:lvlJc w:val="left"/>
      <w:lvlText w:val="%2"/>
      <w:numFmt w:val="lowerLetter"/>
      <w:start w:val="1"/>
    </w:lvl>
  </w:abstractNum>
  <w:abstractNum w:abstractNumId="196">
    <w:nsid w:val="63F37E85"/>
    <w:multiLevelType w:val="hybridMultilevel"/>
    <w:lvl w:ilvl="0">
      <w:lvlJc w:val="left"/>
      <w:lvlText w:val="%1."/>
      <w:numFmt w:val="decimal"/>
      <w:start w:val="1"/>
    </w:lvl>
  </w:abstractNum>
  <w:abstractNum w:abstractNumId="197">
    <w:nsid w:val="5895F5FA"/>
    <w:multiLevelType w:val="hybridMultilevel"/>
    <w:lvl w:ilvl="0">
      <w:lvlJc w:val="left"/>
      <w:lvlText w:val="%1."/>
      <w:numFmt w:val="decimal"/>
      <w:start w:val="2"/>
    </w:lvl>
  </w:abstractNum>
  <w:abstractNum w:abstractNumId="198">
    <w:nsid w:val="38A5D054"/>
    <w:multiLevelType w:val="hybridMultilevel"/>
    <w:lvl w:ilvl="0">
      <w:lvlJc w:val="left"/>
      <w:lvlText w:val="%1."/>
      <w:numFmt w:val="decimal"/>
      <w:start w:val="3"/>
    </w:lvl>
  </w:abstractNum>
  <w:abstractNum w:abstractNumId="199">
    <w:nsid w:val="F3F09D8"/>
    <w:multiLevelType w:val="hybridMultilevel"/>
    <w:lvl w:ilvl="0">
      <w:lvlJc w:val="left"/>
      <w:lvlText w:val="•"/>
      <w:numFmt w:val="bullet"/>
      <w:start w:val="1"/>
    </w:lvl>
  </w:abstractNum>
  <w:abstractNum w:abstractNumId="200">
    <w:nsid w:val="4B793735"/>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2019-12-09T01:03:06Z</dcterms:created>
  <dcterms:modified xsi:type="dcterms:W3CDTF">2019-12-09T01:03:06Z</dcterms:modified>
</cp:coreProperties>
</file>