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Waxman Alan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12/10/2012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580" w:type="dxa"/>
            <w:vAlign w:val="bottom"/>
            <w:gridSpan w:val="7"/>
          </w:tcPr>
          <w:p>
            <w:pPr>
              <w:ind w:left="160"/>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920" w:type="dxa"/>
            <w:vAlign w:val="bottom"/>
            <w:gridSpan w:val="10"/>
          </w:tcPr>
          <w:p>
            <w:pPr>
              <w:ind w:left="5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gridSpan w:val="4"/>
          </w:tcPr>
          <w:p>
            <w:pPr>
              <w:ind w:left="56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0" w:type="dxa"/>
            <w:vAlign w:val="bottom"/>
            <w:gridSpan w:val="8"/>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FORT WORTH  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76102</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140" w:type="dxa"/>
            <w:vAlign w:val="bottom"/>
            <w:gridSpan w:val="7"/>
            <w:vMerge w:val="restart"/>
          </w:tcPr>
          <w:p>
            <w:pPr>
              <w:ind w:left="3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1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color w:val="auto"/>
              </w:rPr>
              <w:t>Person</w:t>
            </w: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284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15"/>
          </w:tcPr>
          <w:p>
            <w:pPr>
              <w:jc w:val="center"/>
              <w:ind w:left="18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3"/>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580" w:type="dxa"/>
            <w:vAlign w:val="bottom"/>
            <w:gridSpan w:val="3"/>
            <w:vMerge w:val="restart"/>
          </w:tcPr>
          <w:p>
            <w:pPr>
              <w:jc w:val="right"/>
              <w:ind w:right="158"/>
              <w:spacing w:after="0"/>
              <w:rPr>
                <w:sz w:val="20"/>
                <w:szCs w:val="20"/>
                <w:color w:val="auto"/>
              </w:rPr>
            </w:pPr>
            <w:r>
              <w:rPr>
                <w:rFonts w:ascii="Arial" w:cs="Arial" w:eastAsia="Arial" w:hAnsi="Arial"/>
                <w:sz w:val="18"/>
                <w:szCs w:val="18"/>
                <w:color w:val="0000FF"/>
              </w:rPr>
              <w:t>12/10/2012</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860" w:type="dxa"/>
            <w:vAlign w:val="bottom"/>
            <w:vMerge w:val="restart"/>
          </w:tcPr>
          <w:p>
            <w:pPr>
              <w:ind w:left="200"/>
              <w:spacing w:after="0"/>
              <w:rPr>
                <w:sz w:val="20"/>
                <w:szCs w:val="20"/>
                <w:color w:val="auto"/>
              </w:rPr>
            </w:pPr>
            <w:r>
              <w:rPr>
                <w:rFonts w:ascii="Arial" w:cs="Arial" w:eastAsia="Arial" w:hAnsi="Arial"/>
                <w:sz w:val="18"/>
                <w:szCs w:val="18"/>
                <w:color w:val="0000FF"/>
              </w:rPr>
              <w:t>6,905</w:t>
            </w:r>
          </w:p>
        </w:tc>
        <w:tc>
          <w:tcPr>
            <w:tcW w:w="500" w:type="dxa"/>
            <w:vAlign w:val="bottom"/>
            <w:vMerge w:val="restart"/>
          </w:tcPr>
          <w:p>
            <w:pPr>
              <w:ind w:left="120"/>
              <w:spacing w:after="0"/>
              <w:rPr>
                <w:sz w:val="20"/>
                <w:szCs w:val="20"/>
                <w:color w:val="auto"/>
              </w:rPr>
            </w:pPr>
            <w:r>
              <w:rPr>
                <w:rFonts w:ascii="Arial" w:cs="Arial" w:eastAsia="Arial" w:hAnsi="Arial"/>
                <w:sz w:val="18"/>
                <w:szCs w:val="18"/>
                <w:color w:val="0000FF"/>
              </w:rPr>
              <w:t>A</w:t>
            </w:r>
          </w:p>
        </w:tc>
        <w:tc>
          <w:tcPr>
            <w:tcW w:w="720" w:type="dxa"/>
            <w:vAlign w:val="bottom"/>
            <w:gridSpan w:val="2"/>
            <w:vMerge w:val="restart"/>
          </w:tcPr>
          <w:p>
            <w:pP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1,008.26</w:t>
            </w:r>
          </w:p>
        </w:tc>
        <w:tc>
          <w:tcPr>
            <w:tcW w:w="1300" w:type="dxa"/>
            <w:vAlign w:val="bottom"/>
            <w:gridSpan w:val="3"/>
            <w:vMerge w:val="restart"/>
          </w:tcPr>
          <w:p>
            <w:pPr>
              <w:ind w:left="400"/>
              <w:spacing w:after="0"/>
              <w:rPr>
                <w:sz w:val="20"/>
                <w:szCs w:val="20"/>
                <w:color w:val="auto"/>
              </w:rPr>
            </w:pPr>
            <w:r>
              <w:rPr>
                <w:rFonts w:ascii="Arial" w:cs="Arial" w:eastAsia="Arial" w:hAnsi="Arial"/>
                <w:sz w:val="18"/>
                <w:szCs w:val="18"/>
                <w:color w:val="0000FF"/>
              </w:rPr>
              <w:t>32,332</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4"/>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60" w:type="dxa"/>
            <w:vAlign w:val="bottom"/>
            <w:gridSpan w:val="11"/>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jc w:val="right"/>
              <w:ind w:right="158"/>
              <w:spacing w:after="0"/>
              <w:rPr>
                <w:sz w:val="20"/>
                <w:szCs w:val="20"/>
                <w:color w:val="auto"/>
              </w:rPr>
            </w:pPr>
            <w:r>
              <w:rPr>
                <w:rFonts w:ascii="Arial" w:cs="Arial" w:eastAsia="Arial" w:hAnsi="Arial"/>
                <w:sz w:val="12"/>
                <w:szCs w:val="12"/>
                <w:b w:val="1"/>
                <w:bCs w:val="1"/>
                <w:color w:val="auto"/>
                <w:w w:val="79"/>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jc w:val="right"/>
              <w:ind w:right="138"/>
              <w:spacing w:after="0" w:line="135" w:lineRule="exact"/>
              <w:rPr>
                <w:sz w:val="20"/>
                <w:szCs w:val="20"/>
                <w:color w:val="auto"/>
              </w:rPr>
            </w:pPr>
            <w:r>
              <w:rPr>
                <w:rFonts w:ascii="Arial" w:cs="Arial" w:eastAsia="Arial" w:hAnsi="Arial"/>
                <w:sz w:val="12"/>
                <w:szCs w:val="12"/>
                <w:b w:val="1"/>
                <w:bCs w:val="1"/>
                <w:color w:val="auto"/>
                <w:w w:val="93"/>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TSL Advisers, LLC ("TSL Advisers") directly holds 32,332 shares of Common Stock of the Issuer (the "TSL Shares"), including 1,648 shares of Common Stock of the Issuer indirectly beneficially owned by Mr. Waxman (through his limited partnership interest in TSL Equity Partners, L.P., which is a member of TSL Advisers). In addition, Mr. Waxman is a member of the board of managers of TSL Advisers and therefore may be deemed to beneficially own all of the TSL Shares. Mr. Waxman disclaims beneficial ownership of the TSL Shares except to the extent of his pecuniary interest therein.</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0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Waxman pursuant to the authorization and designation letter dated March 10, 2011, which was previously filed with the Securities and Exchange Commission as an exhibit to a Form 3 filed by Mr. Waxman on March 15, 2011 (SEC File No. 000-54245).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12/12/2012</w:t>
            </w: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Alan Waxman (2)</w:t>
            </w: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132"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2019-12-17T05:37:44Z</dcterms:created>
  <dcterms:modified xsi:type="dcterms:W3CDTF">2019-12-17T05:37:44Z</dcterms:modified>
</cp:coreProperties>
</file>