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p>
    <w:p>
      <w:pPr>
        <w:jc w:val="center"/>
        <w:ind w:right="-83"/>
        <w:spacing w:after="0"/>
        <w:rPr>
          <w:sz w:val="20"/>
          <w:szCs w:val="20"/>
          <w:color w:val="auto"/>
        </w:rPr>
      </w:pPr>
      <w:r>
        <w:rPr>
          <w:rFonts w:ascii="Arial" w:cs="Arial" w:eastAsia="Arial" w:hAnsi="Arial"/>
          <w:sz w:val="19"/>
          <w:szCs w:val="19"/>
          <w:b w:val="1"/>
          <w:bCs w:val="1"/>
          <w:color w:val="auto"/>
        </w:rPr>
        <w:t>SECURITIES AND EXCHANGE COMMISSION</w:t>
      </w:r>
    </w:p>
    <w:p>
      <w:pPr>
        <w:spacing w:after="0" w:line="2"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83"/>
        <w:spacing w:after="0"/>
        <w:rPr>
          <w:sz w:val="20"/>
          <w:szCs w:val="20"/>
          <w:color w:val="auto"/>
        </w:rPr>
      </w:pPr>
      <w:r>
        <w:rPr>
          <w:rFonts w:ascii="Arial" w:cs="Arial" w:eastAsia="Arial" w:hAnsi="Arial"/>
          <w:sz w:val="19"/>
          <w:szCs w:val="19"/>
          <w:b w:val="1"/>
          <w:bCs w:val="1"/>
          <w:color w:val="auto"/>
        </w:rPr>
        <w:t>SCHEDULE 14A</w:t>
      </w:r>
    </w:p>
    <w:p>
      <w:pPr>
        <w:spacing w:after="0" w:line="24"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(RULE 14a-101)</w:t>
      </w:r>
    </w:p>
    <w:p>
      <w:pPr>
        <w:spacing w:after="0" w:line="182"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25"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SCHEDULE 14A INFORMATION</w:t>
      </w:r>
    </w:p>
    <w:p>
      <w:pPr>
        <w:spacing w:after="0" w:line="184"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Securities Exchange Act of 1934</w:t>
      </w:r>
    </w:p>
    <w:p>
      <w:pPr>
        <w:spacing w:after="0" w:line="158" w:lineRule="exact"/>
        <w:rPr>
          <w:sz w:val="24"/>
          <w:szCs w:val="24"/>
          <w:color w:val="auto"/>
        </w:rPr>
      </w:pPr>
    </w:p>
    <w:p>
      <w:pPr>
        <w:ind w:left="4"/>
        <w:spacing w:after="0" w:line="184" w:lineRule="exact"/>
        <w:tabs>
          <w:tab w:leader="none" w:pos="1724"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8"/>
          <w:szCs w:val="18"/>
          <w:color w:val="auto"/>
        </w:rPr>
        <w:t>☒</w:t>
      </w:r>
    </w:p>
    <w:p>
      <w:pPr>
        <w:spacing w:after="0" w:line="88" w:lineRule="exact"/>
        <w:rPr>
          <w:sz w:val="24"/>
          <w:szCs w:val="24"/>
          <w:color w:val="auto"/>
        </w:rPr>
      </w:pPr>
    </w:p>
    <w:p>
      <w:pPr>
        <w:ind w:left="4"/>
        <w:spacing w:after="0" w:line="219" w:lineRule="exact"/>
        <w:rPr>
          <w:sz w:val="20"/>
          <w:szCs w:val="20"/>
          <w:color w:val="auto"/>
        </w:rPr>
      </w:pPr>
      <w:r>
        <w:rPr>
          <w:rFonts w:ascii="Arial" w:cs="Arial" w:eastAsia="Arial" w:hAnsi="Arial"/>
          <w:sz w:val="16"/>
          <w:szCs w:val="16"/>
          <w:color w:val="auto"/>
        </w:rPr>
        <w:t>Filed by a Party other than the Registrant</w:t>
      </w:r>
      <w:r>
        <w:rPr>
          <w:rFonts w:ascii="MS PGothic" w:cs="MS PGothic" w:eastAsia="MS PGothic" w:hAnsi="MS PGothic"/>
          <w:sz w:val="19"/>
          <w:szCs w:val="19"/>
          <w:color w:val="auto"/>
        </w:rPr>
        <w:t>☐</w:t>
      </w:r>
    </w:p>
    <w:p>
      <w:pPr>
        <w:spacing w:after="0" w:line="188"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71" w:lineRule="exact"/>
        <w:rPr>
          <w:sz w:val="24"/>
          <w:szCs w:val="24"/>
          <w:color w:val="auto"/>
        </w:rPr>
      </w:pPr>
    </w:p>
    <w:p>
      <w:pPr>
        <w:ind w:left="4"/>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color w:val="auto"/>
        </w:rPr>
        <w:t>Preliminary Proxy Statement</w:t>
      </w:r>
    </w:p>
    <w:p>
      <w:pPr>
        <w:spacing w:after="0" w:line="71"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9"/>
          <w:szCs w:val="19"/>
          <w:color w:val="auto"/>
        </w:rPr>
      </w:pPr>
      <w:r>
        <w:rPr>
          <w:rFonts w:ascii="Arial" w:cs="Arial" w:eastAsia="Arial" w:hAnsi="Arial"/>
          <w:sz w:val="16"/>
          <w:szCs w:val="16"/>
          <w:b w:val="1"/>
          <w:bCs w:val="1"/>
          <w:color w:val="auto"/>
        </w:rPr>
        <w:t>Confidential, for Use of the Commission Only (as permitted by Rule 14a-6(e)(2))</w:t>
      </w:r>
    </w:p>
    <w:p>
      <w:pPr>
        <w:spacing w:after="0" w:line="41" w:lineRule="exact"/>
        <w:rPr>
          <w:rFonts w:ascii="MS PGothic" w:cs="MS PGothic" w:eastAsia="MS PGothic" w:hAnsi="MS PGothic"/>
          <w:sz w:val="19"/>
          <w:szCs w:val="19"/>
          <w:color w:val="auto"/>
        </w:rPr>
      </w:pPr>
    </w:p>
    <w:p>
      <w:pPr>
        <w:ind w:left="204" w:hanging="204"/>
        <w:spacing w:after="0"/>
        <w:tabs>
          <w:tab w:leader="none" w:pos="204"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Definitive Proxy Statement</w:t>
      </w:r>
    </w:p>
    <w:p>
      <w:pPr>
        <w:spacing w:after="0" w:line="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9"/>
          <w:szCs w:val="19"/>
          <w:color w:val="auto"/>
        </w:rPr>
      </w:pPr>
      <w:r>
        <w:rPr>
          <w:rFonts w:ascii="Arial" w:cs="Arial" w:eastAsia="Arial" w:hAnsi="Arial"/>
          <w:sz w:val="16"/>
          <w:szCs w:val="16"/>
          <w:color w:val="auto"/>
        </w:rPr>
        <w:t>Definitive Additional Materials</w:t>
      </w:r>
    </w:p>
    <w:p>
      <w:pPr>
        <w:spacing w:after="0" w:line="31"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9"/>
          <w:szCs w:val="19"/>
          <w:color w:val="auto"/>
        </w:rPr>
      </w:pPr>
      <w:r>
        <w:rPr>
          <w:rFonts w:ascii="Arial" w:cs="Arial" w:eastAsia="Arial" w:hAnsi="Arial"/>
          <w:sz w:val="16"/>
          <w:szCs w:val="16"/>
          <w:color w:val="auto"/>
        </w:rPr>
        <w:t>Soliciting Material Pursuant to §240.14a-12</w:t>
      </w:r>
    </w:p>
    <w:p>
      <w:pPr>
        <w:spacing w:after="0" w:line="183"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52" w:lineRule="exact"/>
        <w:rPr>
          <w:sz w:val="24"/>
          <w:szCs w:val="24"/>
          <w:color w:val="auto"/>
        </w:rPr>
      </w:pPr>
    </w:p>
    <w:p>
      <w:pPr>
        <w:jc w:val="center"/>
        <w:ind w:right="-83"/>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37" w:lineRule="exact"/>
        <w:rPr>
          <w:sz w:val="24"/>
          <w:szCs w:val="24"/>
          <w:color w:val="auto"/>
        </w:rPr>
      </w:pPr>
    </w:p>
    <w:p>
      <w:pPr>
        <w:jc w:val="center"/>
        <w:ind w:right="-83"/>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36" w:lineRule="exact"/>
        <w:rPr>
          <w:sz w:val="24"/>
          <w:szCs w:val="24"/>
          <w:color w:val="auto"/>
        </w:rPr>
      </w:pPr>
    </w:p>
    <w:p>
      <w:pPr>
        <w:ind w:left="524" w:hanging="524"/>
        <w:spacing w:after="0"/>
        <w:tabs>
          <w:tab w:leader="none" w:pos="524" w:val="left"/>
        </w:tabs>
        <w:numPr>
          <w:ilvl w:val="0"/>
          <w:numId w:val="4"/>
        </w:numPr>
        <w:rPr>
          <w:rFonts w:ascii="MS PGothic" w:cs="MS PGothic" w:eastAsia="MS PGothic" w:hAnsi="MS PGothic"/>
          <w:sz w:val="19"/>
          <w:szCs w:val="19"/>
          <w:color w:val="auto"/>
        </w:rPr>
      </w:pPr>
      <w:r>
        <w:rPr>
          <w:rFonts w:ascii="Arial" w:cs="Arial" w:eastAsia="Arial" w:hAnsi="Arial"/>
          <w:sz w:val="16"/>
          <w:szCs w:val="16"/>
          <w:color w:val="auto"/>
        </w:rPr>
        <w:t>No fee required.</w:t>
      </w:r>
    </w:p>
    <w:p>
      <w:pPr>
        <w:spacing w:after="0" w:line="22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9"/>
          <w:szCs w:val="19"/>
          <w:color w:val="auto"/>
        </w:rPr>
      </w:pPr>
      <w:r>
        <w:rPr>
          <w:rFonts w:ascii="Arial" w:cs="Arial" w:eastAsia="Arial" w:hAnsi="Arial"/>
          <w:sz w:val="16"/>
          <w:szCs w:val="16"/>
          <w:color w:val="auto"/>
        </w:rPr>
        <w:t>Fee computed on table below per Exchange Act Rules 14a-6(i)(1) and 0-11.</w:t>
      </w:r>
    </w:p>
    <w:p>
      <w:pPr>
        <w:spacing w:after="0" w:line="211" w:lineRule="exact"/>
        <w:rPr>
          <w:rFonts w:ascii="MS PGothic" w:cs="MS PGothic" w:eastAsia="MS PGothic" w:hAnsi="MS PGothic"/>
          <w:sz w:val="19"/>
          <w:szCs w:val="19"/>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right="360" w:hanging="787"/>
        <w:spacing w:after="0" w:line="277" w:lineRule="auto"/>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56"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9" w:lineRule="exact"/>
        <w:rPr>
          <w:rFonts w:ascii="Arial" w:cs="Arial" w:eastAsia="Arial" w:hAnsi="Arial"/>
          <w:sz w:val="16"/>
          <w:szCs w:val="16"/>
          <w:color w:val="auto"/>
        </w:rPr>
      </w:pPr>
    </w:p>
    <w:p>
      <w:pPr>
        <w:ind w:left="704" w:hanging="704"/>
        <w:spacing w:after="0"/>
        <w:tabs>
          <w:tab w:leader="none" w:pos="704" w:val="left"/>
        </w:tabs>
        <w:numPr>
          <w:ilvl w:val="0"/>
          <w:numId w:val="5"/>
        </w:numPr>
        <w:rPr>
          <w:rFonts w:ascii="MS PGothic" w:cs="MS PGothic" w:eastAsia="MS PGothic" w:hAnsi="MS PGothic"/>
          <w:sz w:val="38"/>
          <w:szCs w:val="38"/>
          <w:color w:val="auto"/>
          <w:vertAlign w:val="subscript"/>
        </w:rPr>
      </w:pPr>
      <w:r>
        <w:rPr>
          <w:rFonts w:ascii="Arial" w:cs="Arial" w:eastAsia="Arial" w:hAnsi="Arial"/>
          <w:sz w:val="16"/>
          <w:szCs w:val="16"/>
          <w:color w:val="auto"/>
        </w:rPr>
        <w:t>Fee paid previously with preliminary materials.</w:t>
      </w:r>
    </w:p>
    <w:p>
      <w:pPr>
        <w:spacing w:after="0" w:line="215" w:lineRule="exact"/>
        <w:rPr>
          <w:rFonts w:ascii="MS PGothic" w:cs="MS PGothic" w:eastAsia="MS PGothic" w:hAnsi="MS PGothic"/>
          <w:sz w:val="38"/>
          <w:szCs w:val="38"/>
          <w:color w:val="auto"/>
          <w:vertAlign w:val="subscript"/>
        </w:rPr>
      </w:pPr>
    </w:p>
    <w:p>
      <w:pPr>
        <w:ind w:left="864" w:hanging="864"/>
        <w:spacing w:after="0" w:line="182" w:lineRule="auto"/>
        <w:tabs>
          <w:tab w:leader="none" w:pos="704" w:val="left"/>
        </w:tabs>
        <w:numPr>
          <w:ilvl w:val="0"/>
          <w:numId w:val="5"/>
        </w:numPr>
        <w:rPr>
          <w:rFonts w:ascii="MS PGothic" w:cs="MS PGothic" w:eastAsia="MS PGothic" w:hAnsi="MS PGothic"/>
          <w:sz w:val="35"/>
          <w:szCs w:val="35"/>
          <w:color w:val="auto"/>
          <w:vertAlign w:val="subscript"/>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rFonts w:ascii="MS PGothic" w:cs="MS PGothic" w:eastAsia="MS PGothic" w:hAnsi="MS PGothic"/>
          <w:sz w:val="35"/>
          <w:szCs w:val="35"/>
          <w:color w:val="auto"/>
          <w:vertAlign w:val="subscript"/>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2618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-489585</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-863600</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-1870075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-2244090</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-2618105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-3113405</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-3487420</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4"/>
          </w:cols>
          <w:pgMar w:left="236" w:top="211"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2019-12-07T14:18:23Z</dcterms:created>
  <dcterms:modified xsi:type="dcterms:W3CDTF">2019-12-07T14:18:23Z</dcterms:modified>
</cp:coreProperties>
</file>