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40"/>
        <w:jc w:val="left"/>
        <w:rPr/>
      </w:pPr>
      <w:hyperlink w:anchor="toc">
        <w:bookmarkStart w:id="0" w:name="d451583d424b2.htm"/>
        <w:bookmarkStart w:id="1" w:name="ksd451583d424b2"/>
        <w:bookmarkEnd w:id="0"/>
        <w:bookmarkEnd w:id="1"/>
        <w:r>
          <w:rPr>
            <w:rStyle w:val="InternetLink"/>
            <w:b/>
            <w:sz w:val="20"/>
          </w:rPr>
          <w:t>Table of Contents</w:t>
        </w:r>
      </w:hyperlink>
    </w:p>
    <w:p>
      <w:pPr>
        <w:pStyle w:val="TextBody"/>
        <w:bidi w:val="0"/>
        <w:spacing w:before="0" w:after="0"/>
        <w:ind w:left="0" w:right="0" w:hanging="0"/>
        <w:jc w:val="right"/>
        <w:rPr>
          <w:rFonts w:ascii="Times New Roman" w:hAnsi="Times New Roman"/>
          <w:b/>
          <w:spacing w:val="0"/>
          <w:sz w:val="20"/>
        </w:rPr>
      </w:pPr>
      <w:r>
        <w:rPr>
          <w:rFonts w:ascii="Times New Roman" w:hAnsi="Times New Roman"/>
          <w:b/>
          <w:spacing w:val="0"/>
          <w:sz w:val="20"/>
        </w:rPr>
        <w:t xml:space="preserve">Filed Pursuant to Rule 424(b)(2) </w:t>
        <w:br/>
        <w:t xml:space="preserve">Registration No. 333-269222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PROSPECTUS SUPPLEMENT </w:t>
      </w: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(To Prospectus dated January 13, 2023) </w:t>
      </w:r>
    </w:p>
    <w:p>
      <w:pPr>
        <w:pStyle w:val="TextBody"/>
        <w:bidi w:val="0"/>
        <w:spacing w:before="240" w:after="0"/>
        <w:ind w:left="0" w:right="0" w:hanging="0"/>
        <w:jc w:val="center"/>
        <w:rPr>
          <w:rFonts w:ascii="Times New Roman" w:hAnsi="Times New Roman"/>
          <w:b/>
          <w:spacing w:val="0"/>
          <w:sz w:val="36"/>
        </w:rPr>
      </w:pPr>
      <w:r>
        <w:rPr>
          <w:rFonts w:ascii="Times New Roman" w:hAnsi="Times New Roman"/>
          <w:b/>
          <w:spacing w:val="0"/>
          <w:sz w:val="36"/>
        </w:rPr>
        <w:t xml:space="preserve">4,500,000 Shares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color w:val="FF0000"/>
          <w:spacing w:val="0"/>
        </w:rPr>
      </w:pPr>
      <w:r>
        <w:rPr>
          <w:color w:val="FF0000"/>
          <w:spacing w:val="0"/>
        </w:rPr>
        <w:drawing>
          <wp:inline distT="0" distB="0" distL="0" distR="0">
            <wp:extent cx="15621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485775"/>
                    </a:xfrm>
                    <a:prstGeom prst="rect">
                      <a:avLst/>
                    </a:prstGeom>
                  </pic:spPr>
                </pic:pic>
              </a:graphicData>
            </a:graphic>
          </wp:inline>
        </w:drawing>
      </w:r>
    </w:p>
    <w:p>
      <w:pPr>
        <w:pStyle w:val="TextBody"/>
        <w:bidi w:val="0"/>
        <w:spacing w:before="240" w:after="0"/>
        <w:ind w:left="0" w:right="0" w:hanging="0"/>
        <w:jc w:val="center"/>
        <w:rPr>
          <w:rFonts w:ascii="Times New Roman" w:hAnsi="Times New Roman"/>
          <w:b/>
          <w:spacing w:val="0"/>
          <w:sz w:val="28"/>
        </w:rPr>
      </w:pPr>
      <w:r>
        <w:rPr>
          <w:rFonts w:ascii="Times New Roman" w:hAnsi="Times New Roman"/>
          <w:b/>
          <w:spacing w:val="0"/>
          <w:sz w:val="28"/>
        </w:rPr>
        <w:t xml:space="preserve">Common Stock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80" w:after="0"/>
        <w:jc w:val="left"/>
        <w:rPr>
          <w:rFonts w:ascii="Times New Roman" w:hAnsi="Times New Roman"/>
          <w:sz w:val="20"/>
        </w:rPr>
      </w:pPr>
      <w:r>
        <w:rPr>
          <w:rFonts w:ascii="Times New Roman" w:hAnsi="Times New Roman"/>
          <w:sz w:val="20"/>
        </w:rPr>
        <w:t xml:space="preserve">We are offering for sale 4,500,000 shares of our common stock. We have also granted the underwriters a </w:t>
      </w:r>
    </w:p>
    <w:p>
      <w:pPr>
        <w:pStyle w:val="TextBody"/>
        <w:bidi w:val="0"/>
        <w:spacing w:before="28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80" w:after="0"/>
        <w:jc w:val="left"/>
        <w:rPr>
          <w:rFonts w:ascii="Times New Roman" w:hAnsi="Times New Roman"/>
          <w:sz w:val="20"/>
        </w:rPr>
      </w:pPr>
      <w:r>
        <w:rPr>
          <w:rFonts w:ascii="Times New Roman" w:hAnsi="Times New Roman"/>
          <w:sz w:val="20"/>
        </w:rPr>
        <w:t xml:space="preserve">option to purchase up to 675,000 additional shares of our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2023, our investment portfolio consisted of investments in 127 portfolio companies (including 44 structured credit investments, which include each series of collateralized loan obligation as a separate portfolio company investment) with an aggregate fair value of $2,918.6 million. We intend to continue to pursue an investment strategy focused primarily on direct origination of loans to middle-market companies domiciled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are an externally managed,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closed-end,</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non-diversified</w:t>
      </w:r>
    </w:p>
    <w:p>
      <w:pPr>
        <w:pStyle w:val="TextBody"/>
        <w:bidi w:val="0"/>
        <w:spacing w:before="240" w:after="0"/>
        <w:jc w:val="left"/>
        <w:rPr>
          <w:rFonts w:ascii="Times New Roman" w:hAnsi="Times New Roman"/>
          <w:sz w:val="20"/>
        </w:rPr>
      </w:pPr>
      <w:r>
        <w:rPr>
          <w:rFonts w:ascii="Times New Roman" w:hAnsi="Times New Roman"/>
          <w:sz w:val="20"/>
        </w:rPr>
        <w:t xml:space="preserve">management investment company. Sixth Street Specialty Lending Advisers, LLC, or the Adviser, acts as our investment adviser and administrator. We and the Adviser are part of Sixth Street Partners, LLC, a global investment firm with over $65 billion in assets under management as of March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BBB-</w:t>
      </w:r>
    </w:p>
    <w:p>
      <w:pPr>
        <w:pStyle w:val="TextBody"/>
        <w:bidi w:val="0"/>
        <w:spacing w:before="240" w:after="0"/>
        <w:jc w:val="left"/>
        <w:rPr>
          <w:rFonts w:ascii="Times New Roman" w:hAnsi="Times New Roman"/>
          <w:sz w:val="20"/>
        </w:rPr>
      </w:pPr>
      <w:r>
        <w:rPr>
          <w:rFonts w:ascii="Times New Roman" w:hAnsi="Times New Roman"/>
          <w:sz w:val="20"/>
        </w:rPr>
        <w:t xml:space="preserve">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Substantially all of our debt investments have variable interest rates that reset periodically based on interest rate benchmarks such as the London Interbank Offered Rate, the Euro Interbank Offered Rate, the Canadian Dollar Offered Rate, the Secured Overnight Financing Rate,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common stock is traded on the New York Stock Exchange, or NYSE, under the symbol “TSLX.” On May 9, 2023, the last reported sales price of our common stock on the NYSE was $18.19 per share. The net asset value per share of our common stock at March 31, 2023 (the last date prior to the date of this prospectus supplement for which we reported net asset value) was $16.59.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80" w:after="0"/>
        <w:jc w:val="left"/>
        <w:rPr/>
      </w:pPr>
      <w:r>
        <w:rPr>
          <w:rFonts w:ascii="Times New Roman" w:hAnsi="Times New Roman"/>
          <w:b/>
          <w:sz w:val="24"/>
        </w:rPr>
        <w:t>Investing in our common stock involves risks, including the risk of leverage, that are described in the “</w:t>
      </w:r>
      <w:hyperlink w:anchor="supp451583_4">
        <w:r>
          <w:rPr>
            <w:rStyle w:val="InternetLink"/>
            <w:rFonts w:ascii="Times New Roman" w:hAnsi="Times New Roman"/>
            <w:b/>
            <w:sz w:val="24"/>
          </w:rPr>
          <w:t>Risk Factors</w:t>
        </w:r>
      </w:hyperlink>
      <w:r>
        <w:rPr>
          <w:rFonts w:ascii="Times New Roman" w:hAnsi="Times New Roman"/>
          <w:b/>
          <w:sz w:val="24"/>
        </w:rPr>
        <w:t xml:space="preserve">” section beginning on page </w:t>
      </w:r>
    </w:p>
    <w:p>
      <w:pPr>
        <w:pStyle w:val="TextBody"/>
        <w:bidi w:val="0"/>
        <w:spacing w:before="280" w:after="0"/>
        <w:jc w:val="left"/>
        <w:rPr>
          <w:rFonts w:ascii="Times New Roman" w:hAnsi="Times New Roman"/>
          <w:b/>
          <w:spacing w:val="0"/>
          <w:sz w:val="24"/>
        </w:rPr>
      </w:pPr>
      <w:r>
        <w:rPr>
          <w:rFonts w:ascii="Times New Roman" w:hAnsi="Times New Roman"/>
          <w:b/>
          <w:spacing w:val="0"/>
          <w:sz w:val="24"/>
        </w:rPr>
        <w:t>S-6</w:t>
      </w:r>
    </w:p>
    <w:p>
      <w:pPr>
        <w:pStyle w:val="TextBody"/>
        <w:bidi w:val="0"/>
        <w:spacing w:before="280" w:after="0"/>
        <w:jc w:val="left"/>
        <w:rPr>
          <w:rFonts w:ascii="Times New Roman" w:hAnsi="Times New Roman"/>
          <w:b/>
          <w:sz w:val="24"/>
        </w:rPr>
      </w:pPr>
      <w:r>
        <w:rPr>
          <w:rFonts w:ascii="Times New Roman" w:hAnsi="Times New Roman"/>
          <w:b/>
          <w:sz w:val="24"/>
        </w:rPr>
        <w:t xml:space="preserve">of this prospectus supplement and page 22 of the accompanying prospectus and the matters discussed in the documents incorporated or deemed to be incorporated by reference in this prospectus supplement and the accompanying prospectus.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80" w:after="0"/>
        <w:jc w:val="left"/>
        <w:rPr>
          <w:rFonts w:ascii="Times New Roman" w:hAnsi="Times New Roman"/>
          <w:spacing w:val="0"/>
          <w:sz w:val="20"/>
        </w:rPr>
      </w:pPr>
      <w:r>
        <w:rPr>
          <w:rFonts w:ascii="Times New Roman" w:hAnsi="Times New Roman"/>
          <w:spacing w:val="0"/>
          <w:sz w:val="20"/>
        </w:rPr>
        <w:t xml:space="preserve">The underwriters have agreed to purchase our common stock from us at a price of $17.33 per share, which will result in approximately $77.5 million of net proceeds to us after deducting offering expenses. The underwriters propose to offer the shares of common stock from time to time for sale in negotiated transactions or otherwise, at market prices prevailing at the time of sale, at prices related to such prevailing market prices or at negotiated prices. See “Underwriting.” </w:t>
      </w:r>
    </w:p>
    <w:p>
      <w:pPr>
        <w:pStyle w:val="TextBody"/>
        <w:widowControl/>
        <w:bidi w:val="0"/>
        <w:spacing w:before="24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have also granted the underwriters an option to purchase up to an additional 675,000 shares from us at the public offering price, less the underwriting discount, within 30 days of the date of this prospectus supplement. If the underwriters exercise this option in full, the total public offering price will be $91.1 million, the total underwriting discount (sales load) paid by us will be $1.4 million, and total proceeds, before expenses, will be approximately $89.7 million.</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shares will be ready for delivery on or about May 15, 2023.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80" w:after="0"/>
        <w:ind w:left="0" w:right="0" w:hanging="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Joint Book-Running Managers </w:t>
      </w:r>
    </w:p>
    <w:p>
      <w:pPr>
        <w:pStyle w:val="TextBody"/>
        <w:bidi w:val="0"/>
        <w:spacing w:before="0" w:after="0"/>
        <w:ind w:left="0" w:right="0" w:hanging="0"/>
        <w:jc w:val="left"/>
        <w:rPr>
          <w:spacing w:val="0"/>
        </w:rPr>
      </w:pPr>
      <w:r>
        <w:rPr>
          <w:spacing w:val="0"/>
        </w:rPr>
        <w:t> </w:t>
      </w:r>
    </w:p>
    <w:tbl>
      <w:tblPr>
        <w:tblW w:w="5805" w:type="dxa"/>
        <w:jc w:val="left"/>
        <w:tblInd w:w="0" w:type="dxa"/>
        <w:tblLayout w:type="fixed"/>
        <w:tblCellMar>
          <w:top w:w="0" w:type="dxa"/>
          <w:left w:w="0" w:type="dxa"/>
          <w:bottom w:w="0" w:type="dxa"/>
          <w:right w:w="0" w:type="dxa"/>
        </w:tblCellMar>
      </w:tblPr>
      <w:tblGrid>
        <w:gridCol w:w="2300"/>
        <w:gridCol w:w="60"/>
        <w:gridCol w:w="1655"/>
        <w:gridCol w:w="60"/>
        <w:gridCol w:w="60"/>
        <w:gridCol w:w="1595"/>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b/>
                <w:spacing w:val="0"/>
              </w:rPr>
            </w:pPr>
            <w:r>
              <w:rPr>
                <w:b/>
                <w:spacing w:val="0"/>
              </w:rPr>
              <w:t>Wells Fargo Securities</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center"/>
              <w:rPr>
                <w:b/>
                <w:spacing w:val="0"/>
              </w:rPr>
            </w:pPr>
            <w:r>
              <w:rPr>
                <w:b/>
                <w:spacing w:val="0"/>
              </w:rPr>
              <w:t>Morgan Stanley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595" w:type="dxa"/>
            <w:tcBorders/>
            <w:vAlign w:val="center"/>
          </w:tcPr>
          <w:p>
            <w:pPr>
              <w:pStyle w:val="TableContents"/>
              <w:bidi w:val="0"/>
              <w:spacing w:before="0" w:after="0"/>
              <w:jc w:val="right"/>
              <w:rPr>
                <w:b/>
                <w:spacing w:val="0"/>
              </w:rPr>
            </w:pPr>
            <w:r>
              <w:rPr>
                <w:b/>
                <w:spacing w:val="0"/>
              </w:rPr>
              <w:t>BofA Securities</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6420" w:type="dxa"/>
        <w:jc w:val="left"/>
        <w:tblInd w:w="0" w:type="dxa"/>
        <w:tblLayout w:type="fixed"/>
        <w:tblCellMar>
          <w:top w:w="0" w:type="dxa"/>
          <w:left w:w="0" w:type="dxa"/>
          <w:bottom w:w="0" w:type="dxa"/>
          <w:right w:w="0" w:type="dxa"/>
        </w:tblCellMar>
      </w:tblPr>
      <w:tblGrid>
        <w:gridCol w:w="2285"/>
        <w:gridCol w:w="60"/>
        <w:gridCol w:w="2285"/>
        <w:gridCol w:w="60"/>
        <w:gridCol w:w="173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b/>
                <w:spacing w:val="0"/>
              </w:rPr>
            </w:pPr>
            <w:r>
              <w:rPr>
                <w:b/>
                <w:spacing w:val="0"/>
              </w:rPr>
              <w:t>RBC Capital Markets</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Keefe, Bruyette &amp; Woods,      </w:t>
            </w:r>
          </w:p>
          <w:p>
            <w:pPr>
              <w:pStyle w:val="TableContents"/>
              <w:bidi w:val="0"/>
              <w:spacing w:before="0" w:after="20"/>
              <w:jc w:val="center"/>
              <w:rPr>
                <w:caps w:val="false"/>
                <w:smallCaps w:val="false"/>
                <w:spacing w:val="0"/>
              </w:rPr>
            </w:pPr>
            <w:r>
              <w:rPr>
                <w:caps w:val="false"/>
                <w:smallCaps w:val="false"/>
                <w:spacing w:val="0"/>
              </w:rPr>
              <w:t>               </w:t>
            </w:r>
            <w:r>
              <w:rPr>
                <w:rFonts w:ascii="Times New Roman" w:hAnsi="Times New Roman"/>
                <w:b/>
                <w:i/>
                <w:caps w:val="false"/>
                <w:smallCaps w:val="false"/>
                <w:spacing w:val="0"/>
                <w:sz w:val="18"/>
              </w:rPr>
              <w:t>A Stifel Company</w:t>
            </w:r>
          </w:p>
          <w:p>
            <w:pPr>
              <w:pStyle w:val="TableContents"/>
              <w:bidi w:val="0"/>
              <w:spacing w:before="0" w:after="2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right"/>
              <w:rPr>
                <w:b/>
                <w:spacing w:val="0"/>
              </w:rPr>
            </w:pPr>
            <w:r>
              <w:rPr>
                <w:b/>
                <w:spacing w:val="0"/>
              </w:rPr>
              <w:t>Raymond James</w:t>
            </w:r>
          </w:p>
        </w:tc>
      </w:tr>
    </w:tbl>
    <w:p>
      <w:pPr>
        <w:pStyle w:val="TextBody"/>
        <w:bidi w:val="0"/>
        <w:spacing w:before="0" w:after="0"/>
        <w:ind w:left="0" w:right="0" w:hanging="0"/>
        <w:jc w:val="left"/>
        <w:rPr>
          <w:spacing w:val="0"/>
        </w:rPr>
      </w:pPr>
      <w:r>
        <w:rPr>
          <w:spacing w:val="0"/>
        </w:rPr>
        <w:t> </w:t>
      </w:r>
    </w:p>
    <w:tbl>
      <w:tblPr>
        <w:tblW w:w="4240" w:type="dxa"/>
        <w:jc w:val="left"/>
        <w:tblInd w:w="0" w:type="dxa"/>
        <w:tblLayout w:type="fixed"/>
        <w:tblCellMar>
          <w:top w:w="0" w:type="dxa"/>
          <w:left w:w="0" w:type="dxa"/>
          <w:bottom w:w="0" w:type="dxa"/>
          <w:right w:w="0" w:type="dxa"/>
        </w:tblCellMar>
      </w:tblPr>
      <w:tblGrid>
        <w:gridCol w:w="2870"/>
        <w:gridCol w:w="60"/>
        <w:gridCol w:w="1310"/>
      </w:tblGrid>
      <w:tr>
        <w:trPr/>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center"/>
              <w:rPr>
                <w:b/>
                <w:spacing w:val="0"/>
              </w:rPr>
            </w:pPr>
            <w:r>
              <w:rPr>
                <w:b/>
                <w:spacing w:val="0"/>
              </w:rPr>
              <w:t>Goldman Sachs &amp; Co. LLC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spacing w:val="0"/>
              </w:rPr>
            </w:pPr>
            <w:r>
              <w:rPr>
                <w:b/>
                <w:spacing w:val="0"/>
              </w:rPr>
              <w:t>J.P. Morgan</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The date of this prospectus supplement is May 10, 2023. </w:t>
      </w:r>
    </w:p>
    <w:p>
      <w:pPr>
        <w:pStyle w:val="TextBody"/>
        <w:bidi w:val="0"/>
        <w:spacing w:before="0" w:after="0"/>
        <w:ind w:left="0" w:right="0" w:hanging="0"/>
        <w:jc w:val="left"/>
        <w:rPr>
          <w:spacing w:val="0"/>
        </w:rPr>
      </w:pPr>
      <w:r>
        <w:rPr>
          <w:spacing w:val="0"/>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Prospectus Supplement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TABLE OF CONTENTS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6490" w:type="dxa"/>
        <w:jc w:val="left"/>
        <w:tblInd w:w="0" w:type="dxa"/>
        <w:tblLayout w:type="fixed"/>
        <w:tblCellMar>
          <w:top w:w="0" w:type="dxa"/>
          <w:left w:w="0" w:type="dxa"/>
          <w:bottom w:w="0" w:type="dxa"/>
          <w:right w:w="0" w:type="dxa"/>
        </w:tblCellMar>
      </w:tblPr>
      <w:tblGrid>
        <w:gridCol w:w="5765"/>
        <w:gridCol w:w="120"/>
        <w:gridCol w:w="60"/>
        <w:gridCol w:w="470"/>
        <w:gridCol w:w="75"/>
      </w:tblGrid>
      <w:tr>
        <w:trPr/>
        <w:tc>
          <w:tcPr>
            <w:tcW w:w="5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30"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1">
              <w:r>
                <w:rPr>
                  <w:rStyle w:val="InternetLink"/>
                  <w:rFonts w:ascii="Times New Roman" w:hAnsi="Times New Roman"/>
                  <w:spacing w:val="0"/>
                  <w:sz w:val="20"/>
                </w:rPr>
                <w:t>SPECIAL NOTE REGARDING FORWARD-LOOKING STATEMENTS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S-1</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2">
              <w:r>
                <w:rPr>
                  <w:rStyle w:val="InternetLink"/>
                  <w:rFonts w:ascii="Times New Roman" w:hAnsi="Times New Roman"/>
                  <w:spacing w:val="0"/>
                  <w:sz w:val="20"/>
                </w:rPr>
                <w:t>THE COMPANY</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S-2</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3">
              <w:r>
                <w:rPr>
                  <w:rStyle w:val="InternetLink"/>
                  <w:rFonts w:ascii="Times New Roman" w:hAnsi="Times New Roman"/>
                  <w:spacing w:val="0"/>
                  <w:sz w:val="20"/>
                </w:rPr>
                <w:t>THE OFFERING</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S-5</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4">
              <w:r>
                <w:rPr>
                  <w:rStyle w:val="InternetLink"/>
                  <w:rFonts w:ascii="Times New Roman" w:hAnsi="Times New Roman"/>
                  <w:spacing w:val="0"/>
                  <w:sz w:val="20"/>
                </w:rPr>
                <w:t>RISK FACTORS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S-6</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5">
              <w:r>
                <w:rPr>
                  <w:rStyle w:val="InternetLink"/>
                  <w:rFonts w:ascii="Times New Roman" w:hAnsi="Times New Roman"/>
                  <w:spacing w:val="0"/>
                  <w:sz w:val="20"/>
                </w:rPr>
                <w:t>FEES AND EXPENSES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S-9</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6">
              <w:r>
                <w:rPr>
                  <w:rStyle w:val="InternetLink"/>
                  <w:rFonts w:ascii="Times New Roman" w:hAnsi="Times New Roman"/>
                  <w:spacing w:val="0"/>
                  <w:sz w:val="20"/>
                </w:rPr>
                <w:t>USE OF PROCEEDS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S-12</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7">
              <w:r>
                <w:rPr>
                  <w:rStyle w:val="InternetLink"/>
                  <w:rFonts w:ascii="Times New Roman" w:hAnsi="Times New Roman"/>
                  <w:spacing w:val="0"/>
                  <w:sz w:val="20"/>
                </w:rPr>
                <w:t>CAPITALIZATION</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S-13</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8">
              <w:r>
                <w:rPr>
                  <w:rStyle w:val="InternetLink"/>
                  <w:rFonts w:ascii="Times New Roman" w:hAnsi="Times New Roman"/>
                  <w:spacing w:val="0"/>
                  <w:sz w:val="20"/>
                </w:rPr>
                <w:t>UNDERWRITING</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S-14</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9">
              <w:r>
                <w:rPr>
                  <w:rStyle w:val="InternetLink"/>
                  <w:rFonts w:ascii="Times New Roman" w:hAnsi="Times New Roman"/>
                  <w:spacing w:val="0"/>
                  <w:sz w:val="20"/>
                </w:rPr>
                <w:t>LEGAL MATTERS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S-18</w:t>
            </w:r>
          </w:p>
        </w:tc>
        <w:tc>
          <w:tcPr>
            <w:tcW w:w="75" w:type="dxa"/>
            <w:tcBorders/>
            <w:vAlign w:val="center"/>
          </w:tcPr>
          <w:p>
            <w:pPr>
              <w:pStyle w:val="TableContents"/>
              <w:bidi w:val="0"/>
              <w:spacing w:before="0" w:after="0"/>
              <w:jc w:val="left"/>
              <w:rPr>
                <w:spacing w:val="0"/>
              </w:rPr>
            </w:pPr>
            <w:r>
              <w:rPr>
                <w:spacing w:val="0"/>
              </w:rPr>
              <w:t> </w:t>
            </w:r>
          </w:p>
        </w:tc>
      </w:tr>
      <w:tr>
        <w:trPr/>
        <w:tc>
          <w:tcPr>
            <w:tcW w:w="5765" w:type="dxa"/>
            <w:tcBorders/>
            <w:vAlign w:val="center"/>
          </w:tcPr>
          <w:p>
            <w:pPr>
              <w:pStyle w:val="TableContents"/>
              <w:bidi w:val="0"/>
              <w:spacing w:before="0" w:after="0"/>
              <w:jc w:val="left"/>
              <w:rPr/>
            </w:pPr>
            <w:hyperlink w:anchor="supp451583_10">
              <w:r>
                <w:rPr>
                  <w:rStyle w:val="InternetLink"/>
                  <w:rFonts w:ascii="Times New Roman" w:hAnsi="Times New Roman"/>
                  <w:spacing w:val="0"/>
                  <w:sz w:val="20"/>
                </w:rPr>
                <w:t>INFORMATION INCORPORATED BY REFERENCE</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S-19</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480" w:after="0"/>
        <w:jc w:val="center"/>
        <w:rPr>
          <w:rFonts w:ascii="Times New Roman" w:hAnsi="Times New Roman"/>
          <w:b/>
          <w:spacing w:val="0"/>
          <w:sz w:val="20"/>
        </w:rPr>
      </w:pPr>
      <w:r>
        <w:rPr>
          <w:rFonts w:ascii="Times New Roman" w:hAnsi="Times New Roman"/>
          <w:b/>
          <w:spacing w:val="0"/>
          <w:sz w:val="20"/>
        </w:rPr>
        <w:t xml:space="preserve">Prospectus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TABLE OF CONTENTS </w:t>
      </w:r>
    </w:p>
    <w:p>
      <w:pPr>
        <w:pStyle w:val="TextBody"/>
        <w:bidi w:val="0"/>
        <w:spacing w:before="0" w:after="0"/>
        <w:jc w:val="left"/>
        <w:rPr>
          <w:spacing w:val="0"/>
        </w:rPr>
      </w:pPr>
      <w:r>
        <w:rPr>
          <w:spacing w:val="0"/>
        </w:rPr>
        <w:t> </w:t>
      </w:r>
    </w:p>
    <w:tbl>
      <w:tblPr>
        <w:tblW w:w="7150" w:type="dxa"/>
        <w:jc w:val="left"/>
        <w:tblInd w:w="0" w:type="dxa"/>
        <w:tblLayout w:type="fixed"/>
        <w:tblCellMar>
          <w:top w:w="0" w:type="dxa"/>
          <w:left w:w="0" w:type="dxa"/>
          <w:bottom w:w="0" w:type="dxa"/>
          <w:right w:w="0" w:type="dxa"/>
        </w:tblCellMar>
      </w:tblPr>
      <w:tblGrid>
        <w:gridCol w:w="6635"/>
        <w:gridCol w:w="12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rom451583_1">
              <w:r>
                <w:rPr>
                  <w:rStyle w:val="InternetLink"/>
                  <w:rFonts w:ascii="Times New Roman" w:hAnsi="Times New Roman"/>
                  <w:spacing w:val="0"/>
                  <w:sz w:val="20"/>
                </w:rPr>
                <w:t>ABOUT THIS PROSPECTUS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ii</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
              <w:r>
                <w:rPr>
                  <w:rStyle w:val="InternetLink"/>
                  <w:rFonts w:ascii="Times New Roman" w:hAnsi="Times New Roman"/>
                  <w:spacing w:val="0"/>
                  <w:sz w:val="20"/>
                </w:rPr>
                <w:t>SUMMARY</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1</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
              <w:r>
                <w:rPr>
                  <w:rStyle w:val="InternetLink"/>
                  <w:rFonts w:ascii="Times New Roman" w:hAnsi="Times New Roman"/>
                  <w:spacing w:val="0"/>
                  <w:sz w:val="20"/>
                </w:rPr>
                <w:t>THE OFFERING</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14</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4">
              <w:r>
                <w:rPr>
                  <w:rStyle w:val="InternetLink"/>
                  <w:rFonts w:ascii="Times New Roman" w:hAnsi="Times New Roman"/>
                  <w:spacing w:val="0"/>
                  <w:sz w:val="20"/>
                </w:rPr>
                <w:t>FEES AND EXPENSES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18</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7">
              <w:r>
                <w:rPr>
                  <w:rStyle w:val="InternetLink"/>
                  <w:rFonts w:ascii="Times New Roman" w:hAnsi="Times New Roman"/>
                  <w:spacing w:val="0"/>
                  <w:sz w:val="20"/>
                </w:rPr>
                <w:t>RISK FACTORS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22</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8">
              <w:r>
                <w:rPr>
                  <w:rStyle w:val="InternetLink"/>
                  <w:rFonts w:ascii="Times New Roman" w:hAnsi="Times New Roman"/>
                  <w:spacing w:val="0"/>
                  <w:sz w:val="20"/>
                </w:rPr>
                <w:t>SPECIAL NOTE REGARDING FORWARD-LOOKING STATEMENTS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28</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9">
              <w:r>
                <w:rPr>
                  <w:rStyle w:val="InternetLink"/>
                  <w:rFonts w:ascii="Times New Roman" w:hAnsi="Times New Roman"/>
                  <w:spacing w:val="0"/>
                  <w:sz w:val="20"/>
                </w:rPr>
                <w:t>USE OF PROCEEDS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29</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10">
              <w:r>
                <w:rPr>
                  <w:rStyle w:val="InternetLink"/>
                  <w:rFonts w:ascii="Times New Roman" w:hAnsi="Times New Roman"/>
                  <w:spacing w:val="0"/>
                  <w:sz w:val="20"/>
                </w:rPr>
                <w:t>PRICE RANGE OF COMMON STOCK AND DISTRIBUTIONS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30</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12">
              <w:r>
                <w:rPr>
                  <w:rStyle w:val="InternetLink"/>
                  <w:rFonts w:ascii="Times New Roman" w:hAnsi="Times New Roman"/>
                  <w:spacing w:val="0"/>
                  <w:sz w:val="20"/>
                </w:rPr>
                <w:t>SENIOR SECURITIES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33</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14">
              <w:r>
                <w:rPr>
                  <w:rStyle w:val="InternetLink"/>
                  <w:rFonts w:ascii="Times New Roman" w:hAnsi="Times New Roman"/>
                  <w:spacing w:val="0"/>
                  <w:sz w:val="20"/>
                </w:rPr>
                <w:t>PORTFOLIO COMPANIES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35</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19">
              <w:r>
                <w:rPr>
                  <w:rStyle w:val="InternetLink"/>
                  <w:rFonts w:ascii="Times New Roman" w:hAnsi="Times New Roman"/>
                  <w:spacing w:val="0"/>
                  <w:sz w:val="20"/>
                </w:rPr>
                <w:t>DETERMINATION OF NET ASSET VALUE</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42</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0">
              <w:r>
                <w:rPr>
                  <w:rStyle w:val="InternetLink"/>
                  <w:rFonts w:ascii="Times New Roman" w:hAnsi="Times New Roman"/>
                  <w:spacing w:val="0"/>
                  <w:sz w:val="20"/>
                </w:rPr>
                <w:t>SALES OF COMMON STOCK BELOW NET ASSET VALUE</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43</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1">
              <w:r>
                <w:rPr>
                  <w:rStyle w:val="InternetLink"/>
                  <w:rFonts w:ascii="Times New Roman" w:hAnsi="Times New Roman"/>
                  <w:spacing w:val="0"/>
                  <w:sz w:val="20"/>
                </w:rPr>
                <w:t>DIVIDEND REINVESTMENT PLAN</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48</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2">
              <w:r>
                <w:rPr>
                  <w:rStyle w:val="InternetLink"/>
                  <w:rFonts w:ascii="Times New Roman" w:hAnsi="Times New Roman"/>
                  <w:spacing w:val="0"/>
                  <w:sz w:val="20"/>
                </w:rPr>
                <w:t>MATERIAL U.S. FEDERAL INCOME TAX CONSIDERATIONS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49</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3">
              <w:r>
                <w:rPr>
                  <w:rStyle w:val="InternetLink"/>
                  <w:rFonts w:ascii="Times New Roman" w:hAnsi="Times New Roman"/>
                  <w:spacing w:val="0"/>
                  <w:sz w:val="20"/>
                </w:rPr>
                <w:t>DESCRIPTION OF OUR SECURITIES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57</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4">
              <w:r>
                <w:rPr>
                  <w:rStyle w:val="InternetLink"/>
                  <w:rFonts w:ascii="Times New Roman" w:hAnsi="Times New Roman"/>
                  <w:spacing w:val="0"/>
                  <w:sz w:val="20"/>
                </w:rPr>
                <w:t>DESCRIPTION OF OUR CAPITAL STOCK</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57</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5">
              <w:r>
                <w:rPr>
                  <w:rStyle w:val="InternetLink"/>
                  <w:rFonts w:ascii="Times New Roman" w:hAnsi="Times New Roman"/>
                  <w:spacing w:val="0"/>
                  <w:sz w:val="20"/>
                </w:rPr>
                <w:t>DESCRIPTION OF OUR PREFERRED STOCK</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62</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6">
              <w:r>
                <w:rPr>
                  <w:rStyle w:val="InternetLink"/>
                  <w:rFonts w:ascii="Times New Roman" w:hAnsi="Times New Roman"/>
                  <w:spacing w:val="0"/>
                  <w:sz w:val="20"/>
                </w:rPr>
                <w:t>DESCRIPTION OF OUR SUBSCRIPTION RIGHTS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63</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7">
              <w:r>
                <w:rPr>
                  <w:rStyle w:val="InternetLink"/>
                  <w:rFonts w:ascii="Times New Roman" w:hAnsi="Times New Roman"/>
                  <w:spacing w:val="0"/>
                  <w:sz w:val="20"/>
                </w:rPr>
                <w:t>DESCRIPTION OF OUR WARRANTS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65</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28">
              <w:r>
                <w:rPr>
                  <w:rStyle w:val="InternetLink"/>
                  <w:rFonts w:ascii="Times New Roman" w:hAnsi="Times New Roman"/>
                  <w:spacing w:val="0"/>
                  <w:sz w:val="20"/>
                </w:rPr>
                <w:t>DESCRIPTION OF OUR DEBT SECURITIES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67</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1">
              <w:r>
                <w:rPr>
                  <w:rStyle w:val="InternetLink"/>
                  <w:rFonts w:ascii="Times New Roman" w:hAnsi="Times New Roman"/>
                  <w:spacing w:val="0"/>
                  <w:sz w:val="20"/>
                </w:rPr>
                <w:t>CUSTODIAN, TRANSFER AND DIVIDEND PAYING AGENT AND REGISTRAR</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80</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2">
              <w:r>
                <w:rPr>
                  <w:rStyle w:val="InternetLink"/>
                  <w:rFonts w:ascii="Times New Roman" w:hAnsi="Times New Roman"/>
                  <w:spacing w:val="0"/>
                  <w:sz w:val="20"/>
                </w:rPr>
                <w:t>BROKERAGE ALLOCATION AND OTHER PRACTICES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80</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3">
              <w:r>
                <w:rPr>
                  <w:rStyle w:val="InternetLink"/>
                  <w:rFonts w:ascii="Times New Roman" w:hAnsi="Times New Roman"/>
                  <w:spacing w:val="0"/>
                  <w:sz w:val="20"/>
                </w:rPr>
                <w:t>PLAN OF DISTRIBUTION</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81</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4">
              <w:r>
                <w:rPr>
                  <w:rStyle w:val="InternetLink"/>
                  <w:rFonts w:ascii="Times New Roman" w:hAnsi="Times New Roman"/>
                  <w:spacing w:val="0"/>
                  <w:sz w:val="20"/>
                </w:rPr>
                <w:t>LEGAL MATTERS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83</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5">
              <w:r>
                <w:rPr>
                  <w:rStyle w:val="InternetLink"/>
                  <w:rFonts w:ascii="Times New Roman" w:hAnsi="Times New Roman"/>
                  <w:spacing w:val="0"/>
                  <w:sz w:val="20"/>
                </w:rPr>
                <w:t>EXPERTS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83</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6">
              <w:r>
                <w:rPr>
                  <w:rStyle w:val="InternetLink"/>
                  <w:rFonts w:ascii="Times New Roman" w:hAnsi="Times New Roman"/>
                  <w:spacing w:val="0"/>
                  <w:sz w:val="20"/>
                </w:rPr>
                <w:t>AVAILABLE INFORMATION</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83</w:t>
            </w:r>
          </w:p>
        </w:tc>
        <w:tc>
          <w:tcPr>
            <w:tcW w:w="75" w:type="dxa"/>
            <w:tcBorders/>
            <w:vAlign w:val="center"/>
          </w:tcPr>
          <w:p>
            <w:pPr>
              <w:pStyle w:val="TableContents"/>
              <w:bidi w:val="0"/>
              <w:spacing w:before="0" w:after="0"/>
              <w:jc w:val="left"/>
              <w:rPr>
                <w:spacing w:val="0"/>
              </w:rPr>
            </w:pPr>
            <w:r>
              <w:rPr>
                <w:spacing w:val="0"/>
              </w:rPr>
              <w:t> </w:t>
            </w:r>
          </w:p>
        </w:tc>
      </w:tr>
      <w:tr>
        <w:trPr/>
        <w:tc>
          <w:tcPr>
            <w:tcW w:w="6635" w:type="dxa"/>
            <w:tcBorders/>
            <w:vAlign w:val="center"/>
          </w:tcPr>
          <w:p>
            <w:pPr>
              <w:pStyle w:val="TableContents"/>
              <w:bidi w:val="0"/>
              <w:spacing w:before="0" w:after="0"/>
              <w:jc w:val="left"/>
              <w:rPr/>
            </w:pPr>
            <w:hyperlink w:anchor="rom451583_37">
              <w:r>
                <w:rPr>
                  <w:rStyle w:val="InternetLink"/>
                  <w:rFonts w:ascii="Times New Roman" w:hAnsi="Times New Roman"/>
                  <w:spacing w:val="0"/>
                  <w:sz w:val="20"/>
                </w:rPr>
                <w:t>INFORMATION INCORPORATED BY REFERENCE</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right"/>
              <w:rPr>
                <w:spacing w:val="0"/>
              </w:rPr>
            </w:pPr>
            <w:r>
              <w:rPr>
                <w:spacing w:val="0"/>
              </w:rPr>
              <w:t>84</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S-i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SPECIAL NOTE REGARDING 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 economic downturn, including the current and future economic effects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COVID-19</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pandemic, could impair our portfolio companies’ abilities to continue to operate, which could lead to the loss of some or all of our investments in those portfolio companies;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spacing w:val="0"/>
        </w:rPr>
      </w:pPr>
      <w:r>
        <w:rPr>
          <w:spacing w:val="0"/>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72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such an economic downturn could also impact availability and pricing of our financing; </w:t>
            </w:r>
          </w:p>
        </w:tc>
      </w:tr>
    </w:tbl>
    <w:p>
      <w:pPr>
        <w:pStyle w:val="TextBody"/>
        <w:bidi w:val="0"/>
        <w:spacing w:before="0" w:after="0"/>
        <w:jc w:val="left"/>
        <w:rPr>
          <w:spacing w:val="0"/>
        </w:rPr>
      </w:pPr>
      <w:r>
        <w:rPr>
          <w:spacing w:val="0"/>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 inability to access the capital markets could impair our ability to raise capital and our investment activities;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inflation could negatively impact our business, including our ability to access the debt markets on favorable terms, or could negatively impact our portfolio companies;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risks, uncertainties and other factors we identify in the section entitled “Risk Factors” in this prospectus supplement, the accompanying prospectus and in Part I, Item 1A of our Annual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10-K</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the year ended December 31, 2022 (the “2022 Annual Report”), Part I, Item 1A of our Quarterly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the year ended March 31, 2023 (the “1Q 2023 Quarterly Report”), any subsequent Quarterly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or Current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8-K</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file after the date of this prospectus supplement, and those discussed in other documents we file with the SEC.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2022 Annual Report and in Part I, Item 1A of our 1Q 2023 Quarterly Report, any subsequent Quarterly Reports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or Current Reports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As used in the prospectus supplement and the accompanying prospectus, except where the context suggests otherwise, references to: </w:t>
      </w: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TSLX,” “Sixth Street Specialty Lending,” “we,” “us,” “our,” the “Company,” and the “Registrant” refer to Sixth Street Specialty Lending, Inc., a Delaware corporation, and its consolidated subsidiaries;</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tc>
      </w:tr>
    </w:tbl>
    <w:p>
      <w:pPr>
        <w:pStyle w:val="TextBody"/>
        <w:bidi w:val="0"/>
        <w:spacing w:before="0" w:after="0"/>
        <w:jc w:val="left"/>
        <w:rPr>
          <w:spacing w:val="0"/>
          <w:bdr w:val="single" w:sz="8" w:space="1" w:color="000000"/>
        </w:rPr>
      </w:pPr>
      <w:r>
        <w:rPr>
          <w:spacing w:val="0"/>
          <w:bdr w:val="single" w:sz="8" w:space="1" w:color="000000"/>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8465"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Adviser” refers to Sixth Street Specialty Lending Advisers, LLC, a Delaware limited liability company;</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and</w:t>
            </w:r>
          </w:p>
        </w:tc>
      </w:tr>
    </w:tbl>
    <w:p>
      <w:pPr>
        <w:pStyle w:val="TextBody"/>
        <w:bidi w:val="0"/>
        <w:spacing w:before="0" w:after="0"/>
        <w:jc w:val="left"/>
        <w:rPr>
          <w:spacing w:val="0"/>
          <w:bdr w:val="single" w:sz="8" w:space="1" w:color="000000"/>
        </w:rPr>
      </w:pPr>
      <w:r>
        <w:rPr>
          <w:spacing w:val="0"/>
          <w:bdr w:val="single" w:sz="8" w:space="1" w:color="000000"/>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290"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Sixth Street” refers to Sixth Street Partners, LLC together with its affiliates.</w:t>
            </w:r>
          </w:p>
        </w:tc>
      </w:tr>
    </w:tbl>
    <w:p>
      <w:pPr>
        <w:pStyle w:val="TextBody"/>
        <w:bidi w:val="0"/>
        <w:spacing w:before="36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Sixth Street Specialty Lending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are a specialty finance company focused on lending to middle-market companies. Since we began our investment activities in July 2011, through March 31, 2023, we have originated more than $26.0 billion aggregate principal amount of investments and retained approximately $9.4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2023, our core portfolio companies, which excludes certain investments that fall outside of our typical borrower profile and represent 91.4% of our total investments based on fair value, had weighted average annual revenue of $165.5 million and weighted average annual EBITDA of $53.8 million.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Investment Portfolio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The companies in which we invest use our capital to support organic growth, acquisitions, market or product expansion and recapitalizations (including restructurings).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March 31, 2023, our portfolio based on fair value consisted of 90.8% first-lien debt investments, 1.6% second-lien debt investments, 0.4% mezzanine debt investments, 5.4% equity and other investments and 1.8% structured credit investments. As of March 31, 2023, 99.2% of our debt investments based on fair value bore interest at floating rates, with 100.0% of these subject to interest rate floors, which we believe helps act as a portfolio-wide hedge against inflation.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March 31, 2023, we had investments in 127 portfolio companies (including 44 structured credit investments, which include each series of collateralized loan obligation as a separate portfolio company investment) with an aggregate fair value of $2,918.6 million. For the three months ended March 31, 2023, the principal amount of new investments funded was $138.9 million in seven new portfolio companies and five existing portfolio companies. For this period, we had $50.8 million aggregate principal amount in exits and repayments.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December 31, 2022, we had investments in 121 portfolio companies (including 43 structured credit investments, which include each series of collateralized loan obligation as a separate portfolio company investment) with an aggregate fair value of $2,787.9 million. For the three months ended March 31, 2022, the principal amount of new investments funded was $52.8 million in two new portfolio companies and eight existing portfolio companies. For this period, we had $144.4 million aggregate principal amount in exits and repayments.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March 31, 2023, the largest single investment based on fair value represented 2.7% of our total investment portfolio. As of March 31, 2023, the average investment size in each of our portfolio companies was approximately $23.0 million based on fair value. Portfolio companies includes investments in structured products including each series of collateralized loan obligation as a portfolio company investment. When excluding investments in structured credit investments, the average investment in our remaining portfolio companies was approximately $34.5 million as of March 31, 2023. As of March 31, 2023, the largest industry represented 15.0% of our total portfolio based on fair value.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Since we began investing in 2011 through March 31, 2023, weighted by capital invested, our exited investments have generated an average realized gross internal rate of return to us of 17.7% (based on total capital invested of $6.7 billion and total proceeds from these exited investments of $8.4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1Q 2023 Quarterly Report, which is incorporated herein by reference.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Corporate Structure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Sixth Street Specialty Lending, Inc. is a Delaware corporation formed on July 21, 2010. Sixth Street Specialty Lending Advisers, LLC is our external manager.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2022 Annual Report, which is incorporated herein by reference, for more information on these requirements.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About Our Adviser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Co-Chief</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Investment Officer Joshua Easterly and our Adviser’s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Co-Chief</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Sixth Street is a global investment business with over $65 billion of assets under management as of March 31,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500 investment and operating professionals. As of March 31, 2023,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forty-six</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(46) of these personnel are dedicated to our business, including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thirty-six</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(36) investment professionals.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360" w:after="0"/>
        <w:ind w:left="0" w:right="0" w:hanging="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Recent Developments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As of March 31, 2023, the Company reported total principal debt outstanding of $1,629 million and total stockholders’ equity of $1,356 million, corresponding to a debt-to-equity ratio at quarter-end of 1.20x. Total principal debt outstanding included $981.9 million outstanding on the Company’s Revolving Credit Facility and total liquidity was $612.7 million, including unrestricted cash. From March 31, 2023 through May 8, 2023, the Company’s net fundings totaled $130.5 million, including $159.4 million of new investments funded and $28.9 million of paydowns. The Company believes these new investments will generate risk-adjusted returns in excess of the Company’s estimated cost of capital. </w:t>
      </w:r>
    </w:p>
    <w:p>
      <w:pPr>
        <w:pStyle w:val="TextBody"/>
        <w:widowControl/>
        <w:bidi w:val="0"/>
        <w:spacing w:before="240" w:after="0"/>
        <w:jc w:val="left"/>
        <w:rPr>
          <w:rFonts w:ascii="Times New Roman" w:hAnsi="Times New Roman"/>
          <w:b w:val="false"/>
          <w:i w:val="false"/>
          <w:caps w:val="false"/>
          <w:smallCaps w:val="false"/>
          <w:color w:val="000000"/>
          <w:spacing w:val="0"/>
          <w:sz w:val="20"/>
          <w:bdr w:val="single" w:sz="8" w:space="1" w:color="000000"/>
        </w:rPr>
      </w:pPr>
      <w:r>
        <w:rPr>
          <w:rFonts w:ascii="Times New Roman" w:hAnsi="Times New Roman"/>
          <w:b w:val="false"/>
          <w:i w:val="false"/>
          <w:caps w:val="false"/>
          <w:smallCaps w:val="false"/>
          <w:color w:val="000000"/>
          <w:spacing w:val="0"/>
          <w:sz w:val="20"/>
          <w:bdr w:val="single" w:sz="8" w:space="1" w:color="000000"/>
        </w:rPr>
        <w:t>As of May 8, 2023, $1,121 million was drawn on the Revolving Credit Facility. Adjusted for the incremental net fundings, the Company’s estimated debt-to-equity ratio as of May 8, 2023 was approximately 1.30x. The Company intends to use 100% of the net proceeds of this offering to pay down a portion of the outstanding indebtedness on the Revolving Credit Facility on or about the date of the closing of this offering. Based on the expected total net proceeds from the offering of $77.5 million, the Company estimates its debt-to-equity ratio will decrease to approximately 1.18x, which is within its previously stated target range.</w:t>
      </w:r>
    </w:p>
    <w:p>
      <w:pPr>
        <w:pStyle w:val="TextBody"/>
        <w:bidi w:val="0"/>
        <w:spacing w:before="360" w:after="0"/>
        <w:ind w:left="0" w:right="0" w:hanging="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Corporate Information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principal executive offices are located at 2100 McKinney Avenue, Suite 1500, Dallas, Texas 75201 and our telephone number is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(469) 621-3001.</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corporate website is located at http://www.sixthstreetspecialtylending.com. Information on our website is not incorporated into or a part of this prospectus supplement or the accompanying prospectus.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59"/>
        <w:gridCol w:w="120"/>
        <w:gridCol w:w="8126"/>
      </w:tblGrid>
      <w:tr>
        <w:trPr/>
        <w:tc>
          <w:tcPr>
            <w:tcW w:w="1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26" w:type="dxa"/>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Common stock offered by us</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4,500,000 shares, or 5,175,000 shares if the underwriters exercise their option to purchase additional shares in full.</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Common stock outstanding prior to this offering</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81,751,865 shares.</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Common stock outstanding after this offering</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86,251,865 shares, or 86,926,865 shares if the underwriters exercise their option to purchase additional shares in full.</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Use of Proceeds</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We estimate that the net proceeds we will receive from the sale of 4,500,000 shares of our common stock in this offering will be approximately $77.5 million (or approximately $89.2 million if the underwriters fully exercise their option to purchase additional shares), in each case after deducting the underwriting discounts and commissions and estimated offering expenses payable by us.</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We intend to use 100% of the net proceeds of this offering to pay down a portion of the outstanding indebtedness on the Revolving Credit Facility on or about the date of the closing of this offering. However, through reborrowing under the Revolving Credit Facility, we intend to make new investments in accordance with our investment objective and strategies described in this prospectus supplement and the accompanying prospectus.</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See “Use of Proceeds.”</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Distributions</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 in the accompanying prospectus.</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On May 8, 2023, our Board declared a second quarter 2023 base dividend of $0.46 per share for stockholders of record as of June 15, 2023, payable on June 30, 2023. Our Board also declared a first quarter supplemental dividend of $0.04 per share for stockholders of record as of May 31, 2023, payable on June 20, 2023. Investors in this offering who remain holders of record as of the record dates for the base dividend and first quarter supplemental dividend, respectively, will receive these dividends. We anticipate that these dividends will be paid from income generated primarily by interest earned on our investment portfolio.</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To maintain our tax treatment as a RIC, we must make certain distributions. See “Material U.S. Federal Income Tax Considerations—Regulated Investment Company Classification” in the accompanying prospectus.</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Material U.S. Federal Income Tax Considerations</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Tax considerations are as set forth in the section in the accompanying prospectus entitled “Material U.S. Federal Income Tax Considerations” or elsewhere, except that miscellaneous itemized deductions generally are not deductible by individuals, trusts or estates for taxable years beginning after December 31, 2017 and before January 1, 2026.</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Symbol on the New York Stock Exchange</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TSLX</w:t>
            </w:r>
          </w:p>
        </w:tc>
      </w:tr>
      <w:tr>
        <w:trPr/>
        <w:tc>
          <w:tcPr>
            <w:tcW w:w="1959" w:type="dxa"/>
            <w:tcBorders/>
            <w:vAlign w:val="center"/>
          </w:tcPr>
          <w:p>
            <w:pPr>
              <w:pStyle w:val="TableContents"/>
              <w:bidi w:val="0"/>
              <w:spacing w:before="0" w:after="283"/>
              <w:jc w:val="left"/>
              <w:rPr>
                <w:sz w:val="4"/>
                <w:szCs w:val="4"/>
              </w:rPr>
            </w:pPr>
            <w:r>
              <w:rPr>
                <w:sz w:val="4"/>
                <w:szCs w:val="4"/>
              </w:rPr>
            </w:r>
          </w:p>
        </w:tc>
        <w:tc>
          <w:tcPr>
            <w:tcW w:w="8246" w:type="dxa"/>
            <w:gridSpan w:val="2"/>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0"/>
              <w:jc w:val="left"/>
              <w:rPr>
                <w:b/>
                <w:spacing w:val="0"/>
              </w:rPr>
            </w:pPr>
            <w:r>
              <w:rPr>
                <w:b/>
                <w:spacing w:val="0"/>
              </w:rPr>
              <w:t>Risk Factors</w:t>
            </w:r>
          </w:p>
        </w:tc>
        <w:tc>
          <w:tcPr>
            <w:tcW w:w="120" w:type="dxa"/>
            <w:tcBorders/>
            <w:vAlign w:val="center"/>
          </w:tcPr>
          <w:p>
            <w:pPr>
              <w:pStyle w:val="TableContents"/>
              <w:bidi w:val="0"/>
              <w:spacing w:before="0" w:after="0"/>
              <w:jc w:val="left"/>
              <w:rPr>
                <w:spacing w:val="0"/>
              </w:rPr>
            </w:pPr>
            <w:r>
              <w:rPr>
                <w:spacing w:val="0"/>
              </w:rPr>
              <w:t>  </w:t>
            </w:r>
          </w:p>
        </w:tc>
        <w:tc>
          <w:tcPr>
            <w:tcW w:w="8126" w:type="dxa"/>
            <w:tcBorders/>
            <w:vAlign w:val="center"/>
          </w:tcPr>
          <w:p>
            <w:pPr>
              <w:pStyle w:val="TableContents"/>
              <w:bidi w:val="0"/>
              <w:spacing w:before="0" w:after="0"/>
              <w:jc w:val="left"/>
              <w:rPr>
                <w:spacing w:val="0"/>
              </w:rPr>
            </w:pPr>
            <w:r>
              <w:rPr>
                <w:spacing w:val="0"/>
              </w:rPr>
              <w:t>See “Risk Factors” in this prospectus supplement, the accompanying prospectus and the documents incorporated by reference and other information in this prospectus supplement, the accompanying prospectus and the documents incorporated by reference for a discussion of factors you should carefully consider before you decide whether to make an investment in shares of our common stock.</w:t>
            </w:r>
          </w:p>
        </w:tc>
      </w:tr>
    </w:tbl>
    <w:p>
      <w:pPr>
        <w:pStyle w:val="TextBody"/>
        <w:bidi w:val="0"/>
        <w:spacing w:before="0" w:after="0"/>
        <w:jc w:val="left"/>
        <w:rPr>
          <w:spacing w:val="0"/>
          <w:bdr w:val="single" w:sz="8" w:space="1" w:color="000000"/>
        </w:rPr>
      </w:pPr>
      <w:r>
        <w:rPr>
          <w:spacing w:val="0"/>
          <w:bdr w:val="single" w:sz="8" w:space="1" w:color="000000"/>
        </w:rPr>
        <w: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in our securities involves a number of significant risks. You should carefully consider the risks described in Part I, Item 1A, “Risk Factors,” in our 2022 Annual Report and those set out in the accompanying prospectus before making a decision about investing in our securities. The risks and uncertainties described in Part I, Item 1A, “Risk Factors,” in our 2022 Annual Report and our 1Q 2023 Quarterly Report and discussed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Risks Related to Our Common Stock and This Offering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There is a risk that investors in our common stock may not receive dividends or that our dividends may not grow over time.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year-to-year</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increases in cash dividends. Our ability to pay dividends might be adversely affected by the impact of one or more of the risk factors described in this prospectus supplement.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Risk Factors—Risks Related to Our Portfolio Company Investments—There are certain risks associated with holding debt obligations that have original issue discount or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payment-in-kind</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in Part I, Item 1A of our 2022 Annual Report.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write-off</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 taken and thereby reduce that period’s Incentive Fee payment, if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Investing in our securities may involve a high degree of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market price of our common stock may fluctuate significantly.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market price and liquidity of the market for shares of our common stock may be significantly affected by numerous factors, some of which are beyond our control and may not be directly related to our operating performance. These factors include: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significant volatility in the market price and trading volume of securities of BDCs or other companies in our sector, which is not necessarily related to the operating performance of these companies; </w:t>
            </w:r>
          </w:p>
        </w:tc>
      </w:tr>
    </w:tbl>
    <w:p>
      <w:pPr>
        <w:pStyle w:val="TextBody"/>
        <w:bidi w:val="0"/>
        <w:spacing w:before="0" w:after="0"/>
        <w:jc w:val="left"/>
        <w:rPr>
          <w:spacing w:val="0"/>
        </w:rPr>
      </w:pPr>
      <w:r>
        <w:rPr>
          <w:spacing w:val="0"/>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in regulatory policies or tax guidelines, particularly with respect to RICs or BDCs;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exclusion of BDC common stock from certain market indices, which could reduce the ability of certain investment funds to own our common stock and put short term selling pressure on our common stock; </w:t>
            </w:r>
          </w:p>
        </w:tc>
      </w:tr>
    </w:tbl>
    <w:p>
      <w:pPr>
        <w:pStyle w:val="TextBody"/>
        <w:bidi w:val="0"/>
        <w:spacing w:before="0" w:after="0"/>
        <w:jc w:val="left"/>
        <w:rPr>
          <w:spacing w:val="0"/>
        </w:rPr>
      </w:pPr>
      <w:r>
        <w:rPr>
          <w:spacing w:val="0"/>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2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loss of RIC or BDC status; </w:t>
            </w:r>
          </w:p>
        </w:tc>
      </w:tr>
    </w:tbl>
    <w:p>
      <w:pPr>
        <w:pStyle w:val="TextBody"/>
        <w:bidi w:val="0"/>
        <w:spacing w:before="0" w:after="0"/>
        <w:jc w:val="left"/>
        <w:rPr>
          <w:spacing w:val="0"/>
        </w:rPr>
      </w:pPr>
      <w:r>
        <w:rPr>
          <w:spacing w:val="0"/>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1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or perceived changes in earnings or variations in operating results; </w:t>
            </w:r>
          </w:p>
        </w:tc>
      </w:tr>
    </w:tbl>
    <w:p>
      <w:pPr>
        <w:pStyle w:val="TextBody"/>
        <w:bidi w:val="0"/>
        <w:spacing w:before="0" w:after="0"/>
        <w:jc w:val="left"/>
        <w:rPr>
          <w:spacing w:val="0"/>
        </w:rPr>
      </w:pPr>
      <w:r>
        <w:rPr>
          <w:spacing w:val="0"/>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in our portfolio of investments; </w:t>
            </w:r>
          </w:p>
        </w:tc>
      </w:tr>
    </w:tbl>
    <w:p>
      <w:pPr>
        <w:pStyle w:val="TextBody"/>
        <w:bidi w:val="0"/>
        <w:spacing w:before="0" w:after="0"/>
        <w:jc w:val="left"/>
        <w:rPr>
          <w:spacing w:val="0"/>
        </w:rPr>
      </w:pPr>
      <w:r>
        <w:rPr>
          <w:spacing w:val="0"/>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or perceived changes in the value of our portfolio of investments; </w:t>
            </w:r>
          </w:p>
        </w:tc>
      </w:tr>
    </w:tbl>
    <w:p>
      <w:pPr>
        <w:pStyle w:val="TextBody"/>
        <w:bidi w:val="0"/>
        <w:spacing w:before="0" w:after="0"/>
        <w:jc w:val="left"/>
        <w:rPr>
          <w:spacing w:val="0"/>
        </w:rPr>
      </w:pPr>
      <w:r>
        <w:rPr>
          <w:spacing w:val="0"/>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1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changes in accounting guidelines governing valuation of our investments; </w:t>
            </w:r>
          </w:p>
        </w:tc>
      </w:tr>
    </w:tbl>
    <w:p>
      <w:pPr>
        <w:pStyle w:val="TextBody"/>
        <w:bidi w:val="0"/>
        <w:spacing w:before="0" w:after="0"/>
        <w:jc w:val="left"/>
        <w:rPr>
          <w:spacing w:val="0"/>
        </w:rPr>
      </w:pPr>
      <w:r>
        <w:rPr>
          <w:spacing w:val="0"/>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shortfall in revenue or net income or any increase in losses from levels expected by investors or securities analysts; </w:t>
            </w:r>
          </w:p>
        </w:tc>
      </w:tr>
    </w:tbl>
    <w:p>
      <w:pPr>
        <w:pStyle w:val="TextBody"/>
        <w:bidi w:val="0"/>
        <w:spacing w:before="0" w:after="0"/>
        <w:jc w:val="left"/>
        <w:rPr>
          <w:spacing w:val="0"/>
        </w:rPr>
      </w:pPr>
      <w:r>
        <w:rPr>
          <w:spacing w:val="0"/>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83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any downgrades to our credit rating or placement on a negative watch status by a credit rating agency; </w:t>
            </w:r>
          </w:p>
        </w:tc>
      </w:tr>
    </w:tbl>
    <w:p>
      <w:pPr>
        <w:pStyle w:val="TextBody"/>
        <w:bidi w:val="0"/>
        <w:spacing w:before="0" w:after="0"/>
        <w:jc w:val="left"/>
        <w:rPr>
          <w:spacing w:val="0"/>
        </w:rPr>
      </w:pPr>
      <w:r>
        <w:rPr>
          <w:spacing w:val="0"/>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5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departure of the Adviser’s or any of its affiliates’ key personnel; </w:t>
            </w:r>
          </w:p>
        </w:tc>
      </w:tr>
    </w:tbl>
    <w:p>
      <w:pPr>
        <w:pStyle w:val="TextBody"/>
        <w:bidi w:val="0"/>
        <w:spacing w:before="0" w:after="0"/>
        <w:jc w:val="left"/>
        <w:rPr>
          <w:spacing w:val="0"/>
        </w:rPr>
      </w:pPr>
      <w:r>
        <w:rPr>
          <w:spacing w:val="0"/>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5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operating performance of companies comparable to us; </w:t>
            </w:r>
          </w:p>
        </w:tc>
      </w:tr>
    </w:tbl>
    <w:p>
      <w:pPr>
        <w:pStyle w:val="TextBody"/>
        <w:bidi w:val="0"/>
        <w:spacing w:before="0" w:after="0"/>
        <w:jc w:val="left"/>
        <w:rPr>
          <w:spacing w:val="0"/>
        </w:rPr>
      </w:pPr>
      <w:r>
        <w:rPr>
          <w:spacing w:val="0"/>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9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short-selling pressure with respect to shares of our common stock or BDCs generally;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future sales of our securities convertible into or exchangeable or exercisable for our common stock or the conversion of such securities; </w:t>
            </w:r>
          </w:p>
        </w:tc>
      </w:tr>
    </w:tbl>
    <w:p>
      <w:pPr>
        <w:pStyle w:val="TextBody"/>
        <w:bidi w:val="0"/>
        <w:spacing w:before="0" w:after="0"/>
        <w:jc w:val="left"/>
        <w:rPr>
          <w:spacing w:val="0"/>
        </w:rPr>
      </w:pPr>
      <w:r>
        <w:rPr>
          <w:spacing w:val="0"/>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uncertainty surrounding the strength of the U.S. economy; </w:t>
            </w:r>
          </w:p>
        </w:tc>
      </w:tr>
    </w:tbl>
    <w:p>
      <w:pPr>
        <w:pStyle w:val="TextBody"/>
        <w:bidi w:val="0"/>
        <w:spacing w:before="0" w:after="0"/>
        <w:jc w:val="left"/>
        <w:rPr>
          <w:spacing w:val="0"/>
        </w:rPr>
      </w:pPr>
      <w:r>
        <w:rPr>
          <w:spacing w:val="0"/>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6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concerns regarding European sovereign debt and Brexit; </w:t>
            </w:r>
          </w:p>
        </w:tc>
      </w:tr>
    </w:tbl>
    <w:p>
      <w:pPr>
        <w:pStyle w:val="TextBody"/>
        <w:bidi w:val="0"/>
        <w:spacing w:before="0" w:after="0"/>
        <w:jc w:val="left"/>
        <w:rPr>
          <w:spacing w:val="0"/>
        </w:rPr>
      </w:pPr>
      <w:r>
        <w:rPr>
          <w:spacing w:val="0"/>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5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concerns regarding volatility in the Chinese stock market and Chinese currency; </w:t>
            </w:r>
          </w:p>
        </w:tc>
      </w:tr>
    </w:tbl>
    <w:p>
      <w:pPr>
        <w:pStyle w:val="TextBody"/>
        <w:bidi w:val="0"/>
        <w:spacing w:before="0" w:after="0"/>
        <w:jc w:val="left"/>
        <w:rPr>
          <w:spacing w:val="0"/>
        </w:rPr>
      </w:pPr>
      <w:r>
        <w:rPr>
          <w:spacing w:val="0"/>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8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concerns regarding U.S. and global tariffs and trade policy;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impact of the large-scale invasion of Ukraine by Russia that began in February 2022, related sanctions and other potential retaliatory actions or responses; </w:t>
            </w:r>
          </w:p>
        </w:tc>
      </w:tr>
    </w:tbl>
    <w:p>
      <w:pPr>
        <w:pStyle w:val="TextBody"/>
        <w:bidi w:val="0"/>
        <w:spacing w:before="0" w:after="0"/>
        <w:jc w:val="left"/>
        <w:rPr>
          <w:spacing w:val="0"/>
        </w:rPr>
      </w:pPr>
      <w:r>
        <w:rPr>
          <w:spacing w:val="0"/>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6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fluctuations in base interest rates, such as LIBOR, SOFR, EURIBOR, SONIA, the Federal Funds Rate or the Prime Rate; </w:t>
            </w:r>
          </w:p>
        </w:tc>
      </w:tr>
    </w:tbl>
    <w:p>
      <w:pPr>
        <w:pStyle w:val="TextBody"/>
        <w:bidi w:val="0"/>
        <w:spacing w:before="0" w:after="0"/>
        <w:jc w:val="left"/>
        <w:rPr>
          <w:spacing w:val="0"/>
        </w:rPr>
      </w:pPr>
      <w:r>
        <w:rPr>
          <w:spacing w:val="0"/>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impact of public health epidemics on the global economy, such as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COVID-19</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pandemic and its worldwide impact; </w:t>
            </w:r>
          </w:p>
        </w:tc>
      </w:tr>
    </w:tbl>
    <w:p>
      <w:pPr>
        <w:pStyle w:val="TextBody"/>
        <w:bidi w:val="0"/>
        <w:spacing w:before="0" w:after="0"/>
        <w:jc w:val="left"/>
        <w:rPr>
          <w:spacing w:val="0"/>
        </w:rPr>
      </w:pPr>
      <w:r>
        <w:rPr>
          <w:spacing w:val="0"/>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5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general economic trends and other external factors; and </w:t>
            </w:r>
          </w:p>
        </w:tc>
      </w:tr>
    </w:tbl>
    <w:p>
      <w:pPr>
        <w:pStyle w:val="TextBody"/>
        <w:bidi w:val="0"/>
        <w:spacing w:before="0" w:after="0"/>
        <w:jc w:val="left"/>
        <w:rPr>
          <w:spacing w:val="0"/>
        </w:rPr>
      </w:pPr>
      <w:r>
        <w:rPr>
          <w:spacing w:val="0"/>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25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loss of a major funding source.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cannot assure you that the market price of shares of our common stock will not decline.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closed-end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investment companies, including BDCs, frequently trade at a discount from their net asset value and our stock may also be discounted in the market. This characteristic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closed-end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investment companies is separate and distinct from the risk that our net asset value per share of common stock may decline. In the past, shares of BDCs, including at times shares of our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p>
    <w:p>
      <w:pPr>
        <w:pStyle w:val="TextBody"/>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Risk Factors—Risks Related to Our Business and Structure—Regulations governing our operation as a BDC affect our ability to, and the way in which we, raise additional capital”</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Part I, Item 1A of our 2022 Annual Report.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Sales of substantial amounts of our common stock in the public market may have an adverse effect on the market price of our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stockholders will experience dilution in their ownership percentage if they opt out of our dividend reinvestment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p>
    <w:p>
      <w:pPr>
        <w:pStyle w:val="TextBody"/>
        <w:bidi w:val="0"/>
        <w:spacing w:before="12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ITEM 1. BUSINESS—Dividend Policy</w:t>
      </w:r>
    </w:p>
    <w:p>
      <w:pPr>
        <w:pStyle w:val="TextBody"/>
        <w:bidi w:val="0"/>
        <w:spacing w:before="120" w:after="0"/>
        <w:jc w:val="left"/>
        <w:rPr>
          <w:spacing w:val="0"/>
        </w:rPr>
      </w:pPr>
      <w:r>
        <w:rPr>
          <w:spacing w:val="0"/>
        </w:rPr>
        <w:t xml:space="preserve">” </w:t>
      </w:r>
      <w:r>
        <w:rPr>
          <w:rFonts w:ascii="Times New Roman" w:hAnsi="Times New Roman"/>
          <w:spacing w:val="0"/>
          <w:sz w:val="20"/>
        </w:rPr>
        <w:t>and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ITEM 1. BUSINESS—Dividend Reinvestment Plan</w:t>
      </w:r>
    </w:p>
    <w:p>
      <w:pPr>
        <w:pStyle w:val="TextBody"/>
        <w:bidi w:val="0"/>
        <w:spacing w:before="120" w:after="0"/>
        <w:jc w:val="left"/>
        <w:rPr>
          <w:spacing w:val="0"/>
        </w:rPr>
      </w:pPr>
      <w:r>
        <w:rPr>
          <w:spacing w:val="0"/>
        </w:rPr>
        <w:t xml:space="preserve">” </w:t>
      </w:r>
      <w:r>
        <w:rPr>
          <w:rFonts w:ascii="Times New Roman" w:hAnsi="Times New Roman"/>
          <w:spacing w:val="0"/>
          <w:sz w:val="20"/>
        </w:rPr>
        <w:t xml:space="preserve">of our 2022 Annual Report for a description of our dividend policy and obligations.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Purchases of our common stock by us under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10b5-1</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Plan may result in the price of our common stock being higher than the price that otherwise might exist in the open market.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entered into an agreement with Goldman Sachs &amp; Co. LLC, which we refer to as the Company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 Plan,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accordance with </w:t>
      </w:r>
    </w:p>
    <w:p>
      <w:pPr>
        <w:pStyle w:val="TextBody"/>
        <w:bidi w:val="0"/>
        <w:spacing w:before="120" w:after="0"/>
        <w:jc w:val="left"/>
        <w:rPr>
          <w:rFonts w:ascii="Times New Roman" w:hAnsi="Times New Roman"/>
          <w:spacing w:val="0"/>
          <w:sz w:val="20"/>
        </w:rPr>
      </w:pPr>
      <w:r>
        <w:rPr>
          <w:rFonts w:ascii="Times New Roman" w:hAnsi="Times New Roman"/>
          <w:spacing w:val="0"/>
          <w:sz w:val="20"/>
        </w:rPr>
        <w:t>Rules 10b5-1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10b-18</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under the Exchange Act, under which Goldman Sachs &amp; Co. LLC, as agent for us, may buy up to $50 million of our common stock in the aggregate during the period ending on the earlier of the date on which all the capital committed to the plan has been exhausted or May 31,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Whether purchases will be made under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Purchases of our common stock by us under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10b5-1</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Plan may result in dilution to our net asset value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Plan, the agent will increase the volume of purchases made as the price of our common stock declines, subject to volume restrictions.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a result of any such dilution, our market price per share may decline. The actual dilutive effect will depend on the number of shares of common stock that could be so repurchased, the price and the timing of any repurchases under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Plan.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FEES AND EXPENSES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4,500,000 shares of common stock in the offering at the May 9, 2023 closing price of $18.19 and that the underwriters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supplement or the accompanying prospectus contains a reference to fees or expenses paid by “us,” the “Company” or “Sixth Street Specialty Lending, Inc.”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or</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says that “we” will pay fees or expenses, stockholders will indirectly bear these fees or expenses as investors in Sixth Street Specialty Lending, Inc. </w:t>
      </w:r>
    </w:p>
    <w:p>
      <w:pPr>
        <w:pStyle w:val="TextBody"/>
        <w:bidi w:val="0"/>
        <w:spacing w:before="0" w:after="0"/>
        <w:ind w:left="0" w:right="0" w:hanging="0"/>
        <w:jc w:val="left"/>
        <w:rPr>
          <w:spacing w:val="0"/>
          <w:shd w:fill="FFFFFF" w:val="clear"/>
        </w:rPr>
      </w:pPr>
      <w:r>
        <w:rPr>
          <w:spacing w:val="0"/>
          <w:shd w:fill="FFFFFF" w:val="clear"/>
        </w:rPr>
        <w:t> </w:t>
      </w:r>
    </w:p>
    <w:tbl>
      <w:tblPr>
        <w:tblW w:w="8910" w:type="dxa"/>
        <w:jc w:val="left"/>
        <w:tblInd w:w="0" w:type="dxa"/>
        <w:tblLayout w:type="fixed"/>
        <w:tblCellMar>
          <w:top w:w="0" w:type="dxa"/>
          <w:left w:w="0" w:type="dxa"/>
          <w:bottom w:w="0" w:type="dxa"/>
          <w:right w:w="0" w:type="dxa"/>
        </w:tblCellMar>
      </w:tblPr>
      <w:tblGrid>
        <w:gridCol w:w="7925"/>
        <w:gridCol w:w="120"/>
        <w:gridCol w:w="60"/>
        <w:gridCol w:w="560"/>
        <w:gridCol w:w="245"/>
      </w:tblGrid>
      <w:tr>
        <w:trPr/>
        <w:tc>
          <w:tcPr>
            <w:tcW w:w="7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9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 (as a percentage of the May 9, 2023 closing price of $18.19):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right"/>
              <w:rPr>
                <w:spacing w:val="0"/>
              </w:rPr>
            </w:pPr>
            <w:r>
              <w:rPr>
                <w:spacing w:val="0"/>
              </w:rPr>
              <w:t>1.484</w:t>
            </w:r>
          </w:p>
        </w:tc>
        <w:tc>
          <w:tcPr>
            <w:tcW w:w="245" w:type="dxa"/>
            <w:tcBorders/>
            <w:vAlign w:val="center"/>
          </w:tcPr>
          <w:p>
            <w:pPr>
              <w:pStyle w:val="TableContents"/>
              <w:bidi w:val="0"/>
              <w:spacing w:before="0" w:after="0"/>
              <w:jc w:val="left"/>
              <w:rPr>
                <w:spacing w:val="0"/>
              </w:rPr>
            </w:pPr>
            <w:r>
              <w:rPr>
                <w:spacing w:val="0"/>
              </w:rPr>
              <w:t>%</w:t>
            </w:r>
          </w:p>
          <w:p>
            <w:pPr>
              <w:pStyle w:val="TableContents"/>
              <w:bidi w:val="0"/>
              <w:spacing w:before="0" w:after="0"/>
              <w:jc w:val="left"/>
              <w:rPr>
                <w:spacing w:val="0"/>
                <w:sz w:val="12"/>
              </w:rPr>
            </w:pPr>
            <w:r>
              <w:rPr>
                <w:spacing w:val="0"/>
                <w:sz w:val="12"/>
              </w:rPr>
              <w:t>(1)</w:t>
            </w:r>
          </w:p>
          <w:p>
            <w:pPr>
              <w:pStyle w:val="TableContents"/>
              <w:bidi w:val="0"/>
              <w:spacing w:before="0" w:after="0"/>
              <w:jc w:val="left"/>
              <w:rPr>
                <w:spacing w:val="0"/>
              </w:rPr>
            </w:pPr>
            <w:r>
              <w:rPr>
                <w:spacing w:val="0"/>
              </w:rPr>
              <w:t> </w:t>
            </w:r>
          </w:p>
        </w:tc>
      </w:tr>
      <w:tr>
        <w:trPr/>
        <w:tc>
          <w:tcPr>
            <w:tcW w:w="7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0"/>
              <w:jc w:val="right"/>
              <w:rPr>
                <w:spacing w:val="0"/>
              </w:rPr>
            </w:pPr>
            <w:r>
              <w:rPr>
                <w:spacing w:val="0"/>
              </w:rPr>
              <w:t>0.611</w:t>
            </w:r>
          </w:p>
        </w:tc>
        <w:tc>
          <w:tcPr>
            <w:tcW w:w="245" w:type="dxa"/>
            <w:tcBorders/>
            <w:shd w:fill="CCEEFF" w:val="clear"/>
            <w:vAlign w:val="center"/>
          </w:tcPr>
          <w:p>
            <w:pPr>
              <w:pStyle w:val="TableContents"/>
              <w:bidi w:val="0"/>
              <w:spacing w:before="0" w:after="0"/>
              <w:jc w:val="left"/>
              <w:rPr>
                <w:spacing w:val="0"/>
              </w:rPr>
            </w:pPr>
            <w:r>
              <w:rPr>
                <w:spacing w:val="0"/>
              </w:rPr>
              <w:t>%</w:t>
            </w:r>
          </w:p>
          <w:p>
            <w:pPr>
              <w:pStyle w:val="TableContents"/>
              <w:bidi w:val="0"/>
              <w:spacing w:before="0" w:after="0"/>
              <w:jc w:val="left"/>
              <w:rPr>
                <w:spacing w:val="0"/>
                <w:sz w:val="12"/>
              </w:rPr>
            </w:pPr>
            <w:r>
              <w:rPr>
                <w:spacing w:val="0"/>
                <w:sz w:val="12"/>
              </w:rPr>
              <w:t>(2)</w:t>
            </w:r>
          </w:p>
          <w:p>
            <w:pPr>
              <w:pStyle w:val="TableContents"/>
              <w:bidi w:val="0"/>
              <w:spacing w:before="0" w:after="0"/>
              <w:jc w:val="left"/>
              <w:rPr>
                <w:spacing w:val="0"/>
              </w:rPr>
            </w:pPr>
            <w:r>
              <w:rPr>
                <w:spacing w:val="0"/>
              </w:rPr>
              <w:t> </w:t>
            </w:r>
          </w:p>
        </w:tc>
      </w:tr>
      <w:tr>
        <w:trPr/>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None</w:t>
            </w:r>
          </w:p>
        </w:tc>
        <w:tc>
          <w:tcPr>
            <w:tcW w:w="245" w:type="dxa"/>
            <w:tcBorders/>
            <w:vAlign w:val="center"/>
          </w:tcPr>
          <w:p>
            <w:pPr>
              <w:pStyle w:val="TableContents"/>
              <w:bidi w:val="0"/>
              <w:spacing w:before="0" w:after="0"/>
              <w:jc w:val="left"/>
              <w:rPr/>
            </w:pPr>
            <w:r>
              <w:rPr/>
              <w:t> </w:t>
            </w:r>
            <w:r>
              <w:rPr>
                <w:sz w:val="12"/>
              </w:rPr>
              <w:t>(3)</w:t>
            </w:r>
          </w:p>
          <w:p>
            <w:pPr>
              <w:pStyle w:val="TableContents"/>
              <w:bidi w:val="0"/>
              <w:spacing w:before="0" w:after="0"/>
              <w:jc w:val="left"/>
              <w:rPr/>
            </w:pPr>
            <w:r>
              <w:rPr/>
              <w:t> </w:t>
            </w:r>
          </w:p>
        </w:tc>
      </w:tr>
    </w:tbl>
    <w:p>
      <w:pPr>
        <w:pStyle w:val="TextBody"/>
        <w:bidi w:val="0"/>
        <w:spacing w:lineRule="atLeast" w:line="142" w:before="0" w:after="0"/>
        <w:jc w:val="left"/>
        <w:rPr>
          <w:spacing w:val="0"/>
          <w:shd w:fill="FFFFFF" w:val="clear"/>
        </w:rPr>
      </w:pPr>
      <w:r>
        <w:rPr>
          <w:spacing w:val="0"/>
          <w:shd w:fill="FFFFFF" w:val="clear"/>
        </w:rPr>
        <w:t> </w:t>
      </w:r>
    </w:p>
    <w:tbl>
      <w:tblPr>
        <w:tblW w:w="8815" w:type="dxa"/>
        <w:jc w:val="left"/>
        <w:tblInd w:w="0" w:type="dxa"/>
        <w:tblLayout w:type="fixed"/>
        <w:tblCellMar>
          <w:top w:w="28" w:type="dxa"/>
          <w:left w:w="28" w:type="dxa"/>
          <w:bottom w:w="28" w:type="dxa"/>
          <w:right w:w="28" w:type="dxa"/>
        </w:tblCellMar>
      </w:tblPr>
      <w:tblGrid>
        <w:gridCol w:w="7411"/>
        <w:gridCol w:w="206"/>
        <w:gridCol w:w="146"/>
        <w:gridCol w:w="646"/>
        <w:gridCol w:w="406"/>
      </w:tblGrid>
      <w:tr>
        <w:trPr/>
        <w:tc>
          <w:tcPr>
            <w:tcW w:w="74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41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Estimated annual expenses (as a percentage of net assets attributable to common stock)</w:t>
            </w:r>
          </w:p>
          <w:p>
            <w:pPr>
              <w:pStyle w:val="TableContents"/>
              <w:bidi w:val="0"/>
              <w:spacing w:before="0" w:after="0"/>
              <w:jc w:val="left"/>
              <w:rPr>
                <w:rFonts w:ascii="Times New Roman" w:hAnsi="Times New Roman"/>
                <w:b/>
                <w:sz w:val="12"/>
              </w:rPr>
            </w:pPr>
            <w:r>
              <w:rPr>
                <w:rFonts w:ascii="Times New Roman" w:hAnsi="Times New Roman"/>
                <w:b/>
                <w:sz w:val="12"/>
              </w:rPr>
              <w:t>(4)</w:t>
            </w:r>
          </w:p>
          <w:p>
            <w:pPr>
              <w:pStyle w:val="TableContents"/>
              <w:bidi w:val="0"/>
              <w:spacing w:before="0" w:after="0"/>
              <w:jc w:val="left"/>
              <w:rPr>
                <w:rFonts w:ascii="Times New Roman" w:hAnsi="Times New Roman"/>
                <w:b/>
                <w:sz w:val="20"/>
              </w:rPr>
            </w:pPr>
            <w:r>
              <w:rPr>
                <w:rFonts w:ascii="Times New Roman" w:hAnsi="Times New Roman"/>
                <w:b/>
                <w:sz w:val="20"/>
              </w:rPr>
              <w:t>:</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r>
      <w:tr>
        <w:trPr/>
        <w:tc>
          <w:tcPr>
            <w:tcW w:w="74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Management Fee payable under the Investment Advisory Agreement</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3.17</w:t>
            </w:r>
          </w:p>
        </w:tc>
        <w:tc>
          <w:tcPr>
            <w:tcW w:w="406"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(5)</w:t>
            </w:r>
          </w:p>
          <w:p>
            <w:pPr>
              <w:pStyle w:val="TableContents"/>
              <w:bidi w:val="0"/>
              <w:spacing w:before="0" w:after="0"/>
              <w:jc w:val="left"/>
              <w:rPr/>
            </w:pPr>
            <w:r>
              <w:rPr/>
              <w:t> </w:t>
            </w:r>
          </w:p>
        </w:tc>
      </w:tr>
      <w:tr>
        <w:trPr/>
        <w:tc>
          <w:tcPr>
            <w:tcW w:w="741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2.80</w:t>
            </w:r>
          </w:p>
        </w:tc>
        <w:tc>
          <w:tcPr>
            <w:tcW w:w="406"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(6)</w:t>
            </w:r>
          </w:p>
          <w:p>
            <w:pPr>
              <w:pStyle w:val="TableContents"/>
              <w:bidi w:val="0"/>
              <w:spacing w:before="0" w:after="0"/>
              <w:jc w:val="left"/>
              <w:rPr/>
            </w:pPr>
            <w:r>
              <w:rPr/>
              <w:t> </w:t>
            </w:r>
          </w:p>
        </w:tc>
      </w:tr>
      <w:tr>
        <w:trPr/>
        <w:tc>
          <w:tcPr>
            <w:tcW w:w="74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7.99</w:t>
            </w:r>
          </w:p>
        </w:tc>
        <w:tc>
          <w:tcPr>
            <w:tcW w:w="406"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(7)</w:t>
            </w:r>
          </w:p>
          <w:p>
            <w:pPr>
              <w:pStyle w:val="TableContents"/>
              <w:bidi w:val="0"/>
              <w:spacing w:before="0" w:after="0"/>
              <w:jc w:val="left"/>
              <w:rPr/>
            </w:pPr>
            <w:r>
              <w:rPr/>
              <w:t> </w:t>
            </w:r>
          </w:p>
        </w:tc>
      </w:tr>
      <w:tr>
        <w:trPr/>
        <w:tc>
          <w:tcPr>
            <w:tcW w:w="741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0.99</w:t>
            </w:r>
          </w:p>
        </w:tc>
        <w:tc>
          <w:tcPr>
            <w:tcW w:w="406"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(8)</w:t>
            </w:r>
          </w:p>
          <w:p>
            <w:pPr>
              <w:pStyle w:val="TableContents"/>
              <w:bidi w:val="0"/>
              <w:spacing w:before="0" w:after="0"/>
              <w:jc w:val="left"/>
              <w:rPr/>
            </w:pPr>
            <w:r>
              <w:rPr/>
              <w:t> </w:t>
            </w:r>
          </w:p>
        </w:tc>
      </w:tr>
      <w:tr>
        <w:trPr/>
        <w:tc>
          <w:tcPr>
            <w:tcW w:w="74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w:t>
            </w:r>
          </w:p>
        </w:tc>
        <w:tc>
          <w:tcPr>
            <w:tcW w:w="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14.94</w:t>
            </w:r>
          </w:p>
        </w:tc>
        <w:tc>
          <w:tcPr>
            <w:tcW w:w="406"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sales load (underwriting discount or commission) with respect to the shares of common stock sold in this offering, which is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fee paid to the underwriters, is the only sales load paid in connection with this offering. </w:t>
            </w:r>
          </w:p>
        </w:tc>
      </w:tr>
    </w:tbl>
    <w:tbl>
      <w:tblPr>
        <w:tblW w:w="5515" w:type="dxa"/>
        <w:jc w:val="left"/>
        <w:tblInd w:w="0" w:type="dxa"/>
        <w:tblLayout w:type="fixed"/>
        <w:tblCellMar>
          <w:top w:w="0" w:type="dxa"/>
          <w:left w:w="0" w:type="dxa"/>
          <w:bottom w:w="0" w:type="dxa"/>
          <w:right w:w="0" w:type="dxa"/>
        </w:tblCellMar>
      </w:tblPr>
      <w:tblGrid>
        <w:gridCol w:w="305"/>
        <w:gridCol w:w="5210"/>
      </w:tblGrid>
      <w:tr>
        <w:trPr/>
        <w:tc>
          <w:tcPr>
            <w:tcW w:w="305" w:type="dxa"/>
            <w:tcBorders/>
            <w:vAlign w:val="center"/>
          </w:tcPr>
          <w:p>
            <w:pPr>
              <w:pStyle w:val="TableContents"/>
              <w:bidi w:val="0"/>
              <w:spacing w:before="0" w:after="283"/>
              <w:jc w:val="left"/>
              <w:rPr/>
            </w:pPr>
            <w:r>
              <w:rPr/>
              <w:t>(2)</w:t>
            </w:r>
          </w:p>
        </w:tc>
        <w:tc>
          <w:tcPr>
            <w:tcW w:w="5210" w:type="dxa"/>
            <w:tcBorders/>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Amount reflects estimated offering expenses of approximately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0.5</w:t>
            </w:r>
          </w:p>
          <w:p>
            <w:pPr>
              <w:pStyle w:val="TableContents"/>
              <w:bidi w:val="0"/>
              <w:spacing w:before="0" w:after="0"/>
              <w:jc w:val="left"/>
              <w:rPr>
                <w:spacing w:val="0"/>
              </w:rPr>
            </w:pPr>
            <w:r>
              <w:rPr>
                <w:spacing w:val="0"/>
              </w:rPr>
              <w:t> </w:t>
            </w:r>
          </w:p>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millio</w:t>
            </w:r>
          </w:p>
          <w:p>
            <w:pPr>
              <w:pStyle w:val="TableContents"/>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w:t>
            </w:r>
          </w:p>
          <w:p>
            <w:pPr>
              <w:pStyle w:val="TableContents"/>
              <w:bidi w:val="0"/>
              <w:spacing w:before="0" w:after="0"/>
              <w:jc w:val="left"/>
              <w:rPr>
                <w:rFonts w:ascii="Times New Roman" w:hAnsi="Times New Roman"/>
                <w:sz w:val="20"/>
              </w:rPr>
            </w:pPr>
            <w:r>
              <w:rPr>
                <w:rFonts w:ascii="Times New Roman" w:hAnsi="Times New Roman"/>
                <w:sz w:val="20"/>
              </w:rPr>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in the accompanying prospectus.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(4)</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$1,356.0 million as of March 31, 2023.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 Advisory Agreement must be submitted to stockholders for approval. See “Management Agreements” in Part I, Item 1 of our 2022 Annual Report and in Note 3 to our consolidated financial statements in our 2022 Annual Report and 1Q 2023 Quarterly Report.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Management Fee reflected in the table is calculated by determining the ratio that the Management Fee for the three months ended March 31, 2023 bears to our net assets attributable to common stock (rather than our gross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From time to time, our Adviser voluntarily has waived certain Management Fees. See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Management’s Discussion and Analysis of Financial Condition and Results of Operations—Results of Operations—Management Fees</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in Part II, Item 2 of our 1Q 2023 Quarterly Report. The above estimates are based on our actual Management Fees for the three months ended March 31, 2023. For the three months ended March 31, 2023, Management Fees of $0.3 million were waived consisting solely of Management Fees pursuant to the Leverage Waiver.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pacing w:val="0"/>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$0.3 million for the three months ended March 31, 2023 pursuant to the Leverage Waiver. The Adviser did not waive Management Fees for the three months ended March 31, 2022.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have capital gains and interest income that could result in the payment of an Incentive Fee to the Adviser in the twelve months after the date of this prospectus supplement. The Incentive Fee payable in the example below is based upon our actual results for the three months ended March 31, 2023 and assumes that the Incentive Fee is 17.5% for all relevant periods. However, the Incentive Fee payable to the Adviser is based on our performance and will not be paid unless we achieve certain goals.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Incentive Fee consists of two parts, as follows: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first component, payable at the end of each quarter in arrears, equals 100%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a 1.5% quarterly “hurdle rate,” the calculation of which is further explained below, until the Adviser has received 17.5% of the 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for that quarter and,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1.82% quarterly, 17.5% of all remaining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for that quarter. The 100% </w:t>
            </w:r>
          </w:p>
          <w:p>
            <w:pPr>
              <w:pStyle w:val="TableContents"/>
              <w:bidi w:val="0"/>
              <w:spacing w:before="0" w:after="0"/>
              <w:jc w:val="left"/>
              <w:rPr>
                <w:spacing w:val="0"/>
              </w:rPr>
            </w:pPr>
            <w:r>
              <w:rPr>
                <w:spacing w:val="0"/>
              </w:rPr>
              <w:t>“</w:t>
            </w:r>
            <w:r>
              <w:rPr>
                <w:rFonts w:ascii="Times New Roman" w:hAnsi="Times New Roman"/>
                <w:spacing w:val="0"/>
                <w:sz w:val="20"/>
              </w:rPr>
              <w:t>catch-up”</w:t>
            </w:r>
          </w:p>
          <w:p>
            <w:pPr>
              <w:pStyle w:val="TableContents"/>
              <w:bidi w:val="0"/>
              <w:spacing w:before="0" w:after="0"/>
              <w:jc w:val="left"/>
              <w:rPr>
                <w:rFonts w:ascii="Times New Roman" w:hAnsi="Times New Roman"/>
                <w:sz w:val="20"/>
              </w:rPr>
            </w:pPr>
            <w:r>
              <w:rPr>
                <w:rFonts w:ascii="Times New Roman" w:hAnsi="Times New Roman"/>
                <w:sz w:val="20"/>
              </w:rPr>
              <w:t xml:space="preserve">provision for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the 1.5% “hurdle rate” is intended to provide the Adviser with an Incentive Fee of 17.5% on all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when that amount equals 1.82% in a quarter (7.28% annualized), which is the rate at which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catch-up</w:t>
            </w:r>
          </w:p>
          <w:p>
            <w:pPr>
              <w:pStyle w:val="TableContents"/>
              <w:bidi w:val="0"/>
              <w:spacing w:before="0" w:after="0"/>
              <w:jc w:val="left"/>
              <w:rPr>
                <w:rFonts w:ascii="Times New Roman" w:hAnsi="Times New Roman"/>
                <w:sz w:val="20"/>
              </w:rPr>
            </w:pPr>
            <w:r>
              <w:rPr>
                <w:rFonts w:ascii="Times New Roman" w:hAnsi="Times New Roman"/>
                <w:sz w:val="20"/>
              </w:rPr>
              <w:t xml:space="preserve">is achieved. Once the “hurdle rate” is reached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catch-up</w:t>
            </w:r>
          </w:p>
          <w:p>
            <w:pPr>
              <w:pStyle w:val="TableContents"/>
              <w:bidi w:val="0"/>
              <w:spacing w:before="0" w:after="0"/>
              <w:jc w:val="left"/>
              <w:rPr>
                <w:rFonts w:ascii="Times New Roman" w:hAnsi="Times New Roman"/>
                <w:sz w:val="20"/>
              </w:rPr>
            </w:pPr>
            <w:r>
              <w:rPr>
                <w:rFonts w:ascii="Times New Roman" w:hAnsi="Times New Roman"/>
                <w:sz w:val="20"/>
              </w:rPr>
              <w:t xml:space="preserve">is achieved, 17.5% of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pre-Incentive</w:t>
            </w:r>
          </w:p>
          <w:p>
            <w:pPr>
              <w:pStyle w:val="TableContents"/>
              <w:bidi w:val="0"/>
              <w:spacing w:before="0" w:after="0"/>
              <w:jc w:val="left"/>
              <w:rPr>
                <w:rFonts w:ascii="Times New Roman" w:hAnsi="Times New Roman"/>
                <w:sz w:val="20"/>
              </w:rPr>
            </w:pPr>
            <w:r>
              <w:rPr>
                <w:rFonts w:ascii="Times New Roman" w:hAnsi="Times New Roman"/>
                <w:sz w:val="20"/>
              </w:rPr>
              <w:t xml:space="preserve">Fee net investment income in excess of 1.82% in any quarter is payable to the Adviser. </w:t>
            </w:r>
          </w:p>
        </w:tc>
      </w:tr>
    </w:tbl>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includes, in the case of investments with a deferred interest feature (such as original issue discount, debt instruments with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pay-in-kind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interest and zero coupon securities), accrued income that we may not have received in cash.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does not include any realized capital gains, realized capital losses or unrealized capital gains or losses.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 remaining investments that were made prior to April 1, 2014, and as a result, the Incentive Fee rate of 17.5% is applicable to any future realized capital gains.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purposes of determining whether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exceeds the hurdle rate,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is expressed as a rate of return on the value of our net assets at the end of the immediately preceding calendar quarter.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pre-Incentive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pacing w:val="0"/>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See Note 3 to our consolidated financial statements in our 1Q 2023 Quarterly Report and “Agreements and Related Party Transactions— Administration Agreement; Investment Advisory Agreement;” in Part I, Item 1 of our 1Q 2023 Quarterly Report.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From time to time, our Adviser has voluntarily waived certain Incentive Fees. See “Management’s Discussion and Analysis of Financial Condition and Results of Operations—Results of Operations—Incentive Fees” in Part II, Item 2 of our 1Q 2023 Quarterly Report. The above estimates do not reflect or assume any such waivers.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three months ended March 31, 2023 under our credit facilities excluding fees (such as fees on undrawn amounts and amortization of upfront fees) and including the swap-adjusted interest expense related to our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Our stockholders indirectly bear the costs of borrowings under any debt instruments we may enter into.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(8)</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“Agreements and Related Party Transactions— Administration Agreement; Investment Advisory Agreement;” in Part I, Item 1 of our 1Q 2023 Quarterly Report and Note 3 to our consolidated financial statements in our 1Q 2023 Annual Report. The expenses in this table are based on our actual other expenses and excise taxes for the year ended March 31, 2023.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Example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480"/>
        <w:gridCol w:w="120"/>
        <w:gridCol w:w="227"/>
        <w:gridCol w:w="423"/>
        <w:gridCol w:w="60"/>
        <w:gridCol w:w="120"/>
        <w:gridCol w:w="199"/>
        <w:gridCol w:w="541"/>
        <w:gridCol w:w="60"/>
        <w:gridCol w:w="120"/>
        <w:gridCol w:w="199"/>
        <w:gridCol w:w="541"/>
        <w:gridCol w:w="60"/>
        <w:gridCol w:w="120"/>
        <w:gridCol w:w="231"/>
        <w:gridCol w:w="629"/>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742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S-11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pacing w:val="0"/>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estimate that the net proceeds we will receive from the sale of 4,500,000 shares of our common stock in this offering will be approximately $77.5 million (or approximately $89.2 million if the underwriters fully exercise their option to purchase additional shares), in each case after deducting the underwriting discounts and commissions and estimated offering expenses payable by us.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intend to use 100% of the net proceeds of this offering to pay down a portion of the outstanding indebtedness on the Revolving Credit Facility on or about the date of the closing of this offering. As of March 31, 2023, aggregate commitments under the facility were $1.585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April 23, 2027 with respect to $1.510 billion of commitments, January 31, 2025 for $25.0 million of commitments, and February 4, 2026 for $50.0 million of commitments. As of March 31, 2023, amounts drawn under the facility bear interest at either the applicable reference rate plus an applicable credit spread adjustment, plus a margin of either 1.75% or 1.875%, or the base rate plus a margin of either 0.75% or 0.875%. See “Management’s Discussion and Analysis of Financial Condition and Results of Operations—Financial Condition, Liquidity and Capital Resources—Revolving Credit Facility” in Part II, Item 2 of our 1Q 2023 Quarterly Report.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S-12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following table sets forth our consolidated capitalization at March 31, 2023. You should read this table together with “Use of Proceeds” described in this prospectus supplement and our most recent balance sheet included in our 1Q 2023 Quarterly Report incorporated by reference in this prospectus supplement. </w:t>
      </w:r>
    </w:p>
    <w:p>
      <w:pPr>
        <w:pStyle w:val="TextBody"/>
        <w:bidi w:val="0"/>
        <w:spacing w:before="0" w:after="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7720"/>
        <w:gridCol w:w="120"/>
        <w:gridCol w:w="274"/>
        <w:gridCol w:w="1921"/>
        <w:gridCol w:w="170"/>
      </w:tblGrid>
      <w:tr>
        <w:trPr/>
        <w:tc>
          <w:tcPr>
            <w:tcW w:w="7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195" w:type="dxa"/>
            <w:gridSpan w:val="2"/>
            <w:tcBorders/>
            <w:vAlign w:val="center"/>
          </w:tcPr>
          <w:p>
            <w:pPr>
              <w:pStyle w:val="TableContents"/>
              <w:bidi w:val="0"/>
              <w:spacing w:before="0" w:after="0"/>
              <w:jc w:val="center"/>
              <w:rPr>
                <w:b/>
                <w:spacing w:val="0"/>
              </w:rPr>
            </w:pPr>
            <w:r>
              <w:rPr>
                <w:b/>
                <w:spacing w:val="0"/>
              </w:rPr>
              <w:t>As of March 31, 2023</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(Amounts in thousands, except share and per share amounts)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0"/>
              <w:jc w:val="left"/>
              <w:rPr>
                <w:spacing w:val="0"/>
              </w:rPr>
            </w:pPr>
            <w:r>
              <w:rPr>
                <w:spacing w:val="0"/>
              </w:rPr>
              <w:t>$</w:t>
            </w:r>
          </w:p>
        </w:tc>
        <w:tc>
          <w:tcPr>
            <w:tcW w:w="1921" w:type="dxa"/>
            <w:tcBorders/>
            <w:vAlign w:val="center"/>
          </w:tcPr>
          <w:p>
            <w:pPr>
              <w:pStyle w:val="TableContents"/>
              <w:bidi w:val="0"/>
              <w:spacing w:before="0" w:after="0"/>
              <w:jc w:val="right"/>
              <w:rPr>
                <w:spacing w:val="0"/>
              </w:rPr>
            </w:pPr>
            <w:r>
              <w:rPr>
                <w:spacing w:val="0"/>
              </w:rPr>
              <w:t>25,737</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Debt</w:t>
            </w:r>
          </w:p>
          <w:p>
            <w:pPr>
              <w:pStyle w:val="TableContents"/>
              <w:bidi w:val="0"/>
              <w:spacing w:before="0" w:after="0"/>
              <w:jc w:val="left"/>
              <w:rPr>
                <w:rFonts w:ascii="Times New Roman" w:hAnsi="Times New Roman"/>
                <w:b/>
                <w:spacing w:val="0"/>
                <w:sz w:val="12"/>
              </w:rPr>
            </w:pPr>
            <w:r>
              <w:rPr>
                <w:rFonts w:ascii="Times New Roman" w:hAnsi="Times New Roman"/>
                <w:b/>
                <w:spacing w:val="0"/>
                <w:sz w:val="12"/>
              </w:rPr>
              <w:t>(1)</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Revolving Credit Facility</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0"/>
              <w:jc w:val="left"/>
              <w:rPr>
                <w:spacing w:val="0"/>
              </w:rPr>
            </w:pPr>
            <w:r>
              <w:rPr>
                <w:spacing w:val="0"/>
              </w:rPr>
              <w:t> </w:t>
            </w:r>
          </w:p>
        </w:tc>
        <w:tc>
          <w:tcPr>
            <w:tcW w:w="1921" w:type="dxa"/>
            <w:tcBorders/>
            <w:vAlign w:val="center"/>
          </w:tcPr>
          <w:p>
            <w:pPr>
              <w:pStyle w:val="TableContents"/>
              <w:bidi w:val="0"/>
              <w:spacing w:before="0" w:after="0"/>
              <w:jc w:val="right"/>
              <w:rPr>
                <w:spacing w:val="0"/>
              </w:rPr>
            </w:pPr>
            <w:r>
              <w:rPr>
                <w:spacing w:val="0"/>
              </w:rPr>
              <w:t>981,889</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2024 Notes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0"/>
              <w:jc w:val="left"/>
              <w:rPr>
                <w:spacing w:val="0"/>
              </w:rPr>
            </w:pPr>
            <w:r>
              <w:rPr>
                <w:spacing w:val="0"/>
              </w:rPr>
              <w:t> </w:t>
            </w:r>
          </w:p>
        </w:tc>
        <w:tc>
          <w:tcPr>
            <w:tcW w:w="1921" w:type="dxa"/>
            <w:tcBorders/>
            <w:shd w:fill="CCEEFF" w:val="clear"/>
            <w:vAlign w:val="center"/>
          </w:tcPr>
          <w:p>
            <w:pPr>
              <w:pStyle w:val="TableContents"/>
              <w:bidi w:val="0"/>
              <w:spacing w:before="0" w:after="0"/>
              <w:jc w:val="right"/>
              <w:rPr>
                <w:spacing w:val="0"/>
              </w:rPr>
            </w:pPr>
            <w:r>
              <w:rPr>
                <w:spacing w:val="0"/>
              </w:rPr>
              <w:t>347,500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 Notes</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0"/>
              <w:jc w:val="left"/>
              <w:rPr>
                <w:spacing w:val="0"/>
              </w:rPr>
            </w:pPr>
            <w:r>
              <w:rPr>
                <w:spacing w:val="0"/>
              </w:rPr>
              <w:t> </w:t>
            </w:r>
          </w:p>
        </w:tc>
        <w:tc>
          <w:tcPr>
            <w:tcW w:w="1921" w:type="dxa"/>
            <w:tcBorders/>
            <w:vAlign w:val="center"/>
          </w:tcPr>
          <w:p>
            <w:pPr>
              <w:pStyle w:val="TableContents"/>
              <w:bidi w:val="0"/>
              <w:spacing w:before="0" w:after="0"/>
              <w:jc w:val="right"/>
              <w:rPr>
                <w:spacing w:val="0"/>
              </w:rPr>
            </w:pPr>
            <w:r>
              <w:rPr>
                <w:spacing w:val="0"/>
              </w:rPr>
              <w:t>300,000</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Debt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0"/>
              <w:jc w:val="left"/>
              <w:rPr>
                <w:spacing w:val="0"/>
              </w:rPr>
            </w:pPr>
            <w:r>
              <w:rPr>
                <w:spacing w:val="0"/>
              </w:rPr>
              <w:t> </w:t>
            </w:r>
          </w:p>
        </w:tc>
        <w:tc>
          <w:tcPr>
            <w:tcW w:w="1921" w:type="dxa"/>
            <w:tcBorders/>
            <w:shd w:fill="CCEEFF" w:val="clear"/>
            <w:vAlign w:val="center"/>
          </w:tcPr>
          <w:p>
            <w:pPr>
              <w:pStyle w:val="TableContents"/>
              <w:bidi w:val="0"/>
              <w:spacing w:before="0" w:after="0"/>
              <w:jc w:val="right"/>
              <w:rPr>
                <w:spacing w:val="0"/>
              </w:rPr>
            </w:pPr>
            <w:r>
              <w:rPr>
                <w:spacing w:val="0"/>
              </w:rPr>
              <w:t>1,629,389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Stockholders’ Equity</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$0.01 par value; 100,000,000 shares authorized; no shares issued and outstanding</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0"/>
              <w:jc w:val="left"/>
              <w:rPr>
                <w:spacing w:val="0"/>
              </w:rPr>
            </w:pPr>
            <w:r>
              <w:rPr>
                <w:spacing w:val="0"/>
              </w:rPr>
              <w:t>$</w:t>
            </w:r>
          </w:p>
        </w:tc>
        <w:tc>
          <w:tcPr>
            <w:tcW w:w="1921" w:type="dxa"/>
            <w:tcBorders/>
            <w:shd w:fill="CCEEFF" w:val="clear"/>
            <w:vAlign w:val="center"/>
          </w:tcPr>
          <w:p>
            <w:pPr>
              <w:pStyle w:val="TableContents"/>
              <w:bidi w:val="0"/>
              <w:spacing w:before="0" w:after="0"/>
              <w:jc w:val="right"/>
              <w:rPr>
                <w:spacing w:val="0"/>
              </w:rPr>
            </w:pPr>
            <w:r>
              <w:rPr>
                <w:spacing w:val="0"/>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$0.01 par value; 400,000,000 shares authorized; 82,416,115 shares issued and 81,751,865 shares outstanding</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0"/>
              <w:jc w:val="left"/>
              <w:rPr>
                <w:spacing w:val="0"/>
              </w:rPr>
            </w:pPr>
            <w:r>
              <w:rPr>
                <w:spacing w:val="0"/>
              </w:rPr>
              <w:t> </w:t>
            </w:r>
          </w:p>
        </w:tc>
        <w:tc>
          <w:tcPr>
            <w:tcW w:w="1921" w:type="dxa"/>
            <w:tcBorders/>
            <w:vAlign w:val="center"/>
          </w:tcPr>
          <w:p>
            <w:pPr>
              <w:pStyle w:val="TableContents"/>
              <w:bidi w:val="0"/>
              <w:spacing w:before="0" w:after="0"/>
              <w:jc w:val="right"/>
              <w:rPr>
                <w:spacing w:val="0"/>
              </w:rPr>
            </w:pPr>
            <w:r>
              <w:rPr>
                <w:spacing w:val="0"/>
              </w:rPr>
              <w:t>824</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capital</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0"/>
              <w:jc w:val="left"/>
              <w:rPr>
                <w:spacing w:val="0"/>
              </w:rPr>
            </w:pPr>
            <w:r>
              <w:rPr>
                <w:spacing w:val="0"/>
              </w:rPr>
              <w:t> </w:t>
            </w:r>
          </w:p>
        </w:tc>
        <w:tc>
          <w:tcPr>
            <w:tcW w:w="1921" w:type="dxa"/>
            <w:tcBorders/>
            <w:shd w:fill="CCEEFF" w:val="clear"/>
            <w:vAlign w:val="center"/>
          </w:tcPr>
          <w:p>
            <w:pPr>
              <w:pStyle w:val="TableContents"/>
              <w:bidi w:val="0"/>
              <w:spacing w:before="0" w:after="0"/>
              <w:jc w:val="right"/>
              <w:rPr>
                <w:spacing w:val="0"/>
              </w:rPr>
            </w:pPr>
            <w:r>
              <w:rPr>
                <w:spacing w:val="0"/>
              </w:rPr>
              <w:t>1,300,593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Treasury stock at cost, 664,250 shares</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0"/>
              <w:jc w:val="left"/>
              <w:rPr>
                <w:spacing w:val="0"/>
              </w:rPr>
            </w:pPr>
            <w:r>
              <w:rPr>
                <w:spacing w:val="0"/>
              </w:rPr>
              <w:t> </w:t>
            </w:r>
          </w:p>
        </w:tc>
        <w:tc>
          <w:tcPr>
            <w:tcW w:w="1921" w:type="dxa"/>
            <w:tcBorders/>
            <w:vAlign w:val="center"/>
          </w:tcPr>
          <w:p>
            <w:pPr>
              <w:pStyle w:val="TableContents"/>
              <w:bidi w:val="0"/>
              <w:spacing w:before="0" w:after="0"/>
              <w:jc w:val="right"/>
              <w:rPr>
                <w:spacing w:val="0"/>
              </w:rPr>
            </w:pPr>
            <w:r>
              <w:rPr>
                <w:spacing w:val="0"/>
              </w:rPr>
              <w:t>(10,459</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Distributable earnings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0"/>
              <w:jc w:val="left"/>
              <w:rPr>
                <w:spacing w:val="0"/>
              </w:rPr>
            </w:pPr>
            <w:r>
              <w:rPr>
                <w:spacing w:val="0"/>
              </w:rPr>
              <w:t> </w:t>
            </w:r>
          </w:p>
        </w:tc>
        <w:tc>
          <w:tcPr>
            <w:tcW w:w="1921" w:type="dxa"/>
            <w:tcBorders/>
            <w:shd w:fill="CCEEFF" w:val="clear"/>
            <w:vAlign w:val="center"/>
          </w:tcPr>
          <w:p>
            <w:pPr>
              <w:pStyle w:val="TableContents"/>
              <w:bidi w:val="0"/>
              <w:spacing w:before="0" w:after="0"/>
              <w:jc w:val="right"/>
              <w:rPr>
                <w:spacing w:val="0"/>
              </w:rPr>
            </w:pPr>
            <w:r>
              <w:rPr>
                <w:spacing w:val="0"/>
              </w:rPr>
              <w:t>65,047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7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vAlign w:val="center"/>
          </w:tcPr>
          <w:p>
            <w:pPr>
              <w:pStyle w:val="TableContents"/>
              <w:bidi w:val="0"/>
              <w:spacing w:before="0" w:after="0"/>
              <w:jc w:val="left"/>
              <w:rPr>
                <w:spacing w:val="0"/>
              </w:rPr>
            </w:pPr>
            <w:r>
              <w:rPr>
                <w:spacing w:val="0"/>
              </w:rPr>
              <w:t>  </w:t>
            </w:r>
          </w:p>
        </w:tc>
        <w:tc>
          <w:tcPr>
            <w:tcW w:w="274" w:type="dxa"/>
            <w:tcBorders/>
            <w:vAlign w:val="center"/>
          </w:tcPr>
          <w:p>
            <w:pPr>
              <w:pStyle w:val="TableContents"/>
              <w:bidi w:val="0"/>
              <w:spacing w:before="0" w:after="0"/>
              <w:jc w:val="left"/>
              <w:rPr>
                <w:spacing w:val="0"/>
              </w:rPr>
            </w:pPr>
            <w:r>
              <w:rPr>
                <w:spacing w:val="0"/>
              </w:rPr>
              <w:t>$</w:t>
            </w:r>
          </w:p>
        </w:tc>
        <w:tc>
          <w:tcPr>
            <w:tcW w:w="1921" w:type="dxa"/>
            <w:tcBorders/>
            <w:vAlign w:val="center"/>
          </w:tcPr>
          <w:p>
            <w:pPr>
              <w:pStyle w:val="TableContents"/>
              <w:bidi w:val="0"/>
              <w:spacing w:before="0" w:after="0"/>
              <w:jc w:val="right"/>
              <w:rPr>
                <w:spacing w:val="0"/>
              </w:rPr>
            </w:pPr>
            <w:r>
              <w:rPr>
                <w:spacing w:val="0"/>
              </w:rPr>
              <w:t>1,356,005</w:t>
            </w:r>
          </w:p>
        </w:tc>
        <w:tc>
          <w:tcPr>
            <w:tcW w:w="170" w:type="dxa"/>
            <w:tcBorders/>
            <w:vAlign w:val="center"/>
          </w:tcPr>
          <w:p>
            <w:pPr>
              <w:pStyle w:val="TableContents"/>
              <w:bidi w:val="0"/>
              <w:spacing w:before="0" w:after="0"/>
              <w:jc w:val="left"/>
              <w:rPr>
                <w:spacing w:val="0"/>
              </w:rPr>
            </w:pPr>
            <w:r>
              <w:rPr>
                <w:spacing w:val="0"/>
              </w:rPr>
              <w:t> </w:t>
            </w:r>
          </w:p>
        </w:tc>
      </w:tr>
      <w:tr>
        <w:trPr/>
        <w:tc>
          <w:tcPr>
            <w:tcW w:w="772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capitalization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4" w:type="dxa"/>
            <w:tcBorders/>
            <w:shd w:fill="CCEEFF" w:val="clear"/>
            <w:vAlign w:val="center"/>
          </w:tcPr>
          <w:p>
            <w:pPr>
              <w:pStyle w:val="TableContents"/>
              <w:bidi w:val="0"/>
              <w:spacing w:before="0" w:after="0"/>
              <w:jc w:val="left"/>
              <w:rPr>
                <w:spacing w:val="0"/>
              </w:rPr>
            </w:pPr>
            <w:r>
              <w:rPr>
                <w:spacing w:val="0"/>
              </w:rPr>
              <w:t>$</w:t>
            </w:r>
          </w:p>
        </w:tc>
        <w:tc>
          <w:tcPr>
            <w:tcW w:w="1921" w:type="dxa"/>
            <w:tcBorders/>
            <w:shd w:fill="CCEEFF" w:val="clear"/>
            <w:vAlign w:val="center"/>
          </w:tcPr>
          <w:p>
            <w:pPr>
              <w:pStyle w:val="TableContents"/>
              <w:bidi w:val="0"/>
              <w:spacing w:before="0" w:after="0"/>
              <w:jc w:val="right"/>
              <w:rPr>
                <w:spacing w:val="0"/>
              </w:rPr>
            </w:pPr>
            <w:r>
              <w:rPr>
                <w:spacing w:val="0"/>
              </w:rPr>
              <w:t>3,011,131</w:t>
            </w:r>
          </w:p>
        </w:tc>
        <w:tc>
          <w:tcPr>
            <w:tcW w:w="170"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shd w:fill="FFFFFF" w:val="clear"/>
        </w:rPr>
      </w:pPr>
      <w:r>
        <w:rPr>
          <w:spacing w:val="0"/>
          <w:shd w:fill="FFFFFF" w:val="clear"/>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0"/>
              <w:jc w:val="left"/>
              <w:rPr>
                <w:spacing w:val="0"/>
              </w:rPr>
            </w:pPr>
            <w:r>
              <w:rPr>
                <w:spacing w:val="0"/>
              </w:rPr>
              <w:t>(1)</w:t>
            </w:r>
          </w:p>
        </w:tc>
        <w:tc>
          <w:tcPr>
            <w:tcW w:w="78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above table reflects the principal amount of indebtedness outstanding as of March 31, 2023. </w:t>
            </w:r>
          </w:p>
        </w:tc>
      </w:tr>
    </w:tbl>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S-13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UNDERWRITING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Wells Fargo Securities,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bidi w:val="0"/>
        <w:spacing w:before="0" w:after="0"/>
        <w:ind w:left="0" w:right="0" w:hanging="0"/>
        <w:jc w:val="left"/>
        <w:rPr>
          <w:spacing w:val="0"/>
          <w:shd w:fill="FFFFFF" w:val="clear"/>
        </w:rPr>
      </w:pPr>
      <w:r>
        <w:rPr>
          <w:spacing w:val="0"/>
          <w:shd w:fill="FFFFFF" w:val="clear"/>
        </w:rPr>
        <w:t> </w:t>
      </w:r>
    </w:p>
    <w:tbl>
      <w:tblPr>
        <w:tblW w:w="4870" w:type="dxa"/>
        <w:jc w:val="left"/>
        <w:tblInd w:w="0" w:type="dxa"/>
        <w:tblLayout w:type="fixed"/>
        <w:tblCellMar>
          <w:top w:w="0" w:type="dxa"/>
          <w:left w:w="0" w:type="dxa"/>
          <w:bottom w:w="0" w:type="dxa"/>
          <w:right w:w="0" w:type="dxa"/>
        </w:tblCellMar>
      </w:tblPr>
      <w:tblGrid>
        <w:gridCol w:w="2795"/>
        <w:gridCol w:w="120"/>
        <w:gridCol w:w="108"/>
        <w:gridCol w:w="1772"/>
        <w:gridCol w:w="7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Underwriter</w:t>
            </w:r>
          </w:p>
        </w:tc>
        <w:tc>
          <w:tcPr>
            <w:tcW w:w="120" w:type="dxa"/>
            <w:tcBorders/>
            <w:vAlign w:val="center"/>
          </w:tcPr>
          <w:p>
            <w:pPr>
              <w:pStyle w:val="TableContents"/>
              <w:bidi w:val="0"/>
              <w:spacing w:before="0" w:after="0"/>
              <w:jc w:val="left"/>
              <w:rPr>
                <w:spacing w:val="0"/>
              </w:rPr>
            </w:pPr>
            <w:r>
              <w:rPr>
                <w:spacing w:val="0"/>
              </w:rPr>
              <w:t>  </w:t>
            </w:r>
          </w:p>
        </w:tc>
        <w:tc>
          <w:tcPr>
            <w:tcW w:w="1880" w:type="dxa"/>
            <w:gridSpan w:val="2"/>
            <w:tcBorders/>
            <w:vAlign w:val="center"/>
          </w:tcPr>
          <w:p>
            <w:pPr>
              <w:pStyle w:val="TableContents"/>
              <w:bidi w:val="0"/>
              <w:spacing w:before="0" w:after="0"/>
              <w:jc w:val="center"/>
              <w:rPr>
                <w:b/>
                <w:spacing w:val="0"/>
              </w:rPr>
            </w:pPr>
            <w:r>
              <w:rPr>
                <w:b/>
                <w:spacing w:val="0"/>
              </w:rPr>
              <w:t>Number of Shares</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Wells Fargo Securities, LLC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967,500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Morgan Stanley &amp; Co. LLC</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967,500</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BofA Securities, Inc.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675,000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RBC Capital Markets, LLC</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450,000</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Keefe, Bruyette &amp; Woods, Inc.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450,</w:t>
            </w:r>
          </w:p>
          <w:p>
            <w:pPr>
              <w:pStyle w:val="TableContents"/>
              <w:bidi w:val="0"/>
              <w:spacing w:before="0" w:after="0"/>
              <w:jc w:val="right"/>
              <w:rPr>
                <w:spacing w:val="0"/>
              </w:rPr>
            </w:pPr>
            <w:r>
              <w:rPr>
                <w:spacing w:val="0"/>
              </w:rPr>
              <w:t>0</w:t>
            </w:r>
          </w:p>
          <w:p>
            <w:pPr>
              <w:pStyle w:val="TableContents"/>
              <w:bidi w:val="0"/>
              <w:spacing w:before="0" w:after="0"/>
              <w:jc w:val="right"/>
              <w:rPr>
                <w:spacing w:val="0"/>
              </w:rPr>
            </w:pPr>
            <w:r>
              <w:rPr>
                <w:spacing w:val="0"/>
              </w:rPr>
              <w:t>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Raymond James &amp; Associates, Inc</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450,000</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Goldman Sachs &amp; Co. LLC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270,000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J.P. Morgan Securities LLC</w:t>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rPr>
            </w:pPr>
            <w:r>
              <w:rPr>
                <w:spacing w:val="0"/>
              </w:rPr>
              <w:t> </w:t>
            </w:r>
          </w:p>
        </w:tc>
        <w:tc>
          <w:tcPr>
            <w:tcW w:w="1772" w:type="dxa"/>
            <w:tcBorders/>
            <w:vAlign w:val="center"/>
          </w:tcPr>
          <w:p>
            <w:pPr>
              <w:pStyle w:val="TableContents"/>
              <w:bidi w:val="0"/>
              <w:spacing w:before="0" w:after="0"/>
              <w:jc w:val="right"/>
              <w:rPr>
                <w:spacing w:val="0"/>
              </w:rPr>
            </w:pPr>
            <w:r>
              <w:rPr>
                <w:spacing w:val="0"/>
              </w:rPr>
              <w:t>270,000</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08" w:type="dxa"/>
            <w:tcBorders/>
            <w:shd w:fill="CCEEFF" w:val="clear"/>
            <w:vAlign w:val="center"/>
          </w:tcPr>
          <w:p>
            <w:pPr>
              <w:pStyle w:val="TableContents"/>
              <w:bidi w:val="0"/>
              <w:spacing w:before="0" w:after="0"/>
              <w:jc w:val="left"/>
              <w:rPr>
                <w:spacing w:val="0"/>
              </w:rPr>
            </w:pPr>
            <w:r>
              <w:rPr>
                <w:spacing w:val="0"/>
              </w:rPr>
              <w:t> </w:t>
            </w:r>
          </w:p>
        </w:tc>
        <w:tc>
          <w:tcPr>
            <w:tcW w:w="1772" w:type="dxa"/>
            <w:tcBorders/>
            <w:shd w:fill="CCEEFF" w:val="clear"/>
            <w:vAlign w:val="center"/>
          </w:tcPr>
          <w:p>
            <w:pPr>
              <w:pStyle w:val="TableContents"/>
              <w:bidi w:val="0"/>
              <w:spacing w:before="0" w:after="0"/>
              <w:jc w:val="right"/>
              <w:rPr>
                <w:spacing w:val="0"/>
              </w:rPr>
            </w:pPr>
            <w:r>
              <w:rPr>
                <w:spacing w:val="0"/>
              </w:rPr>
              <w:t>4,500,000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1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underwriters may offer the shares of common stock from time to time for sale in one or more transactions on the NYSE, in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over-the-counter</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market, through negotiated transactions or otherwise at market prices prevailing at the time of sale, at prices related to prevailing market prices or at negotiated prices.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 </w:t>
      </w:r>
    </w:p>
    <w:p>
      <w:pPr>
        <w:pStyle w:val="TextBody"/>
        <w:widowControl/>
        <w:bidi w:val="0"/>
        <w:spacing w:before="24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expenses of the offering, not including the underwriting discount, are estimated at $0.5 million and are payable by us.</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Underwriters’ Option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have granted the underwriters an option to buy, within 30 days from the date of this prospectus supplement, up to 675,000 additional shares of common stock.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No Sales of Similar Securities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Subject to certain exceptions, we have agreed not to directly or indirectly, (i) offer, pledge, sell, contract to sell, grant any option for the sale of or otherwise transfer or dispose of, directly or indirectly, or file with the SEC a registration statement under the Securities Act relating to, any shares of our common stock or securities convertible into or exchangeable or exercisable for any shares of our common stock (except for any “shelf” registration statements filed by us),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Wells Fargo Securities, LLC for a period of 30 days after the date of this prospectus supplement.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Our Adviser, our directors and certain of our executive officers have entered into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lock-up</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agreements with the underwriters prior to the commencement of this offering pursuant to which each of these persons or entities, with limited exceptions, for a period of 30 days after the date of this prospectus supplement, may not, subject to certain exceptions, without the prior written consent of Wells Fargo Securities,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S-14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NYSE Listing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shares are listed on the NYSE under the symbol “TSLX.”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Price Stabilization, Short Positions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over-the-counter</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market or otherwise.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Electronic Distribution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Other Relationships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non-financial</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S-15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our securities.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intend to use the net proceeds of this offering to pay down a portion of the outstanding indebtedness under the Revolving Credit Facility and for general corporate purposes.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Goldman Sachs &amp; Co. LLC is also acting as our agent for the Company stock repurchase 10b5-1 Plan.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Principal Business Addresses </w:t>
      </w:r>
    </w:p>
    <w:p>
      <w:pPr>
        <w:pStyle w:val="TextBody"/>
        <w:widowControl/>
        <w:bidi w:val="0"/>
        <w:spacing w:before="12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principal business address of Wells Fargo Securities, LLC is 550 South Tryon Street, Charlotte, North Carolina 28202.</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Other Jurisdictions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Notice to Prospective Investors in the Dubai International Financial Centre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or subject to restrictions on their resale. Prospective purchasers of the common stock offered should conduct their own due diligence on the common stock. If you do not understand the contents of this prospectus supplement you should consult an authorized financial advisor.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Notice to Prospective Investors in Hong Kong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common stock has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thereunder.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S-16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Notice to Prospective Investors in Canada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This prospectus constitutes an “exempt offering document” as defined in and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prospectus or on the merits of the shares and any representation to the contrary is an offence.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Canadian investors are advised that this prospectus has been prepared in reliance on section 3A.3 of National Instrument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24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Underwriting Conflicts</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(“NI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Pursuant to section 3A.3 of NI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w:t>
      </w:r>
    </w:p>
    <w:p>
      <w:pPr>
        <w:pStyle w:val="TextBody"/>
        <w:bidi w:val="0"/>
        <w:spacing w:before="240" w:after="0"/>
        <w:jc w:val="left"/>
        <w:rPr>
          <w:rFonts w:ascii="Times New Roman" w:hAnsi="Times New Roman"/>
          <w:b/>
          <w:spacing w:val="0"/>
          <w:sz w:val="20"/>
          <w:shd w:fill="FFFFFF" w:val="clear"/>
        </w:rPr>
      </w:pPr>
      <w:r>
        <w:rPr>
          <w:rFonts w:ascii="Times New Roman" w:hAnsi="Times New Roman"/>
          <w:b/>
          <w:spacing w:val="0"/>
          <w:sz w:val="20"/>
          <w:shd w:fill="FFFFFF" w:val="clear"/>
        </w:rPr>
        <w:t>33-105.</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Resale Restrictions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The offer and sale of the shares in Canada is being made on a private placement basis only and is exempt from the requirement that the company prepares and files a prospectus under applicable Canadian securities laws. Any resale of shares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Representations of Purchasers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Each Canadian investor who purchases the shares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Instrument 45-106</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Prospectus Exemptions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or, in Ontario, as such term is defined in section 73.3(1) of the</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Securities Act</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(Ontario); and (iii) a “permitted client” as such term is defined in section 1.1 of National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Instrument 31-103</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Registration Requirements, Exemptions and Ongoing Registrant Obligations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Taxation and Eligibility for Investment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Any discussion of taxation and related matters contained in this prospectus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Notes for investment by such investor under relevant Canadian federal and provincial legislation and regulations.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Rights of Action for Damages or Rescission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Rule 45-501</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Ontario Prospectus and Registration Exemptions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and in Multilateral Instrument 45-107</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Listing Representation and Statutory Rights of Action Disclosure Exemptions</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S-17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Language of Documents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w:t>
      </w:r>
    </w:p>
    <w:p>
      <w:pPr>
        <w:pStyle w:val="TextBody"/>
        <w:bidi w:val="0"/>
        <w:spacing w:before="120" w:after="0"/>
        <w:jc w:val="left"/>
        <w:rPr>
          <w:caps w:val="false"/>
          <w:smallCaps w:val="false"/>
          <w:spacing w:val="0"/>
          <w:shd w:fill="FFFFFF" w:val="clear"/>
        </w:rPr>
      </w:pPr>
      <w:r>
        <w:rPr>
          <w:caps w:val="false"/>
          <w:smallCaps w:val="false"/>
          <w:spacing w:val="0"/>
          <w:shd w:fill="FFFFFF" w:val="clear"/>
        </w:rPr>
        <w:t> </w:t>
      </w:r>
      <w:r>
        <w:rPr>
          <w:rFonts w:ascii="Times New Roman" w:hAnsi="Times New Roman"/>
          <w:i/>
          <w:caps w:val="false"/>
          <w:smallCaps w:val="false"/>
          <w:spacing w:val="0"/>
          <w:sz w:val="20"/>
          <w:shd w:fill="FFFFFF" w:val="clear"/>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pacing w:val="0"/>
          <w:sz w:val="20"/>
        </w:rPr>
      </w:pPr>
      <w:r>
        <w:rPr>
          <w:rFonts w:ascii="Times New Roman" w:hAnsi="Times New Roman"/>
          <w:b/>
          <w:spacing w:val="0"/>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Certain legal matters in connection with the offering will be passed upon for us by Cleary Gottlieb Steen &amp; Hamilton LLP, New York, New York. In addition, Proskauer Rose LLP and Morris, Nichols, Arsht &amp; Tunnell LLP will pass on certain legal matters for us. Cleary Gottlieb Steen &amp; Hamilton LLP and Proskauer Rose LLP also represent the Adviser. Certain legal matters in connection with the offering will be passed upon for the underwriters by Ropes &amp; Gray LLP.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S-18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INFORMATION INCORPORATED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pPr>
            <w:r>
              <w:rPr>
                <w:rFonts w:ascii="Times New Roman" w:hAnsi="Times New Roman"/>
                <w:spacing w:val="0"/>
                <w:sz w:val="20"/>
              </w:rPr>
              <w:t xml:space="preserve">our Annual Report on </w:t>
            </w:r>
            <w:hyperlink r:id="rId3">
              <w:r>
                <w:rPr>
                  <w:rStyle w:val="InternetLink"/>
                  <w:rFonts w:ascii="Times New Roman" w:hAnsi="Times New Roman"/>
                  <w:spacing w:val="0"/>
                  <w:sz w:val="20"/>
                </w:rPr>
                <w:t>Form 10-K</w:t>
              </w:r>
            </w:hyperlink>
            <w:r>
              <w:rPr>
                <w:rFonts w:ascii="Times New Roman" w:hAnsi="Times New Roman"/>
                <w:spacing w:val="0"/>
                <w:sz w:val="20"/>
              </w:rPr>
              <w:t xml:space="preserve"> for the fiscal year ended December 31, 2022, filed with the SEC on February 16, 2023 (the “2022 Annual Report”); </w:t>
            </w:r>
          </w:p>
        </w:tc>
      </w:tr>
    </w:tbl>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pPr>
            <w:r>
              <w:rPr>
                <w:rFonts w:ascii="Times New Roman" w:hAnsi="Times New Roman"/>
                <w:spacing w:val="0"/>
                <w:sz w:val="20"/>
              </w:rPr>
              <w:t xml:space="preserve">our Quarterly Report on </w:t>
            </w:r>
            <w:hyperlink r:id="rId4">
              <w:r>
                <w:rPr>
                  <w:rStyle w:val="InternetLink"/>
                  <w:rFonts w:ascii="Times New Roman" w:hAnsi="Times New Roman"/>
                  <w:spacing w:val="0"/>
                  <w:sz w:val="20"/>
                </w:rPr>
                <w:t>Form 10-Q</w:t>
              </w:r>
            </w:hyperlink>
            <w:r>
              <w:rPr>
                <w:rFonts w:ascii="Times New Roman" w:hAnsi="Times New Roman"/>
                <w:spacing w:val="0"/>
                <w:sz w:val="20"/>
              </w:rPr>
              <w:t xml:space="preserve"> for the three months ended March 31, 2023, filed with the SEC on May 8, 2023 (the “1Q 2023 Quarterly Report”); and </w:t>
            </w:r>
          </w:p>
        </w:tc>
      </w:tr>
    </w:tbl>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pPr>
            <w:r>
              <w:rPr>
                <w:rFonts w:ascii="Times New Roman" w:hAnsi="Times New Roman"/>
                <w:spacing w:val="0"/>
                <w:sz w:val="20"/>
              </w:rPr>
              <w:t xml:space="preserve">the information specifically incorporated by reference into the Annual Report on </w:t>
            </w:r>
            <w:hyperlink r:id="rId5">
              <w:r>
                <w:rPr>
                  <w:rStyle w:val="InternetLink"/>
                  <w:rFonts w:ascii="Times New Roman" w:hAnsi="Times New Roman"/>
                  <w:spacing w:val="0"/>
                  <w:sz w:val="20"/>
                </w:rPr>
                <w:t>Form 10-K</w:t>
              </w:r>
            </w:hyperlink>
            <w:r>
              <w:rPr>
                <w:rFonts w:ascii="Times New Roman" w:hAnsi="Times New Roman"/>
                <w:spacing w:val="0"/>
                <w:sz w:val="20"/>
              </w:rPr>
              <w:t xml:space="preserve"> for the fiscal year ended December 31, 2022, filed with the SEC on February 16, 2023 from our Definitive Proxy Statement on </w:t>
            </w:r>
            <w:hyperlink r:id="rId6">
              <w:r>
                <w:rPr>
                  <w:rStyle w:val="InternetLink"/>
                  <w:rFonts w:ascii="Times New Roman" w:hAnsi="Times New Roman"/>
                  <w:spacing w:val="0"/>
                  <w:sz w:val="20"/>
                </w:rPr>
                <w:t>Schedule 14A</w:t>
              </w:r>
            </w:hyperlink>
            <w:r>
              <w:rPr>
                <w:rFonts w:ascii="Times New Roman" w:hAnsi="Times New Roman"/>
                <w:spacing w:val="0"/>
                <w:sz w:val="20"/>
              </w:rPr>
              <w:t xml:space="preserve"> relating to our 2023 Annual Meeting of Stockholders, filed with the SEC on April 13, 2023. </w:t>
            </w:r>
          </w:p>
        </w:tc>
      </w:tr>
    </w:tbl>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8-K</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 </w:t>
      </w:r>
    </w:p>
    <w:p>
      <w:pPr>
        <w:pStyle w:val="TextBody"/>
        <w:bidi w:val="0"/>
        <w:spacing w:before="24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Sixth Street Specialty Lending, Inc.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888 7th Avenue, 41st Floor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New York, NY 10106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Attention: TSLXInvestor Relations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Email: IRTSLX@sixthstreet.com.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S-19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177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91770" cy="5715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48"/>
        </w:rPr>
      </w:pPr>
      <w:r>
        <w:rPr>
          <w:rFonts w:ascii="Times New Roman" w:hAnsi="Times New Roman"/>
          <w:b/>
          <w:sz w:val="48"/>
        </w:rPr>
        <w:t xml:space="preserve">Sixth Street Specialty Lending, Inc. </w:t>
      </w:r>
    </w:p>
    <w:p>
      <w:pPr>
        <w:pStyle w:val="TextBody"/>
        <w:bidi w:val="0"/>
        <w:spacing w:before="1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sz w:val="14"/>
        </w:rPr>
      </w:pPr>
      <w:r>
        <w:rPr>
          <w:rFonts w:ascii="Times New Roman" w:hAnsi="Times New Roman"/>
          <w:sz w:val="14"/>
        </w:rPr>
        <w:t xml:space="preserve">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w:t>
      </w:r>
    </w:p>
    <w:p>
      <w:pPr>
        <w:pStyle w:val="TextBody"/>
        <w:bidi w:val="0"/>
        <w:spacing w:before="80" w:after="0"/>
        <w:jc w:val="left"/>
        <w:rPr>
          <w:rFonts w:ascii="Times New Roman" w:hAnsi="Times New Roman"/>
          <w:sz w:val="14"/>
        </w:rPr>
      </w:pPr>
      <w:r>
        <w:rPr>
          <w:rFonts w:ascii="Times New Roman" w:hAnsi="Times New Roman"/>
          <w:sz w:val="14"/>
        </w:rPr>
        <w:t xml:space="preserve">As of September 30, 2022 , our investment portfolio consisted of investments in 118 portfolio investments with an aggregate fair value of $2,806.1 million. We intend to continue to pursue an investment strategy focused primarily on direct origination of loans to middle-market companies domiciled in the United States. </w:t>
      </w:r>
    </w:p>
    <w:p>
      <w:pPr>
        <w:pStyle w:val="TextBody"/>
        <w:bidi w:val="0"/>
        <w:spacing w:before="80" w:after="0"/>
        <w:jc w:val="left"/>
        <w:rPr>
          <w:rFonts w:ascii="Times New Roman" w:hAnsi="Times New Roman"/>
          <w:sz w:val="14"/>
        </w:rPr>
      </w:pPr>
      <w:r>
        <w:rPr>
          <w:rFonts w:ascii="Times New Roman" w:hAnsi="Times New Roman"/>
          <w:sz w:val="14"/>
        </w:rPr>
        <w:t xml:space="preserve">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30,2022. </w:t>
      </w:r>
    </w:p>
    <w:p>
      <w:pPr>
        <w:pStyle w:val="TextBody"/>
        <w:bidi w:val="0"/>
        <w:spacing w:before="80" w:after="0"/>
        <w:jc w:val="left"/>
        <w:rPr>
          <w:rFonts w:ascii="Times New Roman" w:hAnsi="Times New Roman"/>
          <w:sz w:val="14"/>
        </w:rPr>
      </w:pPr>
      <w:r>
        <w:rPr>
          <w:rFonts w:ascii="Times New Roman" w:hAnsi="Times New Roman"/>
          <w:sz w:val="14"/>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bidi w:val="0"/>
        <w:spacing w:before="80" w:after="0"/>
        <w:jc w:val="left"/>
        <w:rPr>
          <w:rFonts w:ascii="Times New Roman" w:hAnsi="Times New Roman"/>
          <w:sz w:val="14"/>
        </w:rPr>
      </w:pPr>
      <w:r>
        <w:rPr>
          <w:rFonts w:ascii="Times New Roman" w:hAnsi="Times New Roman"/>
          <w:sz w:val="14"/>
        </w:rPr>
        <w:t xml:space="preserve">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 </w:t>
      </w:r>
    </w:p>
    <w:p>
      <w:pPr>
        <w:pStyle w:val="TextBody"/>
        <w:bidi w:val="0"/>
        <w:spacing w:before="80" w:after="0"/>
        <w:jc w:val="left"/>
        <w:rPr>
          <w:rFonts w:ascii="Times New Roman" w:hAnsi="Times New Roman"/>
          <w:sz w:val="14"/>
        </w:rPr>
      </w:pPr>
      <w:r>
        <w:rPr>
          <w:rFonts w:ascii="Times New Roman" w:hAnsi="Times New Roman"/>
          <w:sz w:val="14"/>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w:t>
      </w:r>
    </w:p>
    <w:p>
      <w:pPr>
        <w:pStyle w:val="TextBody"/>
        <w:bidi w:val="0"/>
        <w:spacing w:before="80" w:after="0"/>
        <w:jc w:val="left"/>
        <w:rPr>
          <w:rFonts w:ascii="Times New Roman" w:hAnsi="Times New Roman"/>
          <w:sz w:val="14"/>
        </w:rPr>
      </w:pPr>
      <w:r>
        <w:rPr>
          <w:rFonts w:ascii="Times New Roman" w:hAnsi="Times New Roman"/>
          <w:sz w:val="14"/>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 </w:t>
      </w:r>
    </w:p>
    <w:p>
      <w:pPr>
        <w:pStyle w:val="TextBody"/>
        <w:bidi w:val="0"/>
        <w:spacing w:before="80" w:after="0"/>
        <w:jc w:val="left"/>
        <w:rPr>
          <w:rFonts w:ascii="Times New Roman" w:hAnsi="Times New Roman"/>
          <w:sz w:val="14"/>
        </w:rPr>
      </w:pPr>
      <w:r>
        <w:rPr>
          <w:rFonts w:ascii="Times New Roman" w:hAnsi="Times New Roman"/>
          <w:sz w:val="14"/>
        </w:rPr>
        <w:t xml:space="preserve">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before="80" w:after="0"/>
        <w:jc w:val="left"/>
        <w:rPr>
          <w:rFonts w:ascii="Times New Roman" w:hAnsi="Times New Roman"/>
          <w:sz w:val="14"/>
        </w:rPr>
      </w:pPr>
      <w:r>
        <w:rPr>
          <w:rFonts w:ascii="Times New Roman" w:hAnsi="Times New Roman"/>
          <w:sz w:val="14"/>
        </w:rPr>
        <w:t xml:space="preserve">Our common stock is traded on the New York Stock Exchange, or NYSE, under the symbol “TSLX.” On January 12, 2023, the last reported sales price of our common stock on the NYSE was $18.94 per share. The net asset value per share of our common stock at September 30, 2022 (the last date prior to the date of this prospectus for which we reported net asset value) was $16.36. </w:t>
      </w:r>
    </w:p>
    <w:p>
      <w:pPr>
        <w:pStyle w:val="TextBody"/>
        <w:bidi w:val="0"/>
        <w:spacing w:before="80" w:after="0"/>
        <w:jc w:val="left"/>
        <w:rPr/>
      </w:pPr>
      <w:r>
        <w:rPr>
          <w:rFonts w:ascii="Times New Roman" w:hAnsi="Times New Roman"/>
          <w:b/>
          <w:sz w:val="16"/>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rom451583_7">
        <w:r>
          <w:rPr>
            <w:rStyle w:val="InternetLink"/>
            <w:rFonts w:ascii="Times New Roman" w:hAnsi="Times New Roman"/>
            <w:b/>
            <w:sz w:val="16"/>
          </w:rPr>
          <w:t>Risk Factors</w:t>
        </w:r>
      </w:hyperlink>
      <w:r>
        <w:rPr>
          <w:rFonts w:ascii="Times New Roman" w:hAnsi="Times New Roman"/>
          <w:b/>
          <w:sz w:val="16"/>
        </w:rPr>
        <w:t>” beginning on page 22</w:t>
      </w:r>
      <w:r>
        <w:rPr>
          <w:rFonts w:ascii="Times New Roman" w:hAnsi="Times New Roman"/>
          <w:sz w:val="16"/>
        </w:rPr>
        <w:t xml:space="preserve"> </w:t>
      </w:r>
      <w:r>
        <w:rPr>
          <w:rFonts w:ascii="Times New Roman" w:hAnsi="Times New Roman"/>
          <w:b/>
          <w:sz w:val="16"/>
        </w:rPr>
        <w:t xml:space="preserve">of this prospectus and in the documents incorporated by reference herein. </w:t>
      </w:r>
    </w:p>
    <w:p>
      <w:pPr>
        <w:pStyle w:val="TextBody"/>
        <w:bidi w:val="0"/>
        <w:spacing w:before="80" w:after="0"/>
        <w:jc w:val="left"/>
        <w:rPr>
          <w:rFonts w:ascii="Times New Roman" w:hAnsi="Times New Roman"/>
          <w:b/>
          <w:sz w:val="14"/>
        </w:rPr>
      </w:pPr>
      <w:r>
        <w:rPr>
          <w:rFonts w:ascii="Times New Roman" w:hAnsi="Times New Roman"/>
          <w:b/>
          <w:sz w:val="14"/>
        </w:rPr>
        <w:t xml:space="preserve">This prospectus may not be used to consummate sales of our securities unless accompanied by a prospectus supplement. </w:t>
      </w:r>
    </w:p>
    <w:p>
      <w:pPr>
        <w:pStyle w:val="TextBody"/>
        <w:bidi w:val="0"/>
        <w:spacing w:before="80" w:after="0"/>
        <w:jc w:val="left"/>
        <w:rPr>
          <w:rFonts w:ascii="Times New Roman" w:hAnsi="Times New Roman"/>
          <w:sz w:val="14"/>
        </w:rPr>
      </w:pPr>
      <w:r>
        <w:rPr>
          <w:rFonts w:ascii="Times New Roman" w:hAnsi="Times New Roman"/>
          <w:sz w:val="14"/>
        </w:rPr>
        <w:t xml:space="preserve">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 </w:t>
      </w:r>
    </w:p>
    <w:p>
      <w:pPr>
        <w:pStyle w:val="TextBody"/>
        <w:bidi w:val="0"/>
        <w:spacing w:before="80" w:after="0"/>
        <w:jc w:val="left"/>
        <w:rPr>
          <w:rFonts w:ascii="Times New Roman" w:hAnsi="Times New Roman"/>
          <w:b/>
          <w:sz w:val="14"/>
        </w:rPr>
      </w:pPr>
      <w:r>
        <w:rPr>
          <w:rFonts w:ascii="Times New Roman" w:hAnsi="Times New Roman"/>
          <w:b/>
          <w:sz w:val="14"/>
        </w:rPr>
        <w:t xml:space="preserve">The Securities and Exchange Commission has not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The date of this prospectus is January 13, 2023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6635"/>
        <w:gridCol w:w="12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rom451583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ii</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
              <w:r>
                <w:rPr>
                  <w:rStyle w:val="InternetLink"/>
                  <w:rFonts w:ascii="Times New Roman" w:hAnsi="Times New Roman"/>
                  <w:sz w:val="20"/>
                </w:rPr>
                <w:t>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4">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7">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8">
              <w:r>
                <w:rPr>
                  <w:rStyle w:val="InternetLink"/>
                  <w:rFonts w:ascii="Times New Roman" w:hAnsi="Times New Roman"/>
                  <w:sz w:val="20"/>
                </w:rPr>
                <w:t>SPECIAL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9">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10">
              <w:r>
                <w:rPr>
                  <w:rStyle w:val="InternetLink"/>
                  <w:rFonts w:ascii="Times New Roman" w:hAnsi="Times New Roman"/>
                  <w:sz w:val="20"/>
                </w:rPr>
                <w:t>PRICE RANGE OF COMMON STOCK AND DISTRIBUTIONS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12">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14">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19">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0">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1">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2">
              <w:r>
                <w:rPr>
                  <w:rStyle w:val="InternetLink"/>
                  <w:rFonts w:ascii="Times New Roman" w:hAnsi="Times New Roman"/>
                  <w:sz w:val="20"/>
                </w:rPr>
                <w:t>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3">
              <w:r>
                <w:rPr>
                  <w:rStyle w:val="InternetLink"/>
                  <w:rFonts w:ascii="Times New Roman" w:hAnsi="Times New Roman"/>
                  <w:sz w:val="20"/>
                </w:rPr>
                <w:t>DESCRIPTION OF OUR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4">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5">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6">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7">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28">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1">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2">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3">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4">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5">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6">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0"/>
              <w:jc w:val="left"/>
              <w:rPr/>
            </w:pPr>
            <w:hyperlink w:anchor="rom451583_37">
              <w:r>
                <w:rPr>
                  <w:rStyle w:val="InternetLink"/>
                  <w:rFonts w:ascii="Times New Roman" w:hAnsi="Times New Roman"/>
                  <w:sz w:val="20"/>
                </w:rPr>
                <w:t>INFORMATION INCORPORATED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rom451583_1"/>
      <w:bookmarkEnd w:id="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rom451583_2"/>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the prospectus, except where the context suggests otherwise, references to: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TSLX,” “Sixth Street Specialty Lending,” “we,” “us,” “our,” the “Company,” and the “Registrant” refer to Sixth Street Specialty Lending, Inc., a Delaware corporation, and its consolidated subsidiaries;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 xml:space="preserve">the consolidated subsidiaries of Sixth Street Specialty Lending, Inc. refers to TC Lending, LLC, Sixth Street SL SPV, LLC and Sixth Street SL Holding, LLC, each a Delaware limited liability company, and Sixth Street Specialty Lending Sub, LLC, a Cayman Islands limited liability company; </w:t>
            </w:r>
          </w:p>
        </w:tc>
      </w:tr>
    </w:tbl>
    <w:p>
      <w:pPr>
        <w:pStyle w:val="TextBody"/>
        <w:bidi w:val="0"/>
        <w:spacing w:before="0" w:after="0"/>
        <w:jc w:val="left"/>
        <w:rPr>
          <w:bdr w:val="single" w:sz="8" w:space="1" w:color="000000"/>
        </w:rPr>
      </w:pPr>
      <w:r>
        <w:rPr>
          <w:bdr w:val="single" w:sz="8" w:space="1" w:color="000000"/>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pPr>
            <w:r>
              <w:rPr/>
              <w:t>“</w:t>
            </w:r>
            <w:r>
              <w:rPr>
                <w:rFonts w:ascii="Times New Roman" w:hAnsi="Times New Roman"/>
                <w:i/>
                <w:sz w:val="20"/>
              </w:rPr>
              <w:t>Adviser” refers to Sixth Street Specialty Lending Advisers, LLC, a Delaware limited liability company; and</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pPr>
            <w:r>
              <w:rPr/>
              <w:t>“</w:t>
            </w:r>
            <w:r>
              <w:rPr>
                <w:rFonts w:ascii="Times New Roman" w:hAnsi="Times New Roman"/>
                <w:i/>
                <w:sz w:val="20"/>
              </w:rPr>
              <w:t xml:space="preserve">Sixth Street” refers to Sixth Street Partners, LLC.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Sixth Street Specialty Lending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specialty finance company focused on lending to middle-market companies. Since we began our investment activities in July 2011, through September 30, 2022, we have originated approximately $23.9 billion aggregate principal amount of investments and retained approximately $9.0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2022 our core portfolio companies, which excludes certain investments that fall outside of our typical borrower profile and represent 87.3% of our total investments based on fair value, had weighted average annual revenue of $149.4 million and weighted average annual EBITDA of $43.8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Investment Portfolio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2022, based on fair value our portfolio consisted of 90.4% first-lien debt investments, 1.5% second-lien debt investments, 0.4% mezzanine debt investments, and 7.7% equity and other investments. As of September 30, 2022, 98.9% of our debt investments based on fair value bore interest at floating rates, with 100.0% of these subject to interest rate floors, which we believe helps act as a portfolio-wide hedge against inflation.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2022, we had investments in 118 portfolio companies with an aggregate fair value of $2,806.1 million. For the three months ended September 30, 2022, the principal amount of new investments funded was $274.4 million in twenty-five new portfolio companies and six existing portfolio companies. For this period, we had $15.8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2021, we had investments in 72 portfolio companies with an aggregate fair value of $2,521.6 million. For the three months ended September 30, 2021, the principal amount of new investments funded was $65.4 million in one new portfolio company and four existing portfolio companies. For this period, we had $283.7 million aggregate principal amount in exits and repayments.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2022, the largest single investment based on fair value represented 3.1% of our total investment portfolio. As of September 30, 2022,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$36.7 million as of September 30, 2022. As of September 30, 2022, the largest industry represented 14.0% of our total portfolio based on fair value.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we began investing in 2011 through September 30, 2022, weighted by capital invested, our exited investments have generated an average realized gross internal rate of return to us of 17.8% (based on total capital invested of $6.4 billion and total proceeds from these exited investments of $8.0 billion). Ninety-one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2022, which is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Specialty Lending, Inc. is a Delaware corporation formed on July 21, 2010. Sixth Street Specialty Lending Advisers, LLC is our external manager.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2021 (the “2021 Annual Report”) for more information on these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is a global investment business with approximately $60 billion of assets under management as of September 30,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460 investment and operating professionals. As of September 30, 2022, forty-one (41) of these personnel are dedicated to our business, including thirty-three (33) investment professionals.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“Administration Agreement” in Note 3 to our consolidated financial statements in our 3Q 2022 Quarterly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objective is to generate current income by targeting investments with favorable risk-adjusted returns. We believe the middle-market lending environment provides opportunities for us to meet this objective as a result of a combination of the following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Limited availability of capital for middle-market companies</w:t>
      </w:r>
      <w:r>
        <w:rPr>
          <w:rFonts w:ascii="Times New Roman" w:hAnsi="Times New Roman"/>
          <w:sz w:val="20"/>
          <w:bdr w:val="single" w:sz="8" w:space="1" w:color="000000"/>
        </w:rPr>
        <w:t xml:space="preserve">. We believe that certain structural changes in the market have reduced the 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Strong demand for debt capital</w:t>
      </w:r>
      <w:r>
        <w:rPr>
          <w:rFonts w:ascii="Times New Roman" w:hAnsi="Times New Roman"/>
          <w:sz w:val="20"/>
          <w:bdr w:val="single" w:sz="8" w:space="1" w:color="000000"/>
        </w:rPr>
        <w:t xml:space="preserve">. We believe middle-market companies will continue to require access to debt capital to refinance existing debt, support growth and finance acquisitions. In addition, we believe the large amount of uninvested capital held by funds of private equity firms, estimated by Preqin Ltd., an alternative assets industry data and research company, at over $2.4 trillion as of December 1, 2022, will continue to drive deal activity. We expect that private equity firms will continue to pursue acquisitions and to seek to leverage their equity investments with secured loans provided by companies such as ours.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Attractive investment dynamics</w:t>
      </w:r>
      <w:r>
        <w:rPr>
          <w:rFonts w:ascii="Times New Roman" w:hAnsi="Times New Roman"/>
          <w:sz w:val="20"/>
          <w:bdr w:val="single" w:sz="8" w:space="1" w:color="000000"/>
        </w:rPr>
        <w:t xml:space="preserve">. An imbalance between the supply of, and demand for, middle-market debt capital creates attractive pricing 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historical middle-market default rates have been lower, and recovery rates have been higher, as compared to the larger market capitalization, broadly distributed market, leading to lower cumulative losses.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Conservative capital structures</w:t>
      </w:r>
      <w:r>
        <w:rPr>
          <w:rFonts w:ascii="Times New Roman" w:hAnsi="Times New Roman"/>
          <w:sz w:val="20"/>
          <w:bdr w:val="single" w:sz="8" w:space="1" w:color="000000"/>
        </w:rPr>
        <w:t xml:space="preserve">. Following the credit crisis, which we define broadly as occurring between mid-2007 and mid-2009, 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Specialized lending requirements</w:t>
      </w:r>
      <w:r>
        <w:rPr>
          <w:rFonts w:ascii="Times New Roman" w:hAnsi="Times New Roman"/>
          <w:sz w:val="20"/>
          <w:bdr w:val="single" w:sz="8" w:space="1" w:color="000000"/>
        </w:rPr>
        <w:t xml:space="preserve">. Lending to middle-market companies requires specialized due diligence and underwriting capabilities, as 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Desirability of partnering with BDCs</w:t>
      </w:r>
      <w:r>
        <w:rPr>
          <w:rFonts w:ascii="Times New Roman" w:hAnsi="Times New Roman"/>
          <w:sz w:val="20"/>
          <w:bdr w:val="single" w:sz="8" w:space="1" w:color="000000"/>
        </w:rPr>
        <w:t xml:space="preserve">. We believe middle-market companies see advantages in raising capital from BDCs. BDCs have the 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Competitive Strengths and Core Competencies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Leading platform and access to proprietary deal flow</w:t>
      </w:r>
      <w:r>
        <w:rPr>
          <w:rFonts w:ascii="Times New Roman" w:hAnsi="Times New Roman"/>
          <w:sz w:val="20"/>
          <w:bdr w:val="single" w:sz="8" w:space="1" w:color="000000"/>
        </w:rPr>
        <w:t xml:space="preserve">. The substantial majority of our investments are not intermediated and are originated without the assistance of investment banks or other traditional Wall Street sources. Our Adviser has a dedicated team of 33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360 years of collective experience as commercial dealmakers.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Disciplined investment and underwriting process</w:t>
      </w:r>
      <w:r>
        <w:rPr>
          <w:rFonts w:ascii="Times New Roman" w:hAnsi="Times New Roman"/>
          <w:sz w:val="20"/>
          <w:bdr w:val="single" w:sz="8" w:space="1" w:color="000000"/>
        </w:rPr>
        <w:t xml:space="preserve">. Through our Adviser, we seek to achieve the highest risk-adjusted returns available as 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Flexibility</w:t>
            </w:r>
            <w:r>
              <w:rPr>
                <w:rFonts w:ascii="Times New Roman" w:hAnsi="Times New Roman"/>
                <w:sz w:val="20"/>
              </w:rPr>
              <w:t xml:space="preserve">. Our broad middle-market focus and our Adviser’s integrated position within Sixth Street allow us to determine current market opportunities and identify relative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Risk</w:t>
            </w:r>
            <w:r>
              <w:rPr>
                <w:rFonts w:ascii="Times New Roman" w:hAnsi="Times New Roman"/>
                <w:sz w:val="20"/>
              </w:rPr>
              <w:t xml:space="preserve"> </w:t>
            </w:r>
            <w:r>
              <w:rPr>
                <w:rFonts w:ascii="Times New Roman" w:hAnsi="Times New Roman"/>
                <w:i/>
                <w:sz w:val="20"/>
              </w:rPr>
              <w:t>pricing</w:t>
            </w:r>
            <w:r>
              <w:rPr>
                <w:rFonts w:ascii="Times New Roman" w:hAnsi="Times New Roman"/>
                <w:sz w:val="20"/>
              </w:rPr>
              <w:t xml:space="preserve">. The risk profile of our portfolio evolves across credit cycles as credit tightens and loosens. During periods when risk 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Disciplined four-tiered investment framework</w:t>
            </w:r>
            <w:r>
              <w:rPr>
                <w:rFonts w:ascii="Times New Roman" w:hAnsi="Times New Roman"/>
                <w:sz w:val="20"/>
              </w:rPr>
              <w:t xml:space="preserve">. Through our Adviser, we perform detailed company-specific analysis focusing on a four-tiered investment framework: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Business and sector selection</w:t>
            </w:r>
            <w:r>
              <w:rPr>
                <w:rFonts w:ascii="Times New Roman" w:hAnsi="Times New Roman"/>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Investment structuring</w:t>
            </w:r>
            <w:r>
              <w:rPr>
                <w:rFonts w:ascii="Times New Roman" w:hAnsi="Times New Roman"/>
                <w:sz w:val="20"/>
              </w:rPr>
              <w:t xml:space="preserve">. We focus on investing at the top of the capital structure and protecting that position.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Deal dynamics</w:t>
            </w:r>
            <w:r>
              <w:rPr>
                <w:rFonts w:ascii="Times New Roman" w:hAnsi="Times New Roman"/>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Risk Mitigation</w:t>
            </w:r>
            <w:r>
              <w:rPr>
                <w:rFonts w:ascii="Times New Roman" w:hAnsi="Times New Roman"/>
                <w:sz w:val="20"/>
              </w:rPr>
              <w:t xml:space="preserve">. We seek to mitigate non-credit-related risk on our returns in several ways, including call protection provisions to protect future payment income. In addition, most of our investments are floating rate in nature, which we believe helps act as a portfolio-wide hedge against inflation.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Robust and active investment management</w:t>
            </w:r>
            <w:r>
              <w:rPr>
                <w:rFonts w:ascii="Times New Roman" w:hAnsi="Times New Roman"/>
                <w:sz w:val="20"/>
              </w:rPr>
              <w:t xml:space="preserve">. Our Adviser rigorously monitors the credit profile of portfolio investments, with the aim of proactively identifying sector and operational issues and carefully managing risks. The information gathered on market trends through this process also informs our underwriting for new loans.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tailor investments rather than focusing only on driving investment volume.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Carefully constructed, existing portfolio consisting of predominantly senior, floating rate loans across a broad range of industries and borrowers.</w:t>
      </w:r>
      <w:r>
        <w:rPr>
          <w:rFonts w:ascii="Times New Roman" w:hAnsi="Times New Roman"/>
          <w:sz w:val="20"/>
          <w:bdr w:val="single" w:sz="8" w:space="1" w:color="000000"/>
        </w:rPr>
        <w:t xml:space="preserve"> Since we began investing in July 2011, we have originated more than $23.9 billion aggregate principal amount of investments. As of September 30, 2022, we had a portfolio of investments in 118 portfolio investments with an aggregate fair value of $2,806.1 million that we believe exhibits strong credit quality and broad industry composition. As of September 30, 2022, 98.9% of our debt investments based on fair value bore interest at floating rates, with 100.0% of these subject to interest rate floors, and 90.4% of the fair value of our portfolio was invested in first-lien debt investments. We believe this portfolio will allow us to generate meaningful investment income, and consequently dividend income, for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Experienced management team</w:t>
      </w:r>
      <w:r>
        <w:rPr>
          <w:rFonts w:ascii="Times New Roman" w:hAnsi="Times New Roman"/>
          <w:sz w:val="20"/>
          <w:bdr w:val="single" w:sz="8" w:space="1" w:color="000000"/>
        </w:rPr>
        <w:t xml:space="preserve">. The Adviser has a highly experienced management team consisting of seven Sixth Street Partners and eight 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Aligned investment professionals</w:t>
      </w:r>
      <w:r>
        <w:rPr>
          <w:rFonts w:ascii="Times New Roman" w:hAnsi="Times New Roman"/>
          <w:sz w:val="20"/>
          <w:bdr w:val="single" w:sz="8" w:space="1" w:color="000000"/>
        </w:rPr>
        <w:t xml:space="preserve">. We believe our investment professionals are aligned with our investment objective. The compensation structure for our investment professionals is based on our returns, as opposed to transaction volume, which we believe fosters a focus on credit quality when originating investments.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Operating and Regulatory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manages our investment activities under the direction of our board of directors, or the Board. A majority of our Board members are not “interested persons” of us, the Adviser and our respective affiliates, as such term is defined under Section 2(a)(19) of the 1940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BDC, we are required to comply with numerous regulatory requirements: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Leverage</w:t>
            </w:r>
            <w:r>
              <w:rPr>
                <w:rFonts w:ascii="Times New Roman" w:hAnsi="Times New Roman"/>
                <w:sz w:val="20"/>
              </w:rPr>
              <w:t xml:space="preserve">. Regulations under the 1940 Act limit our ability to use borrowing, also known as leverage, in significant respects. In 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2021 Annual Report.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Investment Allocation</w:t>
            </w:r>
            <w:r>
              <w:rPr>
                <w:rFonts w:ascii="Times New Roman" w:hAnsi="Times New Roman"/>
                <w:sz w:val="20"/>
              </w:rPr>
              <w:t xml:space="preserve">. As a BDC, we are required to invest at least 70% of our total assets in qualifying assets, which generally include securities of “eligible portfolio companies,” cash, cash equivalents, U.S. government securities and high-quality debt instruments maturing in one year or less from the time of investment. “Eligible portfolio companies” are defined in the 1940 Act as: </w:t>
            </w:r>
          </w:p>
        </w:tc>
      </w:tr>
    </w:tbl>
    <w:p>
      <w:pPr>
        <w:pStyle w:val="TextBody"/>
        <w:bidi w:val="0"/>
        <w:spacing w:before="0" w:after="0"/>
        <w:jc w:val="left"/>
        <w:rPr>
          <w:bdr w:val="single" w:sz="8" w:space="1" w:color="000000"/>
        </w:rPr>
      </w:pPr>
      <w:r>
        <w:rPr>
          <w:bdr w:val="single" w:sz="8" w:space="1" w:color="000000"/>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private domestic operating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domestic operating companies whose securities are not listed on a national securities exchange (e.g., the NYSE Amex Equities and The NASDAQ Global Market) or registered under the Securities Exchange Act of 1934, as amended, or the Exchange Act; and </w:t>
            </w:r>
          </w:p>
        </w:tc>
      </w:tr>
    </w:tbl>
    <w:p>
      <w:pPr>
        <w:pStyle w:val="TextBody"/>
        <w:bidi w:val="0"/>
        <w:spacing w:before="0" w:after="0"/>
        <w:jc w:val="left"/>
        <w:rPr>
          <w:bdr w:val="single" w:sz="8" w:space="1" w:color="000000"/>
        </w:rPr>
      </w:pPr>
      <w:r>
        <w:rPr>
          <w:bdr w:val="single" w:sz="8" w:space="1" w:color="000000"/>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 domestic operating companies having a market capitalization of less than $250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Public domestic operating companies whose securities are quoted on the over-the-counter bulletin board and through OTC Markets Group, Inc. are not listed on a national securities exchange and, as a result, are eligible portfolio companies.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RIC Status</w:t>
            </w:r>
            <w:r>
              <w:rPr>
                <w:rFonts w:ascii="Times New Roman" w:hAnsi="Times New Roman"/>
                <w:sz w:val="20"/>
              </w:rPr>
              <w:t xml:space="preserve">. We have elected to be treated as a RIC for U.S. federal income tax purposes. To maintain our status as a RIC and to avoid having our earnings subject to corporate-level U.S. federal income taxation, we must satisfy certain source of income, asset diversification and distribution requirements.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“Material U.S. Federal Income Tax Considerations.”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Leverage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For the three and nine months ended September 30, 2021, Management Fees of $0.1 million and $0.2 million have been waived pursuant to the Leverage Waiver.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“Business—General—Our Company”; and “Business—General—Regulation as a Business Development Company” in Part I, Item 1 of our 2021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3Q 2022 Quarterly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Conflicts of Interests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 in our Definitive Proxy Statement on Schedule 14A relating to our 2022 Annual Meeting of Stockholders filed with the SEC on April 13, 2022, and such section is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Exemptive Order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“Regulation as a Business Development Company—Transactions with our Affiliates” in our 2021 Annual Report, and such section is incorporated by reference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Transactions—Exemptive Order” in our 2022 Annual Proxy, and such section is incorporated by reference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Repurchase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2021 Annual Report and our 3Q 2022 Quarterly Report, as well as the other documents that are incorporated by reference in this prospectus or in any prospectus supplement, for a description of these and other risks relating to our business and investments in our securities, including that: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and Structure </w:t>
      </w:r>
    </w:p>
    <w:p>
      <w:pPr>
        <w:pStyle w:val="TextBody"/>
        <w:bidi w:val="0"/>
        <w:spacing w:before="0" w:after="0"/>
        <w:jc w:val="left"/>
        <w:rPr>
          <w:bdr w:val="single" w:sz="8" w:space="1" w:color="000000"/>
        </w:rPr>
      </w:pPr>
      <w:r>
        <w:rPr>
          <w:bdr w:val="single" w:sz="8" w:space="1" w:color="000000"/>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dependent upon management personnel of the Adviser, Sixth Street and their affiliates for our future success.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regulations governing our operation as a BDC, which affect our ability to, and the way in which we, raise additional capital. Changes in regulation could adversely affect our business. </w:t>
            </w:r>
          </w:p>
        </w:tc>
      </w:tr>
    </w:tbl>
    <w:p>
      <w:pPr>
        <w:pStyle w:val="TextBody"/>
        <w:bidi w:val="0"/>
        <w:spacing w:before="0" w:after="0"/>
        <w:jc w:val="left"/>
        <w:rPr>
          <w:bdr w:val="single" w:sz="8" w:space="1" w:color="000000"/>
        </w:rPr>
      </w:pPr>
      <w:r>
        <w:rPr>
          <w:bdr w:val="single" w:sz="8" w:space="1" w:color="000000"/>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borrow money, which magnifies the potential for gain or loss and increases the risk of investing in us. </w:t>
            </w:r>
          </w:p>
        </w:tc>
      </w:tr>
    </w:tbl>
    <w:p>
      <w:pPr>
        <w:pStyle w:val="TextBody"/>
        <w:bidi w:val="0"/>
        <w:spacing w:before="0" w:after="0"/>
        <w:jc w:val="left"/>
        <w:rPr>
          <w:bdr w:val="single" w:sz="8" w:space="1" w:color="000000"/>
        </w:rPr>
      </w:pPr>
      <w:r>
        <w:rPr>
          <w:bdr w:val="single" w:sz="8" w:space="1" w:color="000000"/>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competitive market for investment opportunities.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source investments, access financing or manage future growth effectively, we may be unable to achieve our investment objective.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in the event the value of your investment declines, the Management Fee and, in certain circumstances, the Incentive Fee will still be payable to the Adviser.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we do not realize income or choose not to retain after-tax realized net capital gains, we will have a greater need for additional capital to fund our investments and operating expenses.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corporate-level U.S. federal income tax if we are unable to maintain our qualification as a RIC under Subchapter M of the Code, including as a result of our failure to satisfy the RIC distribution requirements.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can be expected to retain some income and capital gains in excess of what is permissible for excise tax purposes and such amounts will be subject to 4% U.S. federal excise tax. </w:t>
            </w:r>
          </w:p>
        </w:tc>
      </w:tr>
    </w:tbl>
    <w:p>
      <w:pPr>
        <w:pStyle w:val="TextBody"/>
        <w:bidi w:val="0"/>
        <w:spacing w:before="0" w:after="0"/>
        <w:jc w:val="left"/>
        <w:rPr>
          <w:bdr w:val="single" w:sz="8" w:space="1" w:color="000000"/>
        </w:rPr>
      </w:pPr>
      <w:r>
        <w:rPr>
          <w:bdr w:val="single" w:sz="8" w:space="1" w:color="000000"/>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Adviser and its affiliates, officers and employees may face certain conflicts of interest.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Adviser’s liability is limited under the Investment Advisory Agreement, and we are required to indemnify the Adviser against certain liabilities, which may lead the Adviser to act in a riskier manner on our behalf than it would when acting for its own account. </w:t>
            </w:r>
          </w:p>
        </w:tc>
      </w:tr>
    </w:tbl>
    <w:p>
      <w:pPr>
        <w:pStyle w:val="TextBody"/>
        <w:bidi w:val="0"/>
        <w:spacing w:before="0" w:after="0"/>
        <w:jc w:val="left"/>
        <w:rPr>
          <w:bdr w:val="single" w:sz="8" w:space="1" w:color="000000"/>
        </w:rPr>
      </w:pPr>
      <w:r>
        <w:rPr>
          <w:bdr w:val="single" w:sz="8" w:space="1" w:color="000000"/>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our status as a BDC would reduce our operating flexibility </w:t>
            </w:r>
          </w:p>
        </w:tc>
      </w:tr>
    </w:tbl>
    <w:p>
      <w:pPr>
        <w:pStyle w:val="TextBody"/>
        <w:bidi w:val="0"/>
        <w:spacing w:before="0" w:after="0"/>
        <w:jc w:val="left"/>
        <w:rPr>
          <w:bdr w:val="single" w:sz="8" w:space="1" w:color="000000"/>
        </w:rPr>
      </w:pPr>
      <w:r>
        <w:rPr>
          <w:bdr w:val="single" w:sz="8" w:space="1" w:color="000000"/>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incur significant costs as a result of being a publicly traded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Provisions of the General Corporation Law of the State of Delaware and our certificate of incorporation and bylaws could deter takeover attempts and have an adverse effect on the price of our common stock. </w:t>
            </w:r>
          </w:p>
        </w:tc>
      </w:tr>
    </w:tbl>
    <w:p>
      <w:pPr>
        <w:pStyle w:val="TextBody"/>
        <w:bidi w:val="0"/>
        <w:spacing w:before="0" w:after="0"/>
        <w:jc w:val="left"/>
        <w:rPr>
          <w:bdr w:val="single" w:sz="8" w:space="1" w:color="000000"/>
        </w:rPr>
      </w:pPr>
      <w:r>
        <w:rPr>
          <w:bdr w:val="single" w:sz="8" w:space="1" w:color="000000"/>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investors are limited in their ability to make significant investments in us. </w:t>
            </w:r>
          </w:p>
        </w:tc>
      </w:tr>
    </w:tbl>
    <w:p>
      <w:pPr>
        <w:pStyle w:val="TextBody"/>
        <w:bidi w:val="0"/>
        <w:spacing w:before="0" w:after="0"/>
        <w:jc w:val="left"/>
        <w:rPr>
          <w:bdr w:val="single" w:sz="8" w:space="1" w:color="000000"/>
        </w:rPr>
      </w:pPr>
      <w:r>
        <w:rPr>
          <w:bdr w:val="single" w:sz="8" w:space="1" w:color="000000"/>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risks and cyber incidents may adversely affect our business or those of our portfolio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may change our investment objective, operating policies and strategies without prior notice or stockholder approval.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of our debt investments to our portfolio companies and our indebtedness that extend beyond 2023 might be subject to change based on recent regulatory changes.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Economic Conditions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COVID-19 pandemic has materially and adversely affected, and is likely to continue to materially and adversely affect, our portfolio companies and the results of our operations, including our financial results.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state of the economy and financial markets increases the likelihood of adverse effects on our financial position and results of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Uncertainty about financial stability could have a significant adverse effect on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recessions or downturns could impair our portfolio companies and harm our operating results.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Portfolio Company Investments </w:t>
      </w:r>
    </w:p>
    <w:p>
      <w:pPr>
        <w:pStyle w:val="TextBody"/>
        <w:bidi w:val="0"/>
        <w:spacing w:before="0" w:after="0"/>
        <w:jc w:val="left"/>
        <w:rPr>
          <w:bdr w:val="single" w:sz="8" w:space="1" w:color="000000"/>
        </w:rPr>
      </w:pPr>
      <w:r>
        <w:rPr>
          <w:bdr w:val="single" w:sz="8" w:space="1" w:color="000000"/>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investments are very risky and highly speculative.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most of our portfolio securities will not have a readily available market price and we value these securities at fair value as determined in good faith by our Board, which valuation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inherently subjective, may not reflect what we may actually realize for the sale of the investment and could result in a conflict of interest with the Adviser. </w:t>
            </w:r>
          </w:p>
        </w:tc>
      </w:tr>
    </w:tbl>
    <w:p>
      <w:pPr>
        <w:pStyle w:val="TextBody"/>
        <w:bidi w:val="0"/>
        <w:spacing w:before="0" w:after="0"/>
        <w:jc w:val="left"/>
        <w:rPr>
          <w:bdr w:val="single" w:sz="8" w:space="1" w:color="000000"/>
        </w:rPr>
      </w:pPr>
      <w:r>
        <w:rPr>
          <w:bdr w:val="single" w:sz="8" w:space="1" w:color="000000"/>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liquidity in our investments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portfolio may be focused on a limited number of portfolio companies or industries, which will subject us to a risk 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loss if any of these companies defaults on its obligations under any of its debt instruments or if there is a downturn in a particular industry. </w:t>
            </w:r>
          </w:p>
        </w:tc>
      </w:tr>
    </w:tbl>
    <w:p>
      <w:pPr>
        <w:pStyle w:val="TextBody"/>
        <w:bidi w:val="0"/>
        <w:spacing w:before="0" w:after="0"/>
        <w:jc w:val="left"/>
        <w:rPr>
          <w:bdr w:val="single" w:sz="8" w:space="1" w:color="000000"/>
        </w:rPr>
      </w:pPr>
      <w:r>
        <w:rPr>
          <w:bdr w:val="single" w:sz="8" w:space="1" w:color="000000"/>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securitize certain of our investments, which may subject us to certain structured financing risks.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we generally do not hold controlling interests in our portfolio companies, we may not be in a position to exercise control over those portfolio companies or prevent decisions by management of those portfolio companies that could decrease the value of our investments. </w:t>
            </w:r>
          </w:p>
        </w:tc>
      </w:tr>
    </w:tbl>
    <w:p>
      <w:pPr>
        <w:pStyle w:val="TextBody"/>
        <w:bidi w:val="0"/>
        <w:spacing w:before="0" w:after="0"/>
        <w:jc w:val="left"/>
        <w:rPr>
          <w:bdr w:val="single" w:sz="8" w:space="1" w:color="000000"/>
        </w:rPr>
      </w:pPr>
      <w:r>
        <w:rPr>
          <w:bdr w:val="single" w:sz="8" w:space="1" w:color="000000"/>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exposed to risks associated with changes in interest rates. </w:t>
            </w:r>
          </w:p>
        </w:tc>
      </w:tr>
    </w:tbl>
    <w:p>
      <w:pPr>
        <w:pStyle w:val="TextBody"/>
        <w:bidi w:val="0"/>
        <w:spacing w:before="0" w:after="0"/>
        <w:jc w:val="left"/>
        <w:rPr>
          <w:bdr w:val="single" w:sz="8" w:space="1" w:color="000000"/>
        </w:rPr>
      </w:pPr>
      <w:r>
        <w:rPr>
          <w:bdr w:val="single" w:sz="8" w:space="1" w:color="000000"/>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realize expected returns on our invested capital.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originating loans to companies that are experiencing significant financial or business difficulties, we may be exposed to distressed lending risks.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portfolio companies in some cases may incur debt or issue equity securities that rank equally with, or senior to, our investments in those companies. </w:t>
            </w:r>
          </w:p>
        </w:tc>
      </w:tr>
    </w:tbl>
    <w:p>
      <w:pPr>
        <w:pStyle w:val="TextBody"/>
        <w:bidi w:val="0"/>
        <w:spacing w:before="0" w:after="0"/>
        <w:jc w:val="left"/>
        <w:rPr>
          <w:bdr w:val="single" w:sz="8" w:space="1" w:color="000000"/>
        </w:rPr>
      </w:pPr>
      <w:r>
        <w:rPr>
          <w:bdr w:val="single" w:sz="8" w:space="1" w:color="000000"/>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exposed to special risks associated with bankruptcy cases. </w:t>
            </w:r>
          </w:p>
        </w:tc>
      </w:tr>
    </w:tbl>
    <w:p>
      <w:pPr>
        <w:pStyle w:val="TextBody"/>
        <w:bidi w:val="0"/>
        <w:spacing w:before="0" w:after="0"/>
        <w:jc w:val="left"/>
        <w:rPr>
          <w:bdr w:val="single" w:sz="8" w:space="1" w:color="000000"/>
        </w:rPr>
      </w:pPr>
      <w:r>
        <w:rPr>
          <w:bdr w:val="single" w:sz="8" w:space="1" w:color="000000"/>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make follow-on investments in our portfolio companies could impair the value of our investments. </w:t>
            </w:r>
          </w:p>
        </w:tc>
      </w:tr>
    </w:tbl>
    <w:p>
      <w:pPr>
        <w:pStyle w:val="TextBody"/>
        <w:bidi w:val="0"/>
        <w:spacing w:before="0" w:after="0"/>
        <w:jc w:val="left"/>
        <w:rPr>
          <w:bdr w:val="single" w:sz="8" w:space="1" w:color="000000"/>
        </w:rPr>
      </w:pPr>
      <w:r>
        <w:rPr>
          <w:bdr w:val="single" w:sz="8" w:space="1" w:color="000000"/>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transactions with our affiliates is restricted. </w:t>
            </w:r>
          </w:p>
        </w:tc>
      </w:tr>
    </w:tbl>
    <w:p>
      <w:pPr>
        <w:pStyle w:val="TextBody"/>
        <w:bidi w:val="0"/>
        <w:spacing w:before="0" w:after="0"/>
        <w:jc w:val="left"/>
        <w:rPr>
          <w:bdr w:val="single" w:sz="8" w:space="1" w:color="000000"/>
        </w:rPr>
      </w:pPr>
      <w:r>
        <w:rPr>
          <w:bdr w:val="single" w:sz="8" w:space="1" w:color="000000"/>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acquisitions or strategic investments that we pursue are subject to risks and uncertainties.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cannot guarantee that we will be able to obtain various required licenses in U.S. states or in any other jurisdiction where they may be required in the future. </w:t>
            </w:r>
          </w:p>
        </w:tc>
      </w:tr>
    </w:tbl>
    <w:p>
      <w:pPr>
        <w:pStyle w:val="TextBody"/>
        <w:bidi w:val="0"/>
        <w:spacing w:before="0" w:after="0"/>
        <w:jc w:val="left"/>
        <w:rPr>
          <w:bdr w:val="single" w:sz="8" w:space="1" w:color="000000"/>
        </w:rPr>
      </w:pPr>
      <w:r>
        <w:rPr>
          <w:bdr w:val="single" w:sz="8" w:space="1" w:color="000000"/>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investments in foreign companies may involve significant risks in addition to the risks inherent in U.S. investments. </w:t>
            </w:r>
          </w:p>
        </w:tc>
      </w:tr>
    </w:tbl>
    <w:p>
      <w:pPr>
        <w:pStyle w:val="TextBody"/>
        <w:bidi w:val="0"/>
        <w:spacing w:before="0" w:after="0"/>
        <w:jc w:val="left"/>
        <w:rPr>
          <w:bdr w:val="single" w:sz="8" w:space="1" w:color="000000"/>
        </w:rPr>
      </w:pPr>
      <w:r>
        <w:rPr>
          <w:bdr w:val="single" w:sz="8" w:space="1" w:color="000000"/>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expose ourselves to risks when we engage in hedging transactions.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new market structure applicable to derivatives imposed by the Dodd-Frank Act may affect our ability to use over-the-counter (“OTC”) derivatives for hedging purposes.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cease to be eligible for an exemption from regulation as a commodity pool operator, our compliance expenses could increase substantially. </w:t>
            </w:r>
          </w:p>
        </w:tc>
      </w:tr>
    </w:tbl>
    <w:p>
      <w:pPr>
        <w:pStyle w:val="TextBody"/>
        <w:bidi w:val="0"/>
        <w:spacing w:before="0" w:after="0"/>
        <w:jc w:val="left"/>
        <w:rPr>
          <w:bdr w:val="single" w:sz="8" w:space="1" w:color="000000"/>
        </w:rPr>
      </w:pPr>
      <w:r>
        <w:rPr>
          <w:bdr w:val="single" w:sz="8" w:space="1" w:color="000000"/>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portfolio investments may present special tax issues.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are certain risks associated with holding debt obligations that have original issue discount or payment-in-kind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is a risk that investors in our common stock may not receive dividends or that our dividends may not grow over time. </w:t>
            </w:r>
          </w:p>
        </w:tc>
      </w:tr>
    </w:tbl>
    <w:p>
      <w:pPr>
        <w:pStyle w:val="TextBody"/>
        <w:bidi w:val="0"/>
        <w:spacing w:before="0" w:after="0"/>
        <w:jc w:val="left"/>
        <w:rPr>
          <w:bdr w:val="single" w:sz="8" w:space="1" w:color="000000"/>
        </w:rPr>
      </w:pPr>
      <w:r>
        <w:rPr>
          <w:bdr w:val="single" w:sz="8" w:space="1" w:color="000000"/>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Investing in our securities may involve a high degree of risk. </w:t>
            </w:r>
          </w:p>
        </w:tc>
      </w:tr>
    </w:tbl>
    <w:p>
      <w:pPr>
        <w:pStyle w:val="TextBody"/>
        <w:bidi w:val="0"/>
        <w:spacing w:before="0" w:after="0"/>
        <w:jc w:val="left"/>
        <w:rPr>
          <w:bdr w:val="single" w:sz="8" w:space="1" w:color="000000"/>
        </w:rPr>
      </w:pPr>
      <w:r>
        <w:rPr>
          <w:bdr w:val="single" w:sz="8" w:space="1" w:color="000000"/>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may fluctuate significantly and could decline. </w:t>
            </w:r>
          </w:p>
        </w:tc>
      </w:tr>
    </w:tbl>
    <w:p>
      <w:pPr>
        <w:pStyle w:val="TextBody"/>
        <w:bidi w:val="0"/>
        <w:spacing w:before="0" w:after="0"/>
        <w:jc w:val="left"/>
        <w:rPr>
          <w:bdr w:val="single" w:sz="8" w:space="1" w:color="000000"/>
        </w:rPr>
      </w:pPr>
      <w:r>
        <w:rPr>
          <w:bdr w:val="single" w:sz="8" w:space="1" w:color="000000"/>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will experience dilution in their ownership percentage if they opt out of our dividend reinvestment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our common stock by us under the Company 10b5-1 Plan may result in dilution to our net asset value per share and the price of our common stock being higher than the price that otherwise might exist in the open market.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General Risk Factors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highly dependent on information systems and systems failures could significantly disrupt our business, which may, in turn, negatively affect the market price of our common stock and our ability to pay dividend. </w:t>
            </w:r>
          </w:p>
        </w:tc>
      </w:tr>
    </w:tbl>
    <w:p>
      <w:pPr>
        <w:pStyle w:val="TextBody"/>
        <w:bidi w:val="0"/>
        <w:spacing w:before="0" w:after="0"/>
        <w:jc w:val="left"/>
        <w:rPr>
          <w:bdr w:val="single" w:sz="8" w:space="1" w:color="000000"/>
        </w:rPr>
      </w:pPr>
      <w:r>
        <w:rPr>
          <w:bdr w:val="single" w:sz="8" w:space="1" w:color="000000"/>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governing our operations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climate change may impact the operations of our portfolio companies.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rom451583_3"/>
      <w:bookmarkEnd w:id="4"/>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is additional information regarding offerings of our securities: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55"/>
        <w:gridCol w:w="9250"/>
      </w:tblGrid>
      <w:tr>
        <w:trPr/>
        <w:tc>
          <w:tcPr>
            <w:tcW w:w="95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9250" w:type="dxa"/>
            <w:tcBorders/>
            <w:vAlign w:val="center"/>
          </w:tcPr>
          <w:p>
            <w:pPr>
              <w:pStyle w:val="TableContents"/>
              <w:bidi w:val="0"/>
              <w:spacing w:before="0" w:after="283"/>
              <w:jc w:val="left"/>
              <w:rPr/>
            </w:pPr>
            <w:r>
              <w:rPr/>
              <w:t xml:space="preserve">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Each supplement to this prospectus relating to an offering will more fully identify the use of the proceeds from such offering. See “Use of Proceeds.” </w:t>
            </w:r>
          </w:p>
        </w:tc>
      </w:tr>
    </w:tbl>
    <w:p>
      <w:pPr>
        <w:pStyle w:val="TextBody"/>
        <w:bidi w:val="0"/>
        <w:spacing w:before="0" w:after="0"/>
        <w:jc w:val="left"/>
        <w:rPr>
          <w:bdr w:val="single" w:sz="8" w:space="1" w:color="000000"/>
        </w:rPr>
      </w:pPr>
      <w:r>
        <w:rPr>
          <w:bdr w:val="single" w:sz="8" w:space="1" w:color="000000"/>
        </w:rPr>
        <w:t> </w:t>
      </w:r>
    </w:p>
    <w:tbl>
      <w:tblPr>
        <w:tblW w:w="2755" w:type="dxa"/>
        <w:jc w:val="left"/>
        <w:tblInd w:w="0" w:type="dxa"/>
        <w:tblLayout w:type="fixed"/>
        <w:tblCellMar>
          <w:top w:w="0" w:type="dxa"/>
          <w:left w:w="0" w:type="dxa"/>
          <w:bottom w:w="0" w:type="dxa"/>
          <w:right w:w="0" w:type="dxa"/>
        </w:tblCellMar>
      </w:tblPr>
      <w:tblGrid>
        <w:gridCol w:w="1835"/>
        <w:gridCol w:w="920"/>
      </w:tblGrid>
      <w:tr>
        <w:trPr/>
        <w:tc>
          <w:tcPr>
            <w:tcW w:w="183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Symbol on the NYSE </w:t>
            </w:r>
          </w:p>
        </w:tc>
        <w:tc>
          <w:tcPr>
            <w:tcW w:w="920" w:type="dxa"/>
            <w:tcBorders/>
            <w:vAlign w:val="center"/>
          </w:tcPr>
          <w:p>
            <w:pPr>
              <w:pStyle w:val="TableContents"/>
              <w:bidi w:val="0"/>
              <w:spacing w:before="0" w:after="283"/>
              <w:jc w:val="left"/>
              <w:rPr/>
            </w:pPr>
            <w:r>
              <w:rPr/>
              <w:t>“</w:t>
            </w:r>
            <w:r>
              <w:rPr/>
              <w:t xml:space="preserve">TSLX”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40"/>
        <w:gridCol w:w="9065"/>
      </w:tblGrid>
      <w:tr>
        <w:trPr/>
        <w:tc>
          <w:tcPr>
            <w:tcW w:w="1140"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Distributions </w:t>
            </w:r>
          </w:p>
        </w:tc>
        <w:tc>
          <w:tcPr>
            <w:tcW w:w="9065" w:type="dxa"/>
            <w:tcBorders/>
            <w:vAlign w:val="center"/>
          </w:tcPr>
          <w:p>
            <w:pPr>
              <w:pStyle w:val="TableContents"/>
              <w:bidi w:val="0"/>
              <w:spacing w:before="0" w:after="283"/>
              <w:jc w:val="left"/>
              <w:rPr/>
            </w:pPr>
            <w:r>
              <w:rPr/>
              <w:t xml:space="preserve">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maintain our tax treatment as a RIC, we must make certain distributions. See “Material U.S. Federal Income Tax Considerations—Regulated Investment Company Classification.”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52"/>
        <w:gridCol w:w="8753"/>
      </w:tblGrid>
      <w:tr>
        <w:trPr/>
        <w:tc>
          <w:tcPr>
            <w:tcW w:w="1452"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Anti-Takeover Provisions </w:t>
            </w:r>
          </w:p>
        </w:tc>
        <w:tc>
          <w:tcPr>
            <w:tcW w:w="8753" w:type="dxa"/>
            <w:tcBorders/>
            <w:vAlign w:val="center"/>
          </w:tcPr>
          <w:p>
            <w:pPr>
              <w:pStyle w:val="TableContents"/>
              <w:bidi w:val="0"/>
              <w:spacing w:before="0" w:after="283"/>
              <w:jc w:val="left"/>
              <w:rPr/>
            </w:pPr>
            <w:r>
              <w:rPr/>
              <w:t xml:space="preserve">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61"/>
        <w:gridCol w:w="9344"/>
      </w:tblGrid>
      <w:tr>
        <w:trPr/>
        <w:tc>
          <w:tcPr>
            <w:tcW w:w="861"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Leverage </w:t>
            </w:r>
          </w:p>
        </w:tc>
        <w:tc>
          <w:tcPr>
            <w:tcW w:w="9344" w:type="dxa"/>
            <w:tcBorders/>
            <w:vAlign w:val="center"/>
          </w:tcPr>
          <w:p>
            <w:pPr>
              <w:pStyle w:val="TableContents"/>
              <w:bidi w:val="0"/>
              <w:spacing w:before="0" w:after="283"/>
              <w:jc w:val="left"/>
              <w:rPr/>
            </w:pPr>
            <w:r>
              <w:rPr/>
              <w:t xml:space="preserve">As a BDC, we are permitted under the 1940 Act to borrow funds or issue senior securities to finance a portion of our investments. As a result, we are exposed to the risks of leverage, which may be considered a speculative investment technique.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2021 Annual Report.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79"/>
        <w:gridCol w:w="8826"/>
      </w:tblGrid>
      <w:tr>
        <w:trPr/>
        <w:tc>
          <w:tcPr>
            <w:tcW w:w="1379"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Dividend Reinvestment Plan </w:t>
            </w:r>
          </w:p>
        </w:tc>
        <w:tc>
          <w:tcPr>
            <w:tcW w:w="8826" w:type="dxa"/>
            <w:tcBorders/>
            <w:vAlign w:val="center"/>
          </w:tcPr>
          <w:p>
            <w:pPr>
              <w:pStyle w:val="TableContents"/>
              <w:bidi w:val="0"/>
              <w:spacing w:before="0" w:after="283"/>
              <w:jc w:val="left"/>
              <w:rPr/>
            </w:pPr>
            <w:r>
              <w:rPr/>
              <w:t xml:space="preserve">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28"/>
        <w:gridCol w:w="9377"/>
      </w:tblGrid>
      <w:tr>
        <w:trPr/>
        <w:tc>
          <w:tcPr>
            <w:tcW w:w="828"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Taxation </w:t>
            </w:r>
          </w:p>
        </w:tc>
        <w:tc>
          <w:tcPr>
            <w:tcW w:w="9377" w:type="dxa"/>
            <w:tcBorders/>
            <w:vAlign w:val="center"/>
          </w:tcPr>
          <w:p>
            <w:pPr>
              <w:pStyle w:val="TableContents"/>
              <w:bidi w:val="0"/>
              <w:spacing w:before="0" w:after="283"/>
              <w:jc w:val="left"/>
              <w:rPr/>
            </w:pPr>
            <w:r>
              <w:rPr/>
              <w:t xml:space="preserve">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maintain our status as a RIC and to avoid being subject to corporate-level U.S. federal income taxation on our earnings, we must, among other things: </w:t>
            </w:r>
          </w:p>
        </w:tc>
      </w:tr>
    </w:tbl>
    <w:p>
      <w:pPr>
        <w:pStyle w:val="TextBody"/>
        <w:bidi w:val="0"/>
        <w:spacing w:before="0" w:after="0"/>
        <w:jc w:val="left"/>
        <w:rPr>
          <w:bdr w:val="single" w:sz="8" w:space="1" w:color="000000"/>
        </w:rPr>
      </w:pPr>
      <w:r>
        <w:rPr>
          <w:bdr w:val="single" w:sz="8" w:space="1" w:color="000000"/>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bidi w:val="0"/>
        <w:spacing w:before="0" w:after="0"/>
        <w:jc w:val="left"/>
        <w:rPr>
          <w:bdr w:val="single" w:sz="8" w:space="1" w:color="000000"/>
        </w:rPr>
      </w:pPr>
      <w:r>
        <w:rPr>
          <w:bdr w:val="single" w:sz="8" w:space="1" w:color="000000"/>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diversified holdings.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 addition, we must distribute (or be treated as distributing) in each taxable year dividends for tax purposes equal to at least 90% of our investment company taxable income and net tax-exempt income for that taxable year.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2022. For the three and nine months ended September 30, 2022 we recorded a net expense of $0.4 million and $1.5 million, respectively, for U.S. federal excise tax and other taxes. For the three and nine months ended September 30, 2021, the Company recorded a net expense of $0.1 million and $0.7 million, respectively, for U.S. federal excise tax and other taxes and for the calendar years ended December 31, 2021 and 2020 and we recorded a net expense of, $0.4 million and $5.8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27"/>
        <w:gridCol w:w="8678"/>
      </w:tblGrid>
      <w:tr>
        <w:trPr/>
        <w:tc>
          <w:tcPr>
            <w:tcW w:w="1527"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Management Arrangements </w:t>
            </w:r>
          </w:p>
        </w:tc>
        <w:tc>
          <w:tcPr>
            <w:tcW w:w="8678" w:type="dxa"/>
            <w:tcBorders/>
            <w:vAlign w:val="center"/>
          </w:tcPr>
          <w:p>
            <w:pPr>
              <w:pStyle w:val="TableContents"/>
              <w:bidi w:val="0"/>
              <w:spacing w:before="0" w:after="283"/>
              <w:jc w:val="left"/>
              <w:rPr/>
            </w:pPr>
            <w:r>
              <w:rPr/>
              <w:t xml:space="preserve">Our Adviser serves as our investment adviser and our administrator. For more information regarding our Adviser and Sixth Street and our contractual arrangements with these companies, see “Management Agreements” in Part I, Item 1 of our 2021 Annual Report and Note 3 to our consolidated financial statements in our 3Q 2022 Quarterly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96"/>
        <w:gridCol w:w="9309"/>
      </w:tblGrid>
      <w:tr>
        <w:trPr/>
        <w:tc>
          <w:tcPr>
            <w:tcW w:w="896"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Trading at a Discount </w:t>
            </w:r>
          </w:p>
        </w:tc>
        <w:tc>
          <w:tcPr>
            <w:tcW w:w="9309" w:type="dxa"/>
            <w:tcBorders/>
            <w:vAlign w:val="center"/>
          </w:tcPr>
          <w:p>
            <w:pPr>
              <w:pStyle w:val="TableContents"/>
              <w:bidi w:val="0"/>
              <w:spacing w:before="0" w:after="283"/>
              <w:jc w:val="left"/>
              <w:rPr/>
            </w:pPr>
            <w:r>
              <w:rPr/>
              <w:t xml:space="preserve">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85"/>
        <w:gridCol w:w="9020"/>
      </w:tblGrid>
      <w:tr>
        <w:trPr/>
        <w:tc>
          <w:tcPr>
            <w:tcW w:w="1185"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Available Information </w:t>
            </w:r>
          </w:p>
        </w:tc>
        <w:tc>
          <w:tcPr>
            <w:tcW w:w="9020" w:type="dxa"/>
            <w:tcBorders/>
            <w:vAlign w:val="center"/>
          </w:tcPr>
          <w:p>
            <w:pPr>
              <w:pStyle w:val="TableContents"/>
              <w:bidi w:val="0"/>
              <w:spacing w:before="0" w:after="283"/>
              <w:jc w:val="left"/>
              <w:rPr/>
            </w:pPr>
            <w:r>
              <w:rPr/>
              <w:t xml:space="preserve">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This information is available at the SEC’s public reference room at 100 F Street, N.E., Washington, D.C. 20549 and on the SEC’s website at http://www.sec.gov. Information on the operation of the SEC’s public reference room may be obtained by calling the SEC at 1 (800) SEC-0330.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We maintain a website at https://sixthstreetspecialtylending.com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888 7th Avenue, 41st Floor, New York, NY 10106, Attention: TSLX Investor Relations, or by emailing us at IRTSLX@sixthstreet.com.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73"/>
        <w:gridCol w:w="8532"/>
      </w:tblGrid>
      <w:tr>
        <w:trPr/>
        <w:tc>
          <w:tcPr>
            <w:tcW w:w="1673"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 xml:space="preserve">Information Incorporated by Reference </w:t>
            </w:r>
          </w:p>
        </w:tc>
        <w:tc>
          <w:tcPr>
            <w:tcW w:w="8532" w:type="dxa"/>
            <w:tcBorders/>
            <w:vAlign w:val="center"/>
          </w:tcPr>
          <w:p>
            <w:pPr>
              <w:pStyle w:val="TableContents"/>
              <w:bidi w:val="0"/>
              <w:spacing w:before="0" w:after="283"/>
              <w:jc w:val="left"/>
              <w:rPr/>
            </w:pPr>
            <w:r>
              <w:rPr/>
              <w:t xml:space="preserve">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rom451583_4"/>
      <w:bookmarkEnd w:id="5"/>
      <w:r>
        <w:rPr>
          <w:rFonts w:ascii="Times New Roman" w:hAnsi="Times New Roman"/>
          <w:b/>
          <w:sz w:val="20"/>
          <w:bdr w:val="single" w:sz="8" w:space="1" w:color="000000"/>
        </w:rPr>
        <w:t xml:space="preserve">FEES AND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bidi w:val="0"/>
        <w:spacing w:before="0" w:after="0"/>
        <w:jc w:val="left"/>
        <w:rPr>
          <w:bdr w:val="single" w:sz="8" w:space="1" w:color="000000"/>
        </w:rPr>
      </w:pPr>
      <w:r>
        <w:rPr>
          <w:bdr w:val="single" w:sz="8" w:space="1" w:color="000000"/>
        </w:rPr>
        <w:t> </w:t>
      </w:r>
    </w:p>
    <w:tbl>
      <w:tblPr>
        <w:tblW w:w="8790" w:type="dxa"/>
        <w:jc w:val="left"/>
        <w:tblInd w:w="0" w:type="dxa"/>
        <w:tblLayout w:type="fixed"/>
        <w:tblCellMar>
          <w:top w:w="0" w:type="dxa"/>
          <w:left w:w="0" w:type="dxa"/>
          <w:bottom w:w="0" w:type="dxa"/>
          <w:right w:w="0" w:type="dxa"/>
        </w:tblCellMar>
      </w:tblPr>
      <w:tblGrid>
        <w:gridCol w:w="7610"/>
        <w:gridCol w:w="120"/>
        <w:gridCol w:w="60"/>
        <w:gridCol w:w="440"/>
        <w:gridCol w:w="560"/>
      </w:tblGrid>
      <w:tr>
        <w:trPr/>
        <w:tc>
          <w:tcPr>
            <w:tcW w:w="7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7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560" w:type="dxa"/>
            <w:tcBorders/>
            <w:vAlign w:val="center"/>
          </w:tcPr>
          <w:p>
            <w:pPr>
              <w:pStyle w:val="TableContents"/>
              <w:bidi w:val="0"/>
              <w:spacing w:before="0" w:after="283"/>
              <w:jc w:val="left"/>
              <w:rPr/>
            </w:pPr>
            <w:r>
              <w:rPr/>
              <w:t>(1) </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(2) </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560" w:type="dxa"/>
            <w:tcBorders/>
            <w:vAlign w:val="center"/>
          </w:tcPr>
          <w:p>
            <w:pPr>
              <w:pStyle w:val="TableContents"/>
              <w:bidi w:val="0"/>
              <w:spacing w:before="0" w:after="283"/>
              <w:jc w:val="left"/>
              <w:rPr/>
            </w:pPr>
            <w:r>
              <w:rPr/>
              <w:t>(3) </w:t>
            </w:r>
          </w:p>
        </w:tc>
      </w:tr>
      <w:tr>
        <w:trPr/>
        <w:tc>
          <w:tcPr>
            <w:tcW w:w="761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r>
      <w:tr>
        <w:trPr/>
        <w:tc>
          <w:tcPr>
            <w:tcW w:w="7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Estimated annual expenses (as a percentage of net assets attributable to common stock)(4):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Management Fee payable under the Investment Advisory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2.91</w:t>
            </w:r>
          </w:p>
        </w:tc>
        <w:tc>
          <w:tcPr>
            <w:tcW w:w="560" w:type="dxa"/>
            <w:tcBorders/>
            <w:vAlign w:val="center"/>
          </w:tcPr>
          <w:p>
            <w:pPr>
              <w:pStyle w:val="TableContents"/>
              <w:bidi w:val="0"/>
              <w:spacing w:before="0" w:after="283"/>
              <w:jc w:val="left"/>
              <w:rPr/>
            </w:pPr>
            <w:r>
              <w:rPr/>
              <w:t>%(5) </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2.59</w:t>
            </w:r>
          </w:p>
        </w:tc>
        <w:tc>
          <w:tcPr>
            <w:tcW w:w="560" w:type="dxa"/>
            <w:tcBorders/>
            <w:shd w:fill="CCEEFF" w:val="clear"/>
            <w:vAlign w:val="center"/>
          </w:tcPr>
          <w:p>
            <w:pPr>
              <w:pStyle w:val="TableContents"/>
              <w:bidi w:val="0"/>
              <w:spacing w:before="0" w:after="283"/>
              <w:jc w:val="left"/>
              <w:rPr/>
            </w:pPr>
            <w:r>
              <w:rPr/>
              <w:t>%(6) </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2.47</w:t>
            </w:r>
          </w:p>
        </w:tc>
        <w:tc>
          <w:tcPr>
            <w:tcW w:w="560" w:type="dxa"/>
            <w:tcBorders/>
            <w:vAlign w:val="center"/>
          </w:tcPr>
          <w:p>
            <w:pPr>
              <w:pStyle w:val="TableContents"/>
              <w:bidi w:val="0"/>
              <w:spacing w:before="0" w:after="283"/>
              <w:jc w:val="left"/>
              <w:rPr/>
            </w:pPr>
            <w:r>
              <w:rPr/>
              <w:t>%(7) </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1.06</w:t>
            </w:r>
          </w:p>
        </w:tc>
        <w:tc>
          <w:tcPr>
            <w:tcW w:w="560" w:type="dxa"/>
            <w:tcBorders/>
            <w:shd w:fill="CCEEFF" w:val="clear"/>
            <w:vAlign w:val="center"/>
          </w:tcPr>
          <w:p>
            <w:pPr>
              <w:pStyle w:val="TableContents"/>
              <w:bidi w:val="0"/>
              <w:spacing w:before="0" w:after="283"/>
              <w:jc w:val="left"/>
              <w:rPr/>
            </w:pPr>
            <w:r>
              <w:rPr/>
              <w:t>%(8) </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annual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9.07</w:t>
            </w:r>
          </w:p>
        </w:tc>
        <w:tc>
          <w:tcPr>
            <w:tcW w:w="560"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securities to which this prospectus relates are sold to or through underwriters, a corresponding prospectus supplement will disclose the applicable sales load (underwriting discount or commission).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related prospectus supplement will disclose the estimated amount of offering expenses, the offering price and the offering expenses borne by us as a percentage of the offering price.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$1,275.8 million as of December 31, 2021.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2021 Annual Report and in Note 3 to our consolidated financial statements in our 3Q 2022 Quarterly Report.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Management Fee reflected in the table is calculated by determining the ratio that the Management Fee for the year ended December 31, 2021 bears to our net assets attributable to common stock (rather than our gross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voluntarily has waived certain Management Fees. See “Management’s Discussion and Analysis of Financial Condition and Results of Operations—Results of Operations—Management Fees” in Part II, Item 7 of our 2021 Annual Report and in Part I, Item 2 of our 3Q 2022 Quarterly Report. The above estimates are based on our actual Management Fees for the year ended December 31, 2021. For the year ended December 31, 2021, Management Fees of $0.2 million were waived consisting solely of Management Fees pursuant to the Leverage Waiver.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2021 and assumes that the Incentive Fee is 17.5% for all relevant periods. However, the Incentive Fee payable to the Adviser is based on our performance and will not be paid unless we achieve certain goals.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Incentive Fee consists of two parts, as follows: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(ii) 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Note 3 to our consolidated financial statements in our 2021 Annual Report and our 3Q 2022 Quarterly Report and “Management Agreements—Investment Advisory Agreement; Administration Agreement; License Agreement” in Part I, Item 1 of our 2021 Annual Report and Note 3 to our consolidated financial statements in our 3Q 2022 Quarterly Report.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has voluntarily waived certain Incentive Fees. See “Management’s Discussion and Analysis of Financial Condition and Results of Operations—Results of Operations—Incentive Fees” in Part II, Item 7 of our 2021 Annual Report and in Part I, Item 2 of our 3Q 2022 Quarterly Report. The above estimates do not reflect or assume any such waivers.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year ended December 31, 2021 under our credit facilities excluding fees (such as fees on undrawn amounts and amortization of upfront fees) and including the swap-adjusted interest expense related to our 2022 Convertible Notes,2023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(8)</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“Management Agreements—Investment Advisory Agreement; Administration Agreement; License Agreement” in Part I, Item 1 of our 2021 Annual Report and Note 3 to our consolidated financial statements in our 3Q 2022 Quarterly Report. The expenses in this table are based on our actual other expenses and excise taxes for the year ended December 31, 2021.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Example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example demonstrates the projected dollar amount of total cumulative expenses over various periods with respect to a hypothetical investment in our common stock. In calculating the following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480"/>
        <w:gridCol w:w="120"/>
        <w:gridCol w:w="227"/>
        <w:gridCol w:w="423"/>
        <w:gridCol w:w="60"/>
        <w:gridCol w:w="120"/>
        <w:gridCol w:w="199"/>
        <w:gridCol w:w="541"/>
        <w:gridCol w:w="60"/>
        <w:gridCol w:w="120"/>
        <w:gridCol w:w="199"/>
        <w:gridCol w:w="541"/>
        <w:gridCol w:w="60"/>
        <w:gridCol w:w="120"/>
        <w:gridCol w:w="231"/>
        <w:gridCol w:w="629"/>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423"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742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rom451583_7"/>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number of significant risks. You should carefully consider the risks set out below and described in Part I, Item 1A, “Risk Factors,” in our 2021 Annual Report and Part I, Item IA, “Risk Factors,” in our quarterly report on Form 10-Q for the three months ended March 31, 2022 (the “1Q 2022 Quarterly Report”), in our quarterly report on Form 10-Q for the three months ended June 30, 2022 (the “2Q 2022 Quarterly Report”), and in our quarterly report on Form 10-Q for the three months ended September 30, 2022 (the “3Q 2022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2021 Annual Report, 1Q 2022 Quarterly Report, 2Q 2022 Quarterly Report, and 3Q 2022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Offerings Pursuant to This Prospectus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There is a risk that investors in our common stock may not receive dividends or that our dividends may not grow over time. </w:t>
      </w:r>
    </w:p>
    <w:p>
      <w:pPr>
        <w:pStyle w:val="TextBody"/>
        <w:bidi w:val="0"/>
        <w:spacing w:before="120" w:after="0"/>
        <w:jc w:val="left"/>
        <w:rPr>
          <w:rFonts w:ascii="Times New Roman" w:hAnsi="Times New Roman"/>
          <w:sz w:val="20"/>
        </w:rPr>
      </w:pPr>
      <w:r>
        <w:rPr>
          <w:rFonts w:ascii="Times New Roman" w:hAnsi="Times New Roman"/>
          <w:sz w:val="20"/>
        </w:rPr>
        <w:t xml:space="preserve">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2021 Annual Report. </w:t>
      </w:r>
    </w:p>
    <w:p>
      <w:pPr>
        <w:pStyle w:val="TextBody"/>
        <w:bidi w:val="0"/>
        <w:spacing w:before="240" w:after="0"/>
        <w:jc w:val="left"/>
        <w:rPr>
          <w:rFonts w:ascii="Times New Roman" w:hAnsi="Times New Roman"/>
          <w:sz w:val="20"/>
        </w:rPr>
      </w:pPr>
      <w:r>
        <w:rPr>
          <w:rFonts w:ascii="Times New Roman" w:hAnsi="Times New Roman"/>
          <w:sz w:val="20"/>
        </w:rPr>
        <w:t xml:space="preserve">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w:t>
      </w:r>
    </w:p>
    <w:p>
      <w:pPr>
        <w:pStyle w:val="TextBody"/>
        <w:bidi w:val="0"/>
        <w:spacing w:before="240" w:after="0"/>
        <w:jc w:val="left"/>
        <w:rPr>
          <w:rFonts w:ascii="Times New Roman" w:hAnsi="Times New Roman"/>
          <w:sz w:val="20"/>
        </w:rPr>
      </w:pPr>
      <w:r>
        <w:rPr>
          <w:rFonts w:ascii="Times New Roman" w:hAnsi="Times New Roman"/>
          <w:sz w:val="20"/>
        </w:rPr>
        <w:t xml:space="preserve">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in our securities may involve a high degree of risk. </w:t>
      </w:r>
    </w:p>
    <w:p>
      <w:pPr>
        <w:pStyle w:val="TextBody"/>
        <w:bidi w:val="0"/>
        <w:spacing w:before="120" w:after="0"/>
        <w:jc w:val="left"/>
        <w:rPr>
          <w:rFonts w:ascii="Times New Roman" w:hAnsi="Times New Roman"/>
          <w:sz w:val="20"/>
        </w:rPr>
      </w:pPr>
      <w:r>
        <w:rPr>
          <w:rFonts w:ascii="Times New Roman" w:hAnsi="Times New Roman"/>
          <w:sz w:val="20"/>
        </w:rPr>
        <w:t xml:space="preserve">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and liquidity of the market for shares of our common stock may be significantly affected by numerous factors, some of which are beyond our control and may not be directly related to our operating performance. These factors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volatility in the market price and trading volume of securities of BDCs or other companies in our sector, which is not necessarily related to the operating performance of these companies;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policies or tax guidelines, particularly with respect to RICs or BDCs;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exclusion of BDC common stock from certain market indices, which could reduce the ability of certain investment funds to own our common stock and put short term selling pressure on our common stock; </w:t>
            </w:r>
          </w:p>
        </w:tc>
      </w:tr>
    </w:tbl>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75"/>
        <w:gridCol w:w="110"/>
        <w:gridCol w:w="6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RIC or BDC status;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or perceived changes in earnings or variations in operating results;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portfolio of investments;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or perceived changes in the value of our portfolio of investments;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guidelines governing valuation of our investments;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shortfall in revenue or net income or any increase in losses from levels expected by investors or securities analysts;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downgrades to our credit rating or placement on a negative watch status by a credit rating agency;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departure of the Adviser’s or any of its affiliates’ key personnel;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performance of companies comparable to us;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short-selling pressure with respect to shares of our common stock or BDCs generally;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securities convertible into or exchangeable or exercisable for our common stock or the conversion of such securities;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uncertainty surrounding the strength of the U.S. economy;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concerns regarding European sovereign debt and Brexit;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concerns regarding volatility in the Chinese stock market and Chinese currency;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concerns regarding U.S. and global tariffs and trade policy;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base interest rates, such as LIBOR, SOFR, EURIBOR, SONIA, the Federal Funds Rate or the Prime Rate;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public health epidemics on the global economy, such as the COVID-19 pandemic and its worldwide impact;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trends and other external factors; and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a major funding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assure you that the market price of shares of our common stock will not decline. </w:t>
      </w:r>
    </w:p>
    <w:p>
      <w:pPr>
        <w:pStyle w:val="TextBody"/>
        <w:bidi w:val="0"/>
        <w:spacing w:before="120" w:after="0"/>
        <w:jc w:val="left"/>
        <w:rPr>
          <w:rFonts w:ascii="Times New Roman" w:hAnsi="Times New Roman"/>
          <w:sz w:val="20"/>
        </w:rPr>
      </w:pPr>
      <w:r>
        <w:rPr>
          <w:rFonts w:ascii="Times New Roman" w:hAnsi="Times New Roman"/>
          <w:sz w:val="20"/>
        </w:rPr>
        <w:t xml:space="preserve">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 “Risk Factors—Risks Related to Our Business and Structure—Regulations governing our operation as a BDC affect our ability to, and the way in which we, raise additional capital” in our 2021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substantial amounts of our common stock in the public market may have an adverse effect on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stockholders will experience dilution in their ownership percentage if they opt out of our dividend reinvestment plan.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Purchases of our common stock by us under the Company 10b5-1 Plan may result in the price of our common stock being higher than the price that otherwise might exist in the open market.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2023. </w:t>
      </w:r>
    </w:p>
    <w:p>
      <w:pPr>
        <w:pStyle w:val="TextBody"/>
        <w:bidi w:val="0"/>
        <w:spacing w:before="240" w:after="0"/>
        <w:jc w:val="left"/>
        <w:rPr>
          <w:rFonts w:ascii="Times New Roman" w:hAnsi="Times New Roman"/>
          <w:sz w:val="20"/>
        </w:rPr>
      </w:pPr>
      <w:r>
        <w:rPr>
          <w:rFonts w:ascii="Times New Roman" w:hAnsi="Times New Roman"/>
          <w:sz w:val="20"/>
        </w:rPr>
        <w:t xml:space="preserve">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Purchases of our common stock by us under the Company 10b5-1 Plan may result in dilution to our net asset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10b5-1 Plan, the agent will increase the volume of purchases made as the price of our common stock declines, subject to volume restrictions. </w:t>
      </w:r>
    </w:p>
    <w:p>
      <w:pPr>
        <w:pStyle w:val="TextBody"/>
        <w:bidi w:val="0"/>
        <w:spacing w:before="240" w:after="0"/>
        <w:jc w:val="left"/>
        <w:rPr>
          <w:rFonts w:ascii="Times New Roman" w:hAnsi="Times New Roman"/>
          <w:sz w:val="20"/>
        </w:rPr>
      </w:pPr>
      <w:r>
        <w:rPr>
          <w:rFonts w:ascii="Times New Roman" w:hAnsi="Times New Roman"/>
          <w:sz w:val="20"/>
        </w:rPr>
        <w:t xml:space="preserve">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any such dilution, our market price per share may decline. The actual dilutive effect will depend on the number of shares of common stock that could be so repurchased, the price and the timing of any repurchases under the Company 10b5-1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have broad discretion over the use of proceeds of any offering made pursuant to this prospectus, to the extent it is successful. </w:t>
      </w:r>
    </w:p>
    <w:p>
      <w:pPr>
        <w:pStyle w:val="TextBody"/>
        <w:bidi w:val="0"/>
        <w:spacing w:before="120" w:after="0"/>
        <w:jc w:val="left"/>
        <w:rPr>
          <w:rFonts w:ascii="Times New Roman" w:hAnsi="Times New Roman"/>
          <w:sz w:val="20"/>
        </w:rPr>
      </w:pPr>
      <w:r>
        <w:rPr>
          <w:rFonts w:ascii="Times New Roman" w:hAnsi="Times New Roman"/>
          <w:sz w:val="20"/>
        </w:rPr>
        <w:t xml:space="preserve">We will have significant flexibility in applying the proceeds of any offering made pursuant to this prospectus. For example, we may pay operating expenses from net proceeds, which could limit our ability to achieve our investment objective.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net asset value per share of our common stock may be diluted if we sell or otherwise issue shares of our common stock at prices below the then-current net asset value per share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decision to sell or otherwise issue shares of our common stock below our then-current net asset value per share would be subject to the determination by our board of directors that such issuance or sale is in our and our stockholders’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determine to issue preferred stock, which could adversely affect the market value of our common stock and cause the net asset value and market value of our common stock to be more volatile.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any preferred stock we might issue would have the right to elect members of the board of directors and class voting rights on certain matters. </w:t>
      </w:r>
    </w:p>
    <w:p>
      <w:pPr>
        <w:pStyle w:val="TextBody"/>
        <w:bidi w:val="0"/>
        <w:spacing w:before="120" w:after="0"/>
        <w:jc w:val="left"/>
        <w:rPr>
          <w:rFonts w:ascii="Times New Roman" w:hAnsi="Times New Roman"/>
          <w:sz w:val="20"/>
        </w:rPr>
      </w:pPr>
      <w:r>
        <w:rPr>
          <w:rFonts w:ascii="Times New Roman" w:hAnsi="Times New Roman"/>
          <w:sz w:val="20"/>
        </w:rPr>
        <w:t xml:space="preserve">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rom451583_8"/>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factors identified elsewhere in this prospectus and the documents incorporated by reference herein, the following factors, among others, could cause actual results to differ materially from forward-looking statements or historical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impair our portfolio companies’ abilities to continue to operate, which could lead to the loss of some or all of our investments in those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and in Part I, Item 1A of our 2021 Annual Report and Part II, Item 1A of our 3Q 2022 Quarterly Report, and those discussed in other documents we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2022 Quarterly Report, and in our 2021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“TSLX” and “TAO” marks are marks of Sixth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rom451583_9"/>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it will take less than three months for us to substantially invest the net proceeds of any offering made pursuant to this prospectus, depending on the availability of attractive opportunities, market conditions and the amount raised. </w:t>
      </w:r>
    </w:p>
    <w:p>
      <w:pPr>
        <w:pStyle w:val="TextBody"/>
        <w:bidi w:val="0"/>
        <w:spacing w:before="240" w:after="0"/>
        <w:jc w:val="left"/>
        <w:rPr>
          <w:rFonts w:ascii="Times New Roman" w:hAnsi="Times New Roman"/>
          <w:sz w:val="20"/>
        </w:rPr>
      </w:pPr>
      <w:r>
        <w:rPr>
          <w:rFonts w:ascii="Times New Roman" w:hAnsi="Times New Roman"/>
          <w:sz w:val="20"/>
        </w:rPr>
        <w:t xml:space="preserve">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rom451583_10"/>
      <w:bookmarkEnd w:id="9"/>
      <w:r>
        <w:rPr>
          <w:rFonts w:ascii="Times New Roman" w:hAnsi="Times New Roman"/>
          <w:b/>
          <w:sz w:val="20"/>
        </w:rPr>
        <w:t xml:space="preserve">PRICE RANGE OF COMMON STOCK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2022 and for the years ended December 31, 2021, 2020 and 2019. On January 12, 2023, the last reported closing sales price of our common stock on the NYSE was $18.94 per share, which represented a premium of approximately 15.8% to the net asset value per share reported by us as of September 30, 2022, the last date prior to the date of this prospectus for which we reported net asset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71"/>
        <w:gridCol w:w="120"/>
        <w:gridCol w:w="165"/>
        <w:gridCol w:w="663"/>
        <w:gridCol w:w="60"/>
        <w:gridCol w:w="120"/>
        <w:gridCol w:w="140"/>
        <w:gridCol w:w="560"/>
        <w:gridCol w:w="60"/>
        <w:gridCol w:w="120"/>
        <w:gridCol w:w="140"/>
        <w:gridCol w:w="560"/>
        <w:gridCol w:w="60"/>
        <w:gridCol w:w="120"/>
        <w:gridCol w:w="146"/>
        <w:gridCol w:w="1074"/>
        <w:gridCol w:w="275"/>
        <w:gridCol w:w="60"/>
        <w:gridCol w:w="110"/>
        <w:gridCol w:w="945"/>
        <w:gridCol w:w="349"/>
        <w:gridCol w:w="60"/>
        <w:gridCol w:w="229"/>
        <w:gridCol w:w="721"/>
        <w:gridCol w:w="77"/>
      </w:tblGrid>
      <w:tr>
        <w:trPr/>
        <w:tc>
          <w:tcPr>
            <w:tcW w:w="3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1"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828"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NAV(1)</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Price Range</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High Sales</w:t>
              <w:br/>
              <w:t>Price to Net</w:t>
              <w:br/>
              <w:t>Asset</w:t>
              <w:br/>
              <w:t>Value(2)</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5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Low Sales</w:t>
              <w:br/>
              <w:t>Price to</w:t>
              <w:br/>
              <w:t>Net Asset</w:t>
              <w:br/>
              <w:t>Value(2)</w:t>
            </w:r>
          </w:p>
        </w:tc>
        <w:tc>
          <w:tcPr>
            <w:tcW w:w="349"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Cash</w:t>
              <w:br/>
              <w:t>Dividend</w:t>
              <w:br/>
              <w:t>Per</w:t>
              <w:br/>
              <w:t>Share(3)</w:t>
            </w:r>
          </w:p>
        </w:tc>
        <w:tc>
          <w:tcPr>
            <w:tcW w:w="77" w:type="dxa"/>
            <w:vMerge w:val="restart"/>
            <w:tcBorders/>
            <w:vAlign w:val="center"/>
          </w:tcPr>
          <w:p>
            <w:pPr>
              <w:pStyle w:val="TableContents"/>
              <w:bidi w:val="0"/>
              <w:spacing w:before="0" w:after="283"/>
              <w:jc w:val="left"/>
              <w:rPr/>
            </w:pPr>
            <w:r>
              <w:rPr/>
              <w:t> </w:t>
            </w:r>
          </w:p>
        </w:tc>
      </w:tr>
      <w:tr>
        <w:trPr/>
        <w:tc>
          <w:tcPr>
            <w:tcW w:w="3271"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828"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55" w:type="dxa"/>
            <w:gridSpan w:val="2"/>
            <w:vMerge w:val="continue"/>
            <w:tcBorders/>
            <w:vAlign w:val="center"/>
          </w:tcPr>
          <w:p>
            <w:pPr>
              <w:pStyle w:val="Normal"/>
              <w:bidi w:val="0"/>
              <w:jc w:val="left"/>
              <w:rPr/>
            </w:pPr>
            <w:r>
              <w:rPr/>
            </w:r>
          </w:p>
        </w:tc>
        <w:tc>
          <w:tcPr>
            <w:tcW w:w="349"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bottom w:val="single" w:sz="8" w:space="0" w:color="000000"/>
            </w:tcBorders>
            <w:tcMar>
              <w:bottom w:w="28" w:type="dxa"/>
            </w:tcMar>
            <w:vAlign w:val="center"/>
          </w:tcPr>
          <w:p>
            <w:pPr>
              <w:pStyle w:val="Normal"/>
              <w:bidi w:val="0"/>
              <w:jc w:val="left"/>
              <w:rPr/>
            </w:pPr>
            <w:r>
              <w:rPr/>
            </w:r>
          </w:p>
        </w:tc>
        <w:tc>
          <w:tcPr>
            <w:tcW w:w="77" w:type="dxa"/>
            <w:vMerge w:val="continue"/>
            <w:tcBorders/>
            <w:vAlign w:val="center"/>
          </w:tcPr>
          <w:p>
            <w:pPr>
              <w:pStyle w:val="Normal"/>
              <w:bidi w:val="0"/>
              <w:jc w:val="left"/>
              <w:rPr/>
            </w:pPr>
            <w:r>
              <w:rPr/>
            </w:r>
          </w:p>
        </w:tc>
      </w:tr>
      <w:tr>
        <w:trPr/>
        <w:tc>
          <w:tcPr>
            <w:tcW w:w="32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2019</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6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3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16.34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18.44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28.5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12.9</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0.51</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16.8</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0.40</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16.72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25.7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15.8</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0.43</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18.9</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0.47</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2020</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15.57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23.28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(27.4</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0.97</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12.57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21.3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(21.8</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0.41</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(7.1</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0.41</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17.16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23.8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(5.0</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0.51</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2021</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6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3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16.47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22.76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38.2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24.2</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1.71</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23.4</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0.47</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39.5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23.0</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0.43</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30.5</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0.98</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2022</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22.40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23.0</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0.52</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w:t>
            </w:r>
          </w:p>
        </w:tc>
        <w:tc>
          <w:tcPr>
            <w:tcW w:w="663" w:type="dxa"/>
            <w:tcBorders/>
            <w:vAlign w:val="center"/>
          </w:tcPr>
          <w:p>
            <w:pPr>
              <w:pStyle w:val="TableContents"/>
              <w:bidi w:val="0"/>
              <w:spacing w:before="0" w:after="283"/>
              <w:jc w:val="right"/>
              <w:rPr/>
            </w:pPr>
            <w:r>
              <w:rPr/>
              <w:t>16.27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23.64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45.3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11.2</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0.45</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663" w:type="dxa"/>
            <w:tcBorders/>
            <w:shd w:fill="CCEEFF" w:val="clear"/>
            <w:vAlign w:val="center"/>
          </w:tcPr>
          <w:p>
            <w:pPr>
              <w:pStyle w:val="TableContents"/>
              <w:bidi w:val="0"/>
              <w:spacing w:before="0" w:after="283"/>
              <w:jc w:val="right"/>
              <w:rPr/>
            </w:pPr>
            <w:r>
              <w:rPr/>
              <w:t>16.36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(1.4</w:t>
            </w:r>
          </w:p>
        </w:tc>
        <w:tc>
          <w:tcPr>
            <w:tcW w:w="3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0.42</w:t>
            </w:r>
          </w:p>
        </w:tc>
        <w:tc>
          <w:tcPr>
            <w:tcW w:w="77"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0.45</w:t>
            </w:r>
          </w:p>
        </w:tc>
        <w:tc>
          <w:tcPr>
            <w:tcW w:w="77"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ending December 31, 2023</w:t>
            </w:r>
          </w:p>
        </w:tc>
        <w:tc>
          <w:tcPr>
            <w:tcW w:w="12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6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34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(through January 12, 2023)</w:t>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18.94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net asset value, divided by net asset value (in each case, as of the applicable quarter). Does not reflect intraday trading prices. </w:t>
            </w:r>
          </w:p>
        </w:tc>
      </w:tr>
    </w:tbl>
    <w:tbl>
      <w:tblPr>
        <w:tblW w:w="5035" w:type="dxa"/>
        <w:jc w:val="left"/>
        <w:tblInd w:w="0" w:type="dxa"/>
        <w:tblLayout w:type="fixed"/>
        <w:tblCellMar>
          <w:top w:w="0" w:type="dxa"/>
          <w:left w:w="0" w:type="dxa"/>
          <w:bottom w:w="0" w:type="dxa"/>
          <w:right w:w="0" w:type="dxa"/>
        </w:tblCellMar>
      </w:tblPr>
      <w:tblGrid>
        <w:gridCol w:w="305"/>
        <w:gridCol w:w="4730"/>
      </w:tblGrid>
      <w:tr>
        <w:trPr/>
        <w:tc>
          <w:tcPr>
            <w:tcW w:w="305" w:type="dxa"/>
            <w:tcBorders/>
            <w:vAlign w:val="center"/>
          </w:tcPr>
          <w:p>
            <w:pPr>
              <w:pStyle w:val="TableContents"/>
              <w:bidi w:val="0"/>
              <w:spacing w:before="0" w:after="283"/>
              <w:jc w:val="left"/>
              <w:rPr/>
            </w:pPr>
            <w:r>
              <w:rPr/>
              <w:t>(3)</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dividends declared in the relevant quarter. </w:t>
            </w:r>
          </w:p>
        </w:tc>
      </w:tr>
    </w:tbl>
    <w:tbl>
      <w:tblPr>
        <w:tblW w:w="4765" w:type="dxa"/>
        <w:jc w:val="left"/>
        <w:tblInd w:w="0" w:type="dxa"/>
        <w:tblLayout w:type="fixed"/>
        <w:tblCellMar>
          <w:top w:w="0" w:type="dxa"/>
          <w:left w:w="0" w:type="dxa"/>
          <w:bottom w:w="0" w:type="dxa"/>
          <w:right w:w="0" w:type="dxa"/>
        </w:tblCellMar>
      </w:tblPr>
      <w:tblGrid>
        <w:gridCol w:w="155"/>
        <w:gridCol w:w="4610"/>
      </w:tblGrid>
      <w:tr>
        <w:trPr/>
        <w:tc>
          <w:tcPr>
            <w:tcW w:w="155"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 value has not yet been reported for this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 2022, our Board declared a fourth quarter 2022 base dividend of $0.45 per share for stockholders of record as of December 15, 2022, payable on December 30, 2022. Those dividends were paid from income generated primarily by interest earned on our investment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dividends declared during the nine months ended September 30, 2022 and years ended December 31, 2021, 2020 and 2019: </w:t>
      </w:r>
    </w:p>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2630"/>
        <w:gridCol w:w="120"/>
        <w:gridCol w:w="1310"/>
        <w:gridCol w:w="120"/>
        <w:gridCol w:w="1925"/>
        <w:gridCol w:w="120"/>
        <w:gridCol w:w="1925"/>
        <w:gridCol w:w="120"/>
        <w:gridCol w:w="247"/>
        <w:gridCol w:w="778"/>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45" w:type="dxa"/>
            <w:gridSpan w:val="8"/>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 2022</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Declared</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rPr>
            </w:pPr>
            <w:r>
              <w:rPr>
                <w:b/>
              </w:rPr>
              <w:t>Dividend(1)</w:t>
            </w:r>
          </w:p>
        </w:tc>
        <w:tc>
          <w:tcPr>
            <w:tcW w:w="120" w:type="dxa"/>
            <w:tcBorders/>
            <w:vAlign w:val="center"/>
          </w:tcPr>
          <w:p>
            <w:pPr>
              <w:pStyle w:val="TableContents"/>
              <w:bidi w:val="0"/>
              <w:spacing w:before="0" w:after="283"/>
              <w:jc w:val="left"/>
              <w:rPr/>
            </w:pPr>
            <w:r>
              <w:rPr/>
              <w:t>  </w:t>
            </w:r>
          </w:p>
        </w:tc>
        <w:tc>
          <w:tcPr>
            <w:tcW w:w="1925" w:type="dxa"/>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120" w:type="dxa"/>
            <w:tcBorders/>
            <w:vAlign w:val="center"/>
          </w:tcPr>
          <w:p>
            <w:pPr>
              <w:pStyle w:val="TableContents"/>
              <w:bidi w:val="0"/>
              <w:spacing w:before="0" w:after="283"/>
              <w:jc w:val="left"/>
              <w:rPr/>
            </w:pPr>
            <w:r>
              <w:rPr/>
              <w:t>  </w:t>
            </w:r>
          </w:p>
        </w:tc>
        <w:tc>
          <w:tcPr>
            <w:tcW w:w="1925" w:type="dxa"/>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2022</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12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28, 2022</w:t>
            </w:r>
          </w:p>
        </w:tc>
        <w:tc>
          <w:tcPr>
            <w:tcW w:w="12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31, 2022</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0.11</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2022</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15, 2022</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April 18, 2022</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3, 2022</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12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May 31, 2022</w:t>
            </w:r>
          </w:p>
        </w:tc>
        <w:tc>
          <w:tcPr>
            <w:tcW w:w="12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30, 2022</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0.04</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3, 2022</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15, 2022</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July 15, 2022</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2, 2022</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12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15, 2022</w:t>
            </w:r>
          </w:p>
        </w:tc>
        <w:tc>
          <w:tcPr>
            <w:tcW w:w="12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30, 2022</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0.42</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b/>
              </w:rPr>
            </w:pPr>
            <w:r>
              <w:rPr>
                <w:b/>
              </w:rPr>
              <w:t>Total Dividends Declared</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778" w:type="dxa"/>
            <w:tcBorders/>
            <w:vAlign w:val="center"/>
          </w:tcPr>
          <w:p>
            <w:pPr>
              <w:pStyle w:val="TableContents"/>
              <w:bidi w:val="0"/>
              <w:spacing w:before="0" w:after="283"/>
              <w:jc w:val="right"/>
              <w:rPr/>
            </w:pPr>
            <w:r>
              <w:rPr/>
              <w:t>1.39</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195"/>
        <w:gridCol w:w="120"/>
        <w:gridCol w:w="60"/>
        <w:gridCol w:w="1310"/>
        <w:gridCol w:w="60"/>
        <w:gridCol w:w="120"/>
        <w:gridCol w:w="60"/>
        <w:gridCol w:w="1925"/>
        <w:gridCol w:w="60"/>
        <w:gridCol w:w="120"/>
        <w:gridCol w:w="60"/>
        <w:gridCol w:w="1925"/>
        <w:gridCol w:w="60"/>
        <w:gridCol w:w="120"/>
        <w:gridCol w:w="247"/>
        <w:gridCol w:w="778"/>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Declared</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26,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31,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0.05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April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17,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Special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25,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April 8,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1.25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4,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Supplemental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May 28,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0.06</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4,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June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July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3,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Supplemental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August 31,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September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0.02</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3,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October 15,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Supplemental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November 30,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31,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0.07</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Special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December 7,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December 20, 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0.50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2, 2021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January 14,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3.59</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195"/>
        <w:gridCol w:w="120"/>
        <w:gridCol w:w="60"/>
        <w:gridCol w:w="1310"/>
        <w:gridCol w:w="60"/>
        <w:gridCol w:w="120"/>
        <w:gridCol w:w="60"/>
        <w:gridCol w:w="1925"/>
        <w:gridCol w:w="60"/>
        <w:gridCol w:w="120"/>
        <w:gridCol w:w="60"/>
        <w:gridCol w:w="1895"/>
        <w:gridCol w:w="60"/>
        <w:gridCol w:w="120"/>
        <w:gridCol w:w="247"/>
        <w:gridCol w:w="778"/>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2020</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Declared</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19, 2020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28,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March 31,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0.06</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19, 2020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13,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April 15,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19, 2020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Special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April 15,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April 30,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0.25</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19, 2020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Special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15,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June 30,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0.25</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5, 2020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Base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June 15,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July 15,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0.41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4, 2020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September 15,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October 15,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4, 2020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November 30,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December 31,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0.10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4, 2020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15,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January 15, 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0.41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8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2195"/>
        <w:gridCol w:w="120"/>
        <w:gridCol w:w="60"/>
        <w:gridCol w:w="1310"/>
        <w:gridCol w:w="60"/>
        <w:gridCol w:w="120"/>
        <w:gridCol w:w="60"/>
        <w:gridCol w:w="1925"/>
        <w:gridCol w:w="60"/>
        <w:gridCol w:w="120"/>
        <w:gridCol w:w="60"/>
        <w:gridCol w:w="1925"/>
        <w:gridCol w:w="60"/>
        <w:gridCol w:w="120"/>
        <w:gridCol w:w="247"/>
        <w:gridCol w:w="778"/>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December 31, 2019</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Declared</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Record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Payment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per Share</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February 20, 2019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February 28,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March 29,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0.12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20, 2019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March 15,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April 15,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0.39</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2, 2019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May 31,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June 28,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2, 2019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June 14,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July 15,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0.39</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31, 2019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August 30,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September 30,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0.04</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31, 2019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September 13,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October 15,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0.39</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5, 2019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Supplemental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November 29,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December 31, 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0.08</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November 5, 2019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Base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December 13, 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r>
              <w:rPr/>
              <w:t>January 15,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0.39</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778"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Dividends Declared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778" w:type="dxa"/>
            <w:tcBorders/>
            <w:shd w:fill="CCEEFF" w:val="clear"/>
            <w:vAlign w:val="center"/>
          </w:tcPr>
          <w:p>
            <w:pPr>
              <w:pStyle w:val="TableContents"/>
              <w:bidi w:val="0"/>
              <w:spacing w:before="0" w:after="283"/>
              <w:jc w:val="right"/>
              <w:rPr/>
            </w:pPr>
            <w:r>
              <w:rPr/>
              <w:t>1.81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778"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dividends declared during the nine months ended September 30, 2022 were derived from net investment income, determined on a tax basis. The dividends declared during the years ended December 31, 2021, 2020 and 2019 were derived from net investment income and net realized capital gains, determined on a tax basis.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such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income or gains recognized, but not distributed, in preceding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2022 and for calendar years ended December 31, 2021 and 2020 for purposes of additional liquidity and we recorded a net expense of $1.5 million for the nine months ended September 30, 2022 and $0.7 million and $5.8 million for the years ended December 31, 2021 and December 31, 2020,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2021 Annual Report. </w:t>
      </w:r>
    </w:p>
    <w:p>
      <w:pPr>
        <w:pStyle w:val="TextBody"/>
        <w:bidi w:val="0"/>
        <w:spacing w:before="240" w:after="0"/>
        <w:jc w:val="left"/>
        <w:rPr>
          <w:rFonts w:ascii="Times New Roman" w:hAnsi="Times New Roman"/>
          <w:sz w:val="20"/>
        </w:rPr>
      </w:pPr>
      <w:r>
        <w:rPr>
          <w:rFonts w:ascii="Times New Roman" w:hAnsi="Times New Roman"/>
          <w:sz w:val="20"/>
        </w:rPr>
        <w:t xml:space="preserve">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Unless our common stockholders elect to receive their dividends in cash, we intend to make such distributions in additional shares of our common stock under our dividend reinvestment plan. See “Dividend Reinvestment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rom451583_12"/>
      <w:bookmarkEnd w:id="10"/>
      <w:r>
        <w:rPr>
          <w:rFonts w:ascii="Times New Roman" w:hAnsi="Times New Roman"/>
          <w:b/>
          <w:sz w:val="20"/>
        </w:rPr>
        <w:t xml:space="preserve">SENIOR SECURITIES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our senior securities as of the last ten fiscal years ended December 31, 2021 and as of the unaudited fiscal period ended September 30, 2022 is shown in the following table. The report of our independent registered public accounting firm, KPMG LLP, on the senior securities table as of December 31, 2021 is included in our 2021 Annual Report and is incorporated by reference to the registration statement of which this prospectus is a part.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04"/>
        <w:gridCol w:w="120"/>
        <w:gridCol w:w="292"/>
        <w:gridCol w:w="1168"/>
        <w:gridCol w:w="60"/>
        <w:gridCol w:w="120"/>
        <w:gridCol w:w="253"/>
        <w:gridCol w:w="1342"/>
        <w:gridCol w:w="60"/>
        <w:gridCol w:w="120"/>
        <w:gridCol w:w="168"/>
        <w:gridCol w:w="1067"/>
        <w:gridCol w:w="60"/>
        <w:gridCol w:w="120"/>
        <w:gridCol w:w="331"/>
        <w:gridCol w:w="1443"/>
        <w:gridCol w:w="77"/>
      </w:tblGrid>
      <w:tr>
        <w:trPr/>
        <w:tc>
          <w:tcPr>
            <w:tcW w:w="34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Class and Year/Period</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Amount</w:t>
              <w:br/>
              <w:t>Outstanding</w:t>
              <w:br/>
              <w:t>Exclusive of</w:t>
              <w:br/>
              <w:t>Treasury</w:t>
              <w:br/>
              <w:t>Securities(1)</w:t>
              <w:br/>
              <w:t>($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 Coverage</w:t>
              <w:br/>
              <w:t>Per Unit(2)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Involuntary</w:t>
              <w:br/>
              <w:t>Liquidating</w:t>
              <w:br/>
              <w:t>Preference</w:t>
              <w:br/>
              <w:t>Per Unit(3)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Market</w:t>
              <w:br/>
              <w:t>Value Per Unit(4)</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Credit Facilities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 (as of September 30, 2022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739.3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1,865.5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472.3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2,045.4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495.7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2,705.2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486.8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2,355.3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2016</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578.7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2,376.6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2015</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2,257.3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2014</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283.9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3,110.3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2013</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432.3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2,329.5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2012</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331.8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2,445.9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Convertible Notes due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 (as of September 30, 2022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2,705.2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2,355.3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2016</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2,376.6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2015</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2,257.3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2014</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3,110.3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Convertible Notes due 2022</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 (as of September 30, 2022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2,045.4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2,705.2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2017</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114.7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2,355.3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2023 Notes</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 (as of September 30, 2022 Unaudited)</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1,865.5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2,053.6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2,045.4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2,004.1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2018</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2,705.2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404"/>
        <w:gridCol w:w="120"/>
        <w:gridCol w:w="292"/>
        <w:gridCol w:w="1168"/>
        <w:gridCol w:w="60"/>
        <w:gridCol w:w="120"/>
        <w:gridCol w:w="253"/>
        <w:gridCol w:w="1342"/>
        <w:gridCol w:w="60"/>
        <w:gridCol w:w="120"/>
        <w:gridCol w:w="168"/>
        <w:gridCol w:w="1067"/>
        <w:gridCol w:w="60"/>
        <w:gridCol w:w="120"/>
        <w:gridCol w:w="331"/>
        <w:gridCol w:w="1443"/>
        <w:gridCol w:w="77"/>
      </w:tblGrid>
      <w:tr>
        <w:trPr/>
        <w:tc>
          <w:tcPr>
            <w:tcW w:w="34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Class and Year/Period</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Amount</w:t>
              <w:br/>
              <w:t>Outstanding</w:t>
              <w:br/>
              <w:t>Exclusive of</w:t>
              <w:br/>
              <w:t>Treasury</w:t>
              <w:br/>
              <w:t>Securities(1)</w:t>
              <w:br/>
              <w:t>($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 Coverage</w:t>
              <w:br/>
              <w:t>Per Unit(2)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Involuntary</w:t>
              <w:br/>
              <w:t>Liquidating</w:t>
              <w:br/>
              <w:t>Preference</w:t>
              <w:br/>
              <w:t>Per Unit(3)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Market</w:t>
              <w:br/>
              <w:t>Value Per Unit(4)</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2024 Notes</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0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 (as of September 30, 2022 Unaudited)</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346.7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1,865.5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346.4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2,053.6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2020</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346.1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2,045.4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2019</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297.2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2,004.1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2026 Notes</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2022 (as of September 30, 2022 Unaudited)</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1,865.5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center"/>
              <w:rPr/>
            </w:pPr>
            <w:r>
              <w:rPr/>
              <w:t>N/A</w:t>
            </w:r>
          </w:p>
        </w:tc>
        <w:tc>
          <w:tcPr>
            <w:tcW w:w="77" w:type="dxa"/>
            <w:tcBorders/>
            <w:shd w:fill="CCEEFF" w:val="clear"/>
            <w:vAlign w:val="center"/>
          </w:tcPr>
          <w:p>
            <w:pPr>
              <w:pStyle w:val="TableContents"/>
              <w:bidi w:val="0"/>
              <w:spacing w:before="0" w:after="283"/>
              <w:jc w:val="left"/>
              <w:rPr/>
            </w:pPr>
            <w:r>
              <w:rPr/>
              <w:t> </w:t>
            </w:r>
          </w:p>
        </w:tc>
      </w:tr>
      <w:tr>
        <w:trPr/>
        <w:tc>
          <w:tcPr>
            <w:tcW w:w="3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31, 2021</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298.1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2,053.6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center"/>
              <w:rPr/>
            </w:pPr>
            <w:r>
              <w:rPr/>
              <w:t>N/A</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carrying value, excluding the impact of deferred financing costs, at the end of the period presented.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 </w:t>
            </w:r>
          </w:p>
        </w:tc>
      </w:tr>
    </w:tbl>
    <w:tbl>
      <w:tblPr>
        <w:tblW w:w="6880" w:type="dxa"/>
        <w:jc w:val="left"/>
        <w:tblInd w:w="0" w:type="dxa"/>
        <w:tblLayout w:type="fixed"/>
        <w:tblCellMar>
          <w:top w:w="0" w:type="dxa"/>
          <w:left w:w="0" w:type="dxa"/>
          <w:bottom w:w="0" w:type="dxa"/>
          <w:right w:w="0" w:type="dxa"/>
        </w:tblCellMar>
      </w:tblPr>
      <w:tblGrid>
        <w:gridCol w:w="305"/>
        <w:gridCol w:w="6575"/>
      </w:tblGrid>
      <w:tr>
        <w:trPr/>
        <w:tc>
          <w:tcPr>
            <w:tcW w:w="305" w:type="dxa"/>
            <w:tcBorders/>
            <w:vAlign w:val="center"/>
          </w:tcPr>
          <w:p>
            <w:pPr>
              <w:pStyle w:val="TableContents"/>
              <w:bidi w:val="0"/>
              <w:spacing w:before="0" w:after="283"/>
              <w:jc w:val="left"/>
              <w:rPr/>
            </w:pPr>
            <w:r>
              <w:rPr/>
              <w:t>(4)</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because the senior securities are not registered for public trading.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rom451583_14"/>
      <w:bookmarkEnd w:id="11"/>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table set forth below contains certain information as of September 30, 2022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 </w:t>
      </w:r>
    </w:p>
    <w:p>
      <w:pPr>
        <w:pStyle w:val="TextBody"/>
        <w:bidi w:val="0"/>
        <w:spacing w:before="0" w:after="0"/>
        <w:jc w:val="left"/>
        <w:rPr/>
      </w:pPr>
      <w:r>
        <w:rPr/>
        <w:t> </w:t>
      </w:r>
    </w:p>
    <w:tbl>
      <w:tblPr>
        <w:tblW w:w="12205" w:type="dxa"/>
        <w:jc w:val="left"/>
        <w:tblInd w:w="0" w:type="dxa"/>
        <w:tblLayout w:type="fixed"/>
        <w:tblCellMar>
          <w:top w:w="0" w:type="dxa"/>
          <w:left w:w="0" w:type="dxa"/>
          <w:bottom w:w="0" w:type="dxa"/>
          <w:right w:w="0" w:type="dxa"/>
        </w:tblCellMar>
      </w:tblPr>
      <w:tblGrid>
        <w:gridCol w:w="1250"/>
        <w:gridCol w:w="60"/>
        <w:gridCol w:w="1145"/>
        <w:gridCol w:w="60"/>
        <w:gridCol w:w="125"/>
        <w:gridCol w:w="1050"/>
        <w:gridCol w:w="60"/>
        <w:gridCol w:w="60"/>
        <w:gridCol w:w="60"/>
        <w:gridCol w:w="1310"/>
        <w:gridCol w:w="275"/>
        <w:gridCol w:w="60"/>
        <w:gridCol w:w="2420"/>
        <w:gridCol w:w="60"/>
        <w:gridCol w:w="163"/>
        <w:gridCol w:w="937"/>
        <w:gridCol w:w="60"/>
        <w:gridCol w:w="60"/>
        <w:gridCol w:w="150"/>
        <w:gridCol w:w="1040"/>
        <w:gridCol w:w="125"/>
        <w:gridCol w:w="60"/>
        <w:gridCol w:w="159"/>
        <w:gridCol w:w="1166"/>
        <w:gridCol w:w="29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Company(1)(6)</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Interest Rate</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Debt Investments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Automotive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Carlstar Group, LLC(3)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($34,000 par, due 7/2027)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9.25%</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33,256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2.5</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Business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Acceo Solutions, Inc.(3)(4)(5)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(CAD 73,687 par, due 10/2025)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7/6/2018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C + 4.75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8.70%</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jc w:val="right"/>
              <w:rPr/>
            </w:pPr>
            <w:r>
              <w:rPr/>
              <w:t>54,164</w:t>
            </w:r>
          </w:p>
          <w:p>
            <w:pPr>
              <w:pStyle w:val="TableContents"/>
              <w:bidi w:val="0"/>
              <w:spacing w:before="0" w:after="20"/>
              <w:jc w:val="right"/>
              <w:rPr>
                <w:rFonts w:ascii="Times New Roman" w:hAnsi="Times New Roman"/>
                <w:sz w:val="16"/>
              </w:rPr>
            </w:pPr>
            <w:r>
              <w:rPr>
                <w:rFonts w:ascii="Times New Roman" w:hAnsi="Times New Roman"/>
                <w:sz w:val="16"/>
              </w:rPr>
              <w:t>(CAD 74,424</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4.1</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Alpha Midco, Inc.(3)(5)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($68,788 par, due 8/2025)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8/15/2019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11.17%</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67,823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69,485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5.2</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Dye &amp; Durham Corp.(3)(4)</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(CAD 32,772 par, due 12/2027)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12/3/2021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C + 5.75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9.95%</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jc w:val="right"/>
              <w:rPr/>
            </w:pPr>
            <w:r>
              <w:rPr/>
              <w:t>23,778</w:t>
            </w:r>
          </w:p>
          <w:p>
            <w:pPr>
              <w:pStyle w:val="TableContents"/>
              <w:bidi w:val="0"/>
              <w:spacing w:before="0" w:after="20"/>
              <w:jc w:val="right"/>
              <w:rPr>
                <w:rFonts w:ascii="Times New Roman" w:hAnsi="Times New Roman"/>
                <w:sz w:val="16"/>
              </w:rPr>
            </w:pPr>
            <w:r>
              <w:rPr>
                <w:rFonts w:ascii="Times New Roman" w:hAnsi="Times New Roman"/>
                <w:sz w:val="16"/>
              </w:rPr>
              <w:t>(CAD 32,672</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ExtraHop Networks, Inc.(3)(5)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($56,066 par, due 7/2027)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7/22/2021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11.17%</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54,881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54,384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4.0</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ForeScout Technologies, Inc.(3)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($6,349 par, due 8/2026)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8/17/2020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13.17% (incl. 9.50% PIK)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6,263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($2,548 par, due 8/2026)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7/1/2022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+ 9.00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12.67% (incl. 9.00% PIK)</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2,453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0.2</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Information Clearinghouse, LLC and MS Market Service, LLC(3)(5)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($17,865 par, due 12/2026)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+ 6.50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10.07%</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17,284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Mitnick Corporate Purchaser, Inc.(3)(10)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($333 par, due 5/2029)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+ 4.85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7.39%</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314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Netwrix Corp.(3)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($47,130 par, due 6/2029)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7.92%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31,211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30,697</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ReliaQuest Holdings, LLC(3)(5)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($60,497 par, due 10/2026)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10/8/2020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10.80%</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59,366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60,346</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4.5</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TIBCO Software Inc.(10)</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note ($13,000 par, due 3/2029)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9/20/2022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6.50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6.50%</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11,046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0.8</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($12,000 par, due 3/2029)(3)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+ 4.50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8.15%</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10,920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11,087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0.8</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WideOrbit, Inc.(3)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($35,655 par, due 7/2025)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7/8/2020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+ 8.50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11.62%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35,291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36,457</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2.7</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377,441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377,758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28.2</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Chemicals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Erling Lux Bidco Sarl(3)(4)</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(EUR 3,660 par, due 9/2028)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9/6/2022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E + 6.75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7.46%</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jc w:val="right"/>
              <w:rPr/>
            </w:pPr>
            <w:r>
              <w:rPr/>
              <w:t>3,505</w:t>
            </w:r>
          </w:p>
          <w:p>
            <w:pPr>
              <w:pStyle w:val="TableContents"/>
              <w:bidi w:val="0"/>
              <w:spacing w:before="0" w:after="20"/>
              <w:jc w:val="right"/>
              <w:rPr>
                <w:rFonts w:ascii="Times New Roman" w:hAnsi="Times New Roman"/>
                <w:sz w:val="16"/>
              </w:rPr>
            </w:pPr>
            <w:r>
              <w:rPr>
                <w:rFonts w:ascii="Times New Roman" w:hAnsi="Times New Roman"/>
                <w:sz w:val="16"/>
              </w:rPr>
              <w:t>(EUR 3,578</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(GBP 3,538 par, due 9/2028)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9/6/2022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 + 6.75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8.94%</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jc w:val="right"/>
              <w:rPr/>
            </w:pPr>
            <w:r>
              <w:rPr/>
              <w:t>3,449</w:t>
            </w:r>
          </w:p>
          <w:p>
            <w:pPr>
              <w:pStyle w:val="TableContents"/>
              <w:bidi w:val="0"/>
              <w:spacing w:before="0" w:after="20"/>
              <w:jc w:val="right"/>
              <w:rPr>
                <w:rFonts w:ascii="Times New Roman" w:hAnsi="Times New Roman"/>
                <w:sz w:val="16"/>
              </w:rPr>
            </w:pPr>
            <w:r>
              <w:rPr>
                <w:rFonts w:ascii="Times New Roman" w:hAnsi="Times New Roman"/>
                <w:sz w:val="16"/>
              </w:rPr>
              <w:t>(GBP 3,090</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0.3</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7,150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6,954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Communications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Celtra Technologies, Inc.(3)(5)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($34,738 par, due 11/2026)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11/19/2021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10.67%</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33,803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33,435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2.5</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IntelePeer Holdings, Inc.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($34,956 par, due 12/2024)(3)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+ 8.25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11.37%</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34,907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34,257</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2.6</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Convertible note ($4,314 par, due 5/2028)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5/12/2021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6.00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6.00% PIK</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4,281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4,239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72,991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71,931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5.4</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Education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Astra Acquisition Corp.(3)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Second-lien loan ($43,479 par, due 10/2029)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10/25/2021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+ 8.88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11.99%</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42,725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41,197</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Destiny Solutions Parent Holding Company(3)(5)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($60,000 par, due 6/2026)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+ 5.75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8.87%</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58,983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58,200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4.4</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EMS Linq, Inc.(3)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($56,216 par, due 12/2027)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12/22/2021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+ 6.25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9.37%</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55,057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53,616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4.0</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Frontline Technologies</w:t>
              <w:br/>
              <w:t>Group, LLC(3)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($85,389 par, due 9/2023)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9/18/2017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+ 5.25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11.00%</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85,259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85,389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6.4</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238,402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17.9</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Financial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AvidXchange, Inc.(3)(5)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($11,460 par, due 4/2024)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12.69%</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11,460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0.9</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Bear OpCo, LLC(3)(5)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($19,874 par, due 10/2024)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10.68%</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19,629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19,874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BlueSnap, Inc.(3)(5)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($42,000 par, due 10/2024)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10/25/2019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+ 6.75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10.42%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41,598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41,881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3.2</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 Treasury SS, LLC(3)(5)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($64,271 par, due 4/2023)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4/9/2018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+ 8.25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11.92%</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63,957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64,603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4.9</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Ibis Intermediate Co.(3)(5)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($1,530 par, due 5/2027)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8.07%</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1,530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Ibis US Blocker Co.(3)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($13,569 par, due 5/2028)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+ 8.25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11.32% PIK</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13,317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13,162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Jonas Collections and </w:t>
              <w:br/>
              <w:t>Recovery, Inc.(3)(5)</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($27,188 par, due 6/2026)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+ 5.50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8.38%</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26,576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Kyriba Corp.(3)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($18,628 par, due 4/2025)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4/9/2019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+ 9.00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12.67% (incl. 9.00% PIK)</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18,429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18,721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1.4</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(EUR 9,704 par, due 4/2025)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4/9/2019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E + 9.00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10.19% (incl 9.00% PIK)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jc w:val="right"/>
              <w:rPr/>
            </w:pPr>
            <w:r>
              <w:rPr/>
              <w:t>9,554</w:t>
            </w:r>
          </w:p>
          <w:p>
            <w:pPr>
              <w:pStyle w:val="TableContents"/>
              <w:bidi w:val="0"/>
              <w:spacing w:before="0" w:after="20"/>
              <w:jc w:val="right"/>
              <w:rPr>
                <w:rFonts w:ascii="Times New Roman" w:hAnsi="Times New Roman"/>
                <w:sz w:val="16"/>
              </w:rPr>
            </w:pPr>
            <w:r>
              <w:rPr>
                <w:rFonts w:ascii="Times New Roman" w:hAnsi="Times New Roman"/>
                <w:sz w:val="16"/>
              </w:rPr>
              <w:t>(EUR 9,752</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revolving loan ($1,411 par, due 4/2025)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4/9/2019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10.92%</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1,392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1,418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revolving loan (EUR 336 par, due 4/2025)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4/9/2019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E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8.44%</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jc w:val="right"/>
              <w:rPr/>
            </w:pPr>
            <w:r>
              <w:rPr/>
              <w:t>329</w:t>
            </w:r>
          </w:p>
          <w:p>
            <w:pPr>
              <w:pStyle w:val="TableContents"/>
              <w:bidi w:val="0"/>
              <w:spacing w:before="0" w:after="20"/>
              <w:jc w:val="right"/>
              <w:rPr>
                <w:rFonts w:ascii="Times New Roman" w:hAnsi="Times New Roman"/>
                <w:sz w:val="16"/>
              </w:rPr>
            </w:pPr>
            <w:r>
              <w:rPr>
                <w:rFonts w:ascii="Times New Roman" w:hAnsi="Times New Roman"/>
                <w:sz w:val="16"/>
              </w:rPr>
              <w:t>(EUR 336</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Passport Labs, Inc.(3)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($23,142 par, due 4/2026)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+ 8.25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11.11% (incl. 4.125% PIK)</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22,906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22,541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1.7</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PrimeRevenue, Inc.(3)</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First-lien loan ($22,507 par, due 12/2023)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12/31/2018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10.12%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22,579</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1.7</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TradingScreen, Inc.(3)(5)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First-lien loan ($44,775 par, due 4/2027)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4/30/2021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9.06%</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43,706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43,768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3.3</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298,049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297,996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22.5</w:t>
            </w:r>
          </w:p>
        </w:tc>
        <w:tc>
          <w:tcPr>
            <w:tcW w:w="290"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pBdr>
                <w:top w:val="single" w:sz="2" w:space="1" w:color="000000"/>
              </w:pBdr>
              <w:bidi w:val="0"/>
              <w:spacing w:before="0" w:after="0"/>
              <w:jc w:val="left"/>
              <w:rPr/>
            </w:pPr>
            <w:r>
              <w:rPr/>
              <w:t> </w:t>
            </w:r>
          </w:p>
        </w:tc>
        <w:tc>
          <w:tcPr>
            <w:tcW w:w="93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10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Healthcare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tbl>
      <w:tblPr>
        <w:tblW w:w="12175" w:type="dxa"/>
        <w:jc w:val="left"/>
        <w:tblInd w:w="0" w:type="dxa"/>
        <w:tblLayout w:type="fixed"/>
        <w:tblCellMar>
          <w:top w:w="0" w:type="dxa"/>
          <w:left w:w="0" w:type="dxa"/>
          <w:bottom w:w="0" w:type="dxa"/>
          <w:right w:w="0" w:type="dxa"/>
        </w:tblCellMar>
      </w:tblPr>
      <w:tblGrid>
        <w:gridCol w:w="1235"/>
        <w:gridCol w:w="60"/>
        <w:gridCol w:w="1130"/>
        <w:gridCol w:w="60"/>
        <w:gridCol w:w="125"/>
        <w:gridCol w:w="1050"/>
        <w:gridCol w:w="60"/>
        <w:gridCol w:w="60"/>
        <w:gridCol w:w="60"/>
        <w:gridCol w:w="1310"/>
        <w:gridCol w:w="275"/>
        <w:gridCol w:w="60"/>
        <w:gridCol w:w="2420"/>
        <w:gridCol w:w="60"/>
        <w:gridCol w:w="76"/>
        <w:gridCol w:w="1024"/>
        <w:gridCol w:w="60"/>
        <w:gridCol w:w="60"/>
        <w:gridCol w:w="68"/>
        <w:gridCol w:w="1122"/>
        <w:gridCol w:w="125"/>
        <w:gridCol w:w="60"/>
        <w:gridCol w:w="159"/>
        <w:gridCol w:w="1166"/>
        <w:gridCol w:w="29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Company(1)(6)</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Interest Rate</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BCTO Ace Purchaser, Inc.(3)(5)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($61,585 par, due 11/2026)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11/23/2020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10.60%</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60,398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60,507</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4.6</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Caris Life Sciences, Inc.</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($5,000 par, due 9/2023)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11.30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11.30%</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4,975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0.4</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($3,750 par, due 4/2025)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4/2/2020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11.30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11.30%</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3,741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0.3</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Convertible note ($2,602 par, due 9/2023)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8.00%</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2,602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5,660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0.4</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Homecare Software Solutions, </w:t>
              <w:br/>
              <w:t>LLC(3)(5)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($65,000 par, due 10/2026)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+ 5.70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8.72%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63,664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62,888</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4.7</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Integrated Practice </w:t>
              <w:br/>
              <w:t>Solutions, Inc.(3)(5)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($46,624 par, due 10/2024)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6/30/2017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10.62%</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45,805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46,624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Merative L.P.(3)(5)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($70,103 par, due 6/2028)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10.81%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67,833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66,773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248,844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251,168</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18.9</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Hotel, Gaming and Leisure</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ASG II, LLC(3)(5)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($56,522 par, due 5/2028)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5/25/2022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9.37%</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55,033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54,409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4.1</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IRGSE Holding Corp.(3)(7)</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($30,261 par, due 6/2023)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9/29/2015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13.17%</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28,594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29,958</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revolving loan ($14,827 par, due 6/2023)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9/29/2015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13.14%</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14,828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14,672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98,455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99,039</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7.5</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Human Resource Support Services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Axonify, Inc.(3)(4)(5)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($46,088 par, due 5/2026)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10.24%</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45,024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3.4</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Elysian Finco Ltd.(3)(4)(5)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($16,785 par, due 1/2028)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1/31/2022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9.64%</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16,282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16,489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1.2</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Employment Hero Holdings Pty Ltd.(3)(4)</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(AUD 40,000 par, due 12/2026)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12/6/2021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B + 6.50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9.56%</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27,554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jc w:val="right"/>
              <w:rPr/>
            </w:pPr>
            <w:r>
              <w:rPr/>
              <w:t>24,503</w:t>
            </w:r>
          </w:p>
          <w:p>
            <w:pPr>
              <w:pStyle w:val="TableContents"/>
              <w:bidi w:val="0"/>
              <w:spacing w:before="0" w:after="20"/>
              <w:jc w:val="right"/>
              <w:rPr>
                <w:rFonts w:ascii="Times New Roman" w:hAnsi="Times New Roman"/>
                <w:sz w:val="16"/>
              </w:rPr>
            </w:pPr>
            <w:r>
              <w:rPr>
                <w:rFonts w:ascii="Times New Roman" w:hAnsi="Times New Roman"/>
                <w:sz w:val="16"/>
              </w:rPr>
              <w:t>(AUD 38,110</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PageUp People, Ltd.(3)(4)(5)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(AUD 15,982 par, due 12/2025)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1/11/2018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B + 5.50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8.56%</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11,794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jc w:val="right"/>
              <w:rPr/>
            </w:pPr>
            <w:r>
              <w:rPr/>
              <w:t>9,259</w:t>
            </w:r>
          </w:p>
          <w:p>
            <w:pPr>
              <w:pStyle w:val="TableContents"/>
              <w:bidi w:val="0"/>
              <w:spacing w:before="0" w:after="20"/>
              <w:jc w:val="right"/>
              <w:rPr>
                <w:rFonts w:ascii="Times New Roman" w:hAnsi="Times New Roman"/>
                <w:sz w:val="16"/>
              </w:rPr>
            </w:pPr>
            <w:r>
              <w:rPr>
                <w:rFonts w:ascii="Times New Roman" w:hAnsi="Times New Roman"/>
                <w:sz w:val="16"/>
              </w:rPr>
              <w:t>(AUD 14,401</w:t>
            </w:r>
          </w:p>
        </w:tc>
        <w:tc>
          <w:tcPr>
            <w:tcW w:w="125" w:type="dxa"/>
            <w:tcBorders/>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0.7</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(GBP 4,723 par, due 12/2025)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10/28/2021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 + 5.50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7.32%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jc w:val="right"/>
              <w:rPr/>
            </w:pPr>
            <w:r>
              <w:rPr/>
              <w:t>5,128</w:t>
            </w:r>
          </w:p>
          <w:p>
            <w:pPr>
              <w:pStyle w:val="TableContents"/>
              <w:bidi w:val="0"/>
              <w:spacing w:before="0" w:after="20"/>
              <w:jc w:val="right"/>
              <w:rPr>
                <w:rFonts w:ascii="Times New Roman" w:hAnsi="Times New Roman"/>
                <w:sz w:val="16"/>
              </w:rPr>
            </w:pPr>
            <w:r>
              <w:rPr>
                <w:rFonts w:ascii="Times New Roman" w:hAnsi="Times New Roman"/>
                <w:sz w:val="16"/>
              </w:rPr>
              <w:t>(GBP 4,593</w:t>
            </w:r>
          </w:p>
        </w:tc>
        <w:tc>
          <w:tcPr>
            <w:tcW w:w="125" w:type="dxa"/>
            <w:tcBorders/>
            <w:shd w:fill="CCEEFF" w:val="clear"/>
            <w:vAlign w:val="center"/>
          </w:tcPr>
          <w:p>
            <w:pPr>
              <w:pStyle w:val="TableContents"/>
              <w:bidi w:val="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($12,989 par, due 12/2025)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10/28/2021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+ 5.50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9.17%</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12,974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12,632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PayScale Holdings, Inc.(3)(5)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($68,950 par, due 5/2024)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5/3/2019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+ 5.50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9.17%</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67,743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5.1</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PrimePay Intermediate, </w:t>
              <w:br/>
              <w:t>LLC(3)(5)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($29,500 par, due 12/2026)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12/17/2021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9.88%</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28,496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28,394</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Modern Hire, Inc.(3)(5)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($29,068 par, due 5/2024)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5/15/2019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+ 7.00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10.12%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28,769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29,432</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2.2</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Workwell Acquisition Co.(3)(5)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($23,951 par, due 10/2025)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10/19/2020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10.55%</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23,550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23,581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269,303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262,185</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19.7</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Internet Services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Bayshore Intermediate #2, </w:t>
              <w:br/>
              <w:t>L.P.(3)</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($31,256 par, due 10/2028)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+ 7.75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10.43% PIK</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30,078</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CrunchTime Information, </w:t>
              <w:br/>
              <w:t>Systems, Inc.(3)(5)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($53,255 par, due 6/2028)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9.02%</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52,047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51,595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3.9</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EDB Parent, LLC(3)(5)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($53,988 par, due 7/2028)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9.11%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52,597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52,504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4.0</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Higher Logic, LLC(3)(5)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($56,181 par, due 1/2024)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6/18/2018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10.93%</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55,852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56,040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4.2</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LeanTaaS Holdings, Inc.(3)(5)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($26,690 par, due 7/2028)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7/12/2022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+ 6.50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11.05%</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25,783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25,639</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Lithium Technologies, </w:t>
              <w:br/>
              <w:t>LLC(3)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($54,700 par, due 1/2024)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10/3/2017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10.53%</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54,636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53,606</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revolving loan ($1,320 par, due 10/2022)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10/3/2017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10.53%</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1,254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0.1</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Lucidworks, Inc.(3)(5)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($8,188 par, due 2/2027)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2/11/2022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10.53% (incl. 3.50% PIK)</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8,188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8,030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0.6</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Piano Software, Inc.(3)(5)</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($51,442 par, due 2/2026)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2/25/2021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50,526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50,156</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331,581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328,902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24.8</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Marketing Services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Acoustic, L.P.(3)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note ($33,330 par, due 6/2024)</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12/17/2019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9.81%</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32,681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32,913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2.5</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Office Products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USR Parent, Inc.(3)(5)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ABL FILO term loan ($19,500 par, due 4/2027)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4/25/2022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9.01%</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19,118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18,866</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1.4</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Oil, Gas and Consumable Fuels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Murchison Oil and Gas, LLC(3)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($26,873 par, due 6/2026)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6/30/2022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+ 8.50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12.20%</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26,307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26,323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TRP Assets, LLC(3)</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($46,364 par, due 12/2025)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12/3/2021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SOFR + 7.76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11.31%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46,664</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3.5</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71,853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72,987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Other</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Omnigo Software, LLC(3)(5)</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($40,455 par, due 3/2026)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3/31/2021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SOFR + 6.60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9.63%</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39,710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39,545</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Pharmaceuticals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2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Biohaven Pharmaceuticals, </w:t>
              <w:br/>
              <w:t>Inc.(3)(4)</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($42,613 par, due 8/2025)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8/7/2020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+ 9.00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12.67%</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41,864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45,169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3.4</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First-lien loan ($35,689 par, due 9/2026)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9/30/2021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+ 8.25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11.92%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35,011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41,043</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TherapeuticsMD, Inc.(3)(4)</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($13,797 par, due 10/2022)</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4/24/2019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+ 7.75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11.42%</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13,673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13,659</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90,548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99,871</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7.5</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pBdr>
                <w:top w:val="single" w:sz="2" w:space="1" w:color="000000"/>
              </w:pBdr>
              <w:bidi w:val="0"/>
              <w:spacing w:before="0" w:after="0"/>
              <w:jc w:val="left"/>
              <w:rPr/>
            </w:pPr>
            <w:r>
              <w:rPr/>
              <w:t> </w:t>
            </w:r>
          </w:p>
        </w:tc>
        <w:tc>
          <w:tcPr>
            <w:tcW w:w="1122"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Retail and Consumer Products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99 Cents Only Stores </w:t>
              <w:br/>
              <w:t>LLC(3)</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ABL FILO term loan ($25,000 par, due 5/2025)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9/6/2017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L + 8.50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right"/>
              <w:rPr/>
            </w:pPr>
            <w:r>
              <w:rPr/>
              <w:t>11.67%</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25,000</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American Achievement, </w:t>
              <w:br/>
              <w:t>Corp.(3)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First-lien loan ($26,566 par, due 9/2026)</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9/30/2015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L + 6.25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right"/>
              <w:rPr/>
            </w:pPr>
            <w:r>
              <w:rPr/>
              <w:t>8.82% (incl. 8.32% PIK)</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25,710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20,257</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tbl>
      <w:tblPr>
        <w:tblW w:w="10450" w:type="dxa"/>
        <w:jc w:val="left"/>
        <w:tblInd w:w="0" w:type="dxa"/>
        <w:tblLayout w:type="fixed"/>
        <w:tblCellMar>
          <w:top w:w="0" w:type="dxa"/>
          <w:left w:w="0" w:type="dxa"/>
          <w:bottom w:w="0" w:type="dxa"/>
          <w:right w:w="0" w:type="dxa"/>
        </w:tblCellMar>
      </w:tblPr>
      <w:tblGrid>
        <w:gridCol w:w="1130"/>
        <w:gridCol w:w="60"/>
        <w:gridCol w:w="815"/>
        <w:gridCol w:w="60"/>
        <w:gridCol w:w="185"/>
        <w:gridCol w:w="990"/>
        <w:gridCol w:w="60"/>
        <w:gridCol w:w="60"/>
        <w:gridCol w:w="67"/>
        <w:gridCol w:w="973"/>
        <w:gridCol w:w="185"/>
        <w:gridCol w:w="60"/>
        <w:gridCol w:w="1640"/>
        <w:gridCol w:w="60"/>
        <w:gridCol w:w="94"/>
        <w:gridCol w:w="1006"/>
        <w:gridCol w:w="60"/>
        <w:gridCol w:w="60"/>
        <w:gridCol w:w="102"/>
        <w:gridCol w:w="1088"/>
        <w:gridCol w:w="110"/>
        <w:gridCol w:w="60"/>
        <w:gridCol w:w="187"/>
        <w:gridCol w:w="1138"/>
        <w:gridCol w:w="200"/>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Company(1)(6)</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Interest Rate</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Value(9)</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First-lien loan ($1,364 par, due 9/2026) (15)</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6/10/2021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lineRule="atLeast" w:line="142" w:before="0" w:after="0"/>
              <w:jc w:val="left"/>
              <w:rPr/>
            </w:pPr>
            <w:r>
              <w:rPr/>
              <w:t> </w:t>
            </w:r>
          </w:p>
        </w:tc>
        <w:tc>
          <w:tcPr>
            <w:tcW w:w="973"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+ 14.00</w:t>
            </w:r>
          </w:p>
        </w:tc>
        <w:tc>
          <w:tcPr>
            <w:tcW w:w="18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16.57% (incl. 16.07% PIK)</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1,364</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82</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Subordinated note ($4,740 par, due 9/2026) (15)</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3/16/2021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142" w:before="0" w:after="0"/>
              <w:jc w:val="left"/>
              <w:rPr/>
            </w:pPr>
            <w:r>
              <w:rPr/>
              <w:t> </w:t>
            </w:r>
          </w:p>
        </w:tc>
        <w:tc>
          <w:tcPr>
            <w:tcW w:w="973"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+ 1.00</w:t>
            </w:r>
          </w:p>
        </w:tc>
        <w:tc>
          <w:tcPr>
            <w:tcW w:w="18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3.28% PIK</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545</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71</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Bed Bath and Beyond Inc.(3)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ABL FILO term loan ($55,000 par, due 8/2027)</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9/2/2022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lineRule="atLeast" w:line="142" w:before="0" w:after="0"/>
              <w:jc w:val="left"/>
              <w:rPr/>
            </w:pPr>
            <w:r>
              <w:rPr/>
              <w:t> </w:t>
            </w:r>
          </w:p>
        </w:tc>
        <w:tc>
          <w:tcPr>
            <w:tcW w:w="973"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SOFR + 7.90</w:t>
            </w:r>
          </w:p>
        </w:tc>
        <w:tc>
          <w:tcPr>
            <w:tcW w:w="18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10.87%</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53,646</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53,625</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Cordance Operations, LLC(3)</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First-lien loan ($26,087 par, due 7/2028)</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7/25/2022</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142" w:before="0" w:after="0"/>
              <w:jc w:val="left"/>
              <w:rPr/>
            </w:pPr>
            <w:r>
              <w:rPr/>
              <w:t> </w:t>
            </w:r>
          </w:p>
        </w:tc>
        <w:tc>
          <w:tcPr>
            <w:tcW w:w="973"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SOFR + 8.50</w:t>
            </w:r>
          </w:p>
        </w:tc>
        <w:tc>
          <w:tcPr>
            <w:tcW w:w="18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11.80%</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25,310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25,141</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Moran Foods, LLC(3)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ABL FILO term loan ($32,267 par, due 4/2024)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4/1/2020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lineRule="atLeast" w:line="142" w:before="0" w:after="0"/>
              <w:jc w:val="left"/>
              <w:rPr/>
            </w:pPr>
            <w:r>
              <w:rPr/>
              <w:t> </w:t>
            </w:r>
          </w:p>
        </w:tc>
        <w:tc>
          <w:tcPr>
            <w:tcW w:w="973"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+ 7.50</w:t>
            </w:r>
          </w:p>
        </w:tc>
        <w:tc>
          <w:tcPr>
            <w:tcW w:w="18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11.17%</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31,997</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32,186</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2.4</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Neuintel, LLC(3)(5)</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First-lien loan ($55,300 par, due 12/2026)</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12/20/2021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142" w:before="0" w:after="0"/>
              <w:jc w:val="left"/>
              <w:rPr/>
            </w:pPr>
            <w:r>
              <w:rPr/>
              <w:t> </w:t>
            </w:r>
          </w:p>
        </w:tc>
        <w:tc>
          <w:tcPr>
            <w:tcW w:w="973"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+ 6.25</w:t>
            </w:r>
          </w:p>
        </w:tc>
        <w:tc>
          <w:tcPr>
            <w:tcW w:w="18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9.07%</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54,263</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53,365</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4.0</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Project P Intermediate 2, LLC(3)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ABL FILO term loan ($74,063 par, due 5/2026)</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11/8/2021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lineRule="atLeast" w:line="142" w:before="0" w:after="0"/>
              <w:jc w:val="left"/>
              <w:rPr/>
            </w:pPr>
            <w:r>
              <w:rPr/>
              <w:t> </w:t>
            </w:r>
          </w:p>
        </w:tc>
        <w:tc>
          <w:tcPr>
            <w:tcW w:w="973"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+ 8.00</w:t>
            </w:r>
          </w:p>
        </w:tc>
        <w:tc>
          <w:tcPr>
            <w:tcW w:w="18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10.81%</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72,828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73,877</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5.6</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Tango Management Consulting, </w:t>
              <w:br/>
              <w:t>LLC(3)(5)</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First-lien loan ($42,736 par, due 12/2027)</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12/1/2021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142" w:before="0" w:after="0"/>
              <w:jc w:val="left"/>
              <w:rPr/>
            </w:pPr>
            <w:r>
              <w:rPr/>
              <w:t> </w:t>
            </w:r>
          </w:p>
        </w:tc>
        <w:tc>
          <w:tcPr>
            <w:tcW w:w="973"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+ 6.75</w:t>
            </w:r>
          </w:p>
        </w:tc>
        <w:tc>
          <w:tcPr>
            <w:tcW w:w="18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9.03%</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41,769</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40,749</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332,194</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324,353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24.4</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Transportation</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Project44, Inc.(3)(5)</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First-lien loan ($35,139 par, due 11/2027)</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11/12/2021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lineRule="atLeast" w:line="142" w:before="0" w:after="0"/>
              <w:jc w:val="left"/>
              <w:rPr/>
            </w:pPr>
            <w:r>
              <w:rPr/>
              <w:t> </w:t>
            </w:r>
          </w:p>
        </w:tc>
        <w:tc>
          <w:tcPr>
            <w:tcW w:w="973"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L + 6.25</w:t>
            </w:r>
          </w:p>
        </w:tc>
        <w:tc>
          <w:tcPr>
            <w:tcW w:w="18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8.19%</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33,988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33,626</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Total Debt Investments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2,599,055</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2,589,752</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194.8</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Equity and Other Investments</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Business Services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Dye &amp; Durham, Ltd.(4)(11)(13)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Common Shares (126,968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12/3/2021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3,909</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p>
            <w:pPr>
              <w:pStyle w:val="TableContents"/>
              <w:bidi w:val="0"/>
              <w:spacing w:before="0" w:after="283"/>
              <w:jc w:val="left"/>
              <w:rPr/>
            </w:pPr>
            <w:r>
              <w:rPr/>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1,688</w:t>
            </w:r>
          </w:p>
          <w:p>
            <w:pPr>
              <w:pStyle w:val="TableContents"/>
              <w:bidi w:val="0"/>
              <w:jc w:val="left"/>
              <w:rPr/>
            </w:pPr>
            <w:r>
              <w:rPr/>
            </w:r>
          </w:p>
          <w:p>
            <w:pPr>
              <w:pStyle w:val="TableContents"/>
              <w:bidi w:val="0"/>
              <w:spacing w:lineRule="atLeast" w:line="142" w:before="0" w:after="20"/>
              <w:jc w:val="right"/>
              <w:rPr>
                <w:rFonts w:ascii="Times New Roman" w:hAnsi="Times New Roman"/>
                <w:sz w:val="15"/>
              </w:rPr>
            </w:pPr>
            <w:r>
              <w:rPr>
                <w:rFonts w:ascii="Times New Roman" w:hAnsi="Times New Roman"/>
                <w:sz w:val="15"/>
              </w:rPr>
              <w:t>(CAD 2,322</w:t>
            </w:r>
          </w:p>
        </w:tc>
        <w:tc>
          <w:tcPr>
            <w:tcW w:w="110" w:type="dxa"/>
            <w:tcBorders/>
            <w:shd w:fill="CCEEFF" w:val="clear"/>
            <w:vAlign w:val="center"/>
          </w:tcPr>
          <w:p>
            <w:pPr>
              <w:pStyle w:val="TableContents"/>
              <w:bidi w:val="0"/>
              <w:spacing w:lineRule="atLeast" w:line="142" w:before="0" w:after="0"/>
              <w:jc w:val="left"/>
              <w:rPr/>
            </w:pPr>
            <w:r>
              <w:rPr/>
              <w:t> </w:t>
            </w:r>
          </w:p>
          <w:p>
            <w:pPr>
              <w:pStyle w:val="TableContents"/>
              <w:bidi w:val="0"/>
              <w:jc w:val="left"/>
              <w:rPr/>
            </w:pPr>
            <w:r>
              <w:rPr/>
            </w:r>
          </w:p>
          <w:p>
            <w:pPr>
              <w:pStyle w:val="TableContents"/>
              <w:bidi w:val="0"/>
              <w:spacing w:lineRule="atLeast" w:line="142" w:before="0" w:after="2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Mitnick TA Aggregator,</w:t>
              <w:br/>
              <w:t>LP(12)(13)(14)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Membership Interest (0.29% ownership)</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5/2/2022</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5,243</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5,243</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0.4</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ReliaQuest, LLC(12)(13)(14)</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A-1 Units (570,263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11/23/2021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1,126</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1,363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Sprinklr, Inc.(11)(12)</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Common Shares (484,700 shares)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6/24/2021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4,180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4,469</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0.3</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WideOrbit, Inc.(12)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1,567,807 Warrants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7/8/2020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327</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2,482</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0.2</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14,785</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15,245</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Communications</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Celtra Technologies, Inc.(12)(13)</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 Units (1,250,000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11/19/2021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1,250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1,250</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IntelePeer Holdings, Inc.(12)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C Preferred Shares (1,816,295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4/8/2021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1,816</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2,829</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0.2</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D Preferred Shares (1,598,874 shares)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4/8/2021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2,925</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2,925</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0.2</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280,000 Warrants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2/28/2020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183</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106,592 Warrants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4/8/2021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pPr>
            <w:r>
              <w:rPr/>
              <w:t>—</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6,174</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7,208</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0.5</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Education</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Astra 2L Holdings II LLC(12)(13)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Membership Interest (10.17% ownership)</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1/13/2022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3,255</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2,620</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0.2</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EMS Linq, Inc.(12)(13)</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B Units (5,522,526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12/22/2021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5,523</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4,763</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0.3</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RMCF IV CIV XXXV, </w:t>
              <w:br/>
              <w:t>LP.(12)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Partnership Interest (11.94% ownership)</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6/8/2021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1,000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1,190</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9,778</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8,573</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0.6</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Financial Services</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AvidXchange, Inc.(11)(12)(13)</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Common Shares (200,721 shares)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10/15/2021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1,022</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1,690</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Newport Parent Holdings, LP(12)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A-2 Units (131,569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12/10/2020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4,177</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4,386</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0.3</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Oxford Square Capital </w:t>
              <w:br/>
              <w:t>Corp.(4)(11)</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Common Shares (1,620 shares)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8/5/2015</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Passport Labs, Inc.(12)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17,534 Warrants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4/28/2021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92</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TradingScreen, Inc.(12)(14)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 Units (600,000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5/14/2021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600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600</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5,997</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6,773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0.4</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Healthcare</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Caris Life Sciences, Inc.(12)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C Preferred Shares (362,319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10/13/2020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1,000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1,300</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D Preferred Shares (1,240,740 shares)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5/11/2021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10,050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8,568</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0.6</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633,376 Warrants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9/21/2018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1,151</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569,991 Warrants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4/2/2020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888</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Merative L.P.(12)(13)(14)</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989,691 Class A-1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6/30/2022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9,897</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9,897</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0.7</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21,389</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21,804</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Hotel, Gaming and Leisure</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IRGSE Holding Corp.(7)(12)</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 Units (33,790,171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12/21/2018</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21,842</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25,596</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C-1 Units (8,800,000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12/21/2018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21,942</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25,639</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Human Resource Support Services</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Axonify, Inc.(4)(12)(14)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A-1 Units (3,780,000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5/5/2021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3,780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4,262</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0.3</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ClearCompany, LLC(12)(14)</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A Preferred Units (1,429,228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8/24/2018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2,014</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4,788</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0.4</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DaySmart Holdings, LLC(12)(14)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 Units (166,811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10/1/2019</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1,347</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1,845</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Employment Hero Holdings Pty Ltd.(4)(12)(13)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E Preferred Shares (113,250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3/1/2022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2,134</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p>
            <w:pPr>
              <w:pStyle w:val="TableContents"/>
              <w:bidi w:val="0"/>
              <w:spacing w:before="0" w:after="283"/>
              <w:jc w:val="left"/>
              <w:rPr/>
            </w:pPr>
            <w:r>
              <w:rPr/>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1,929</w:t>
            </w:r>
          </w:p>
          <w:p>
            <w:pPr>
              <w:pStyle w:val="TableContents"/>
              <w:bidi w:val="0"/>
              <w:jc w:val="left"/>
              <w:rPr/>
            </w:pPr>
            <w:r>
              <w:rPr/>
            </w:r>
          </w:p>
          <w:p>
            <w:pPr>
              <w:pStyle w:val="TableContents"/>
              <w:bidi w:val="0"/>
              <w:spacing w:lineRule="atLeast" w:line="142" w:before="0" w:after="20"/>
              <w:jc w:val="right"/>
              <w:rPr>
                <w:rFonts w:ascii="Times New Roman" w:hAnsi="Times New Roman"/>
                <w:sz w:val="15"/>
              </w:rPr>
            </w:pPr>
            <w:r>
              <w:rPr>
                <w:rFonts w:ascii="Times New Roman" w:hAnsi="Times New Roman"/>
                <w:sz w:val="15"/>
              </w:rPr>
              <w:t>(AUD 3,000</w:t>
            </w:r>
          </w:p>
        </w:tc>
        <w:tc>
          <w:tcPr>
            <w:tcW w:w="110" w:type="dxa"/>
            <w:tcBorders/>
            <w:shd w:fill="CCEEFF" w:val="clear"/>
            <w:vAlign w:val="center"/>
          </w:tcPr>
          <w:p>
            <w:pPr>
              <w:pStyle w:val="TableContents"/>
              <w:bidi w:val="0"/>
              <w:spacing w:lineRule="atLeast" w:line="142" w:before="0" w:after="0"/>
              <w:jc w:val="left"/>
              <w:rPr/>
            </w:pPr>
            <w:r>
              <w:rPr/>
              <w:t> </w:t>
            </w:r>
          </w:p>
          <w:p>
            <w:pPr>
              <w:pStyle w:val="TableContents"/>
              <w:bidi w:val="0"/>
              <w:jc w:val="left"/>
              <w:rPr/>
            </w:pPr>
            <w:r>
              <w:rPr/>
            </w:r>
          </w:p>
          <w:p>
            <w:pPr>
              <w:pStyle w:val="TableContents"/>
              <w:bidi w:val="0"/>
              <w:spacing w:lineRule="atLeast" w:line="142" w:before="0" w:after="2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9,275</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12,824</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0.9</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Internet Services</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Bayshore Intermediate #2, </w:t>
              <w:br/>
              <w:t>L.P.(12)(13)(14)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Common Units (12,330,709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10/1/2021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12,331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12,331</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0.9</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Lucidworks, Inc.(12)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F Preferred Shares (199,054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8/2/2019</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800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842</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Piano Software, Inc.(12)(13)</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C-1 Preferred Shares (418,527 shares)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12/22/2021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3,000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3,000</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0.2</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16,131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16,173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Marketing Services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Validity, Inc.(12)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Series A Preferred Shares (3,840,000 shares)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5/31/2018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3,840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11,520</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0.9</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Oil, Gas and Consumable Fuels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Murchison Oil and Gas,</w:t>
              <w:br/>
              <w:t>LLC(13)(14)</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13,355 Preferred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6/30/2022</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13,355</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13,355</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TRP Assets, LLC(12)(13)(14)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Partnership Interest (1.89% ownership)</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8/25/2022</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8,058</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8,058</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0.6</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21,413</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21,413</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Pharmaceuticals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TherapeuticsMD, Inc.(12)(13)</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759,317 Warrants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8/5/2020</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1,326</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402</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Retail and Consumer Products</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American Achievement, Corp.(12)</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 Units (687 units)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3/16/2021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pPr>
            <w:r>
              <w:rPr/>
              <w:t>—  </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50</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Copper Bidco, LLC(10)</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Trust Certificates (132,928 Certificates)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12/7/2020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pPr>
            <w:r>
              <w:rPr/>
              <w:t>—  </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798</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0.1</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Trust Certificates (996,958 Certificates)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42" w:before="0" w:after="0"/>
              <w:jc w:val="left"/>
              <w:rPr/>
            </w:pPr>
            <w:r>
              <w:rPr/>
              <w:t> </w:t>
            </w:r>
          </w:p>
        </w:tc>
        <w:tc>
          <w:tcPr>
            <w:tcW w:w="990"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1/30/2021</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4,148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13,309</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1.0</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Neuintel, LLC(12)(13)(14)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Class A Units (1,176,494 units)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42" w:before="0" w:after="0"/>
              <w:jc w:val="left"/>
              <w:rPr/>
            </w:pPr>
            <w:r>
              <w:rPr/>
              <w:t> </w:t>
            </w:r>
          </w:p>
        </w:tc>
        <w:tc>
          <w:tcPr>
            <w:tcW w:w="990"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12/21/2021</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lineRule="atLeast" w:line="142" w:before="0" w:after="0"/>
              <w:jc w:val="left"/>
              <w:rPr/>
            </w:pPr>
            <w:r>
              <w:rPr/>
              <w:t> </w:t>
            </w:r>
          </w:p>
        </w:tc>
        <w:tc>
          <w:tcPr>
            <w:tcW w:w="1006"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3,000</w:t>
            </w:r>
          </w:p>
        </w:tc>
        <w:tc>
          <w:tcPr>
            <w:tcW w:w="6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142" w:before="0" w:after="0"/>
              <w:jc w:val="left"/>
              <w:rPr/>
            </w:pPr>
            <w:r>
              <w:rPr/>
              <w:t> </w:t>
            </w:r>
          </w:p>
        </w:tc>
        <w:tc>
          <w:tcPr>
            <w:tcW w:w="108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2,618</w:t>
            </w:r>
          </w:p>
        </w:tc>
        <w:tc>
          <w:tcPr>
            <w:tcW w:w="110" w:type="dxa"/>
            <w:tcBorders/>
            <w:vAlign w:val="center"/>
          </w:tcPr>
          <w:p>
            <w:pPr>
              <w:pStyle w:val="TableContents"/>
              <w:bidi w:val="0"/>
              <w:spacing w:lineRule="atLeast" w:line="142"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42" w:before="0" w:after="0"/>
              <w:jc w:val="left"/>
              <w:rPr/>
            </w:pPr>
            <w:r>
              <w:rPr/>
              <w:t> </w:t>
            </w:r>
          </w:p>
        </w:tc>
        <w:tc>
          <w:tcPr>
            <w:tcW w:w="1138" w:type="dxa"/>
            <w:tcBorders/>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0.2</w:t>
            </w:r>
          </w:p>
        </w:tc>
        <w:tc>
          <w:tcPr>
            <w:tcW w:w="200"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97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lineRule="atLeast" w:line="142" w:before="0" w:after="0"/>
              <w:jc w:val="left"/>
              <w:rPr/>
            </w:pPr>
            <w:r>
              <w:rPr/>
              <w:t> </w:t>
            </w:r>
          </w:p>
        </w:tc>
        <w:tc>
          <w:tcPr>
            <w:tcW w:w="1006"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7,148</w:t>
            </w:r>
          </w:p>
        </w:tc>
        <w:tc>
          <w:tcPr>
            <w:tcW w:w="6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lineRule="atLeast" w:line="142" w:before="0" w:after="0"/>
              <w:jc w:val="left"/>
              <w:rPr/>
            </w:pPr>
            <w:r>
              <w:rPr/>
              <w:t> </w:t>
            </w:r>
          </w:p>
        </w:tc>
        <w:tc>
          <w:tcPr>
            <w:tcW w:w="108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16,775</w:t>
            </w:r>
          </w:p>
        </w:tc>
        <w:tc>
          <w:tcPr>
            <w:tcW w:w="110" w:type="dxa"/>
            <w:tcBorders/>
            <w:shd w:fill="CCEEFF" w:val="clear"/>
            <w:vAlign w:val="center"/>
          </w:tcPr>
          <w:p>
            <w:pPr>
              <w:pStyle w:val="TableContents"/>
              <w:bidi w:val="0"/>
              <w:spacing w:lineRule="atLeast" w:line="142"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42" w:before="0" w:after="0"/>
              <w:jc w:val="left"/>
              <w:rPr/>
            </w:pPr>
            <w:r>
              <w:rPr/>
              <w:t> </w:t>
            </w:r>
          </w:p>
        </w:tc>
        <w:tc>
          <w:tcPr>
            <w:tcW w:w="1138" w:type="dxa"/>
            <w:tcBorders/>
            <w:shd w:fill="CCEEFF" w:val="clear"/>
            <w:vAlign w:val="center"/>
          </w:tcPr>
          <w:p>
            <w:pPr>
              <w:pStyle w:val="TableContents"/>
              <w:bidi w:val="0"/>
              <w:spacing w:lineRule="atLeast" w:line="142" w:before="0" w:after="0"/>
              <w:jc w:val="right"/>
              <w:rPr>
                <w:rFonts w:ascii="Times New Roman" w:hAnsi="Times New Roman"/>
                <w:sz w:val="15"/>
              </w:rPr>
            </w:pPr>
            <w:r>
              <w:rPr>
                <w:rFonts w:ascii="Times New Roman" w:hAnsi="Times New Roman"/>
                <w:sz w:val="15"/>
              </w:rPr>
              <w:t>1.3</w:t>
            </w:r>
          </w:p>
        </w:tc>
        <w:tc>
          <w:tcPr>
            <w:tcW w:w="200"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pBdr>
                <w:top w:val="single" w:sz="2" w:space="1" w:color="000000"/>
              </w:pBdr>
              <w:bidi w:val="0"/>
              <w:spacing w:before="0" w:after="0"/>
              <w:jc w:val="left"/>
              <w:rPr/>
            </w:pPr>
            <w:r>
              <w:rPr/>
              <w:t> </w:t>
            </w:r>
          </w:p>
        </w:tc>
        <w:tc>
          <w:tcPr>
            <w:tcW w:w="100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pBdr>
                <w:top w:val="single" w:sz="2" w:space="1" w:color="000000"/>
              </w:pBdr>
              <w:bidi w:val="0"/>
              <w:spacing w:before="0" w:after="0"/>
              <w:jc w:val="left"/>
              <w:rPr/>
            </w:pPr>
            <w:r>
              <w:rPr/>
              <w:t> </w:t>
            </w:r>
          </w:p>
        </w:tc>
        <w:tc>
          <w:tcPr>
            <w:tcW w:w="1088" w:type="dxa"/>
            <w:tcBorders/>
            <w:vAlign w:val="center"/>
          </w:tcPr>
          <w:p>
            <w:pPr>
              <w:pStyle w:val="TableContents"/>
              <w:pBdr>
                <w:top w:val="single" w:sz="2" w:space="1" w:color="000000"/>
              </w:pBdr>
              <w:bidi w:val="0"/>
              <w:spacing w:before="0" w:after="0"/>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566"/>
        <w:gridCol w:w="60"/>
        <w:gridCol w:w="1007"/>
        <w:gridCol w:w="60"/>
        <w:gridCol w:w="185"/>
        <w:gridCol w:w="990"/>
        <w:gridCol w:w="60"/>
        <w:gridCol w:w="60"/>
        <w:gridCol w:w="128"/>
        <w:gridCol w:w="912"/>
        <w:gridCol w:w="185"/>
        <w:gridCol w:w="60"/>
        <w:gridCol w:w="785"/>
        <w:gridCol w:w="60"/>
        <w:gridCol w:w="143"/>
        <w:gridCol w:w="957"/>
        <w:gridCol w:w="60"/>
        <w:gridCol w:w="60"/>
        <w:gridCol w:w="157"/>
        <w:gridCol w:w="1062"/>
        <w:gridCol w:w="60"/>
        <w:gridCol w:w="60"/>
        <w:gridCol w:w="187"/>
        <w:gridCol w:w="1138"/>
        <w:gridCol w:w="203"/>
      </w:tblGrid>
      <w:tr>
        <w:trPr/>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Company(1)(6)</w:t>
            </w:r>
          </w:p>
        </w:tc>
        <w:tc>
          <w:tcPr>
            <w:tcW w:w="60" w:type="dxa"/>
            <w:tcBorders/>
            <w:vAlign w:val="center"/>
          </w:tcPr>
          <w:p>
            <w:pPr>
              <w:pStyle w:val="TableContents"/>
              <w:bidi w:val="0"/>
              <w:spacing w:before="0" w:after="283"/>
              <w:jc w:val="left"/>
              <w:rPr/>
            </w:pPr>
            <w:r>
              <w:rPr/>
              <w:t> </w:t>
            </w:r>
          </w:p>
        </w:tc>
        <w:tc>
          <w:tcPr>
            <w:tcW w:w="100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w:t>
              <w:br/>
              <w:t>Acquisition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Reference</w:t>
              <w:br/>
              <w:t>Rate and</w:t>
              <w:br/>
              <w:t>Spread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4"/>
              </w:rPr>
            </w:pPr>
            <w:r>
              <w:rPr>
                <w:rFonts w:ascii="Times New Roman" w:hAnsi="Times New Roman"/>
                <w:b/>
                <w:sz w:val="14"/>
              </w:rPr>
              <w:t>Interest Rate</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w:t>
              <w:br/>
              <w:t>Cost(2)(8)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Net Assets</w:t>
            </w:r>
          </w:p>
        </w:tc>
        <w:tc>
          <w:tcPr>
            <w:tcW w:w="203" w:type="dxa"/>
            <w:tcBorders/>
            <w:vAlign w:val="center"/>
          </w:tcPr>
          <w:p>
            <w:pPr>
              <w:pStyle w:val="TableContents"/>
              <w:bidi w:val="0"/>
              <w:spacing w:before="0" w:after="283"/>
              <w:jc w:val="left"/>
              <w:rPr/>
            </w:pPr>
            <w:r>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b/>
                <w:sz w:val="15"/>
              </w:rPr>
            </w:pPr>
            <w:r>
              <w:rPr>
                <w:rFonts w:ascii="Times New Roman" w:hAnsi="Times New Roman"/>
                <w:b/>
                <w:sz w:val="15"/>
              </w:rPr>
              <w:t>Structured Products</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95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shd w:fill="CCEEFF" w:val="clear"/>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Allegro CLO Ltd, </w:t>
              <w:br/>
              <w:t>Series 2018-1A,(3)(4)(10)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6/2031)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5/26/2022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+ 2.85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5.36%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907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856</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American Money Management Corp </w:t>
              <w:br/>
              <w:t>CLO Ltd, Series 2016-18A(3)(4)(10)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($1,500 par, due 5/2031)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6/22/2022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+ 3.05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6.06%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1,344</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1,302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Ares CLO Ltd,</w:t>
              <w:br/>
              <w:t>Series 2021-59A(3)(4)(10)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4/2034)</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6/23/2022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+ 6.25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9.03%</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893</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Ares Loan Funding I Ltd, </w:t>
              <w:br/>
              <w:t>Series 2021-ALFA, Class E(3)(4)(10)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10/2034)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6/24/2022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+ 6.70</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909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867</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Bain Capital Credit CLO Ltd, </w:t>
              <w:br/>
              <w:t>Series 2018-1A(3)(4)(10)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($500 par, due 4/2031)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10/15/2020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+ 5.35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8.13%</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422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381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0.0</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Battalion CLO Ltd, </w:t>
              <w:br/>
              <w:t>Series 2021-21A(3)(4)(10)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($1,300 par, due 7/2034)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7/13/2022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+ 3.30</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5.81%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1,143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1,140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Benefit Street Partners CLO Ltd, </w:t>
              <w:br/>
              <w:t>Series 2015-6BR(3)(4)(10)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($2,500 par, due 7/2034)</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7/13/2022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+ 3.85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6.56%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2,157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2,220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0.2</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Benefit Street Partners CLO Ltd, </w:t>
              <w:br/>
              <w:t>Series 2015-8A(3)(4)(10)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($1,425 par, due 1/2031)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+ 2.75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5.46%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1,258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1,219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Carlyle Global Market Strategies </w:t>
              <w:br/>
              <w:t>CLO Ltd, Series 2014-4RA(3)(4)(10)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7/2030)</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5/26/2022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+ 2.90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5.41%</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Carlyle Global Market Strategies </w:t>
              <w:br/>
              <w:t>CLO Ltd, Series 2018-1A(3)(4)(10)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($1,550 par, due 4/2031)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8/11/2020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+ 5.75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8.46%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1,241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1,201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Carlyle Global Market Strategies </w:t>
              <w:br/>
              <w:t>CLO Ltd, Series 2017-4A(3)(4)(10)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($4,150 par, due 1/2030)</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9/3/2020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+ 6.15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8.66%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3,498</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3,275</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0.2</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CarVal CLO III Ltd,</w:t>
              <w:br/>
              <w:t>Series 2019-2A(3)(4)(10)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6/30/2022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+ 6.44</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9.15%</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Cedar Funding CLO Ltd, </w:t>
              <w:br/>
              <w:t>Series 2018-7A(3)(4)(10)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7/21/2022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+ 4.55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7.26%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784</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0.0</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CIFC CLO Ltd,</w:t>
              <w:br/>
              <w:t>Series 2018-3A(3)(4)(10)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6/16/2022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+ 5.50</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8.24%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895</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CIFC CLO Ltd,</w:t>
              <w:br/>
              <w:t>Series 2021-4A(3)(4)(10)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7/2033)</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7/14/2022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+ 6.00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8.51%</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874</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Crown Point CLO Ltd, </w:t>
              <w:br/>
              <w:t>Series 2021-10A(3)(4)(10)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6/14/2022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+ 6.85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9.56%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835</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Dryden Senior Loan Fund, </w:t>
              <w:br/>
              <w:t>Series 2018-55A(3)(4)(10)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4/2031)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7/25/2022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+ 2.85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5.36%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893</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860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Dryden Senior Loan Fund, </w:t>
              <w:br/>
              <w:t>Series 2020-86A(3)(4)(10)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($1,500 par, due 7/2034)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8/17/2022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+ 6.50</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1,403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1,230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Eaton CLO Ltd,</w:t>
              <w:br/>
              <w:t>Series 2015-1A(3)(4)(10)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($2,500 par, due 1/2030)</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6/23/2022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+ 2.50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5.21%</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2,181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2,172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0.2</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Eaton CLO Ltd,</w:t>
              <w:br/>
              <w:t>Series 2020-1A(3)(4)(10)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10/2034)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8/11/2022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+ 6.25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8.76%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837</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GoldenTree CLO Ltd, </w:t>
              <w:br/>
              <w:t>Series 2020-7A(3)(4)(10)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4/2034)</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6/17/2022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+ 6.50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9.21%</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916</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871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Gulf Stream Meridian, </w:t>
              <w:br/>
              <w:t>Series 2021-4A(3)(4)(10)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($1,015 par, due 7/2036)</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+ 6.35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931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Gulf Stream Meridian, </w:t>
              <w:br/>
              <w:t>Series 2021-6A(3)(4)(10)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($2,000 par, due 1/2037)</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9/12/2022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+ 6.36</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8.87%</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1,780</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1,654</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Jefferson Mill CLO Ltd, </w:t>
              <w:br/>
              <w:t>Series 2015-1A(3)(4)(10)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10/2031)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+ 3.55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842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KKR CLO Ltd, 49A(3)(4)(10)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7/2035)</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+ 8.00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10.17%</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961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Madison Park CLO, </w:t>
              <w:br/>
              <w:t>Series 2018-28A(3)(4)(10)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7/2030)</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6/28/2022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+ 5.25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7.76%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873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829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Magnetite CLO Ltd, </w:t>
              <w:br/>
              <w:t>Series 2021-30A(3)(4)(10)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10/2034)</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6/13/2022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+ 6.20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8.98%</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916</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864</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MidOcean Credit CLO Ltd, </w:t>
              <w:br/>
              <w:t>Series 2016-6A(3)(4)(10)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($3,500 par, due 4/2033)</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+ 3.52</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6.23%</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3,145</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2,919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0.2</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MidOcean Credit CLO Ltd, </w:t>
              <w:br/>
              <w:t>Series 2018-9A(3)(4)(10)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($1,100 par, due 7/2031)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6/1/2022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+ 6.05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8.76%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957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818</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0.0</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Octagon 57 LLC, </w:t>
              <w:br/>
              <w:t>Series 2021-1A(3)(4)(10)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10/2034)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5/24/2022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+ 6.60</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916</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Octagon Investment Partners 18 Ltd, </w:t>
              <w:br/>
              <w:t>Series 2018-18A(3)(4)(10)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4/2031)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7/26/2022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+ 2.70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5.44%</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885</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856</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Octagon Investment Partners 38 Ltd, </w:t>
              <w:br/>
              <w:t>Series 2018-1A(3)(4)(10)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($2,800 par, due 7/2030)</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9/20/2022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+ 2.95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5.66%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2,438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2,430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0.2</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Park Avenue Institutional Advisers </w:t>
              <w:br/>
              <w:t>CLO Ltd, Series 2018-1A(3)(4)(10)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10/2031)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9/23/2022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+ 3.33</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6.04%</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857</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856</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Pikes Peak CLO,</w:t>
              <w:br/>
              <w:t>Series 2021-9A(3)(4)(10)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($2,000 par, due 10/2034)</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8/31/2022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+ 6.58</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9.35%</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1,778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1,679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RR Ltd, Series 2020-8A(3)(4)(10)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4/2033)</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8/22/2022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+ 6.40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8.91%</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919</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862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Shackelton CLO Ltd, </w:t>
              <w:br/>
              <w:t>Series 2015-7RA(3)(4)(10)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+ 3.33</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5.84%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888</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845</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Signal Peak CLO LLC, </w:t>
              <w:br/>
              <w:t>Series 2018-5A(3)(4)(10)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4/2031)</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+ 5.65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8.43%</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888</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829</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Southwick Park CLO Ltd, </w:t>
              <w:br/>
              <w:t>Series 2019-4A(3)(4)(10)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7/2032)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5/25/2022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+ 6.25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8.96%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927</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843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Stewart Park CLO Ltd, </w:t>
              <w:br/>
              <w:t>Series 2015-1A(3)(4)(10)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($1,000 par, due 1/2030)</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7/25/2022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+ 2.60</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5.11%</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889</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865</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Voya CLO Ltd,</w:t>
              <w:br/>
              <w:t>Series 2018-3A(3)(4)(10)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($2,750 par, due 10/2031)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6/22/2022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+ 5.75</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8.26%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2,369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2,151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Whitebox CLO I Ltd, </w:t>
              <w:br/>
              <w:t>Series 2020-2A(3)(4)(10)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($1,125 par, due 10/2034)</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7/12/2022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+ 3.35</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6.13%</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1,003</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1,021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shd w:fill="CCEEFF" w:val="clear"/>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Wind River CLO Ltd, </w:t>
              <w:br/>
              <w:t>Series 2014-2A(3)(4)(10)</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($1,500 par, due 1/2031)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lineRule="atLeast" w:line="160" w:before="0" w:after="0"/>
              <w:jc w:val="left"/>
              <w:rPr/>
            </w:pPr>
            <w:r>
              <w:rPr/>
              <w:t> </w:t>
            </w:r>
          </w:p>
        </w:tc>
        <w:tc>
          <w:tcPr>
            <w:tcW w:w="990"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6/23/2022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lineRule="atLeast" w:line="160" w:before="0" w:after="0"/>
              <w:jc w:val="left"/>
              <w:rPr/>
            </w:pPr>
            <w:r>
              <w:rPr/>
              <w:t> </w:t>
            </w:r>
          </w:p>
        </w:tc>
        <w:tc>
          <w:tcPr>
            <w:tcW w:w="91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+ 2.90</w:t>
            </w:r>
          </w:p>
        </w:tc>
        <w:tc>
          <w:tcPr>
            <w:tcW w:w="185"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5.41%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1,330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1,290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0.0</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lineRule="atLeast" w:line="142" w:before="0" w:after="0"/>
              <w:jc w:val="left"/>
              <w:rPr>
                <w:rFonts w:ascii="Times New Roman" w:hAnsi="Times New Roman"/>
                <w:sz w:val="15"/>
              </w:rPr>
            </w:pPr>
            <w:r>
              <w:rPr>
                <w:rFonts w:ascii="Times New Roman" w:hAnsi="Times New Roman"/>
                <w:sz w:val="15"/>
              </w:rPr>
              <w:t xml:space="preserve">Wind River CLO Ltd, </w:t>
              <w:br/>
              <w:t>Series 2017-1A(3)(4)(10)</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Structured Product ($3,000 par, due 4/2036)</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tLeast" w:line="160" w:before="0" w:after="0"/>
              <w:jc w:val="left"/>
              <w:rPr/>
            </w:pPr>
            <w:r>
              <w:rPr/>
              <w:t> </w:t>
            </w:r>
          </w:p>
        </w:tc>
        <w:tc>
          <w:tcPr>
            <w:tcW w:w="990"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7/14/2022</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lineRule="atLeast" w:line="160" w:before="0" w:after="0"/>
              <w:jc w:val="left"/>
              <w:rPr/>
            </w:pPr>
            <w:r>
              <w:rPr/>
              <w:t> </w:t>
            </w:r>
          </w:p>
        </w:tc>
        <w:tc>
          <w:tcPr>
            <w:tcW w:w="91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L + 3.72</w:t>
            </w:r>
          </w:p>
        </w:tc>
        <w:tc>
          <w:tcPr>
            <w:tcW w:w="185"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6.46%</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2,591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2,649</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0.1</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9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10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15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pPr>
            <w:r>
              <w:rPr/>
              <w:t> </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54,520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pPr>
            <w:r>
              <w:rPr/>
              <w:t> </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51,962</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4.4</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9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10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1566" w:type="dxa"/>
            <w:tcBorders/>
            <w:vAlign w:val="center"/>
          </w:tcPr>
          <w:p>
            <w:pPr>
              <w:pStyle w:val="TableContents"/>
              <w:bidi w:val="0"/>
              <w:spacing w:lineRule="atLeast" w:line="160" w:before="0" w:after="0"/>
              <w:jc w:val="left"/>
              <w:rPr>
                <w:rFonts w:ascii="Times New Roman" w:hAnsi="Times New Roman"/>
                <w:b/>
                <w:sz w:val="15"/>
              </w:rPr>
            </w:pPr>
            <w:r>
              <w:rPr>
                <w:rFonts w:ascii="Times New Roman" w:hAnsi="Times New Roman"/>
                <w:b/>
                <w:sz w:val="15"/>
              </w:rPr>
              <w:t xml:space="preserve">Total Equity and Other </w:t>
              <w:br/>
              <w:t>Investments</w:t>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lineRule="atLeast" w:line="160" w:before="0" w:after="0"/>
              <w:jc w:val="left"/>
              <w:rPr/>
            </w:pPr>
            <w:r>
              <w:rPr/>
              <w:t> </w:t>
            </w:r>
          </w:p>
        </w:tc>
        <w:tc>
          <w:tcPr>
            <w:tcW w:w="957"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193,718</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160" w:before="0" w:after="0"/>
              <w:jc w:val="left"/>
              <w:rPr/>
            </w:pPr>
            <w:r>
              <w:rPr/>
              <w:t> </w:t>
            </w:r>
          </w:p>
        </w:tc>
        <w:tc>
          <w:tcPr>
            <w:tcW w:w="1062"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216,311</w:t>
            </w:r>
          </w:p>
        </w:tc>
        <w:tc>
          <w:tcPr>
            <w:tcW w:w="60"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lineRule="atLeast" w:line="160" w:before="0" w:after="0"/>
              <w:jc w:val="left"/>
              <w:rPr/>
            </w:pPr>
            <w:r>
              <w:rPr/>
              <w:t> </w:t>
            </w:r>
          </w:p>
        </w:tc>
        <w:tc>
          <w:tcPr>
            <w:tcW w:w="1138" w:type="dxa"/>
            <w:tcBorders/>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16.4</w:t>
            </w:r>
          </w:p>
        </w:tc>
        <w:tc>
          <w:tcPr>
            <w:tcW w:w="203" w:type="dxa"/>
            <w:tcBorders/>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9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10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single" w:sz="2" w:space="1" w:color="000000"/>
              </w:pBdr>
              <w:bidi w:val="0"/>
              <w:spacing w:before="0" w:after="0"/>
              <w:jc w:val="left"/>
              <w:rPr/>
            </w:pPr>
            <w:r>
              <w:rPr/>
              <w:t> </w:t>
            </w:r>
          </w:p>
        </w:tc>
        <w:tc>
          <w:tcPr>
            <w:tcW w:w="1138" w:type="dxa"/>
            <w:tcBorders/>
            <w:vAlign w:val="center"/>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r>
        <w:trPr/>
        <w:tc>
          <w:tcPr>
            <w:tcW w:w="1566" w:type="dxa"/>
            <w:tcBorders/>
            <w:shd w:fill="CCEEFF" w:val="clear"/>
            <w:vAlign w:val="center"/>
          </w:tcPr>
          <w:p>
            <w:pPr>
              <w:pStyle w:val="TableContents"/>
              <w:bidi w:val="0"/>
              <w:spacing w:lineRule="atLeast" w:line="160" w:before="0" w:after="0"/>
              <w:jc w:val="left"/>
              <w:rPr>
                <w:rFonts w:ascii="Times New Roman" w:hAnsi="Times New Roman"/>
                <w:b/>
                <w:sz w:val="15"/>
              </w:rPr>
            </w:pPr>
            <w:r>
              <w:rPr>
                <w:rFonts w:ascii="Times New Roman" w:hAnsi="Times New Roman"/>
                <w:b/>
                <w:sz w:val="15"/>
              </w:rPr>
              <w:t>Total Investments</w:t>
            </w:r>
          </w:p>
        </w:tc>
        <w:tc>
          <w:tcPr>
            <w:tcW w:w="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912"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w:t>
            </w:r>
          </w:p>
        </w:tc>
        <w:tc>
          <w:tcPr>
            <w:tcW w:w="957"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2,792,773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w:t>
            </w:r>
          </w:p>
        </w:tc>
        <w:tc>
          <w:tcPr>
            <w:tcW w:w="1062"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2,806,063</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lineRule="atLeast" w:line="160" w:before="0" w:after="0"/>
              <w:jc w:val="left"/>
              <w:rPr/>
            </w:pPr>
            <w:r>
              <w:rPr/>
              <w:t> </w:t>
            </w:r>
          </w:p>
        </w:tc>
        <w:tc>
          <w:tcPr>
            <w:tcW w:w="1138" w:type="dxa"/>
            <w:tcBorders/>
            <w:shd w:fill="CCEEFF" w:val="clear"/>
            <w:vAlign w:val="center"/>
          </w:tcPr>
          <w:p>
            <w:pPr>
              <w:pStyle w:val="TableContents"/>
              <w:bidi w:val="0"/>
              <w:spacing w:lineRule="atLeast" w:line="160" w:before="0" w:after="0"/>
              <w:jc w:val="right"/>
              <w:rPr>
                <w:rFonts w:ascii="Times New Roman" w:hAnsi="Times New Roman"/>
                <w:sz w:val="15"/>
              </w:rPr>
            </w:pPr>
            <w:r>
              <w:rPr>
                <w:rFonts w:ascii="Times New Roman" w:hAnsi="Times New Roman"/>
                <w:sz w:val="15"/>
              </w:rPr>
              <w:t>211.2</w:t>
            </w:r>
          </w:p>
        </w:tc>
        <w:tc>
          <w:tcPr>
            <w:tcW w:w="203" w:type="dxa"/>
            <w:tcBorders/>
            <w:shd w:fill="CCEEFF" w:val="clear"/>
            <w:vAlign w:val="center"/>
          </w:tcPr>
          <w:p>
            <w:pPr>
              <w:pStyle w:val="TableContents"/>
              <w:bidi w:val="0"/>
              <w:spacing w:lineRule="atLeast" w:line="160" w:before="0" w:after="0"/>
              <w:jc w:val="left"/>
              <w:rPr>
                <w:rFonts w:ascii="Times New Roman" w:hAnsi="Times New Roman"/>
                <w:sz w:val="15"/>
              </w:rPr>
            </w:pPr>
            <w:r>
              <w:rPr>
                <w:rFonts w:ascii="Times New Roman" w:hAnsi="Times New Roman"/>
                <w:sz w:val="15"/>
              </w:rPr>
              <w:t>% </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double" w:sz="6" w:space="1" w:color="000000"/>
              </w:pBdr>
              <w:bidi w:val="0"/>
              <w:spacing w:before="0" w:after="0"/>
              <w:jc w:val="left"/>
              <w:rPr/>
            </w:pPr>
            <w:r>
              <w:rPr/>
              <w:t> </w:t>
            </w:r>
          </w:p>
        </w:tc>
        <w:tc>
          <w:tcPr>
            <w:tcW w:w="9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double" w:sz="6" w:space="1" w:color="000000"/>
              </w:pBdr>
              <w:bidi w:val="0"/>
              <w:spacing w:before="0" w:after="0"/>
              <w:jc w:val="left"/>
              <w:rPr/>
            </w:pPr>
            <w:r>
              <w:rPr/>
              <w:t> </w:t>
            </w:r>
          </w:p>
        </w:tc>
        <w:tc>
          <w:tcPr>
            <w:tcW w:w="106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pBdr>
                <w:top w:val="double" w:sz="6" w:space="1" w:color="000000"/>
              </w:pBdr>
              <w:bidi w:val="0"/>
              <w:spacing w:before="0" w:after="0"/>
              <w:jc w:val="left"/>
              <w:rPr/>
            </w:pPr>
            <w:r>
              <w:rPr/>
              <w:t> </w:t>
            </w:r>
          </w:p>
        </w:tc>
        <w:tc>
          <w:tcPr>
            <w:tcW w:w="1138" w:type="dxa"/>
            <w:tcBorders/>
            <w:vAlign w:val="center"/>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53"/>
        <w:gridCol w:w="60"/>
        <w:gridCol w:w="1026"/>
        <w:gridCol w:w="60"/>
        <w:gridCol w:w="1026"/>
        <w:gridCol w:w="60"/>
        <w:gridCol w:w="158"/>
        <w:gridCol w:w="1317"/>
        <w:gridCol w:w="60"/>
        <w:gridCol w:w="60"/>
        <w:gridCol w:w="140"/>
        <w:gridCol w:w="800"/>
        <w:gridCol w:w="60"/>
        <w:gridCol w:w="120"/>
        <w:gridCol w:w="140"/>
        <w:gridCol w:w="755"/>
        <w:gridCol w:w="155"/>
        <w:gridCol w:w="60"/>
        <w:gridCol w:w="256"/>
        <w:gridCol w:w="1024"/>
        <w:gridCol w:w="60"/>
        <w:gridCol w:w="60"/>
        <w:gridCol w:w="237"/>
        <w:gridCol w:w="1287"/>
        <w:gridCol w:w="171"/>
      </w:tblGrid>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Interest Rate Swaps as of September 30, 2022</w:t>
            </w:r>
          </w:p>
        </w:tc>
        <w:tc>
          <w:tcPr>
            <w:tcW w:w="17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center"/>
              <w:rPr>
                <w:b/>
              </w:rPr>
            </w:pPr>
            <w:r>
              <w:rPr>
                <w:b/>
              </w:rPr>
              <w:t>Company</w:t>
              <w:br/>
              <w:t>Receives</w:t>
            </w:r>
          </w:p>
        </w:tc>
        <w:tc>
          <w:tcPr>
            <w:tcW w:w="60" w:type="dxa"/>
            <w:tcBorders/>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center"/>
              <w:rPr>
                <w:b/>
              </w:rPr>
            </w:pPr>
            <w:r>
              <w:rPr>
                <w:b/>
              </w:rPr>
              <w:t>Company</w:t>
              <w:br/>
              <w:t>Pays</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Maturity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Notional</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Market</w:t>
              <w:br/>
              <w:t>Value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Upfront</w:t>
              <w:br/>
              <w:t>(Payments) /</w:t>
              <w:br/>
              <w:t>Receipts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in</w:t>
              <w:br/>
              <w:t>Unrealized</w:t>
              <w:br/>
              <w:t>Gains / (Losses)</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4.50%</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 + 1.99%</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1/22/2023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(3,729</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swap(a)(e)</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L + 2.28%</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3.875%</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swap(a)(b)</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4.50%</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 + 2.37%</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8/1/2022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(1,192</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swap(a)(b)</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4.50%</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L + 1.59%</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8/1/2022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(751</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swap(a)(b)</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4.50%</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 + 1.60%</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8/1/2022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(112</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swap(a)(b)</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L + 2.11%</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4.50%</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8/1/2022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(923</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swap(a)(b)</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 + 2.11%</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4.50%</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8/1/2022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swap(a)(b)</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L + 2.11%</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4.50%</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8/1/2022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904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(394</w:t>
            </w:r>
          </w:p>
        </w:tc>
        <w:tc>
          <w:tcPr>
            <w:tcW w:w="17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pBdr>
                <w:top w:val="single" w:sz="2" w:space="1" w:color="000000"/>
              </w:pBdr>
              <w:bidi w:val="0"/>
              <w:spacing w:before="0" w:after="0"/>
              <w:jc w:val="left"/>
              <w:rPr/>
            </w:pPr>
            <w:r>
              <w:rPr/>
              <w:t> </w:t>
            </w:r>
          </w:p>
        </w:tc>
        <w:tc>
          <w:tcPr>
            <w:tcW w:w="128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0.16%</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7/30/2022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(13</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pBdr>
                <w:top w:val="single" w:sz="2" w:space="1" w:color="000000"/>
              </w:pBdr>
              <w:bidi w:val="0"/>
              <w:spacing w:before="0" w:after="0"/>
              <w:jc w:val="left"/>
              <w:rPr/>
            </w:pPr>
            <w:r>
              <w:rPr/>
              <w:t> </w:t>
            </w:r>
          </w:p>
        </w:tc>
        <w:tc>
          <w:tcPr>
            <w:tcW w:w="128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(7,184</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Interest rate swap(a)(c)(d)</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3.875%</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 + 2.25%</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11/1/2024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(20,874</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swap(a)(c)(d)</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3.875%</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L + 2.46%</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(3,400</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 swap(a)(c)</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2.50%</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center"/>
              <w:rPr/>
            </w:pPr>
            <w:r>
              <w:rPr/>
              <w:t>L + 1.91%</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8/1/2026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(28,122</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pBdr>
                <w:top w:val="single" w:sz="2" w:space="1" w:color="000000"/>
              </w:pBdr>
              <w:bidi w:val="0"/>
              <w:spacing w:before="0" w:after="0"/>
              <w:jc w:val="left"/>
              <w:rPr/>
            </w:pPr>
            <w:r>
              <w:rPr/>
              <w:t> </w:t>
            </w:r>
          </w:p>
        </w:tc>
        <w:tc>
          <w:tcPr>
            <w:tcW w:w="128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(58,262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(52,396</w:t>
            </w:r>
          </w:p>
        </w:tc>
        <w:tc>
          <w:tcPr>
            <w:tcW w:w="171" w:type="dxa"/>
            <w:tcBorders/>
            <w:vAlign w:val="center"/>
          </w:tcPr>
          <w:p>
            <w:pPr>
              <w:pStyle w:val="TableContents"/>
              <w:bidi w:val="0"/>
              <w:spacing w:before="0" w:after="283"/>
              <w:jc w:val="left"/>
              <w:rPr/>
            </w:pPr>
            <w:r>
              <w:rPr/>
              <w:t>) </w:t>
            </w:r>
          </w:p>
        </w:tc>
      </w:tr>
      <w:tr>
        <w:trPr/>
        <w:tc>
          <w:tcPr>
            <w:tcW w:w="10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collateral</w:t>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3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61,592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pBdr>
                <w:top w:val="single" w:sz="2" w:space="1" w:color="000000"/>
              </w:pBdr>
              <w:bidi w:val="0"/>
              <w:spacing w:before="0" w:after="0"/>
              <w:jc w:val="left"/>
              <w:rPr/>
            </w:pPr>
            <w:r>
              <w:rPr/>
              <w:t> </w:t>
            </w:r>
          </w:p>
        </w:tc>
        <w:tc>
          <w:tcPr>
            <w:tcW w:w="10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pBdr>
                <w:top w:val="single" w:sz="2" w:space="1" w:color="000000"/>
              </w:pBdr>
              <w:bidi w:val="0"/>
              <w:spacing w:before="0" w:after="0"/>
              <w:jc w:val="left"/>
              <w:rPr/>
            </w:pPr>
            <w:r>
              <w:rPr/>
              <w:t> </w:t>
            </w:r>
          </w:p>
        </w:tc>
        <w:tc>
          <w:tcPr>
            <w:tcW w:w="1287"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derivatives</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802,500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2,662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w:t>
            </w:r>
          </w:p>
        </w:tc>
        <w:tc>
          <w:tcPr>
            <w:tcW w:w="1024" w:type="dxa"/>
            <w:tcBorders/>
            <w:vAlign w:val="center"/>
          </w:tcPr>
          <w:p>
            <w:pPr>
              <w:pStyle w:val="TableContents"/>
              <w:bidi w:val="0"/>
              <w:spacing w:before="0" w:after="283"/>
              <w:jc w:val="right"/>
              <w:rPr/>
            </w:pPr>
            <w:r>
              <w:rPr/>
              <w:t>2,252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287" w:type="dxa"/>
            <w:tcBorders/>
            <w:vAlign w:val="center"/>
          </w:tcPr>
          <w:p>
            <w:pPr>
              <w:pStyle w:val="TableContents"/>
              <w:bidi w:val="0"/>
              <w:spacing w:before="0" w:after="283"/>
              <w:jc w:val="right"/>
              <w:rPr/>
            </w:pPr>
            <w:r>
              <w:rPr/>
              <w:t>(59,580</w:t>
            </w:r>
          </w:p>
        </w:tc>
        <w:tc>
          <w:tcPr>
            <w:tcW w:w="171" w:type="dxa"/>
            <w:tcBorders/>
            <w:vAlign w:val="center"/>
          </w:tcPr>
          <w:p>
            <w:pPr>
              <w:pStyle w:val="TableContents"/>
              <w:bidi w:val="0"/>
              <w:spacing w:before="0" w:after="283"/>
              <w:jc w:val="left"/>
              <w:rPr/>
            </w:pPr>
            <w:r>
              <w:rPr/>
              <w:t>) </w:t>
            </w:r>
          </w:p>
        </w:tc>
      </w:tr>
      <w:tr>
        <w:trPr/>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pBdr>
                <w:top w:val="double" w:sz="6" w:space="1" w:color="000000"/>
              </w:pBdr>
              <w:bidi w:val="0"/>
              <w:spacing w:before="0" w:after="0"/>
              <w:jc w:val="left"/>
              <w:rPr/>
            </w:pPr>
            <w:r>
              <w:rPr/>
              <w:t> </w:t>
            </w:r>
          </w:p>
        </w:tc>
        <w:tc>
          <w:tcPr>
            <w:tcW w:w="102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pBdr>
                <w:top w:val="double" w:sz="6" w:space="1" w:color="000000"/>
              </w:pBdr>
              <w:bidi w:val="0"/>
              <w:spacing w:before="0" w:after="0"/>
              <w:jc w:val="left"/>
              <w:rPr/>
            </w:pPr>
            <w:r>
              <w:rPr/>
              <w:t> </w:t>
            </w:r>
          </w:p>
        </w:tc>
        <w:tc>
          <w:tcPr>
            <w:tcW w:w="1287"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275"/>
        <w:gridCol w:w="75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Contains a variable rate structure. Bears interest at a rate determined by three-month LIBOR. </w:t>
            </w:r>
          </w:p>
        </w:tc>
      </w:tr>
    </w:tbl>
    <w:tbl>
      <w:tblPr>
        <w:tblW w:w="5515" w:type="dxa"/>
        <w:jc w:val="left"/>
        <w:tblInd w:w="0" w:type="dxa"/>
        <w:tblLayout w:type="fixed"/>
        <w:tblCellMar>
          <w:top w:w="0" w:type="dxa"/>
          <w:left w:w="0" w:type="dxa"/>
          <w:bottom w:w="0" w:type="dxa"/>
          <w:right w:w="0" w:type="dxa"/>
        </w:tblCellMar>
      </w:tblPr>
      <w:tblGrid>
        <w:gridCol w:w="75"/>
        <w:gridCol w:w="290"/>
        <w:gridCol w:w="51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Interest rate swap was terminated or matured during the period. </w:t>
            </w:r>
          </w:p>
        </w:tc>
      </w:tr>
    </w:tbl>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(c)</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Instrument is used in a hedge accounting relationship. The associated change in fair value is recorded along with the change in fair value of the hedged item within interest expense. </w:t>
            </w:r>
          </w:p>
        </w:tc>
      </w:tr>
    </w:tbl>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(d)</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million in aggregate notional value of these instruments is no longer designated as instruments in a hedge accounting relationship. The associated change in fair value of the de-designated portion is recorded within unrealized gain/(loss). </w:t>
            </w:r>
          </w:p>
        </w:tc>
      </w:tr>
    </w:tbl>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(e)</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this instrument is presented net with the $2.5 million in aggregate notional value of instruments no longer designated as instruments in a hedge accounting relationship. </w:t>
            </w:r>
          </w:p>
        </w:tc>
      </w:tr>
    </w:tbl>
    <w:tbl>
      <w:tblPr>
        <w:tblW w:w="7330" w:type="dxa"/>
        <w:jc w:val="left"/>
        <w:tblInd w:w="0" w:type="dxa"/>
        <w:tblLayout w:type="fixed"/>
        <w:tblCellMar>
          <w:top w:w="0" w:type="dxa"/>
          <w:left w:w="0" w:type="dxa"/>
          <w:bottom w:w="0" w:type="dxa"/>
          <w:right w:w="0" w:type="dxa"/>
        </w:tblCellMar>
      </w:tblPr>
      <w:tblGrid>
        <w:gridCol w:w="305"/>
        <w:gridCol w:w="7025"/>
      </w:tblGrid>
      <w:tr>
        <w:trPr/>
        <w:tc>
          <w:tcPr>
            <w:tcW w:w="305" w:type="dxa"/>
            <w:tcBorders/>
            <w:vAlign w:val="center"/>
          </w:tcPr>
          <w:p>
            <w:pPr>
              <w:pStyle w:val="TableContents"/>
              <w:bidi w:val="0"/>
              <w:spacing w:before="0" w:after="283"/>
              <w:jc w:val="left"/>
              <w:rPr/>
            </w:pPr>
            <w:r>
              <w:rPr/>
              <w:t>(1)</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portfolio company investments are subject to contractual restrictions on sales.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amortized cost represents the original cost adjusted for the amortization of discounts and premiums, as applicable, on debt investments using the effective interest method.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2022.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12.5% of total assets as of September 30, 2022.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(6)</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1940 Act, the Company is deemed to be an “Affiliated Person” of, as defined in the 1940 Act, a portfolio company, as the Company owns more than 5% of a portfolio company’s outstanding voting securities. Transactions during the nine months ended September 30, 2022 in which the Company was an Affiliated Person of a portfolio company are as follows: </w:t>
            </w:r>
          </w:p>
        </w:tc>
      </w:tr>
    </w:tbl>
    <w:p>
      <w:pPr>
        <w:pStyle w:val="TextBody"/>
        <w:bidi w:val="0"/>
        <w:spacing w:before="360" w:after="0"/>
        <w:jc w:val="center"/>
        <w:rPr>
          <w:rFonts w:ascii="Times New Roman" w:hAnsi="Times New Roman"/>
          <w:b/>
          <w:sz w:val="20"/>
          <w:u w:val="single"/>
        </w:rPr>
      </w:pPr>
      <w:r>
        <w:rPr>
          <w:rFonts w:ascii="Times New Roman" w:hAnsi="Times New Roman"/>
          <w:b/>
          <w:sz w:val="20"/>
          <w:u w:val="single"/>
        </w:rPr>
        <w:t xml:space="preserve">Non-controlled, Affiliated Investments during the nine months ended September 30, 2022 </w:t>
      </w:r>
    </w:p>
    <w:p>
      <w:pPr>
        <w:pStyle w:val="TextBody"/>
        <w:bidi w:val="0"/>
        <w:spacing w:before="0" w:after="0"/>
        <w:jc w:val="left"/>
        <w:rPr/>
      </w:pPr>
      <w:r>
        <w:rPr/>
        <w:t> </w:t>
      </w:r>
    </w:p>
    <w:tbl>
      <w:tblPr>
        <w:tblW w:w="13095" w:type="dxa"/>
        <w:jc w:val="left"/>
        <w:tblInd w:w="0" w:type="dxa"/>
        <w:tblLayout w:type="fixed"/>
        <w:tblCellMar>
          <w:top w:w="0" w:type="dxa"/>
          <w:left w:w="0" w:type="dxa"/>
          <w:bottom w:w="0" w:type="dxa"/>
          <w:right w:w="0" w:type="dxa"/>
        </w:tblCellMar>
      </w:tblPr>
      <w:tblGrid>
        <w:gridCol w:w="1535"/>
        <w:gridCol w:w="60"/>
        <w:gridCol w:w="241"/>
        <w:gridCol w:w="1174"/>
        <w:gridCol w:w="60"/>
        <w:gridCol w:w="60"/>
        <w:gridCol w:w="292"/>
        <w:gridCol w:w="793"/>
        <w:gridCol w:w="60"/>
        <w:gridCol w:w="60"/>
        <w:gridCol w:w="193"/>
        <w:gridCol w:w="1042"/>
        <w:gridCol w:w="155"/>
        <w:gridCol w:w="60"/>
        <w:gridCol w:w="221"/>
        <w:gridCol w:w="1194"/>
        <w:gridCol w:w="155"/>
        <w:gridCol w:w="60"/>
        <w:gridCol w:w="151"/>
        <w:gridCol w:w="739"/>
        <w:gridCol w:w="60"/>
        <w:gridCol w:w="60"/>
        <w:gridCol w:w="271"/>
        <w:gridCol w:w="739"/>
        <w:gridCol w:w="60"/>
        <w:gridCol w:w="60"/>
        <w:gridCol w:w="397"/>
        <w:gridCol w:w="1078"/>
        <w:gridCol w:w="60"/>
        <w:gridCol w:w="60"/>
        <w:gridCol w:w="255"/>
        <w:gridCol w:w="695"/>
        <w:gridCol w:w="60"/>
        <w:gridCol w:w="60"/>
        <w:gridCol w:w="215"/>
        <w:gridCol w:w="585"/>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Company</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at</w:t>
              <w:br/>
              <w:t>December 31,</w:t>
              <w:b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Additions(a)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Reductions(b)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Change</w:t>
              <w:br/>
              <w:t>In Unrealized</w:t>
              <w:br/>
              <w:t>Gain/(Loss)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Realized</w:t>
              <w:br/>
              <w:t>Gain/(Loss)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Transfers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at</w:t>
              <w:b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Dividend</w:t>
              <w:b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br/>
              <w:t>Income</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MD America Energy, LLC(c)</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27,017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(12,667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(14,350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13,673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133</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single" w:sz="2" w:space="1" w:color="000000"/>
              </w:pBdr>
              <w:bidi w:val="0"/>
              <w:spacing w:before="0" w:after="0"/>
              <w:jc w:val="left"/>
              <w:rPr/>
            </w:pPr>
            <w:r>
              <w:rPr/>
              <w:t> </w:t>
            </w:r>
          </w:p>
        </w:tc>
        <w:tc>
          <w:tcPr>
            <w:tcW w:w="117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pBdr>
                <w:top w:val="single" w:sz="2" w:space="1" w:color="000000"/>
              </w:pBdr>
              <w:bidi w:val="0"/>
              <w:spacing w:before="0" w:after="0"/>
              <w:jc w:val="left"/>
              <w:rPr/>
            </w:pPr>
            <w:r>
              <w:rPr/>
              <w:t> </w:t>
            </w:r>
          </w:p>
        </w:tc>
        <w:tc>
          <w:tcPr>
            <w:tcW w:w="79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0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73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73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pBdr>
                <w:top w:val="single" w:sz="2" w:space="1" w:color="000000"/>
              </w:pBdr>
              <w:bidi w:val="0"/>
              <w:spacing w:before="0" w:after="0"/>
              <w:jc w:val="left"/>
              <w:rPr/>
            </w:pPr>
            <w:r>
              <w:rPr/>
              <w:t> </w:t>
            </w:r>
          </w:p>
        </w:tc>
        <w:tc>
          <w:tcPr>
            <w:tcW w:w="107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69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58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b/>
              </w:rPr>
            </w:pPr>
            <w:r>
              <w:rPr>
                <w:b/>
              </w:rPr>
              <w:t>$</w:t>
            </w:r>
          </w:p>
        </w:tc>
        <w:tc>
          <w:tcPr>
            <w:tcW w:w="1174" w:type="dxa"/>
            <w:tcBorders/>
            <w:vAlign w:val="center"/>
          </w:tcPr>
          <w:p>
            <w:pPr>
              <w:pStyle w:val="TableContents"/>
              <w:bidi w:val="0"/>
              <w:spacing w:before="0" w:after="283"/>
              <w:jc w:val="right"/>
              <w:rPr>
                <w:b/>
              </w:rPr>
            </w:pPr>
            <w:r>
              <w:rPr>
                <w:b/>
              </w:rPr>
              <w:t>27,017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b/>
              </w:rPr>
            </w:pPr>
            <w:r>
              <w:rPr>
                <w:b/>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b/>
              </w:rPr>
            </w:pPr>
            <w:r>
              <w:rPr>
                <w:b/>
              </w:rPr>
              <w:t>$</w:t>
            </w:r>
          </w:p>
        </w:tc>
        <w:tc>
          <w:tcPr>
            <w:tcW w:w="1042" w:type="dxa"/>
            <w:tcBorders/>
            <w:vAlign w:val="center"/>
          </w:tcPr>
          <w:p>
            <w:pPr>
              <w:pStyle w:val="TableContents"/>
              <w:bidi w:val="0"/>
              <w:spacing w:before="0" w:after="283"/>
              <w:jc w:val="right"/>
              <w:rPr>
                <w:b/>
              </w:rPr>
            </w:pPr>
            <w:r>
              <w:rPr>
                <w:b/>
              </w:rPr>
              <w:t>(12,667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b/>
              </w:rPr>
            </w:pPr>
            <w:r>
              <w:rPr>
                <w:b/>
              </w:rPr>
              <w:t>$</w:t>
            </w:r>
          </w:p>
        </w:tc>
        <w:tc>
          <w:tcPr>
            <w:tcW w:w="1194" w:type="dxa"/>
            <w:tcBorders/>
            <w:vAlign w:val="center"/>
          </w:tcPr>
          <w:p>
            <w:pPr>
              <w:pStyle w:val="TableContents"/>
              <w:bidi w:val="0"/>
              <w:spacing w:before="0" w:after="283"/>
              <w:jc w:val="right"/>
              <w:rPr>
                <w:b/>
              </w:rPr>
            </w:pPr>
            <w:r>
              <w:rPr>
                <w:b/>
              </w:rPr>
              <w:t>(14,350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b/>
              </w:rPr>
            </w:pPr>
            <w:r>
              <w:rPr>
                <w:b/>
              </w:rPr>
              <w:t>$</w:t>
            </w:r>
          </w:p>
        </w:tc>
        <w:tc>
          <w:tcPr>
            <w:tcW w:w="739" w:type="dxa"/>
            <w:tcBorders/>
            <w:vAlign w:val="center"/>
          </w:tcPr>
          <w:p>
            <w:pPr>
              <w:pStyle w:val="TableContents"/>
              <w:bidi w:val="0"/>
              <w:spacing w:before="0" w:after="283"/>
              <w:jc w:val="right"/>
              <w:rPr>
                <w:b/>
              </w:rPr>
            </w:pPr>
            <w:r>
              <w:rPr>
                <w:b/>
              </w:rPr>
              <w:t>13,673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b/>
              </w:rPr>
            </w:pPr>
            <w:r>
              <w:rPr>
                <w:b/>
              </w:rPr>
              <w:t>$</w:t>
            </w:r>
          </w:p>
        </w:tc>
        <w:tc>
          <w:tcPr>
            <w:tcW w:w="7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b/>
              </w:rPr>
            </w:pPr>
            <w:r>
              <w:rPr>
                <w:b/>
              </w:rPr>
              <w:t>$</w:t>
            </w:r>
          </w:p>
        </w:tc>
        <w:tc>
          <w:tcPr>
            <w:tcW w:w="107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b/>
              </w:rPr>
            </w:pPr>
            <w:r>
              <w:rPr>
                <w:b/>
              </w:rPr>
              <w:t>$</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585" w:type="dxa"/>
            <w:tcBorders/>
            <w:vAlign w:val="center"/>
          </w:tcPr>
          <w:p>
            <w:pPr>
              <w:pStyle w:val="TableContents"/>
              <w:bidi w:val="0"/>
              <w:spacing w:before="0" w:after="283"/>
              <w:jc w:val="right"/>
              <w:rPr>
                <w:b/>
              </w:rPr>
            </w:pPr>
            <w:r>
              <w:rPr>
                <w:b/>
              </w:rPr>
              <w:t>133</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double" w:sz="6" w:space="1" w:color="000000"/>
              </w:pBdr>
              <w:bidi w:val="0"/>
              <w:spacing w:before="0" w:after="0"/>
              <w:jc w:val="left"/>
              <w:rPr/>
            </w:pPr>
            <w:r>
              <w:rPr/>
              <w:t> </w:t>
            </w:r>
          </w:p>
        </w:tc>
        <w:tc>
          <w:tcPr>
            <w:tcW w:w="117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pBdr>
                <w:top w:val="double" w:sz="6" w:space="1" w:color="000000"/>
              </w:pBdr>
              <w:bidi w:val="0"/>
              <w:spacing w:before="0" w:after="0"/>
              <w:jc w:val="left"/>
              <w:rPr/>
            </w:pPr>
            <w:r>
              <w:rPr/>
              <w:t> </w:t>
            </w:r>
          </w:p>
        </w:tc>
        <w:tc>
          <w:tcPr>
            <w:tcW w:w="79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0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double" w:sz="6" w:space="1" w:color="000000"/>
              </w:pBdr>
              <w:bidi w:val="0"/>
              <w:spacing w:before="0" w:after="0"/>
              <w:jc w:val="left"/>
              <w:rPr/>
            </w:pPr>
            <w:r>
              <w:rPr/>
              <w:t> </w:t>
            </w:r>
          </w:p>
        </w:tc>
        <w:tc>
          <w:tcPr>
            <w:tcW w:w="119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double" w:sz="6" w:space="1" w:color="000000"/>
              </w:pBdr>
              <w:bidi w:val="0"/>
              <w:spacing w:before="0" w:after="0"/>
              <w:jc w:val="left"/>
              <w:rPr/>
            </w:pPr>
            <w:r>
              <w:rPr/>
              <w:t> </w:t>
            </w:r>
          </w:p>
        </w:tc>
        <w:tc>
          <w:tcPr>
            <w:tcW w:w="73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double" w:sz="6" w:space="1" w:color="000000"/>
              </w:pBdr>
              <w:bidi w:val="0"/>
              <w:spacing w:before="0" w:after="0"/>
              <w:jc w:val="left"/>
              <w:rPr/>
            </w:pPr>
            <w:r>
              <w:rPr/>
              <w:t> </w:t>
            </w:r>
          </w:p>
        </w:tc>
        <w:tc>
          <w:tcPr>
            <w:tcW w:w="73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pBdr>
                <w:top w:val="double" w:sz="6" w:space="1" w:color="000000"/>
              </w:pBdr>
              <w:bidi w:val="0"/>
              <w:spacing w:before="0" w:after="0"/>
              <w:jc w:val="left"/>
              <w:rPr/>
            </w:pPr>
            <w:r>
              <w:rPr/>
              <w:t> </w:t>
            </w:r>
          </w:p>
        </w:tc>
        <w:tc>
          <w:tcPr>
            <w:tcW w:w="107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69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double" w:sz="6" w:space="1" w:color="000000"/>
              </w:pBdr>
              <w:bidi w:val="0"/>
              <w:spacing w:before="0" w:after="0"/>
              <w:jc w:val="left"/>
              <w:rPr/>
            </w:pPr>
            <w:r>
              <w:rPr/>
              <w:t> </w:t>
            </w:r>
          </w:p>
        </w:tc>
        <w:tc>
          <w:tcPr>
            <w:tcW w:w="58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additions include increases in the cost basis of investments resulting from new investments, payment-in-kind interest or dividends, the amortization of any unearned income or discounts on debt investments, as applicable. </w:t>
            </w:r>
          </w:p>
        </w:tc>
      </w:tr>
    </w:tbl>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tc>
      </w:tr>
    </w:tbl>
    <w:tbl>
      <w:tblPr>
        <w:tblW w:w="6745" w:type="dxa"/>
        <w:jc w:val="left"/>
        <w:tblInd w:w="0" w:type="dxa"/>
        <w:tblLayout w:type="fixed"/>
        <w:tblCellMar>
          <w:top w:w="0" w:type="dxa"/>
          <w:left w:w="0" w:type="dxa"/>
          <w:bottom w:w="0" w:type="dxa"/>
          <w:right w:w="0" w:type="dxa"/>
        </w:tblCellMar>
      </w:tblPr>
      <w:tblGrid>
        <w:gridCol w:w="75"/>
        <w:gridCol w:w="275"/>
        <w:gridCol w:w="63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investment in SMPA Holdings, LLC of 15,000 common equity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(7)</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2022 in which the Company was an Affiliated Person of and was deemed to Control a portfolio company are as follows: </w:t>
            </w:r>
          </w:p>
        </w:tc>
      </w:tr>
    </w:tbl>
    <w:p>
      <w:pPr>
        <w:pStyle w:val="TextBody"/>
        <w:bidi w:val="0"/>
        <w:spacing w:before="360" w:after="0"/>
        <w:jc w:val="center"/>
        <w:rPr>
          <w:rFonts w:ascii="Times New Roman" w:hAnsi="Times New Roman"/>
          <w:b/>
          <w:sz w:val="20"/>
          <w:u w:val="single"/>
        </w:rPr>
      </w:pPr>
      <w:r>
        <w:rPr>
          <w:rFonts w:ascii="Times New Roman" w:hAnsi="Times New Roman"/>
          <w:b/>
          <w:sz w:val="20"/>
          <w:u w:val="single"/>
        </w:rPr>
        <w:t xml:space="preserve">Controlled, Affiliated Investments during the nine months ended September 30, 2022 </w:t>
      </w:r>
    </w:p>
    <w:p>
      <w:pPr>
        <w:pStyle w:val="TextBody"/>
        <w:bidi w:val="0"/>
        <w:spacing w:before="0" w:after="0"/>
        <w:jc w:val="left"/>
        <w:rPr/>
      </w:pPr>
      <w:r>
        <w:rPr/>
        <w:t> </w:t>
      </w:r>
    </w:p>
    <w:tbl>
      <w:tblPr>
        <w:tblW w:w="12070" w:type="dxa"/>
        <w:jc w:val="left"/>
        <w:tblInd w:w="0" w:type="dxa"/>
        <w:tblLayout w:type="fixed"/>
        <w:tblCellMar>
          <w:top w:w="0" w:type="dxa"/>
          <w:left w:w="0" w:type="dxa"/>
          <w:bottom w:w="0" w:type="dxa"/>
          <w:right w:w="0" w:type="dxa"/>
        </w:tblCellMar>
      </w:tblPr>
      <w:tblGrid>
        <w:gridCol w:w="785"/>
        <w:gridCol w:w="60"/>
        <w:gridCol w:w="241"/>
        <w:gridCol w:w="1174"/>
        <w:gridCol w:w="60"/>
        <w:gridCol w:w="60"/>
        <w:gridCol w:w="217"/>
        <w:gridCol w:w="868"/>
        <w:gridCol w:w="60"/>
        <w:gridCol w:w="60"/>
        <w:gridCol w:w="223"/>
        <w:gridCol w:w="1012"/>
        <w:gridCol w:w="155"/>
        <w:gridCol w:w="60"/>
        <w:gridCol w:w="283"/>
        <w:gridCol w:w="1132"/>
        <w:gridCol w:w="60"/>
        <w:gridCol w:w="60"/>
        <w:gridCol w:w="239"/>
        <w:gridCol w:w="651"/>
        <w:gridCol w:w="60"/>
        <w:gridCol w:w="60"/>
        <w:gridCol w:w="271"/>
        <w:gridCol w:w="739"/>
        <w:gridCol w:w="60"/>
        <w:gridCol w:w="60"/>
        <w:gridCol w:w="251"/>
        <w:gridCol w:w="1224"/>
        <w:gridCol w:w="60"/>
        <w:gridCol w:w="60"/>
        <w:gridCol w:w="207"/>
        <w:gridCol w:w="563"/>
        <w:gridCol w:w="60"/>
        <w:gridCol w:w="60"/>
        <w:gridCol w:w="160"/>
        <w:gridCol w:w="640"/>
        <w:gridCol w:w="75"/>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Company</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at</w:t>
              <w:br/>
              <w:t>December 31,</w:t>
              <w:b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Additions(a)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Reductions(b)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Change</w:t>
              <w:br/>
              <w:t>In Unrealized</w:t>
              <w:br/>
              <w:t>Gain/(Loss)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Realized</w:t>
              <w:br/>
              <w:t>Gain/(Loss)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Transfers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 at</w:t>
              <w:br/>
              <w:t>September 30,</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br/>
              <w:t>Income</w:t>
            </w:r>
          </w:p>
        </w:tc>
        <w:tc>
          <w:tcPr>
            <w:tcW w:w="75"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IRGSE Holding Corp.</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59,779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68"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70,269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56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3,520</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Mississippi Resources, LLC</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1,498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single" w:sz="2" w:space="1" w:color="000000"/>
              </w:pBdr>
              <w:bidi w:val="0"/>
              <w:spacing w:before="0" w:after="0"/>
              <w:jc w:val="left"/>
              <w:rPr/>
            </w:pPr>
            <w:r>
              <w:rPr/>
              <w:t> </w:t>
            </w:r>
          </w:p>
        </w:tc>
        <w:tc>
          <w:tcPr>
            <w:tcW w:w="117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1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113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pBdr>
                <w:top w:val="single" w:sz="2" w:space="1" w:color="000000"/>
              </w:pBdr>
              <w:bidi w:val="0"/>
              <w:spacing w:before="0" w:after="0"/>
              <w:jc w:val="left"/>
              <w:rPr/>
            </w:pPr>
            <w:r>
              <w:rPr/>
              <w:t> </w:t>
            </w:r>
          </w:p>
        </w:tc>
        <w:tc>
          <w:tcPr>
            <w:tcW w:w="65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single" w:sz="2" w:space="1" w:color="000000"/>
              </w:pBdr>
              <w:bidi w:val="0"/>
              <w:spacing w:before="0" w:after="0"/>
              <w:jc w:val="left"/>
              <w:rPr/>
            </w:pPr>
            <w:r>
              <w:rPr/>
              <w:t> </w:t>
            </w:r>
          </w:p>
        </w:tc>
        <w:tc>
          <w:tcPr>
            <w:tcW w:w="73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2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single" w:sz="2" w:space="1" w:color="000000"/>
              </w:pBdr>
              <w:bidi w:val="0"/>
              <w:spacing w:before="0" w:after="0"/>
              <w:jc w:val="left"/>
              <w:rPr/>
            </w:pPr>
            <w:r>
              <w:rPr/>
              <w:t> </w:t>
            </w:r>
          </w:p>
        </w:tc>
        <w:tc>
          <w:tcPr>
            <w:tcW w:w="6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b/>
              </w:rPr>
            </w:pPr>
            <w:r>
              <w:rPr>
                <w:b/>
              </w:rPr>
              <w:t>$</w:t>
            </w:r>
          </w:p>
        </w:tc>
        <w:tc>
          <w:tcPr>
            <w:tcW w:w="1174" w:type="dxa"/>
            <w:tcBorders/>
            <w:shd w:fill="CCEEFF" w:val="clear"/>
            <w:vAlign w:val="center"/>
          </w:tcPr>
          <w:p>
            <w:pPr>
              <w:pStyle w:val="TableContents"/>
              <w:bidi w:val="0"/>
              <w:spacing w:before="0" w:after="283"/>
              <w:jc w:val="right"/>
              <w:rPr>
                <w:b/>
              </w:rPr>
            </w:pPr>
            <w:r>
              <w:rPr>
                <w:b/>
              </w:rPr>
              <w:t>59,779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b/>
              </w:rPr>
            </w:pPr>
            <w:r>
              <w:rPr>
                <w:b/>
              </w:rPr>
              <w:t>$</w:t>
            </w:r>
          </w:p>
        </w:tc>
        <w:tc>
          <w:tcPr>
            <w:tcW w:w="868" w:type="dxa"/>
            <w:tcBorders/>
            <w:shd w:fill="CCEEFF" w:val="clear"/>
            <w:vAlign w:val="center"/>
          </w:tcPr>
          <w:p>
            <w:pPr>
              <w:pStyle w:val="TableContents"/>
              <w:bidi w:val="0"/>
              <w:spacing w:before="0" w:after="283"/>
              <w:jc w:val="right"/>
              <w:rPr>
                <w:b/>
              </w:rPr>
            </w:pPr>
            <w:r>
              <w:rPr>
                <w:b/>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b/>
              </w:rPr>
            </w:pPr>
            <w:r>
              <w:rPr>
                <w:b/>
              </w:rPr>
              <w:t>$</w:t>
            </w:r>
          </w:p>
        </w:tc>
        <w:tc>
          <w:tcPr>
            <w:tcW w:w="1012" w:type="dxa"/>
            <w:tcBorders/>
            <w:shd w:fill="CCEEFF" w:val="clear"/>
            <w:vAlign w:val="center"/>
          </w:tcPr>
          <w:p>
            <w:pPr>
              <w:pStyle w:val="TableContents"/>
              <w:bidi w:val="0"/>
              <w:spacing w:before="0" w:after="283"/>
              <w:jc w:val="right"/>
              <w:rPr>
                <w:b/>
              </w:rPr>
            </w:pPr>
            <w:r>
              <w:rPr>
                <w:b/>
              </w:rPr>
              <w:t>(1,553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b/>
              </w:rPr>
            </w:pPr>
            <w:r>
              <w:rPr>
                <w:b/>
              </w:rPr>
              <w:t>$</w:t>
            </w:r>
          </w:p>
        </w:tc>
        <w:tc>
          <w:tcPr>
            <w:tcW w:w="1132" w:type="dxa"/>
            <w:tcBorders/>
            <w:shd w:fill="CCEEFF" w:val="clear"/>
            <w:vAlign w:val="center"/>
          </w:tcPr>
          <w:p>
            <w:pPr>
              <w:pStyle w:val="TableContents"/>
              <w:bidi w:val="0"/>
              <w:spacing w:before="0" w:after="283"/>
              <w:jc w:val="right"/>
              <w:rPr>
                <w:b/>
              </w:rPr>
            </w:pPr>
            <w:r>
              <w:rPr>
                <w:b/>
              </w:rPr>
              <w:t>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651" w:type="dxa"/>
            <w:tcBorders/>
            <w:shd w:fill="CCEEFF" w:val="clear"/>
            <w:vAlign w:val="center"/>
          </w:tcPr>
          <w:p>
            <w:pPr>
              <w:pStyle w:val="TableContents"/>
              <w:bidi w:val="0"/>
              <w:spacing w:before="0" w:after="283"/>
              <w:jc w:val="right"/>
              <w:rPr>
                <w:b/>
              </w:rPr>
            </w:pPr>
            <w:r>
              <w:rPr>
                <w:b/>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b/>
              </w:rPr>
            </w:pPr>
            <w:r>
              <w:rPr>
                <w:b/>
              </w:rPr>
              <w:t>$</w:t>
            </w:r>
          </w:p>
        </w:tc>
        <w:tc>
          <w:tcPr>
            <w:tcW w:w="7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b/>
              </w:rPr>
            </w:pPr>
            <w:r>
              <w:rPr>
                <w:b/>
              </w:rPr>
              <w:t>$</w:t>
            </w:r>
          </w:p>
        </w:tc>
        <w:tc>
          <w:tcPr>
            <w:tcW w:w="1224" w:type="dxa"/>
            <w:tcBorders/>
            <w:shd w:fill="CCEEFF" w:val="clear"/>
            <w:vAlign w:val="center"/>
          </w:tcPr>
          <w:p>
            <w:pPr>
              <w:pStyle w:val="TableContents"/>
              <w:bidi w:val="0"/>
              <w:spacing w:before="0" w:after="283"/>
              <w:jc w:val="right"/>
              <w:rPr>
                <w:b/>
              </w:rPr>
            </w:pPr>
            <w:r>
              <w:rPr>
                <w:b/>
              </w:rPr>
              <w:t>70,269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b/>
              </w:rPr>
            </w:pPr>
            <w:r>
              <w:rPr>
                <w:b/>
              </w:rPr>
              <w:t>$</w:t>
            </w:r>
          </w:p>
        </w:tc>
        <w:tc>
          <w:tcPr>
            <w:tcW w:w="563" w:type="dxa"/>
            <w:tcBorders/>
            <w:shd w:fill="CCEEFF" w:val="clear"/>
            <w:vAlign w:val="center"/>
          </w:tcPr>
          <w:p>
            <w:pPr>
              <w:pStyle w:val="TableContents"/>
              <w:bidi w:val="0"/>
              <w:spacing w:before="0" w:after="283"/>
              <w:jc w:val="right"/>
              <w:rPr>
                <w:b/>
              </w:rPr>
            </w:pPr>
            <w:r>
              <w:rPr>
                <w:b/>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b/>
              </w:rPr>
            </w:pPr>
            <w:r>
              <w:rPr>
                <w:b/>
              </w:rPr>
              <w:t>$</w:t>
            </w:r>
          </w:p>
        </w:tc>
        <w:tc>
          <w:tcPr>
            <w:tcW w:w="640" w:type="dxa"/>
            <w:tcBorders/>
            <w:shd w:fill="CCEEFF" w:val="clear"/>
            <w:vAlign w:val="center"/>
          </w:tcPr>
          <w:p>
            <w:pPr>
              <w:pStyle w:val="TableContents"/>
              <w:bidi w:val="0"/>
              <w:spacing w:before="0" w:after="283"/>
              <w:jc w:val="right"/>
              <w:rPr>
                <w:b/>
              </w:rPr>
            </w:pPr>
            <w:r>
              <w:rPr>
                <w:b/>
              </w:rPr>
              <w:t>3,520</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pBdr>
                <w:top w:val="double" w:sz="6" w:space="1" w:color="000000"/>
              </w:pBdr>
              <w:bidi w:val="0"/>
              <w:spacing w:before="0" w:after="0"/>
              <w:jc w:val="left"/>
              <w:rPr/>
            </w:pPr>
            <w:r>
              <w:rPr/>
              <w:t> </w:t>
            </w:r>
          </w:p>
        </w:tc>
        <w:tc>
          <w:tcPr>
            <w:tcW w:w="117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double" w:sz="6" w:space="1" w:color="000000"/>
              </w:pBdr>
              <w:bidi w:val="0"/>
              <w:spacing w:before="0" w:after="0"/>
              <w:jc w:val="left"/>
              <w:rPr/>
            </w:pPr>
            <w:r>
              <w:rPr/>
              <w:t> </w:t>
            </w:r>
          </w:p>
        </w:tc>
        <w:tc>
          <w:tcPr>
            <w:tcW w:w="8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double" w:sz="6" w:space="1" w:color="000000"/>
              </w:pBdr>
              <w:bidi w:val="0"/>
              <w:spacing w:before="0" w:after="0"/>
              <w:jc w:val="left"/>
              <w:rPr/>
            </w:pPr>
            <w:r>
              <w:rPr/>
              <w:t> </w:t>
            </w:r>
          </w:p>
        </w:tc>
        <w:tc>
          <w:tcPr>
            <w:tcW w:w="101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113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pBdr>
                <w:top w:val="double" w:sz="6" w:space="1" w:color="000000"/>
              </w:pBdr>
              <w:bidi w:val="0"/>
              <w:spacing w:before="0" w:after="0"/>
              <w:jc w:val="left"/>
              <w:rPr/>
            </w:pPr>
            <w:r>
              <w:rPr/>
              <w:t> </w:t>
            </w:r>
          </w:p>
        </w:tc>
        <w:tc>
          <w:tcPr>
            <w:tcW w:w="65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pBdr>
                <w:top w:val="double" w:sz="6" w:space="1" w:color="000000"/>
              </w:pBdr>
              <w:bidi w:val="0"/>
              <w:spacing w:before="0" w:after="0"/>
              <w:jc w:val="left"/>
              <w:rPr/>
            </w:pPr>
            <w:r>
              <w:rPr/>
              <w:t> </w:t>
            </w:r>
          </w:p>
        </w:tc>
        <w:tc>
          <w:tcPr>
            <w:tcW w:w="73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122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56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double" w:sz="6" w:space="1" w:color="000000"/>
              </w:pBdr>
              <w:bidi w:val="0"/>
              <w:spacing w:before="0" w:after="0"/>
              <w:jc w:val="left"/>
              <w:rPr/>
            </w:pPr>
            <w:r>
              <w:rPr/>
              <w:t> </w:t>
            </w:r>
          </w:p>
        </w:tc>
        <w:tc>
          <w:tcPr>
            <w:tcW w:w="6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additions include increases in the cost basis of investments resulting from new investments, payment-in-kind interest or dividends, the amortization of any unearned income or discounts on debt investments, as applicable. </w:t>
            </w:r>
          </w:p>
        </w:tc>
      </w:tr>
    </w:tbl>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(8)</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2022, the estimated cost basis of investments for U.S. federal tax purposes was $2,807,880, resulting in estimated gross unrealized gains and losses of $117,489 and $109,905,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(9)</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Financial Accounting Standards Board Accounting Standards Codification Topic 820, </w:t>
            </w:r>
            <w:r>
              <w:rPr>
                <w:rFonts w:ascii="Times New Roman" w:hAnsi="Times New Roman"/>
                <w:i/>
                <w:sz w:val="20"/>
              </w:rPr>
              <w:t>Fair Value Measurements</w:t>
            </w:r>
            <w:r>
              <w:rPr>
                <w:rFonts w:ascii="Times New Roman" w:hAnsi="Times New Roman"/>
                <w:sz w:val="20"/>
              </w:rPr>
              <w:t xml:space="preserve"> (“ASC Topic 820”), unless otherwise indicated, the fair values of all investments were determined using significant unobservable inputs and are considered Level 3 investments. See Note 6 for further information related to investments at fair value.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(10)</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2 investment. See Note 6 for further information related to investments at fair value. </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(11)</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1 investment. See Note 6 for further information related to investments at fair value. </w:t>
            </w:r>
          </w:p>
        </w:tc>
      </w:tr>
    </w:tbl>
    <w:tbl>
      <w:tblPr>
        <w:tblW w:w="3940" w:type="dxa"/>
        <w:jc w:val="left"/>
        <w:tblInd w:w="0" w:type="dxa"/>
        <w:tblLayout w:type="fixed"/>
        <w:tblCellMar>
          <w:top w:w="0" w:type="dxa"/>
          <w:left w:w="0" w:type="dxa"/>
          <w:bottom w:w="0" w:type="dxa"/>
          <w:right w:w="0" w:type="dxa"/>
        </w:tblCellMar>
      </w:tblPr>
      <w:tblGrid>
        <w:gridCol w:w="425"/>
        <w:gridCol w:w="3515"/>
      </w:tblGrid>
      <w:tr>
        <w:trPr/>
        <w:tc>
          <w:tcPr>
            <w:tcW w:w="425" w:type="dxa"/>
            <w:tcBorders/>
            <w:vAlign w:val="center"/>
          </w:tcPr>
          <w:p>
            <w:pPr>
              <w:pStyle w:val="TableContents"/>
              <w:bidi w:val="0"/>
              <w:spacing w:before="0" w:after="283"/>
              <w:jc w:val="left"/>
              <w:rPr/>
            </w:pPr>
            <w:r>
              <w:rPr/>
              <w:t>(12)</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non-income producing.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(13)</w:t>
            </w:r>
          </w:p>
        </w:tc>
        <w:tc>
          <w:tcPr>
            <w:tcW w:w="98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or a portion of this security was acquired in a transaction exempt from registration under the Securities Act, and may be deemed to be “restricted securities” under the Securities Act. As of September 30, 2022, the aggregate fair value of these securities is $70,609 or 5.3% of the Company’s net assets. </w:t>
            </w:r>
          </w:p>
        </w:tc>
      </w:tr>
    </w:tbl>
    <w:tbl>
      <w:tblPr>
        <w:tblW w:w="7585" w:type="dxa"/>
        <w:jc w:val="left"/>
        <w:tblInd w:w="0" w:type="dxa"/>
        <w:tblLayout w:type="fixed"/>
        <w:tblCellMar>
          <w:top w:w="0" w:type="dxa"/>
          <w:left w:w="0" w:type="dxa"/>
          <w:bottom w:w="0" w:type="dxa"/>
          <w:right w:w="0" w:type="dxa"/>
        </w:tblCellMar>
      </w:tblPr>
      <w:tblGrid>
        <w:gridCol w:w="425"/>
        <w:gridCol w:w="7160"/>
      </w:tblGrid>
      <w:tr>
        <w:trPr/>
        <w:tc>
          <w:tcPr>
            <w:tcW w:w="425" w:type="dxa"/>
            <w:tcBorders/>
            <w:vAlign w:val="center"/>
          </w:tcPr>
          <w:p>
            <w:pPr>
              <w:pStyle w:val="TableContents"/>
              <w:bidi w:val="0"/>
              <w:spacing w:before="0" w:after="283"/>
              <w:jc w:val="left"/>
              <w:rPr/>
            </w:pPr>
            <w:r>
              <w:rPr/>
              <w:t>(14)</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Ownership of equity investments may occur through a holding company or partnership. </w:t>
            </w:r>
          </w:p>
        </w:tc>
      </w:tr>
    </w:tbl>
    <w:tbl>
      <w:tblPr>
        <w:tblW w:w="5485" w:type="dxa"/>
        <w:jc w:val="left"/>
        <w:tblInd w:w="0" w:type="dxa"/>
        <w:tblLayout w:type="fixed"/>
        <w:tblCellMar>
          <w:top w:w="0" w:type="dxa"/>
          <w:left w:w="0" w:type="dxa"/>
          <w:bottom w:w="0" w:type="dxa"/>
          <w:right w:w="0" w:type="dxa"/>
        </w:tblCellMar>
      </w:tblPr>
      <w:tblGrid>
        <w:gridCol w:w="425"/>
        <w:gridCol w:w="5060"/>
      </w:tblGrid>
      <w:tr>
        <w:trPr/>
        <w:tc>
          <w:tcPr>
            <w:tcW w:w="425" w:type="dxa"/>
            <w:tcBorders/>
            <w:vAlign w:val="center"/>
          </w:tcPr>
          <w:p>
            <w:pPr>
              <w:pStyle w:val="TableContents"/>
              <w:bidi w:val="0"/>
              <w:spacing w:before="0" w:after="283"/>
              <w:jc w:val="left"/>
              <w:rPr/>
            </w:pPr>
            <w:r>
              <w:rPr/>
              <w:t>(15)</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is on non-accrual status as of September 30,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rom451583_19"/>
      <w:bookmarkEnd w:id="12"/>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2021 Annual Report incorporated by reference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Determinations in Connection with Offerings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net asset value of our common stock disclosed in the most recent periodic report that we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processes and procedures are part of our compliance policies and procedures. Records will be made contemporaneously with all determinations described in this section and these records will be maintained with other records that we are required to maintain under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rom451583_20"/>
      <w:bookmarkEnd w:id="13"/>
      <w:r>
        <w:rPr>
          <w:rFonts w:ascii="Times New Roman" w:hAnsi="Times New Roman"/>
          <w:b/>
          <w:sz w:val="20"/>
        </w:rPr>
        <w:t xml:space="preserve">SALES OF COMMON STOCK BELOW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 </w:t>
      </w:r>
    </w:p>
    <w:p>
      <w:pPr>
        <w:pStyle w:val="TextBody"/>
        <w:bidi w:val="0"/>
        <w:spacing w:before="240" w:after="0"/>
        <w:jc w:val="left"/>
        <w:rPr>
          <w:rFonts w:ascii="Times New Roman" w:hAnsi="Times New Roman"/>
          <w:sz w:val="20"/>
        </w:rPr>
      </w:pPr>
      <w:r>
        <w:rPr>
          <w:rFonts w:ascii="Times New Roman" w:hAnsi="Times New Roman"/>
          <w:sz w:val="20"/>
        </w:rPr>
        <w:t xml:space="preserve">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our directors have determined that any such sale would be in the best interests of us and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to be issued does not exceed 25% of our then-outstanding common stock immediately prior to each such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is no limit on the percentage below net asset value per share at which shares may be sold by us or the number of offerings, each for up to 25% of our then-outstanding common stock, that we may conduct under the approval for the one-year period that authorization is granted. </w:t>
      </w:r>
    </w:p>
    <w:p>
      <w:pPr>
        <w:pStyle w:val="TextBody"/>
        <w:bidi w:val="0"/>
        <w:spacing w:before="240" w:after="0"/>
        <w:jc w:val="left"/>
        <w:rPr>
          <w:rFonts w:ascii="Times New Roman" w:hAnsi="Times New Roman"/>
          <w:sz w:val="20"/>
        </w:rPr>
      </w:pPr>
      <w:r>
        <w:rPr>
          <w:rFonts w:ascii="Times New Roman" w:hAnsi="Times New Roman"/>
          <w:sz w:val="20"/>
        </w:rPr>
        <w:t xml:space="preserve">In making a determination that an offering of common stock at a price below its net asset value per share pursuant to the approval is in our and our stockholders’ best interests, our Board will consider a variety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an offering at a price below net asset value per share would have on our stockholders, including the potential dilution to the net asset value per share of our common stock our stockholders would experience as a result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our most recently determined net asset value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relationship of recent market prices of our common stock to net asset value per share and the potential impact of the offering on the market price per share of our common stock; </w:t>
            </w:r>
          </w:p>
        </w:tc>
      </w:tr>
    </w:tbl>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shares of our common stock;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market impact of being able to raise capital during the current financial market difficulties;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new investors anticipated to acquire shares of our common stock in the offering;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and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75"/>
        <w:gridCol w:w="110"/>
        <w:gridCol w:w="60"/>
        <w:gridCol w:w="2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leverage available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 </w:t>
      </w:r>
    </w:p>
    <w:p>
      <w:pPr>
        <w:pStyle w:val="TextBody"/>
        <w:bidi w:val="0"/>
        <w:spacing w:before="240" w:after="0"/>
        <w:jc w:val="left"/>
        <w:rPr>
          <w:rFonts w:ascii="Times New Roman" w:hAnsi="Times New Roman"/>
          <w:sz w:val="20"/>
        </w:rPr>
      </w:pPr>
      <w:r>
        <w:rPr>
          <w:rFonts w:ascii="Times New Roman" w:hAnsi="Times New Roman"/>
          <w:sz w:val="20"/>
        </w:rPr>
        <w:t xml:space="preserve">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net asset value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net asset value on two different types of investors: </w:t>
      </w:r>
    </w:p>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placement of common stock at a price less than net asset value to a third party in a private placement would have an impact substantially similar to the impact on existing stockholders who do not purchase any shares in the public offering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examples below assume that the issuer has 75.8 million shares outstanding, $2.6 billion in total assets and $1.3 billion in total liabilities (all figures correspond to actual data for us as of December 31, 2021). The net asset value and net asset value per share are thus $1.3 billion and $16.84 per share as of December 31, 2021. The chart illustrates the dilutive effect on Stockholder A of (a) an offering of 3.8 million shares of common stock (5% of the outstanding shares) at $16.00 per share after offering expenses and commissions (a 5% discount from net asset value per share), (b) an offering of 7.6 million shares of common stock (10% of the outstanding shares) at $15.16 per share after offering expenses and commissions (a 10% discount from net asset value per share), (c) an offering of 15.2 million shares of common stock (20% of the outstanding shares) at $13.47 per share after offering expenses and commissions (a 20% discount from net asset value per share), and (d) an offering of 18.9 million shares of common stock (25% of the outstanding shares) at $12.63 per share after offering expenses and commissions (a 25% discount from net asset value per share). The prospectus pursuant to which any discounted offering is made will include a chart based on the actual number of shares of common stock in such offering and the actual discount to the most recently determined net asset value. It is not possible to predict the level of market price decline that may occur. </w:t>
      </w:r>
    </w:p>
    <w:p>
      <w:pPr>
        <w:pStyle w:val="TextBody"/>
        <w:bidi w:val="0"/>
        <w:spacing w:before="0" w:after="0"/>
        <w:jc w:val="left"/>
        <w:rPr/>
      </w:pPr>
      <w:r>
        <w:rPr/>
        <w:t> </w:t>
      </w:r>
    </w:p>
    <w:tbl>
      <w:tblPr>
        <w:tblW w:w="13795" w:type="dxa"/>
        <w:jc w:val="left"/>
        <w:tblInd w:w="0" w:type="dxa"/>
        <w:tblLayout w:type="fixed"/>
        <w:tblCellMar>
          <w:top w:w="0" w:type="dxa"/>
          <w:left w:w="0" w:type="dxa"/>
          <w:bottom w:w="0" w:type="dxa"/>
          <w:right w:w="0" w:type="dxa"/>
        </w:tblCellMar>
      </w:tblPr>
      <w:tblGrid>
        <w:gridCol w:w="1070"/>
        <w:gridCol w:w="60"/>
        <w:gridCol w:w="166"/>
        <w:gridCol w:w="1309"/>
        <w:gridCol w:w="275"/>
        <w:gridCol w:w="60"/>
        <w:gridCol w:w="140"/>
        <w:gridCol w:w="1100"/>
        <w:gridCol w:w="275"/>
        <w:gridCol w:w="60"/>
        <w:gridCol w:w="85"/>
        <w:gridCol w:w="730"/>
        <w:gridCol w:w="275"/>
        <w:gridCol w:w="60"/>
        <w:gridCol w:w="140"/>
        <w:gridCol w:w="1100"/>
        <w:gridCol w:w="275"/>
        <w:gridCol w:w="60"/>
        <w:gridCol w:w="85"/>
        <w:gridCol w:w="730"/>
        <w:gridCol w:w="275"/>
        <w:gridCol w:w="60"/>
        <w:gridCol w:w="140"/>
        <w:gridCol w:w="1100"/>
        <w:gridCol w:w="275"/>
        <w:gridCol w:w="60"/>
        <w:gridCol w:w="70"/>
        <w:gridCol w:w="745"/>
        <w:gridCol w:w="275"/>
        <w:gridCol w:w="60"/>
        <w:gridCol w:w="140"/>
        <w:gridCol w:w="1100"/>
        <w:gridCol w:w="275"/>
        <w:gridCol w:w="60"/>
        <w:gridCol w:w="70"/>
        <w:gridCol w:w="745"/>
        <w:gridCol w:w="29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7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Prior to</w:t>
              <w:br/>
              <w:t>Sale Below</w:t>
              <w:br/>
              <w:t>net asset value</w:t>
            </w:r>
          </w:p>
        </w:tc>
        <w:tc>
          <w:tcPr>
            <w:tcW w:w="27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4</w:t>
            </w:r>
          </w:p>
        </w:tc>
        <w:tc>
          <w:tcPr>
            <w:tcW w:w="29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75"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 Offering at</w:t>
              <w:br/>
              <w:t>5%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10% Offering at</w:t>
              <w:br/>
              <w:t>10%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 Offering at</w:t>
              <w:br/>
              <w:t>20%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 Offering at</w:t>
              <w:br/>
              <w:t>25% Discount</w:t>
            </w:r>
          </w:p>
        </w:tc>
        <w:tc>
          <w:tcPr>
            <w:tcW w:w="29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75"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Offering Price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Price per Share to Public</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Decrease/Increase to Net Asset Value</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Shares Offered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3,788,577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7,577,154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15,154,308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18,942,886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Total Shares Outstanding</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75,771,542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79,560,119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83,348,696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90,925,850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94,714,428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Asset Value per Share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16.84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(5.01</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Dilution to Nonparticipating Stockholder</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75,772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Percentage Held by Stockholder A</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(4.76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(9.09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(16.67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(20.00</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Total Net Asset Value Held by Stockholder A</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1,275,848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1,272,824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1,264,268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1,233,346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1,212,084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(5.00</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Total Investment by Stockholder A (Assumed to be $16.84 per Share)</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Total Dilution to Stockholder A (Total Net Asset Value Less Total Investment)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(11,579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(42,501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(63,763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Investment per Share Held by Stockholder A (Assumed to be $16.84 per Share on Shares Held Prior to Sale)</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0.00</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Asset Value per Share Held by Stockholder A</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Dilution per Share Held by Stockholder A (Net Asset Value per Share Less Investment per Share)</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Percentage Dilution to Stockholder A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participate in an offering below net asset value or who buy additional shares in the secondary market at the same or lower price as we obtain in the offering (after expenses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15.2 million shares) rather than its 0.10% proportionate share and (b) 150% of such percentage (i.e., 0.15% of an offering of 15.2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3"/>
        <w:gridCol w:w="60"/>
        <w:gridCol w:w="244"/>
        <w:gridCol w:w="1921"/>
        <w:gridCol w:w="275"/>
        <w:gridCol w:w="60"/>
        <w:gridCol w:w="140"/>
        <w:gridCol w:w="1100"/>
        <w:gridCol w:w="275"/>
        <w:gridCol w:w="60"/>
        <w:gridCol w:w="78"/>
        <w:gridCol w:w="737"/>
        <w:gridCol w:w="288"/>
        <w:gridCol w:w="60"/>
        <w:gridCol w:w="140"/>
        <w:gridCol w:w="1100"/>
        <w:gridCol w:w="275"/>
        <w:gridCol w:w="60"/>
        <w:gridCol w:w="78"/>
        <w:gridCol w:w="737"/>
        <w:gridCol w:w="304"/>
      </w:tblGrid>
      <w:tr>
        <w:trPr/>
        <w:tc>
          <w:tcPr>
            <w:tcW w:w="2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16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Prior to Sale</w:t>
              <w:br/>
              <w:t>Below net asset value</w:t>
            </w:r>
          </w:p>
        </w:tc>
        <w:tc>
          <w:tcPr>
            <w:tcW w:w="27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304" w:type="dxa"/>
            <w:tcBorders/>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165"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304" w:type="dxa"/>
            <w:tcBorders/>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Offering Price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Price per Share to Public</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Decrease/Increase to Net Asset Value</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Shares Offered</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15,154,308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15,154,308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Shares Outstanding</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spacing w:before="0" w:after="283"/>
              <w:jc w:val="right"/>
              <w:rPr/>
            </w:pPr>
            <w:r>
              <w:rPr/>
              <w:t>75,771,542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90,925,850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20.00</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90,925,850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20.00</w:t>
            </w:r>
          </w:p>
        </w:tc>
        <w:tc>
          <w:tcPr>
            <w:tcW w:w="304" w:type="dxa"/>
            <w:tcBorders/>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Asset Value per Share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921" w:type="dxa"/>
            <w:tcBorders/>
            <w:shd w:fill="CCEEFF" w:val="clear"/>
            <w:vAlign w:val="center"/>
          </w:tcPr>
          <w:p>
            <w:pPr>
              <w:pStyle w:val="TableContents"/>
              <w:bidi w:val="0"/>
              <w:spacing w:before="0" w:after="283"/>
              <w:jc w:val="right"/>
              <w:rPr/>
            </w:pPr>
            <w:r>
              <w:rPr/>
              <w:t>16.84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(3.34</w:t>
            </w:r>
          </w:p>
        </w:tc>
        <w:tc>
          <w:tcPr>
            <w:tcW w:w="2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(3.34</w:t>
            </w:r>
          </w:p>
        </w:tc>
        <w:tc>
          <w:tcPr>
            <w:tcW w:w="304" w:type="dxa"/>
            <w:tcBorders/>
            <w:shd w:fill="CCEEFF" w:val="clear"/>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Dilution/Accretion to Participating Stockholder Shares Held by Stockholder A</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Shares Held by Stockholder A</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921" w:type="dxa"/>
            <w:tcBorders/>
            <w:shd w:fill="CCEEFF" w:val="clear"/>
            <w:vAlign w:val="center"/>
          </w:tcPr>
          <w:p>
            <w:pPr>
              <w:pStyle w:val="TableContents"/>
              <w:bidi w:val="0"/>
              <w:spacing w:before="0" w:after="283"/>
              <w:jc w:val="right"/>
              <w:rPr/>
            </w:pPr>
            <w:r>
              <w:rPr/>
              <w:t>75,772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83,349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98,503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30.00</w:t>
            </w:r>
          </w:p>
        </w:tc>
        <w:tc>
          <w:tcPr>
            <w:tcW w:w="304" w:type="dxa"/>
            <w:tcBorders/>
            <w:shd w:fill="CCEEFF" w:val="clear"/>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Percentage Held by Stockholder A</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(8.33</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8.33</w:t>
            </w:r>
          </w:p>
        </w:tc>
        <w:tc>
          <w:tcPr>
            <w:tcW w:w="304" w:type="dxa"/>
            <w:tcBorders/>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Net Asset Value Held by Stockholder A</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921" w:type="dxa"/>
            <w:tcBorders/>
            <w:shd w:fill="CCEEFF" w:val="clear"/>
            <w:vAlign w:val="center"/>
          </w:tcPr>
          <w:p>
            <w:pPr>
              <w:pStyle w:val="TableContents"/>
              <w:bidi w:val="0"/>
              <w:spacing w:before="0" w:after="283"/>
              <w:jc w:val="right"/>
              <w:rPr/>
            </w:pPr>
            <w:r>
              <w:rPr/>
              <w:t>1,275,848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1,356,680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6.34</w:t>
            </w:r>
          </w:p>
        </w:tc>
        <w:tc>
          <w:tcPr>
            <w:tcW w:w="2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1,603,348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25.67</w:t>
            </w:r>
          </w:p>
        </w:tc>
        <w:tc>
          <w:tcPr>
            <w:tcW w:w="304" w:type="dxa"/>
            <w:tcBorders/>
            <w:shd w:fill="CCEEFF" w:val="clear"/>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Total Investment by Stockholder A (Assumed to be $17.16 per Share on Shares Held Prior to Sale)</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921" w:type="dxa"/>
            <w:tcBorders/>
            <w:vAlign w:val="center"/>
          </w:tcPr>
          <w:p>
            <w:pPr>
              <w:pStyle w:val="TableContents"/>
              <w:bidi w:val="0"/>
              <w:spacing w:before="0" w:after="283"/>
              <w:jc w:val="right"/>
              <w:rPr/>
            </w:pPr>
            <w:r>
              <w:rPr/>
              <w:t>1,275,848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1,383,300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1,598,204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Total Dilution/Accretion to Stockholder A (Total Net Asset Value Less Total Investment)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(26,620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Investment per Share Held by Stockholder A (Assumed to be $17.16 per Share on Shares Held Prior to Sale)</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921"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(1.45</w:t>
            </w:r>
          </w:p>
        </w:tc>
        <w:tc>
          <w:tcPr>
            <w:tcW w:w="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(3.65</w:t>
            </w:r>
          </w:p>
        </w:tc>
        <w:tc>
          <w:tcPr>
            <w:tcW w:w="304" w:type="dxa"/>
            <w:tcBorders/>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Net Asset Value per Share Held by Stockholder A</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Dilution/Accretion per Share Held by Stockholder A (Net Asset Value per Share Less Investment per Share)</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13"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Percentage Dilution/Accretion to Stockholder A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(1.92</w:t>
            </w:r>
          </w:p>
        </w:tc>
        <w:tc>
          <w:tcPr>
            <w:tcW w:w="2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0.32</w:t>
            </w:r>
          </w:p>
        </w:tc>
        <w:tc>
          <w:tcPr>
            <w:tcW w:w="30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Impact on New Investors </w:t>
      </w:r>
    </w:p>
    <w:p>
      <w:pPr>
        <w:pStyle w:val="TextBody"/>
        <w:bidi w:val="0"/>
        <w:spacing w:before="0" w:after="0"/>
        <w:jc w:val="left"/>
        <w:rPr>
          <w:rFonts w:ascii="Times New Roman" w:hAnsi="Times New Roman"/>
          <w:sz w:val="20"/>
        </w:rPr>
      </w:pPr>
      <w:r>
        <w:rPr>
          <w:rFonts w:ascii="Times New Roman" w:hAnsi="Times New Roman"/>
          <w:sz w:val="20"/>
        </w:rPr>
        <w:t xml:space="preserve">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 </w:t>
      </w:r>
    </w:p>
    <w:p>
      <w:pPr>
        <w:pStyle w:val="TextBody"/>
        <w:bidi w:val="0"/>
        <w:spacing w:before="240" w:after="0"/>
        <w:jc w:val="left"/>
        <w:rPr>
          <w:rFonts w:ascii="Times New Roman" w:hAnsi="Times New Roman"/>
          <w:sz w:val="20"/>
        </w:rPr>
      </w:pPr>
      <w:r>
        <w:rPr>
          <w:rFonts w:ascii="Times New Roman" w:hAnsi="Times New Roman"/>
          <w:sz w:val="20"/>
        </w:rPr>
        <w:t xml:space="preserve">The example assumes that the issuer has 75.8 million shares outstanding, $2.6 billion in total assets and $1.3 billion in total liabilities. The current net asset value and NAV per share are thus $1.3 billion and $16.84 per share. The chart illustrates the dilutive effect on Stockholder A of (a) an offering of 3.8 million shares of common stock (5% of the outstanding shares) at $16.00 per share after offering expenses and commissions (a 5% discount from NAV per share), (b) an offering of 7.6 million shares of common stock (10% of the outstanding shares) at $15.16 per share after offering expenses and commissions (a 10% discount from NAV per share), (c) an offering of 15.2 million shares of common stock (20% of the outstanding shares) at $13.47 per share after offering expenses and commissions (a 20% discount from NAV per share), and (d) an offering of 18.9 million shares of common stock (25% of the outstanding shares) at $12.63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 </w:t>
      </w:r>
    </w:p>
    <w:p>
      <w:pPr>
        <w:pStyle w:val="TextBody"/>
        <w:bidi w:val="0"/>
        <w:spacing w:before="0" w:after="0"/>
        <w:jc w:val="left"/>
        <w:rPr/>
      </w:pPr>
      <w:r>
        <w:rPr/>
        <w:t> </w:t>
      </w:r>
    </w:p>
    <w:tbl>
      <w:tblPr>
        <w:tblW w:w="13690" w:type="dxa"/>
        <w:jc w:val="left"/>
        <w:tblInd w:w="0" w:type="dxa"/>
        <w:tblLayout w:type="fixed"/>
        <w:tblCellMar>
          <w:top w:w="0" w:type="dxa"/>
          <w:left w:w="0" w:type="dxa"/>
          <w:bottom w:w="0" w:type="dxa"/>
          <w:right w:w="0" w:type="dxa"/>
        </w:tblCellMar>
      </w:tblPr>
      <w:tblGrid>
        <w:gridCol w:w="1130"/>
        <w:gridCol w:w="120"/>
        <w:gridCol w:w="141"/>
        <w:gridCol w:w="1109"/>
        <w:gridCol w:w="275"/>
        <w:gridCol w:w="60"/>
        <w:gridCol w:w="140"/>
        <w:gridCol w:w="1100"/>
        <w:gridCol w:w="275"/>
        <w:gridCol w:w="60"/>
        <w:gridCol w:w="85"/>
        <w:gridCol w:w="730"/>
        <w:gridCol w:w="275"/>
        <w:gridCol w:w="60"/>
        <w:gridCol w:w="140"/>
        <w:gridCol w:w="1100"/>
        <w:gridCol w:w="275"/>
        <w:gridCol w:w="60"/>
        <w:gridCol w:w="85"/>
        <w:gridCol w:w="730"/>
        <w:gridCol w:w="275"/>
        <w:gridCol w:w="60"/>
        <w:gridCol w:w="140"/>
        <w:gridCol w:w="1100"/>
        <w:gridCol w:w="275"/>
        <w:gridCol w:w="60"/>
        <w:gridCol w:w="78"/>
        <w:gridCol w:w="737"/>
        <w:gridCol w:w="275"/>
        <w:gridCol w:w="60"/>
        <w:gridCol w:w="140"/>
        <w:gridCol w:w="1100"/>
        <w:gridCol w:w="275"/>
        <w:gridCol w:w="60"/>
        <w:gridCol w:w="78"/>
        <w:gridCol w:w="737"/>
        <w:gridCol w:w="29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4</w:t>
            </w:r>
          </w:p>
        </w:tc>
        <w:tc>
          <w:tcPr>
            <w:tcW w:w="29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5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Prior to</w:t>
            </w:r>
            <w:r>
              <w:rPr/>
              <w:br/>
            </w:r>
            <w:r>
              <w:rPr>
                <w:b/>
              </w:rPr>
              <w:t>Sale</w:t>
            </w:r>
            <w:r>
              <w:rPr/>
              <w:br/>
            </w:r>
            <w:r>
              <w:rPr>
                <w:b/>
              </w:rPr>
              <w:t>Below NAV</w:t>
            </w:r>
          </w:p>
        </w:tc>
        <w:tc>
          <w:tcPr>
            <w:tcW w:w="27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pPr>
            <w:r>
              <w:rPr>
                <w:b/>
              </w:rPr>
              <w:t>5% Offering at 5%</w:t>
            </w:r>
            <w:r>
              <w:rPr/>
              <w:br/>
            </w:r>
            <w:r>
              <w:rPr>
                <w:b/>
              </w:rPr>
              <w:t>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pPr>
            <w:r>
              <w:rPr>
                <w:b/>
              </w:rPr>
              <w:t>10% Offering at</w:t>
            </w:r>
            <w:r>
              <w:rPr/>
              <w:br/>
            </w:r>
            <w:r>
              <w:rPr>
                <w:b/>
              </w:rPr>
              <w:t>10%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pPr>
            <w:r>
              <w:rPr>
                <w:b/>
              </w:rPr>
              <w:t>20% Offering at</w:t>
            </w:r>
            <w:r>
              <w:rPr/>
              <w:br/>
            </w:r>
            <w:r>
              <w:rPr>
                <w:b/>
              </w:rPr>
              <w:t>20%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pPr>
            <w:r>
              <w:rPr>
                <w:b/>
              </w:rPr>
              <w:t>25% Offering at</w:t>
            </w:r>
            <w:r>
              <w:rPr/>
              <w:br/>
            </w:r>
            <w:r>
              <w:rPr>
                <w:b/>
              </w:rPr>
              <w:t>25% Discount</w:t>
            </w:r>
          </w:p>
        </w:tc>
        <w:tc>
          <w:tcPr>
            <w:tcW w:w="29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50" w:type="dxa"/>
            <w:gridSpan w:val="2"/>
            <w:vMerge w:val="continue"/>
            <w:tcBorders>
              <w:bottom w:val="single" w:sz="8" w:space="0" w:color="000000"/>
            </w:tcBorders>
            <w:tcMar>
              <w:bottom w:w="28" w:type="dxa"/>
            </w:tcMar>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Offering Price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Price per Share to Public</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per Share to Issuer</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Decrease/Increase to Net Asset Value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Outstanding</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75,771,542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79,560,119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83,348,696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90,925,850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94,714,428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Offered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3,788,577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7,577,154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15,154,308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18,942,886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 Value per Share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16.84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(5.01</w:t>
            </w:r>
          </w:p>
        </w:tc>
        <w:tc>
          <w:tcPr>
            <w:tcW w:w="29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Dilution/Accretion to New Investor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Held by Investor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Percentage Held by Investor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Asset Value Held by Investor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63,641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126,426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246,668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303,019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Investment by Investor A (At Price to Public)</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63,800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120,884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214,904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251,841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Dilution/Accretion to Investor A (Total Net Asset Value Less Total Investment</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31,764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51,179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per Share Held by Investor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 Value per Share Held by Investor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Dilution/Accretion per Share Held by Investor A (Net Asset Value per Share Less Investment per Share)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Percentage Dilution/Accretion to Investor A (Dilution per Share Divided by Investment per Share)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4.59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14.78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20.32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rom451583_21"/>
      <w:bookmarkEnd w:id="14"/>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the heading “Dividend Reinvestment Plan” in Part I, Item I of our 2021 Annual Report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All correspondence concerning the plan should be directed to the plan administrator by mail at American Stock Transfer &amp; Trust Company, LLC, Transfer Agency—Sixth Street Specialty Lending, 6201 15th Avenue, Brooklyn, NY 11219.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rom451583_22"/>
      <w:bookmarkEnd w:id="15"/>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stockholders subject to the alternative minimum tax;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(except as discussed below);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75"/>
        <w:gridCol w:w="110"/>
        <w:gridCol w:w="60"/>
        <w:gridCol w:w="1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securities holdings;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pension plans (except as discussed below);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trusts (except as discussed below);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entities taxed as partnerships or partners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shares of common stock or preferred stock as part of a “straddle,” “hedge,” “conversion transaction,” “synthetic security” or other integrated investment;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received our stock as compensation;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stock on behalf of another person as a nominee;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“controlled foreign corporations;” </w:t>
            </w:r>
          </w:p>
        </w:tc>
      </w:tr>
    </w:tbl>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75"/>
        <w:gridCol w:w="110"/>
        <w:gridCol w:w="60"/>
        <w:gridCol w:w="1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stockholders (as defined below) who have a “functional currency” other than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Finally, this summary does not address other U.S. federal tax consequences (such as estate, gift and Medicare contribution tax consequences), the alternative minimum tax or any state, local or foreign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under the heading “Material U.S. Federal Income Tax Considerations,” a “U.S. stockholder” is a beneficial owner of shares of our common stock or preferred stock that is, for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income tax purposes, an individual who is a citizen or resident of the United States or a domestic corporation or otherwise subject to U.S. federal income tax on a net income basis in respect of our stock. </w:t>
      </w:r>
    </w:p>
    <w:p>
      <w:pPr>
        <w:pStyle w:val="TextBody"/>
        <w:bidi w:val="0"/>
        <w:spacing w:before="240" w:after="0"/>
        <w:jc w:val="left"/>
        <w:rPr>
          <w:rFonts w:ascii="Times New Roman" w:hAnsi="Times New Roman"/>
          <w:sz w:val="20"/>
        </w:rPr>
      </w:pPr>
      <w:r>
        <w:rPr>
          <w:rFonts w:ascii="Times New Roman" w:hAnsi="Times New Roman"/>
          <w:sz w:val="20"/>
        </w:rPr>
        <w:t xml:space="preserve">A “Non-U.S. stockholder” is a beneficial owner of shares of our common stock or preferred stock that is not a U.S. stockholder and not an entity taxed as a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Regulated Investment Company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w:t>
      </w:r>
    </w:p>
    <w:p>
      <w:pPr>
        <w:pStyle w:val="TextBody"/>
        <w:bidi w:val="0"/>
        <w:spacing w:before="240" w:after="0"/>
        <w:jc w:val="left"/>
        <w:rPr>
          <w:rFonts w:ascii="Times New Roman" w:hAnsi="Times New Roman"/>
          <w:sz w:val="20"/>
        </w:rPr>
      </w:pPr>
      <w:r>
        <w:rPr>
          <w:rFonts w:ascii="Times New Roman" w:hAnsi="Times New Roman"/>
          <w:sz w:val="20"/>
        </w:rPr>
        <w:t xml:space="preserve">To maintain our status as a RIC, we must, among other things: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diversified holdings so that, subject to certain exceptions and cure periods, at the end of each quarter of our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 </w:t>
      </w:r>
    </w:p>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a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any income or gains recognized, but not distributed, in preceding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cases where our taxable income exceeds our available cash flow, we will need to fund distributions with the proceeds of sale of securities or with borrowed money, and may raise funds for this purpose opportunistically over the course of the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we invest in foreign securities, we may be subject to withholding and other foreign taxes with respect to those securities. We do not expect to satisfy the conditions necessary to pass through to our stockholders their share of the foreign taxes paid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Currency Fluctuations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 currency options or futures contracts and the disposition of debt securities denominated in foreign currency, to the extent attributable to fluctuations in exchange rates between the acquisition and disposition dates, are also treated as ordinary income or loss.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such dividend prior to the earlier of the 15th day of the ninth month following the close of that taxable year, or any applicable extended due date of our U.S. federal corporate income tax return for such prior taxable year;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distribute such amount in the 12-month period following the close of such prior taxable year;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 election in our U.S. federal corporate income tax return for the taxable year in which such undistributed investment company taxable income or net capital gains were recognized.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election will not alter the general rule that a U.S. stockholder will be treated as receiving a dividend in the taxable year in which the dividend is distributed, subject to the October, November, or December dividend declaration rule discussed immediately above.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sells or otherwise disposes of shares of our common stock or preferred stock, the U.S. stockholder will recognize gain or loss equal to the difference between its adjusted tax basis in the shares sold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 </w:t>
      </w:r>
    </w:p>
    <w:p>
      <w:pPr>
        <w:pStyle w:val="TextBody"/>
        <w:bidi w:val="0"/>
        <w:spacing w:before="240" w:after="0"/>
        <w:jc w:val="left"/>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Limitation with Respect to Certain U.S. Stockholders on Deductions for Certain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bidi w:val="0"/>
        <w:spacing w:before="240" w:after="0"/>
        <w:jc w:val="left"/>
        <w:rPr>
          <w:rFonts w:ascii="Times New Roman" w:hAnsi="Times New Roman"/>
          <w:sz w:val="20"/>
        </w:rPr>
      </w:pPr>
      <w:r>
        <w:rPr>
          <w:rFonts w:ascii="Times New Roman" w:hAnsi="Times New Roman"/>
          <w:sz w:val="20"/>
        </w:rPr>
        <w:t xml:space="preserve">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 </w:t>
      </w:r>
    </w:p>
    <w:p>
      <w:pPr>
        <w:pStyle w:val="TextBody"/>
        <w:bidi w:val="0"/>
        <w:spacing w:before="240" w:after="0"/>
        <w:jc w:val="left"/>
        <w:rPr>
          <w:rFonts w:ascii="Times New Roman" w:hAnsi="Times New Roman"/>
          <w:sz w:val="20"/>
        </w:rPr>
      </w:pPr>
      <w:r>
        <w:rPr>
          <w:rFonts w:ascii="Times New Roman" w:hAnsi="Times New Roman"/>
          <w:sz w:val="20"/>
        </w:rPr>
        <w:t xml:space="preserve">A RIC is a corporation for U.S. federal income tax purposes. Under current law, a Non-U.S. stockholder will not be considered to be engaged in the conduct of a business in the United States solely by reason of its ownership in a RIC.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should consult their own tax advisors with respect to the U.S. federal income tax and withholding tax, and state, local and foreign tax consequences of an investment in the shares of our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rom451583_23"/>
      <w:bookmarkEnd w:id="16"/>
      <w:r>
        <w:rPr>
          <w:rFonts w:ascii="Times New Roman" w:hAnsi="Times New Roman"/>
          <w:b/>
          <w:sz w:val="20"/>
        </w:rPr>
        <w:t xml:space="preserve">DESCRIPTION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bidi w:val="0"/>
        <w:spacing w:before="480" w:after="0"/>
        <w:jc w:val="center"/>
        <w:rPr>
          <w:rFonts w:ascii="Times New Roman" w:hAnsi="Times New Roman"/>
          <w:b/>
          <w:sz w:val="20"/>
        </w:rPr>
      </w:pPr>
      <w:bookmarkStart w:id="17" w:name="rom451583_24"/>
      <w:bookmarkEnd w:id="17"/>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which was adopted on June 15, 2020, our authorized capital stock consists of 400,000,000 shares of common stock, par value $0.01 per share, of which 81,389,287 shares are outstanding as of January 12, 2023, and 100,000,000 shares of preferred stock, par value $0.01 per share, of which no shares are outstanding as of January 12, 2023.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presents our outstanding classes of securities as of January 12, 2023: </w:t>
      </w:r>
    </w:p>
    <w:p>
      <w:pPr>
        <w:pStyle w:val="TextBody"/>
        <w:bidi w:val="0"/>
        <w:spacing w:before="0" w:after="0"/>
        <w:jc w:val="left"/>
        <w:rPr/>
      </w:pPr>
      <w:r>
        <w:rPr/>
        <w:t> </w:t>
      </w:r>
    </w:p>
    <w:tbl>
      <w:tblPr>
        <w:tblW w:w="10360" w:type="dxa"/>
        <w:jc w:val="left"/>
        <w:tblInd w:w="0" w:type="dxa"/>
        <w:tblLayout w:type="fixed"/>
        <w:tblCellMar>
          <w:top w:w="0" w:type="dxa"/>
          <w:left w:w="0" w:type="dxa"/>
          <w:bottom w:w="0" w:type="dxa"/>
          <w:right w:w="0" w:type="dxa"/>
        </w:tblCellMar>
      </w:tblPr>
      <w:tblGrid>
        <w:gridCol w:w="785"/>
        <w:gridCol w:w="120"/>
        <w:gridCol w:w="97"/>
        <w:gridCol w:w="1978"/>
        <w:gridCol w:w="60"/>
        <w:gridCol w:w="120"/>
        <w:gridCol w:w="432"/>
        <w:gridCol w:w="2738"/>
        <w:gridCol w:w="440"/>
        <w:gridCol w:w="60"/>
        <w:gridCol w:w="178"/>
        <w:gridCol w:w="3277"/>
        <w:gridCol w:w="7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120" w:type="dxa"/>
            <w:tcBorders/>
            <w:vAlign w:val="center"/>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Held by Us or for Our</w:t>
              <w:br/>
              <w:t>Account</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 Outstanding Exclusive of</w:t>
              <w:br/>
              <w:t>Amount Held by Us or for Our</w:t>
              <w:br/>
              <w:t>Account</w:t>
            </w:r>
          </w:p>
        </w:tc>
        <w:tc>
          <w:tcPr>
            <w:tcW w:w="75"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pPr>
            <w:r>
              <w:rPr/>
              <w:t>400,000,000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2738" w:type="dxa"/>
            <w:tcBorders/>
            <w:shd w:fill="CCEEFF" w:val="clear"/>
            <w:vAlign w:val="center"/>
          </w:tcPr>
          <w:p>
            <w:pPr>
              <w:pStyle w:val="TableContents"/>
              <w:bidi w:val="0"/>
              <w:spacing w:before="0" w:after="283"/>
              <w:jc w:val="right"/>
              <w:rPr/>
            </w:pPr>
            <w:r>
              <w:rPr/>
              <w:t>664,</w:t>
            </w:r>
          </w:p>
        </w:tc>
        <w:tc>
          <w:tcPr>
            <w:tcW w:w="440" w:type="dxa"/>
            <w:tcBorders/>
            <w:shd w:fill="CCEEFF" w:val="clear"/>
            <w:vAlign w:val="center"/>
          </w:tcPr>
          <w:p>
            <w:pPr>
              <w:pStyle w:val="TableContents"/>
              <w:bidi w:val="0"/>
              <w:spacing w:before="0" w:after="283"/>
              <w:jc w:val="left"/>
              <w:rPr/>
            </w:pPr>
            <w:r>
              <w:rPr/>
              <w:t>250 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3277" w:type="dxa"/>
            <w:tcBorders/>
            <w:shd w:fill="CCEEFF" w:val="clear"/>
            <w:vAlign w:val="center"/>
          </w:tcPr>
          <w:p>
            <w:pPr>
              <w:pStyle w:val="TableContents"/>
              <w:bidi w:val="0"/>
              <w:spacing w:before="0" w:after="283"/>
              <w:jc w:val="right"/>
              <w:rPr/>
            </w:pPr>
            <w:r>
              <w:rPr/>
              <w:t>81,389,287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certificate of incorporation, our Board is authorized to issue shares of preferred stock in one or more series without stockholder approval. See “Description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230"/>
        <w:gridCol w:w="5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(ii)</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willful misconduct, gross negligence, bad faith, reckless disregard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(iii)</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Section 174 of the DGCL, which relates to unlawful payment of dividends or unlawful stock purchases or redemptions, or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350"/>
        <w:gridCol w:w="66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 </w:t>
      </w:r>
    </w:p>
    <w:p>
      <w:pPr>
        <w:pStyle w:val="TextBody"/>
        <w:bidi w:val="0"/>
        <w:spacing w:before="240" w:after="0"/>
        <w:jc w:val="left"/>
        <w:rPr>
          <w:rFonts w:ascii="Times New Roman" w:hAnsi="Times New Roman"/>
          <w:sz w:val="20"/>
        </w:rPr>
      </w:pPr>
      <w:r>
        <w:rPr>
          <w:rFonts w:ascii="Times New Roman" w:hAnsi="Times New Roman"/>
          <w:sz w:val="20"/>
        </w:rPr>
        <w:t xml:space="preserve">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Investment Advisory Agreement, we have, to the extent permitted by applicable law, indemnified the Adviser and certain of its affiliates, as described under “Management Agreements—Indemnification” in Part I, Item 1 of our 2021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be divided into three classes, as nearly equal in size as possible, with staggered three-year terms (and the number of directors shall not be fewer than four or greater than nine);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may be removed only for cause by the affirmative vote of 75% of the holders of our capital stock then outstanding and entitled to vote in the election of directors, voting together as a single class;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any holders of preferred stock, any vacancy on the Board, however the vacancy occurs, including a vacancy due to an enlargement of the Board, may only be filled by vote of a majority of the directors then in office.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required or permitted to be taken by the stockholders at an annual meeting or special meeting of stockholders may only be taken if it is properly brought before such meeting;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special meetings of the stockholders may only be called by our Board, Chairman, or a Chief Executive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from office, but only for cause and at a meeting called for that purpose, by the affirmative vote of 75% of the holders of our capital stock then outstanding and entitled to vote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10% holder transactions subject to these special approval requirements are: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or any subsidiary of ours with or into any principal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 </w:t>
      </w:r>
    </w:p>
    <w:p>
      <w:pPr>
        <w:pStyle w:val="TextBody"/>
        <w:bidi w:val="0"/>
        <w:spacing w:before="240" w:after="0"/>
        <w:jc w:val="left"/>
        <w:rPr>
          <w:rFonts w:ascii="Times New Roman" w:hAnsi="Times New Roman"/>
          <w:sz w:val="20"/>
        </w:rPr>
      </w:pPr>
      <w:r>
        <w:rPr>
          <w:rFonts w:ascii="Times New Roman" w:hAnsi="Times New Roman"/>
          <w:sz w:val="20"/>
        </w:rPr>
        <w:t xml:space="preserve">The 1940 Act defines “a majority of the outstanding voting securities” as the lesser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67% or more of the company’s voting stock present at a meeting if more than 50% of the outstanding voting securities of the company are present or represented by proxy;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more than 50% of the outstanding voting securities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 </w:t>
      </w:r>
    </w:p>
    <w:p>
      <w:pPr>
        <w:pStyle w:val="TextBody"/>
        <w:bidi w:val="0"/>
        <w:spacing w:before="240" w:after="0"/>
        <w:jc w:val="left"/>
        <w:rPr>
          <w:rFonts w:ascii="Times New Roman" w:hAnsi="Times New Roman"/>
          <w:sz w:val="20"/>
        </w:rPr>
      </w:pPr>
      <w:r>
        <w:rPr>
          <w:rFonts w:ascii="Times New Roman" w:hAnsi="Times New Roman"/>
          <w:sz w:val="20"/>
        </w:rPr>
        <w:t xml:space="preserve">Our Board has determined that provisions with respect to the Board and the stockholder voting requirements described above, which voting requirements are greater than the minimum requirements under Delaware law or the 1940 Act, are in the best interest of stockholders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rom451583_25"/>
      <w:bookmarkEnd w:id="18"/>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features of the preferred stock are further limited by the requirements applicable to RICs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will determine and the amendment to our certificate of incorporation and the prospectus supplement relating to such series will describe: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series, as well as whether such dividends are participating or non-participating;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including adjustments to the conversion price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series are outstanding;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 w:name="rom451583_26"/>
      <w:bookmarkEnd w:id="19"/>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subscription rights issued to each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rom451583_27"/>
      <w:bookmarkEnd w:id="20"/>
      <w:r>
        <w:rPr>
          <w:rFonts w:ascii="Times New Roman" w:hAnsi="Times New Roman"/>
          <w:b/>
          <w:sz w:val="20"/>
        </w:rPr>
        <w:t xml:space="preserve">DESCRIPTION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rom451583_28"/>
      <w:bookmarkEnd w:id="21"/>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Computershare Trust Company, N.A., as successor to Wells Fargo Bank, National Association, a financial institution acting as trustee on your behalf, and is subject to and governed by the Trust Indenture Act of 1939, as amended. The debt securities will be issued under an indenture dated January 22, 2018 between us and Wells Fargo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is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U.S. federal income tax considerations relating to original issue discount;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2022 Quarterly Report.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we will usually issue debt securities in book-entry only form represented by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(unless the prospectus supplement relating to such debt securities states otherwise):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including upon any redemption date or required repurchase date.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and do not cure this default within five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we have an asset coverage of less than 100%, giving effect to any amendments to Section 18(a)(1)(C)(ii) and Section 61 of the 1940 Act or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applicable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your trustee written notice that an Event of Default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debt securities must not have given the trustee a direction inconsistent with the above notice during that 60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a majority in principal amount of the debt securities of the affected series may waive any past defaults other than: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any premium or interest; or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all or substantially all our assets, the resulting entity or transferee must be organized and existing in the United States and must agree to be legally responsible for our obligations under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no Default or Event of Default shall have happened and be continuing.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(except as otherwise described in the prospectus or prospectus supplement) or currency of payment on a debt security;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certain of the provisions of the indenture dealing with supplemental indentures, modification and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covenant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Holders may exchange their certificated securities, if any, for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240" w:after="0"/>
        <w:jc w:val="left"/>
        <w:rPr/>
      </w:pPr>
      <w:r>
        <w:rPr/>
        <w:t>“</w:t>
      </w: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as successor to Wells Fargo Bank, National Association, will serve as the trustee under the indenture. This document and the related documents do not provide a comprehensive description of the rights, benefits, protections, immunities, indemnities, and privileges of the trustee. Rather, the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 </w:t>
      </w:r>
    </w:p>
    <w:p>
      <w:pPr>
        <w:pStyle w:val="TextBody"/>
        <w:bidi w:val="0"/>
        <w:spacing w:before="240" w:after="0"/>
        <w:jc w:val="left"/>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will be the responsibility of DTC, and disbursement of such payments to the Beneficial Owners will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rom451583_31"/>
      <w:bookmarkEnd w:id="22"/>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and loan documents are held by State Street Bank and Trust Company pursuant to a custodian agreement and American Stock Transfer &amp; Trust Company, LLC serves as our transfer agent, distribution paying agent and registrar. The principal business address of State Street Bank and Trust Company is 1 Lincoln Street, Boston, Massachusetts 02111. The principal business address of American Stock Transfer &amp; Trust Company, LLC is 6201 15th Avenue, Brooklyn, NY 11219. </w:t>
      </w:r>
    </w:p>
    <w:p>
      <w:pPr>
        <w:pStyle w:val="TextBody"/>
        <w:bidi w:val="0"/>
        <w:spacing w:before="480" w:after="0"/>
        <w:jc w:val="center"/>
        <w:rPr>
          <w:rFonts w:ascii="Times New Roman" w:hAnsi="Times New Roman"/>
          <w:b/>
          <w:sz w:val="20"/>
        </w:rPr>
      </w:pPr>
      <w:bookmarkStart w:id="23" w:name="rom451583_32"/>
      <w:bookmarkEnd w:id="23"/>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acquire and dispose of many of our investments in privately negotiated transactions, many of the transactions that we engage in will not require the use of brokers or the payment of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240" w:after="0"/>
        <w:jc w:val="left"/>
        <w:rPr>
          <w:rFonts w:ascii="Times New Roman" w:hAnsi="Times New Roman"/>
          <w:sz w:val="20"/>
        </w:rPr>
      </w:pPr>
      <w:r>
        <w:rPr>
          <w:rFonts w:ascii="Times New Roman" w:hAnsi="Times New Roman"/>
          <w:sz w:val="20"/>
        </w:rPr>
        <w:t xml:space="preserve">We also pay brokerage commissions incurred in connection with purchases pursuant to the Company 10b5-1 Plan.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brokerage commissions paid by us during the three most recent completed fiscal years is less than $0.4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4" w:name="rom451583_33"/>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offered hereby will be sold in such jurisdictions only through registered or licensed brokers or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5" w:name="rom451583_34"/>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 </w:t>
      </w:r>
    </w:p>
    <w:p>
      <w:pPr>
        <w:pStyle w:val="TextBody"/>
        <w:bidi w:val="0"/>
        <w:spacing w:before="480" w:after="0"/>
        <w:jc w:val="center"/>
        <w:rPr>
          <w:rFonts w:ascii="Times New Roman" w:hAnsi="Times New Roman"/>
          <w:b/>
          <w:sz w:val="20"/>
        </w:rPr>
      </w:pPr>
      <w:bookmarkStart w:id="26" w:name="rom451583_35"/>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Sixth Street Specialty Lending, Inc. (and subsidiaries) as of December 31, 2021 and 2020, and for each of the years in the three-year period ended December 31, 2021 and the Senior Securities table covering the last ten fiscal years ended December 31, 2021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 </w:t>
      </w:r>
    </w:p>
    <w:p>
      <w:pPr>
        <w:pStyle w:val="TextBody"/>
        <w:bidi w:val="0"/>
        <w:spacing w:before="480" w:after="0"/>
        <w:jc w:val="center"/>
        <w:rPr>
          <w:rFonts w:ascii="Times New Roman" w:hAnsi="Times New Roman"/>
          <w:b/>
          <w:sz w:val="20"/>
        </w:rPr>
      </w:pPr>
      <w:bookmarkStart w:id="27" w:name="rom451583_36"/>
      <w:bookmarkEnd w:id="27"/>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periodic and current reports, proxy statements and other information meeting the informational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Proxy Voting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8" w:name="rom451583_37"/>
      <w:bookmarkEnd w:id="28"/>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8">
              <w:r>
                <w:rPr>
                  <w:rStyle w:val="InternetLink"/>
                  <w:rFonts w:ascii="Times New Roman" w:hAnsi="Times New Roman"/>
                  <w:sz w:val="20"/>
                </w:rPr>
                <w:t>Form 10-K for the fiscal year ended December 31, 2021</w:t>
              </w:r>
            </w:hyperlink>
            <w:r>
              <w:rPr>
                <w:rFonts w:ascii="Times New Roman" w:hAnsi="Times New Roman"/>
                <w:sz w:val="20"/>
              </w:rPr>
              <w:t xml:space="preserve">, filed with the SEC on February 17, 2022, including the information specifically incorporated by reference into the Form 10-K from our Definitive Proxy Statement on Schedule 14A relating to our 2022 Annual Meeting of Stockholders, </w:t>
            </w:r>
            <w:hyperlink r:id="rId9">
              <w:r>
                <w:rPr>
                  <w:rStyle w:val="InternetLink"/>
                  <w:rFonts w:ascii="Times New Roman" w:hAnsi="Times New Roman"/>
                  <w:sz w:val="20"/>
                </w:rPr>
                <w:t>filed with the SEC on April 13, 2022</w:t>
              </w:r>
            </w:hyperlink>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Quarterly Reports on Form 10-Q for the </w:t>
            </w:r>
            <w:hyperlink r:id="rId10">
              <w:r>
                <w:rPr>
                  <w:rStyle w:val="InternetLink"/>
                  <w:rFonts w:ascii="Times New Roman" w:hAnsi="Times New Roman"/>
                  <w:sz w:val="20"/>
                </w:rPr>
                <w:t>three months ended March 31, 2022</w:t>
              </w:r>
            </w:hyperlink>
            <w:r>
              <w:rPr>
                <w:rFonts w:ascii="Times New Roman" w:hAnsi="Times New Roman"/>
                <w:sz w:val="20"/>
              </w:rPr>
              <w:t xml:space="preserve">, filed with the SEC on May 4, 2022, for the three months </w:t>
            </w:r>
            <w:hyperlink r:id="rId11">
              <w:r>
                <w:rPr>
                  <w:rStyle w:val="InternetLink"/>
                  <w:rFonts w:ascii="Times New Roman" w:hAnsi="Times New Roman"/>
                  <w:sz w:val="20"/>
                </w:rPr>
                <w:t>ended June 30, 2022, filed with the SEC on August 2, 2022</w:t>
              </w:r>
            </w:hyperlink>
            <w:r>
              <w:rPr>
                <w:rFonts w:ascii="Times New Roman" w:hAnsi="Times New Roman"/>
                <w:sz w:val="20"/>
              </w:rPr>
              <w:t xml:space="preserve">, and for the </w:t>
            </w:r>
            <w:hyperlink r:id="rId12">
              <w:r>
                <w:rPr>
                  <w:rStyle w:val="InternetLink"/>
                  <w:rFonts w:ascii="Times New Roman" w:hAnsi="Times New Roman"/>
                  <w:sz w:val="20"/>
                </w:rPr>
                <w:t>three months ended September 30, 2022, filed with the SEC on November 1, 2022</w:t>
              </w:r>
            </w:hyperlink>
            <w:r>
              <w:rPr>
                <w:rFonts w:ascii="Times New Roman" w:hAnsi="Times New Roman"/>
                <w:sz w:val="20"/>
              </w:rPr>
              <w:t xml:space="preserve">; and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pPr>
            <w:r>
              <w:rPr>
                <w:rFonts w:ascii="Times New Roman" w:hAnsi="Times New Roman"/>
                <w:sz w:val="20"/>
              </w:rPr>
              <w:t xml:space="preserve">Our Current Reports on Form 8-K, filed with the SEC on </w:t>
            </w:r>
            <w:hyperlink r:id="rId13">
              <w:r>
                <w:rPr>
                  <w:rStyle w:val="InternetLink"/>
                  <w:rFonts w:ascii="Times New Roman" w:hAnsi="Times New Roman"/>
                  <w:sz w:val="20"/>
                </w:rPr>
                <w:t>April 29, 2022</w:t>
              </w:r>
            </w:hyperlink>
            <w:r>
              <w:rPr>
                <w:rFonts w:ascii="Times New Roman" w:hAnsi="Times New Roman"/>
                <w:sz w:val="20"/>
              </w:rPr>
              <w:t xml:space="preserve">, </w:t>
            </w:r>
            <w:hyperlink r:id="rId14">
              <w:r>
                <w:rPr>
                  <w:rStyle w:val="InternetLink"/>
                  <w:rFonts w:ascii="Times New Roman" w:hAnsi="Times New Roman"/>
                  <w:sz w:val="20"/>
                </w:rPr>
                <w:t>May 27, 2022</w:t>
              </w:r>
            </w:hyperlink>
            <w:r>
              <w:rPr>
                <w:rFonts w:ascii="Times New Roman" w:hAnsi="Times New Roman"/>
                <w:sz w:val="20"/>
              </w:rPr>
              <w:t xml:space="preserve"> and </w:t>
            </w:r>
            <w:hyperlink r:id="rId15">
              <w:r>
                <w:rPr>
                  <w:rStyle w:val="InternetLink"/>
                  <w:rFonts w:ascii="Times New Roman" w:hAnsi="Times New Roman"/>
                  <w:sz w:val="20"/>
                </w:rPr>
                <w:t>July 1, 2022</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888 7th Avenue, 41st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10106 </w:t>
      </w:r>
    </w:p>
    <w:p>
      <w:pPr>
        <w:pStyle w:val="TextBody"/>
        <w:bidi w:val="0"/>
        <w:spacing w:before="0" w:after="0"/>
        <w:jc w:val="center"/>
        <w:rPr>
          <w:rFonts w:ascii="Times New Roman" w:hAnsi="Times New Roman"/>
          <w:sz w:val="20"/>
        </w:rPr>
      </w:pPr>
      <w:r>
        <w:rPr>
          <w:rFonts w:ascii="Times New Roman" w:hAnsi="Times New Roman"/>
          <w:sz w:val="20"/>
        </w:rPr>
        <w:t xml:space="preserve">Attention: TSLX Investor Relations </w:t>
      </w:r>
    </w:p>
    <w:p>
      <w:pPr>
        <w:pStyle w:val="TextBody"/>
        <w:bidi w:val="0"/>
        <w:spacing w:before="0" w:after="0"/>
        <w:jc w:val="center"/>
        <w:rPr>
          <w:rFonts w:ascii="Times New Roman" w:hAnsi="Times New Roman"/>
          <w:sz w:val="20"/>
        </w:rPr>
      </w:pPr>
      <w:r>
        <w:rPr>
          <w:rFonts w:ascii="Times New Roman" w:hAnsi="Times New Roman"/>
          <w:sz w:val="20"/>
          <w:u w:val="single"/>
        </w:rPr>
        <w:t>Email</w:t>
      </w:r>
      <w:r>
        <w:rPr>
          <w:rFonts w:ascii="Times New Roman" w:hAnsi="Times New Roman"/>
          <w:sz w:val="20"/>
        </w:rPr>
        <w:t xml:space="preserve">: IRTSLX@sixthstreet.com.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4,500,000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60020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600200" cy="6953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4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300"/>
        <w:gridCol w:w="60"/>
        <w:gridCol w:w="1655"/>
        <w:gridCol w:w="60"/>
        <w:gridCol w:w="60"/>
        <w:gridCol w:w="1595"/>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b/>
              </w:rPr>
            </w:pPr>
            <w:r>
              <w:rPr>
                <w:b/>
              </w:rPr>
              <w:t>Wells Fargo Securities</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b/>
              </w:rPr>
            </w:pPr>
            <w:r>
              <w:rPr>
                <w:b/>
              </w:rPr>
              <w:t>Morgan Stanley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b/>
              </w:rPr>
            </w:pPr>
            <w:r>
              <w:rPr>
                <w:b/>
              </w:rPr>
              <w:t>BofA Securities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2285"/>
        <w:gridCol w:w="60"/>
        <w:gridCol w:w="2960"/>
        <w:gridCol w:w="60"/>
        <w:gridCol w:w="173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b/>
              </w:rPr>
            </w:pPr>
            <w:r>
              <w:rPr>
                <w:b/>
              </w:rPr>
              <w:t>RBC Capital Markets</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center"/>
              <w:rPr>
                <w:rFonts w:ascii="Times New Roman" w:hAnsi="Times New Roman"/>
                <w:b/>
                <w:sz w:val="22"/>
              </w:rPr>
            </w:pPr>
            <w:r>
              <w:rPr>
                <w:rFonts w:ascii="Times New Roman" w:hAnsi="Times New Roman"/>
                <w:b/>
                <w:sz w:val="22"/>
              </w:rPr>
              <w:t>Keefe, Bruyette &amp; Woods,      </w:t>
            </w:r>
          </w:p>
          <w:p>
            <w:pPr>
              <w:pStyle w:val="TableContents"/>
              <w:bidi w:val="0"/>
              <w:spacing w:before="0" w:after="20"/>
              <w:jc w:val="center"/>
              <w:rPr/>
            </w:pPr>
            <w:r>
              <w:rPr/>
              <w:t>               </w:t>
            </w:r>
            <w:r>
              <w:rPr>
                <w:rFonts w:ascii="Times New Roman" w:hAnsi="Times New Roman"/>
                <w:b/>
                <w:i/>
                <w:sz w:val="22"/>
              </w:rPr>
              <w:t>A Stifel Company</w:t>
            </w:r>
            <w:r>
              <w:rPr>
                <w:rFonts w:ascii="Times New Roman" w:hAnsi="Times New Roman"/>
                <w:sz w:val="22"/>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b/>
              </w:rPr>
            </w:pPr>
            <w:r>
              <w:rPr>
                <w:b/>
              </w:rPr>
              <w:t>Raymond James</w:t>
            </w:r>
          </w:p>
        </w:tc>
      </w:tr>
    </w:tbl>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2870"/>
        <w:gridCol w:w="60"/>
        <w:gridCol w:w="1310"/>
      </w:tblGrid>
      <w:tr>
        <w:trPr/>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283"/>
              <w:jc w:val="center"/>
              <w:rPr>
                <w:b/>
              </w:rPr>
            </w:pPr>
            <w:r>
              <w:rPr>
                <w:b/>
              </w:rPr>
              <w:t>Goldman Sachs &amp; Co. LLC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b/>
              </w:rPr>
            </w:pPr>
            <w:r>
              <w:rPr>
                <w:b/>
              </w:rPr>
              <w:t>J.P. Morgan</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720" w:after="0"/>
        <w:jc w:val="center"/>
        <w:rPr>
          <w:rFonts w:ascii="Times New Roman" w:hAnsi="Times New Roman"/>
          <w:b/>
          <w:sz w:val="20"/>
        </w:rPr>
      </w:pPr>
      <w:r>
        <w:rPr>
          <w:rFonts w:ascii="Times New Roman" w:hAnsi="Times New Roman"/>
          <w:b/>
          <w:sz w:val="20"/>
        </w:rPr>
        <w:t xml:space="preserve">May 10,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508655/000095017023003042/tslx-20221231.htm" TargetMode="External"/><Relationship Id="rId4" Type="http://schemas.openxmlformats.org/officeDocument/2006/relationships/hyperlink" Target="http://www.sec.gov/ix?doc=/Archives/edgar/data/0001508655/000095017023018777/tslx-20230331.htm" TargetMode="External"/><Relationship Id="rId5" Type="http://schemas.openxmlformats.org/officeDocument/2006/relationships/hyperlink" Target="http://www.sec.gov/ix?doc=/Archives/edgar/data/0001508655/000095017023003042/tslx-20221231.htm" TargetMode="External"/><Relationship Id="rId6" Type="http://schemas.openxmlformats.org/officeDocument/2006/relationships/hyperlink" Target="http://www.sec.gov/Archives/edgar/data/1508655/000119312523100535/d393322ddef14a.htm" TargetMode="External"/><Relationship Id="rId7" Type="http://schemas.openxmlformats.org/officeDocument/2006/relationships/image" Target="media/image2.jpeg"/><Relationship Id="rId8" Type="http://schemas.openxmlformats.org/officeDocument/2006/relationships/hyperlink" Target="http://www.sec.gov/Archives/edgar/data/1508655/000156459022005558/tslx-10k_20211231.htm" TargetMode="External"/><Relationship Id="rId9" Type="http://schemas.openxmlformats.org/officeDocument/2006/relationships/hyperlink" Target="http://www.sec.gov/Archives/edgar/data/1508655/000119312522104268/d423137ddef14a.htm" TargetMode="External"/><Relationship Id="rId10" Type="http://schemas.openxmlformats.org/officeDocument/2006/relationships/hyperlink" Target="http://www.sec.gov/Archives/edgar/data/1508655/000156459022017420/tslx-10q_20220331.htm" TargetMode="External"/><Relationship Id="rId11" Type="http://schemas.openxmlformats.org/officeDocument/2006/relationships/hyperlink" Target="http://www.sec.gov/Archives/edgar/data/1508655/000095017022013859/tslx-10-q-20220630-non_x.htm" TargetMode="External"/><Relationship Id="rId12" Type="http://schemas.openxmlformats.org/officeDocument/2006/relationships/hyperlink" Target="http://www.sec.gov/Archives/edgar/data/1508655/000095017022020830/tslx-20220930.htm" TargetMode="External"/><Relationship Id="rId13" Type="http://schemas.openxmlformats.org/officeDocument/2006/relationships/hyperlink" Target="http://www.sec.gov/Archives/edgar/data/1508655/000119312522133581/d353862d8k.htm" TargetMode="External"/><Relationship Id="rId14" Type="http://schemas.openxmlformats.org/officeDocument/2006/relationships/hyperlink" Target="http://www.sec.gov/Archives/edgar/data/1508655/000119312522162469/d361714d8k.htm" TargetMode="External"/><Relationship Id="rId15" Type="http://schemas.openxmlformats.org/officeDocument/2006/relationships/hyperlink" Target="http://www.sec.gov/Archives/edgar/data/1508655/000119312522187202/d376461d8k.htm" TargetMode="External"/><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90</Pages>
  <Words>65060</Words>
  <Characters>339724</Characters>
  <CharactersWithSpaces>410136</CharactersWithSpaces>
  <Paragraphs>13003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