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4" w:lineRule="exact"/>
        <w:rPr>
          <w:sz w:val="24"/>
          <w:szCs w:val="24"/>
          <w:color w:val="auto"/>
        </w:rPr>
      </w:pPr>
    </w:p>
    <w:p>
      <w:pPr>
        <w:ind w:left="4260" w:right="1940" w:hanging="4252"/>
        <w:spacing w:after="0" w:line="303"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7"/>
          <w:szCs w:val="17"/>
          <w:b w:val="1"/>
          <w:bCs w:val="1"/>
          <w:color w:val="auto"/>
        </w:rPr>
        <w:t>For the fiscal year ended December 31, 2020</w:t>
      </w:r>
    </w:p>
    <w:p>
      <w:pPr>
        <w:ind w:left="5540"/>
        <w:spacing w:after="0"/>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-426720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4" w:lineRule="exact"/>
        <w:rPr>
          <w:sz w:val="24"/>
          <w:szCs w:val="24"/>
          <w:color w:val="auto"/>
        </w:rPr>
      </w:pPr>
    </w:p>
    <w:p>
      <w:pPr>
        <w:ind w:left="4340" w:right="1580" w:hanging="4332"/>
        <w:spacing w:after="0" w:line="331" w:lineRule="auto"/>
        <w:tabs>
          <w:tab w:leader="none" w:pos="51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7"/>
          <w:szCs w:val="17"/>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-332740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7800" w:type="dxa"/>
            <w:vAlign w:val="bottom"/>
            <w:gridSpan w:val="5"/>
          </w:tcPr>
          <w:p>
            <w:pPr>
              <w:jc w:val="center"/>
              <w:ind w:left="338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500" w:type="dxa"/>
            <w:vAlign w:val="bottom"/>
            <w:gridSpan w:val="2"/>
          </w:tcPr>
          <w:p>
            <w:pPr>
              <w:jc w:val="center"/>
              <w:ind w:left="10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27-3380000</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6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gridSpan w:val="2"/>
          </w:tcPr>
          <w:p>
            <w:pPr>
              <w:jc w:val="center"/>
              <w:ind w:left="10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40" w:type="dxa"/>
            <w:vAlign w:val="bottom"/>
            <w:gridSpan w:val="3"/>
          </w:tcPr>
          <w:p>
            <w:pPr>
              <w:jc w:val="center"/>
              <w:ind w:right="2095"/>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31"/>
        </w:trPr>
        <w:tc>
          <w:tcPr>
            <w:tcW w:w="4500" w:type="dxa"/>
            <w:vAlign w:val="bottom"/>
            <w:gridSpan w:val="2"/>
          </w:tcPr>
          <w:p>
            <w:pPr>
              <w:jc w:val="center"/>
              <w:ind w:left="1040"/>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tc>
        <w:tc>
          <w:tcPr>
            <w:tcW w:w="2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jc w:val="center"/>
              <w:ind w:left="1040"/>
              <w:spacing w:after="0"/>
              <w:rPr>
                <w:sz w:val="20"/>
                <w:szCs w:val="20"/>
                <w:color w:val="auto"/>
              </w:rPr>
            </w:pPr>
            <w:r>
              <w:rPr>
                <w:rFonts w:ascii="Times New Roman" w:cs="Times New Roman" w:eastAsia="Times New Roman" w:hAnsi="Times New Roman"/>
                <w:sz w:val="17"/>
                <w:szCs w:val="17"/>
                <w:b w:val="1"/>
                <w:bCs w:val="1"/>
                <w:color w:val="auto"/>
              </w:rPr>
              <w:t>Dallas, TX</w:t>
            </w:r>
          </w:p>
        </w:tc>
        <w:tc>
          <w:tcPr>
            <w:tcW w:w="2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75201</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00" w:type="dxa"/>
            <w:vAlign w:val="bottom"/>
            <w:gridSpan w:val="2"/>
          </w:tcPr>
          <w:p>
            <w:pPr>
              <w:jc w:val="center"/>
              <w:ind w:left="10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180" w:type="dxa"/>
            <w:vAlign w:val="bottom"/>
            <w:gridSpan w:val="6"/>
          </w:tcPr>
          <w:p>
            <w:pPr>
              <w:jc w:val="center"/>
              <w:ind w:left="2980"/>
              <w:spacing w:after="0"/>
              <w:rPr>
                <w:sz w:val="20"/>
                <w:szCs w:val="20"/>
                <w:color w:val="auto"/>
              </w:rPr>
            </w:pPr>
            <w:r>
              <w:rPr>
                <w:rFonts w:ascii="Times New Roman" w:cs="Times New Roman" w:eastAsia="Times New Roman" w:hAnsi="Times New Roman"/>
                <w:sz w:val="17"/>
                <w:szCs w:val="17"/>
                <w:b w:val="1"/>
                <w:bCs w:val="1"/>
                <w:color w:val="auto"/>
                <w:w w:val="99"/>
              </w:rPr>
              <w:t>Registrant’s Telephone Number, Including Area Code: (469) 621-3001</w:t>
            </w:r>
          </w:p>
        </w:tc>
        <w:tc>
          <w:tcPr>
            <w:tcW w:w="7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0" w:type="dxa"/>
            <w:vAlign w:val="bottom"/>
            <w:gridSpan w:val="5"/>
          </w:tcPr>
          <w:p>
            <w:pPr>
              <w:jc w:val="center"/>
              <w:ind w:left="338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37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7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Title of each class</w:t>
            </w:r>
          </w:p>
        </w:tc>
        <w:tc>
          <w:tcPr>
            <w:tcW w:w="720" w:type="dxa"/>
            <w:vAlign w:val="bottom"/>
            <w:tcBorders>
              <w:bottom w:val="single" w:sz="8" w:color="auto"/>
            </w:tcBorders>
          </w:tcPr>
          <w:p>
            <w:pPr>
              <w:spacing w:after="0"/>
              <w:rPr>
                <w:sz w:val="12"/>
                <w:szCs w:val="12"/>
                <w:color w:val="auto"/>
              </w:rPr>
            </w:pPr>
          </w:p>
        </w:tc>
        <w:tc>
          <w:tcPr>
            <w:tcW w:w="3020" w:type="dxa"/>
            <w:vAlign w:val="bottom"/>
            <w:tcBorders>
              <w:bottom w:val="single" w:sz="8" w:color="auto"/>
              <w:right w:val="single" w:sz="8" w:color="auto"/>
            </w:tcBorders>
            <w:gridSpan w:val="2"/>
          </w:tcPr>
          <w:p>
            <w:pPr>
              <w:jc w:val="center"/>
              <w:ind w:right="740"/>
              <w:spacing w:after="0" w:line="142" w:lineRule="exact"/>
              <w:rPr>
                <w:sz w:val="20"/>
                <w:szCs w:val="20"/>
                <w:color w:val="auto"/>
              </w:rPr>
            </w:pPr>
            <w:r>
              <w:rPr>
                <w:rFonts w:ascii="Times New Roman" w:cs="Times New Roman" w:eastAsia="Times New Roman" w:hAnsi="Times New Roman"/>
                <w:sz w:val="13"/>
                <w:szCs w:val="13"/>
                <w:b w:val="1"/>
                <w:bCs w:val="1"/>
                <w:color w:val="auto"/>
              </w:rPr>
              <w:t>Trading Symbol(s)</w:t>
            </w:r>
          </w:p>
        </w:tc>
        <w:tc>
          <w:tcPr>
            <w:tcW w:w="280" w:type="dxa"/>
            <w:vAlign w:val="bottom"/>
            <w:tcBorders>
              <w:bottom w:val="single" w:sz="8" w:color="auto"/>
            </w:tcBorders>
          </w:tcPr>
          <w:p>
            <w:pPr>
              <w:spacing w:after="0"/>
              <w:rPr>
                <w:sz w:val="12"/>
                <w:szCs w:val="12"/>
                <w:color w:val="auto"/>
              </w:rPr>
            </w:pPr>
          </w:p>
        </w:tc>
        <w:tc>
          <w:tcPr>
            <w:tcW w:w="3440" w:type="dxa"/>
            <w:vAlign w:val="bottom"/>
            <w:tcBorders>
              <w:bottom w:val="single" w:sz="8" w:color="auto"/>
              <w:right w:val="single" w:sz="8" w:color="auto"/>
            </w:tcBorders>
            <w:gridSpan w:val="3"/>
          </w:tcPr>
          <w:p>
            <w:pPr>
              <w:jc w:val="center"/>
              <w:ind w:right="215"/>
              <w:spacing w:after="0" w:line="142" w:lineRule="exact"/>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49"/>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tc>
        <w:tc>
          <w:tcPr>
            <w:tcW w:w="720" w:type="dxa"/>
            <w:vAlign w:val="bottom"/>
            <w:tcBorders>
              <w:bottom w:val="single" w:sz="8" w:color="auto"/>
            </w:tcBorders>
          </w:tcPr>
          <w:p>
            <w:pPr>
              <w:spacing w:after="0"/>
              <w:rPr>
                <w:sz w:val="21"/>
                <w:szCs w:val="21"/>
                <w:color w:val="auto"/>
              </w:rPr>
            </w:pPr>
          </w:p>
        </w:tc>
        <w:tc>
          <w:tcPr>
            <w:tcW w:w="302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7"/>
                <w:szCs w:val="17"/>
                <w:b w:val="1"/>
                <w:bCs w:val="1"/>
                <w:color w:val="auto"/>
                <w:w w:val="98"/>
              </w:rPr>
              <w:t>TSLX</w:t>
            </w:r>
          </w:p>
        </w:tc>
        <w:tc>
          <w:tcPr>
            <w:tcW w:w="2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60" w:type="dxa"/>
            <w:vAlign w:val="bottom"/>
            <w:tcBorders>
              <w:bottom w:val="single" w:sz="8" w:color="auto"/>
              <w:right w:val="single" w:sz="8" w:color="auto"/>
            </w:tcBorders>
            <w:gridSpan w:val="2"/>
          </w:tcPr>
          <w:p>
            <w:pPr>
              <w:jc w:val="center"/>
              <w:ind w:right="595"/>
              <w:spacing w:after="0"/>
              <w:rPr>
                <w:sz w:val="20"/>
                <w:szCs w:val="20"/>
                <w:color w:val="auto"/>
              </w:rPr>
            </w:pPr>
            <w:r>
              <w:rPr>
                <w:rFonts w:ascii="Times New Roman" w:cs="Times New Roman" w:eastAsia="Times New Roman" w:hAnsi="Times New Roman"/>
                <w:sz w:val="17"/>
                <w:szCs w:val="17"/>
                <w:b w:val="1"/>
                <w:bCs w:val="1"/>
                <w:color w:val="auto"/>
                <w:w w:val="99"/>
              </w:rPr>
              <w:t>The New York Stock Exchange</w:t>
            </w:r>
          </w:p>
        </w:tc>
        <w:tc>
          <w:tcPr>
            <w:tcW w:w="0" w:type="dxa"/>
            <w:vAlign w:val="bottom"/>
          </w:tcPr>
          <w:p>
            <w:pPr>
              <w:spacing w:after="0"/>
              <w:rPr>
                <w:sz w:val="1"/>
                <w:szCs w:val="1"/>
                <w:color w:val="auto"/>
              </w:rPr>
            </w:pPr>
          </w:p>
        </w:tc>
      </w:tr>
      <w:tr>
        <w:trPr>
          <w:trHeight w:val="249"/>
        </w:trPr>
        <w:tc>
          <w:tcPr>
            <w:tcW w:w="7800" w:type="dxa"/>
            <w:vAlign w:val="bottom"/>
            <w:gridSpan w:val="5"/>
          </w:tcPr>
          <w:p>
            <w:pPr>
              <w:jc w:val="center"/>
              <w:ind w:left="336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300" w:type="dxa"/>
            <w:vAlign w:val="bottom"/>
            <w:gridSpan w:val="3"/>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None</w:t>
            </w: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300" w:type="dxa"/>
            <w:vAlign w:val="bottom"/>
            <w:gridSpan w:val="3"/>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w w:val="99"/>
              </w:rPr>
              <w:t>(Title of class)</w:t>
            </w: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
        </w:trPr>
        <w:tc>
          <w:tcPr>
            <w:tcW w:w="4500" w:type="dxa"/>
            <w:vAlign w:val="bottom"/>
            <w:gridSpan w:val="2"/>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1440" w:type="dxa"/>
            <w:vAlign w:val="bottom"/>
            <w:gridSpan w:val="3"/>
          </w:tcPr>
          <w:p>
            <w:pPr>
              <w:spacing w:after="0"/>
              <w:rPr>
                <w:sz w:val="7"/>
                <w:szCs w:val="7"/>
                <w:color w:val="auto"/>
              </w:rPr>
            </w:pPr>
          </w:p>
        </w:tc>
        <w:tc>
          <w:tcPr>
            <w:tcW w:w="740" w:type="dxa"/>
            <w:vAlign w:val="bottom"/>
            <w:vMerge w:val="restart"/>
          </w:tcPr>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6"/>
                <w:szCs w:val="16"/>
                <w:color w:val="auto"/>
              </w:rPr>
              <w:t>☒</w:t>
            </w:r>
          </w:p>
        </w:tc>
        <w:tc>
          <w:tcPr>
            <w:tcW w:w="2320" w:type="dxa"/>
            <w:vAlign w:val="bottom"/>
            <w:vMerge w:val="restart"/>
          </w:tcPr>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2"/>
        </w:trPr>
        <w:tc>
          <w:tcPr>
            <w:tcW w:w="81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tc>
        <w:tc>
          <w:tcPr>
            <w:tcW w:w="740" w:type="dxa"/>
            <w:vAlign w:val="bottom"/>
            <w:vMerge w:val="continue"/>
          </w:tcPr>
          <w:p>
            <w:pPr>
              <w:spacing w:after="0"/>
              <w:rPr>
                <w:sz w:val="22"/>
                <w:szCs w:val="22"/>
                <w:color w:val="auto"/>
              </w:rPr>
            </w:pPr>
          </w:p>
        </w:tc>
        <w:tc>
          <w:tcPr>
            <w:tcW w:w="2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tc>
        <w:tc>
          <w:tcPr>
            <w:tcW w:w="740" w:type="dxa"/>
            <w:vAlign w:val="bottom"/>
          </w:tcPr>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6"/>
                <w:szCs w:val="16"/>
                <w:color w:val="auto"/>
              </w:rPr>
              <w:t>☐</w:t>
            </w:r>
          </w:p>
        </w:tc>
        <w:tc>
          <w:tcPr>
            <w:tcW w:w="2320" w:type="dxa"/>
            <w:vAlign w:val="bottom"/>
          </w:tcPr>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60"/>
        <w:spacing w:after="0" w:line="24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50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96" w:lineRule="exact"/>
        <w:tabs>
          <w:tab w:leader="none" w:pos="7200" w:val="left"/>
          <w:tab w:leader="none" w:pos="792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260"/>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voting stock held by non-affiliates of the registrant on June 30, 2020, based on the closing price on that date of $16.49 on The New York Stock Exchange, was approximately $1,061,937,084. The number of shares of the registrant’s common stock, $.01 par value per share, outstanding at February 17, 2021 was 67,896,113.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Portions of the Registrant’s proxy statement for the 2020 annual meeting of stockholders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9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SIXTH STREET SPECIALTY LENDING, INC.</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 for</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9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2020</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20" w:type="dxa"/>
            <w:vAlign w:val="bottom"/>
            <w:vMerge w:val="restart"/>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w:t>
              </w:r>
            </w:hyperlink>
          </w:p>
        </w:tc>
        <w:tc>
          <w:tcPr>
            <w:tcW w:w="92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9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Business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Risk Factors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Unresolved Staff Comments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Properties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Legal Proceedings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Mine Safety Disclosures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19"/>
        </w:trPr>
        <w:tc>
          <w:tcPr>
            <w:tcW w:w="10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57">
              <w:r>
                <w:rPr>
                  <w:rFonts w:ascii="Times New Roman" w:cs="Times New Roman" w:eastAsia="Times New Roman" w:hAnsi="Times New Roman"/>
                  <w:sz w:val="18"/>
                  <w:szCs w:val="18"/>
                  <w:b w:val="1"/>
                  <w:bCs w:val="1"/>
                  <w:u w:val="single" w:color="auto"/>
                  <w:color w:val="0000EE"/>
                </w:rPr>
                <w:t>PART II</w:t>
              </w:r>
            </w:hyperlink>
          </w:p>
        </w:tc>
        <w:tc>
          <w:tcPr>
            <w:tcW w:w="9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Market for Registrant’s Common Equity, Related Stockholder Matters and Issuer Purchases of Equity Securities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Selected Financial Data</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Quantitative and Qualitative Disclosures About Market Risk</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Consolidated Financial Statements and Supplementary Data</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Changes in and Disagreements with Accountants on Accounting and Financial Disclosure</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Controls and Procedures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Other Information</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319"/>
        </w:trPr>
        <w:tc>
          <w:tcPr>
            <w:tcW w:w="10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35">
              <w:r>
                <w:rPr>
                  <w:rFonts w:ascii="Times New Roman" w:cs="Times New Roman" w:eastAsia="Times New Roman" w:hAnsi="Times New Roman"/>
                  <w:sz w:val="18"/>
                  <w:szCs w:val="18"/>
                  <w:b w:val="1"/>
                  <w:bCs w:val="1"/>
                  <w:u w:val="single" w:color="auto"/>
                  <w:color w:val="0000EE"/>
                </w:rPr>
                <w:t>PART III</w:t>
              </w:r>
            </w:hyperlink>
          </w:p>
        </w:tc>
        <w:tc>
          <w:tcPr>
            <w:tcW w:w="9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Directors, Executive Officers and Corporate Governance</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Executive Compensation</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Security Ownership of Certain Beneficial Owners and Management and Related Stockholder Matters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Certain Relationships and Related Transactions, and Director Independence</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Principal Accountant Fees and Services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319"/>
        </w:trPr>
        <w:tc>
          <w:tcPr>
            <w:tcW w:w="10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36">
              <w:r>
                <w:rPr>
                  <w:rFonts w:ascii="Times New Roman" w:cs="Times New Roman" w:eastAsia="Times New Roman" w:hAnsi="Times New Roman"/>
                  <w:sz w:val="18"/>
                  <w:szCs w:val="18"/>
                  <w:b w:val="1"/>
                  <w:bCs w:val="1"/>
                  <w:u w:val="single" w:color="auto"/>
                  <w:color w:val="0000EE"/>
                </w:rPr>
                <w:t>PART IV</w:t>
              </w:r>
            </w:hyperlink>
          </w:p>
        </w:tc>
        <w:tc>
          <w:tcPr>
            <w:tcW w:w="9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Exhibits and Financial Statement Schedules</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220" w:type="dxa"/>
            <w:vAlign w:val="bottom"/>
          </w:tcPr>
          <w:p>
            <w:pPr>
              <w:ind w:left="240"/>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Form 10-K Summary</w:t>
              </w:r>
            </w:hyperlink>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864"/>
        </w:trPr>
        <w:tc>
          <w:tcPr>
            <w:tcW w:w="1020" w:type="dxa"/>
            <w:vAlign w:val="bottom"/>
          </w:tcPr>
          <w:p>
            <w:pPr>
              <w:spacing w:after="0"/>
              <w:rPr>
                <w:sz w:val="24"/>
                <w:szCs w:val="24"/>
                <w:color w:val="auto"/>
              </w:rPr>
            </w:pPr>
          </w:p>
        </w:tc>
        <w:tc>
          <w:tcPr>
            <w:tcW w:w="9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9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00" w:right="540" w:hanging="249"/>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00" w:right="240" w:hanging="249"/>
        <w:spacing w:after="0" w:line="312" w:lineRule="auto"/>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1" w:lineRule="exact"/>
        <w:rPr>
          <w:rFonts w:ascii="Times New Roman" w:cs="Times New Roman" w:eastAsia="Times New Roman" w:hAnsi="Times New Roman"/>
          <w:sz w:val="17"/>
          <w:szCs w:val="17"/>
          <w:color w:val="auto"/>
        </w:rPr>
      </w:pPr>
    </w:p>
    <w:p>
      <w:pPr>
        <w:ind w:left="500" w:hanging="249"/>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and elsewhere in our filings with the SEC.</w:t>
      </w:r>
    </w:p>
    <w:p>
      <w:pPr>
        <w:spacing w:after="0" w:line="252"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“TSLX” and “TAO” marks are marks of Sixth Street. Sixth Street and TPG are no longer affiliates, and accordingly, TPG is not an affiliate of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ind w:right="400" w:firstLine="255"/>
        <w:spacing w:after="0" w:line="261" w:lineRule="auto"/>
        <w:rPr>
          <w:sz w:val="20"/>
          <w:szCs w:val="20"/>
          <w:color w:val="auto"/>
        </w:rPr>
      </w:pPr>
      <w:r>
        <w:rPr>
          <w:rFonts w:ascii="Times New Roman" w:cs="Times New Roman" w:eastAsia="Times New Roman" w:hAnsi="Times New Roman"/>
          <w:sz w:val="18"/>
          <w:szCs w:val="18"/>
          <w:color w:val="auto"/>
        </w:rPr>
        <w:t>In this Annual Report, except where the context suggests otherwise, the terms “TSLX,” “we,” “us,” “our,” and “the Company” refer to Sixth Street Specialty Lending, Inc (formerly known as TPG Specialty Lending, Inc.). The term “Adviser” refers to Sixth Street Specialty Lending Advisers, LLC (formerly known as TSL Advisers, LLC), a Delaware limited liability company. The term “Sixth Street” refers to Sixth Street Partners, LLC (formerly known as “TSSP” or “TPG Sixth Street Partners”). The term “TPG” refers to TPG Global, LLC and its affiliates.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2020, we have originated more than $15.8 billion aggregate principal amount of investments and retained approximately $7.2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2020, our core portfolio companies, which exclude certain investments that fall outside of our typical borrower profile and represent 87.1% of our total investments based on fair value, had weighted average annual revenue of $116.6 million and weighted average annual EBITDA of $40.9 million.</w:t>
      </w:r>
    </w:p>
    <w:p>
      <w:pPr>
        <w:spacing w:after="0" w:line="188"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6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62"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As of December 31, 2020, based on fair value our portfolio consisted of 95.6% first-lien debt investments, 0.2% second-lien debt investments, 0.5% mezzanine investments, and 3.7% equity and other investments. As of December 31, 2020,</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99.1% of our debt investments based on fair value bore interest at floating rates (when including investment specific hedges), with 99.2% of these subject to interest rate floors, which we believe helps act as a portfolio-wide hedge against inflation. As of December 31, 2020 we had investments in 70 portfolio companies, with an average investment size of approximately $32.8 million based on fair value. As of December 31, 2020, the largest single investment based on fair value represented 3.7% of our total investment portfolio.</w:t>
      </w:r>
    </w:p>
    <w:p>
      <w:pPr>
        <w:spacing w:after="0" w:line="18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2020, our portfolio was invested across 16 different industries. The largest industries in our portfolio as of December 31, 2020 were business services and financial services (primarily payment processing and financing technology companies), which represented, as a percentage of our portfolio, 22.2%, and 15.7% respectively, based on fair value.</w:t>
      </w:r>
    </w:p>
    <w:p>
      <w:pPr>
        <w:spacing w:after="0" w:line="17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regulated investment company, or RIC, under Subchapter M of the Internal Revenue Code of 1986, as amended, which we refer to as the Code. As a consequence of our BDC and RIC elections, our portfolio is and will continue to be subject to diversification and other requirements to maintain such status elections.</w:t>
      </w:r>
    </w:p>
    <w:p>
      <w:pPr>
        <w:spacing w:after="0" w:line="183" w:lineRule="exact"/>
        <w:rPr>
          <w:sz w:val="20"/>
          <w:szCs w:val="20"/>
          <w:color w:val="auto"/>
        </w:rPr>
      </w:pPr>
    </w:p>
    <w:p>
      <w:pPr>
        <w:ind w:right="360" w:firstLine="255"/>
        <w:spacing w:after="0" w:line="261" w:lineRule="auto"/>
        <w:rPr>
          <w:sz w:val="20"/>
          <w:szCs w:val="20"/>
          <w:color w:val="auto"/>
        </w:rPr>
      </w:pPr>
      <w:r>
        <w:rPr>
          <w:rFonts w:ascii="Times New Roman" w:cs="Times New Roman" w:eastAsia="Times New Roman" w:hAnsi="Times New Roman"/>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our ratio of total assets (less total liabilities other than indebtedness) to total indebtedness plus preferred stock is at least 150%. In determining whether to borrow money, we analyze the maturity, covenant package and rate structure of the proposed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ind w:right="40"/>
        <w:spacing w:after="0" w:line="258" w:lineRule="auto"/>
        <w:rPr>
          <w:sz w:val="20"/>
          <w:szCs w:val="20"/>
          <w:color w:val="auto"/>
        </w:rPr>
      </w:pPr>
      <w:r>
        <w:rPr>
          <w:rFonts w:ascii="Times New Roman" w:cs="Times New Roman" w:eastAsia="Times New Roman" w:hAnsi="Times New Roman"/>
          <w:sz w:val="18"/>
          <w:szCs w:val="18"/>
          <w:color w:val="auto"/>
        </w:rPr>
        <w:t>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Our Business and Structure—We borrow money,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magnifies the potential for gain or loss and increases the risk of investing in us.” </w:t>
      </w: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operations comprise only a single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our Adviser, and Sixth Street</w:t>
      </w:r>
    </w:p>
    <w:p>
      <w:pPr>
        <w:spacing w:after="0" w:line="12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 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7"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business with approximately $50 billion of assets under management.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320 investment and operating professionals. As of December 31, 2020, thirty two (32) of these personnel are dedicated to our business, including twenty four (24) investment professionals.</w:t>
      </w:r>
    </w:p>
    <w:p>
      <w:pPr>
        <w:spacing w:after="0" w:line="194"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Sixth Street was in a strategic relationship with TPG Global, LLC, or TPG from 2009 to 2020. On May 1, 2020, Sixth Street and TPG agreed to evolve their relationship and become independent, unaffiliated businesses.</w:t>
      </w:r>
    </w:p>
    <w:p>
      <w:pPr>
        <w:spacing w:after="0" w:line="162" w:lineRule="exact"/>
        <w:rPr>
          <w:sz w:val="20"/>
          <w:szCs w:val="20"/>
          <w:color w:val="auto"/>
        </w:rPr>
      </w:pPr>
    </w:p>
    <w:p>
      <w:pPr>
        <w:ind w:right="38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8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8"/>
          <w:szCs w:val="18"/>
          <w:i w:val="1"/>
          <w:iCs w:val="1"/>
          <w:color w:val="auto"/>
        </w:rPr>
        <w:t>Regulation as a Business Development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 with our affiliates.”</w:t>
      </w:r>
    </w:p>
    <w:p>
      <w:pPr>
        <w:spacing w:after="0" w:line="183"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6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w:t>
      </w:r>
      <w:r>
        <w:rPr>
          <w:rFonts w:ascii="Times New Roman" w:cs="Times New Roman" w:eastAsia="Times New Roman" w:hAnsi="Times New Roman"/>
          <w:sz w:val="18"/>
          <w:szCs w:val="18"/>
          <w:i w:val="1"/>
          <w:iCs w:val="1"/>
          <w:color w:val="auto"/>
        </w:rPr>
        <w:t>Management Agreements—Investment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Advisory Agreement; Administration Agreement; License Agreement</w:t>
      </w:r>
      <w:r>
        <w:rPr>
          <w:rFonts w:ascii="Times New Roman" w:cs="Times New Roman" w:eastAsia="Times New Roman" w:hAnsi="Times New Roman"/>
          <w:sz w:val="18"/>
          <w:szCs w:val="18"/>
          <w:color w:val="auto"/>
        </w:rPr>
        <w:t>.” Our Board monitors the mix and performance of our investments over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seeks to satisfy itself that the Adviser is acting in our interests and that our fee structure appropriately incentivizes the Adviser to do so.</w:t>
      </w:r>
    </w:p>
    <w:p>
      <w:pPr>
        <w:spacing w:after="0" w:line="183"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In November 2020, our Board renewed the Investment Advisory Agreement. Unless earlier terminated, the Investment Advisory Agreement will remain in effect until November 2021, and may be extended subject to required approvals.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Decision Process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17" w:lineRule="exact"/>
        <w:rPr>
          <w:sz w:val="20"/>
          <w:szCs w:val="20"/>
          <w:color w:val="auto"/>
        </w:rPr>
      </w:pPr>
    </w:p>
    <w:p>
      <w:pPr>
        <w:ind w:left="500" w:hanging="249"/>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52" w:lineRule="exact"/>
        <w:rPr>
          <w:sz w:val="20"/>
          <w:szCs w:val="20"/>
          <w:color w:val="auto"/>
        </w:rPr>
      </w:pPr>
    </w:p>
    <w:p>
      <w:pPr>
        <w:ind w:right="740" w:firstLine="255"/>
        <w:spacing w:after="0" w:line="312" w:lineRule="auto"/>
        <w:rPr>
          <w:sz w:val="20"/>
          <w:szCs w:val="20"/>
          <w:color w:val="auto"/>
        </w:rPr>
      </w:pPr>
      <w:r>
        <w:rPr>
          <w:rFonts w:ascii="Times New Roman" w:cs="Times New Roman" w:eastAsia="Times New Roman" w:hAnsi="Times New Roman"/>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32" w:lineRule="exact"/>
        <w:rPr>
          <w:sz w:val="20"/>
          <w:szCs w:val="20"/>
          <w:color w:val="auto"/>
        </w:rPr>
      </w:pPr>
    </w:p>
    <w:p>
      <w:pPr>
        <w:ind w:left="500" w:hanging="249"/>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5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 and Sourcing</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Diligence Process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72" w:lineRule="exact"/>
        <w:rPr>
          <w:sz w:val="20"/>
          <w:szCs w:val="20"/>
          <w:color w:val="auto"/>
        </w:rPr>
      </w:pPr>
    </w:p>
    <w:p>
      <w:pPr>
        <w:ind w:left="500" w:hanging="249"/>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144" w:lineRule="exact"/>
        <w:rPr>
          <w:rFonts w:ascii="Times New Roman" w:cs="Times New Roman" w:eastAsia="Times New Roman" w:hAnsi="Times New Roman"/>
          <w:sz w:val="18"/>
          <w:szCs w:val="18"/>
          <w:color w:val="auto"/>
        </w:rPr>
      </w:pPr>
    </w:p>
    <w:p>
      <w:pPr>
        <w:ind w:left="500" w:right="200" w:hanging="249"/>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44" w:lineRule="exact"/>
        <w:rPr>
          <w:rFonts w:ascii="Times New Roman" w:cs="Times New Roman" w:eastAsia="Times New Roman" w:hAnsi="Times New Roman"/>
          <w:sz w:val="18"/>
          <w:szCs w:val="18"/>
          <w:color w:val="auto"/>
        </w:rPr>
      </w:pPr>
    </w:p>
    <w:p>
      <w:pPr>
        <w:ind w:left="500" w:right="580" w:hanging="249"/>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Sixth Street internal resources with institutional knowledge of the company’s business;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Selective Investment Process</w:t>
      </w:r>
    </w:p>
    <w:p>
      <w:pPr>
        <w:spacing w:after="0" w:line="119"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7"/>
          <w:szCs w:val="17"/>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Formal Commitment</w:t>
      </w:r>
    </w:p>
    <w:p>
      <w:pPr>
        <w:spacing w:after="0" w:line="11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Monitoring</w:t>
      </w:r>
    </w:p>
    <w:p>
      <w:pPr>
        <w:spacing w:after="0" w:line="11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of our investments, which may include the following:</w:t>
      </w:r>
    </w:p>
    <w:p>
      <w:pPr>
        <w:spacing w:after="0" w:line="117" w:lineRule="exact"/>
        <w:rPr>
          <w:sz w:val="20"/>
          <w:szCs w:val="20"/>
          <w:color w:val="auto"/>
        </w:rPr>
      </w:pPr>
    </w:p>
    <w:p>
      <w:pPr>
        <w:ind w:left="500" w:hanging="249"/>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44" w:lineRule="exact"/>
        <w:rPr>
          <w:rFonts w:ascii="Times New Roman" w:cs="Times New Roman" w:eastAsia="Times New Roman" w:hAnsi="Times New Roman"/>
          <w:sz w:val="18"/>
          <w:szCs w:val="18"/>
          <w:color w:val="auto"/>
        </w:rPr>
      </w:pPr>
    </w:p>
    <w:p>
      <w:pPr>
        <w:ind w:left="500" w:right="40" w:hanging="249"/>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5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00" w:right="620" w:hanging="249"/>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00" w:right="100" w:hanging="249"/>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 w:name="page8"/>
    <w:bookmarkEnd w:id="7"/>
    <w:p>
      <w:pPr>
        <w:ind w:left="500" w:right="120" w:hanging="249"/>
        <w:spacing w:after="0" w:line="26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00" w:right="20" w:hanging="249"/>
        <w:spacing w:after="0" w:line="256"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00" w:right="200" w:hanging="249"/>
        <w:spacing w:after="0" w:line="261"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8" w:lineRule="exact"/>
        <w:rPr>
          <w:sz w:val="20"/>
          <w:szCs w:val="20"/>
          <w:color w:val="auto"/>
        </w:rPr>
      </w:pPr>
    </w:p>
    <w:p>
      <w:pPr>
        <w:ind w:right="300" w:firstLine="255"/>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investment performance ratings of our portfolio, see </w:t>
      </w:r>
      <w:r>
        <w:rPr>
          <w:rFonts w:ascii="Times New Roman" w:cs="Times New Roman" w:eastAsia="Times New Roman" w:hAnsi="Times New Roman"/>
          <w:sz w:val="18"/>
          <w:szCs w:val="18"/>
          <w:i w:val="1"/>
          <w:iCs w:val="1"/>
          <w:color w:val="auto"/>
        </w:rPr>
        <w:t>“ITEM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OPERATIONS—Portfolio and Investment Activity.”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Review Committee</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Investments</w:t>
      </w:r>
    </w:p>
    <w:p>
      <w:pPr>
        <w:spacing w:after="0" w:line="121"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Investments</w:t>
      </w:r>
    </w:p>
    <w:p>
      <w:pPr>
        <w:spacing w:after="0" w:line="11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4" w:lineRule="exact"/>
        <w:rPr>
          <w:sz w:val="20"/>
          <w:szCs w:val="20"/>
          <w:color w:val="auto"/>
        </w:rPr>
      </w:pPr>
    </w:p>
    <w:p>
      <w:pPr>
        <w:ind w:left="500" w:right="40" w:hanging="249"/>
        <w:spacing w:after="0" w:line="262"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First-lien debt. </w:t>
      </w:r>
      <w:r>
        <w:rPr>
          <w:rFonts w:ascii="Times New Roman" w:cs="Times New Roman" w:eastAsia="Times New Roman" w:hAnsi="Times New Roman"/>
          <w:sz w:val="18"/>
          <w:szCs w:val="18"/>
          <w:color w:val="auto"/>
        </w:rPr>
        <w:t>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68" w:lineRule="exact"/>
        <w:rPr>
          <w:rFonts w:ascii="Times New Roman" w:cs="Times New Roman" w:eastAsia="Times New Roman" w:hAnsi="Times New Roman"/>
          <w:sz w:val="18"/>
          <w:szCs w:val="18"/>
          <w:color w:val="auto"/>
        </w:rPr>
      </w:pPr>
    </w:p>
    <w:p>
      <w:pPr>
        <w:ind w:left="500" w:right="80" w:hanging="249"/>
        <w:spacing w:after="0" w:line="28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Stand-alone first-lien loans. </w:t>
      </w:r>
      <w:r>
        <w:rPr>
          <w:rFonts w:ascii="Times New Roman" w:cs="Times New Roman" w:eastAsia="Times New Roman" w:hAnsi="Times New Roman"/>
          <w:sz w:val="18"/>
          <w:szCs w:val="18"/>
          <w:color w:val="auto"/>
        </w:rPr>
        <w:t>Stand-alone first-lien loans are traditional first-lien loans. All lenders in the facility have equal rights to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subject to the first-priority security interest.</w:t>
      </w:r>
    </w:p>
    <w:p>
      <w:pPr>
        <w:spacing w:after="0" w:line="46" w:lineRule="exact"/>
        <w:rPr>
          <w:rFonts w:ascii="Times New Roman" w:cs="Times New Roman" w:eastAsia="Times New Roman" w:hAnsi="Times New Roman"/>
          <w:sz w:val="18"/>
          <w:szCs w:val="18"/>
          <w:color w:val="auto"/>
        </w:rPr>
      </w:pPr>
    </w:p>
    <w:p>
      <w:pPr>
        <w:ind w:left="500" w:hanging="249"/>
        <w:spacing w:after="0" w:line="255"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“Last out” first-lien loans. </w:t>
      </w:r>
      <w:r>
        <w:rPr>
          <w:rFonts w:ascii="Times New Roman" w:cs="Times New Roman" w:eastAsia="Times New Roman" w:hAnsi="Times New Roman"/>
          <w:sz w:val="18"/>
          <w:szCs w:val="18"/>
          <w:color w:val="auto"/>
        </w:rPr>
        <w:t>“Last out” first-lien loans have a secondary priority behind super-senior “first out” first-lien loans in the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6" w:lineRule="exact"/>
        <w:rPr>
          <w:rFonts w:ascii="Times New Roman" w:cs="Times New Roman" w:eastAsia="Times New Roman" w:hAnsi="Times New Roman"/>
          <w:sz w:val="18"/>
          <w:szCs w:val="18"/>
          <w:color w:val="auto"/>
        </w:rPr>
      </w:pPr>
    </w:p>
    <w:p>
      <w:pPr>
        <w:ind w:left="500" w:right="20" w:hanging="249"/>
        <w:spacing w:after="0" w:line="268"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“Unitranche” loans. </w:t>
      </w:r>
      <w:r>
        <w:rPr>
          <w:rFonts w:ascii="Times New Roman" w:cs="Times New Roman" w:eastAsia="Times New Roman" w:hAnsi="Times New Roman"/>
          <w:sz w:val="18"/>
          <w:szCs w:val="18"/>
          <w:color w:val="auto"/>
        </w:rPr>
        <w:t>Unitranche loans combine features of first-lien, second-lien and mezzanine debt, generally in a first-lien position. In many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8" w:name="page9"/>
    <w:bookmarkEnd w:id="8"/>
    <w:p>
      <w:pPr>
        <w:ind w:left="500" w:right="40" w:hanging="249"/>
        <w:spacing w:after="0" w:line="259"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Second-lien debt. </w:t>
      </w:r>
      <w:r>
        <w:rPr>
          <w:rFonts w:ascii="Times New Roman" w:cs="Times New Roman" w:eastAsia="Times New Roman" w:hAnsi="Times New Roman"/>
          <w:sz w:val="18"/>
          <w:szCs w:val="18"/>
          <w:color w:val="auto"/>
        </w:rPr>
        <w:t>Our second-lien debt may include secured loans, and, to a lesser extent, secured corporate bonds, with a secondary priority behind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71" w:lineRule="exact"/>
        <w:rPr>
          <w:rFonts w:ascii="Times New Roman" w:cs="Times New Roman" w:eastAsia="Times New Roman" w:hAnsi="Times New Roman"/>
          <w:sz w:val="18"/>
          <w:szCs w:val="18"/>
          <w:color w:val="auto"/>
        </w:rPr>
      </w:pPr>
    </w:p>
    <w:p>
      <w:pPr>
        <w:ind w:left="500" w:right="100" w:hanging="249"/>
        <w:spacing w:after="0" w:line="254"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“Mezzanine” and “Unsecured” debt. </w:t>
      </w:r>
      <w:r>
        <w:rPr>
          <w:rFonts w:ascii="Times New Roman" w:cs="Times New Roman" w:eastAsia="Times New Roman" w:hAnsi="Times New Roman"/>
          <w:sz w:val="18"/>
          <w:szCs w:val="18"/>
          <w:color w:val="auto"/>
        </w:rPr>
        <w:t>Structurally, mezzanine debt usually ranks subordinate in priority of payment to first-lien and second-lien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4" w:lineRule="exact"/>
        <w:rPr>
          <w:sz w:val="20"/>
          <w:szCs w:val="20"/>
          <w:color w:val="auto"/>
        </w:rPr>
      </w:pPr>
    </w:p>
    <w:p>
      <w:pPr>
        <w:ind w:left="500" w:hanging="249"/>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144" w:lineRule="exact"/>
        <w:rPr>
          <w:rFonts w:ascii="Times New Roman" w:cs="Times New Roman" w:eastAsia="Times New Roman" w:hAnsi="Times New Roman"/>
          <w:sz w:val="18"/>
          <w:szCs w:val="18"/>
          <w:color w:val="auto"/>
        </w:rPr>
      </w:pPr>
    </w:p>
    <w:p>
      <w:pPr>
        <w:ind w:left="500" w:right="320" w:hanging="249"/>
        <w:spacing w:after="0" w:line="261"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and Other Investments</w:t>
      </w:r>
    </w:p>
    <w:p>
      <w:pPr>
        <w:spacing w:after="0" w:line="119" w:lineRule="exact"/>
        <w:rPr>
          <w:sz w:val="20"/>
          <w:szCs w:val="20"/>
          <w:color w:val="auto"/>
        </w:rPr>
      </w:pPr>
    </w:p>
    <w:p>
      <w:pPr>
        <w:jc w:val="both"/>
        <w:ind w:right="460" w:firstLine="255"/>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we had made investments with an aggregate fair value of $2,298.9 million and $2,245.9 million, respectively, in 70 and 63 portfolio companies, respectively.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consisted of the following at December 31, 2020 and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2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 in millions)</w:t>
            </w:r>
          </w:p>
        </w:tc>
        <w:tc>
          <w:tcPr>
            <w:tcW w:w="3080" w:type="dxa"/>
            <w:vAlign w:val="bottom"/>
            <w:gridSpan w:val="3"/>
          </w:tcPr>
          <w:p>
            <w:pPr>
              <w:ind w:left="190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00" w:type="dxa"/>
            <w:vAlign w:val="bottom"/>
            <w:vMerge w:val="restart"/>
          </w:tcPr>
          <w:p>
            <w:pPr>
              <w:jc w:val="right"/>
              <w:ind w:right="579"/>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3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5"/>
                <w:szCs w:val="15"/>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720" w:type="dxa"/>
            <w:vAlign w:val="bottom"/>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5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36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42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2020 and 2019 was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98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6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Borders>
              <w:bottom w:val="single" w:sz="8" w:color="CFF0FC"/>
            </w:tcBorders>
          </w:tcPr>
          <w:p>
            <w:pPr>
              <w:spacing w:after="0"/>
              <w:rPr>
                <w:sz w:val="15"/>
                <w:szCs w:val="15"/>
                <w:color w:val="auto"/>
              </w:rPr>
            </w:pPr>
          </w:p>
        </w:tc>
      </w:tr>
      <w:tr>
        <w:trPr>
          <w:trHeight w:val="223"/>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16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16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9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Borders>
              <w:top w:val="single" w:sz="8" w:color="CFF0FC"/>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We classify the industries of our portfolio companies by end-market (such as healthcare, and business services) and not by the product or services (such as software) directed to those end-markets.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2020 and 2019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Midwest</w:t>
            </w:r>
          </w:p>
        </w:tc>
        <w:tc>
          <w:tcPr>
            <w:tcW w:w="4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Northeast</w:t>
            </w:r>
          </w:p>
        </w:tc>
        <w:tc>
          <w:tcPr>
            <w:tcW w:w="4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t>
            </w:r>
          </w:p>
        </w:tc>
        <w:tc>
          <w:tcPr>
            <w:tcW w:w="4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24.1%</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4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38.1%</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4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Bermuda</w:t>
            </w:r>
          </w:p>
        </w:tc>
        <w:tc>
          <w:tcPr>
            <w:tcW w:w="49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3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40" w:type="dxa"/>
            <w:vAlign w:val="bottom"/>
            <w:vMerge w:val="restart"/>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vMerge w:val="continue"/>
            <w:shd w:val="clear" w:color="auto" w:fill="CFF0FC"/>
          </w:tcPr>
          <w:p>
            <w:pPr>
              <w:spacing w:after="0"/>
              <w:rPr>
                <w:sz w:val="19"/>
                <w:szCs w:val="19"/>
                <w:color w:val="auto"/>
              </w:rPr>
            </w:pPr>
          </w:p>
        </w:tc>
        <w:tc>
          <w:tcPr>
            <w:tcW w:w="3340" w:type="dxa"/>
            <w:vAlign w:val="bottom"/>
            <w:vMerge w:val="continue"/>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bottom w:val="single" w:sz="8" w:color="CFF0FC"/>
            </w:tcBorders>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4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Investment Commitments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2020 and 2019, we had the following commitments to fund investments in current portfolio companies: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8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Alpha Midco, Inc. - Delayed Draw</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AppStar Financial, LLC - Revolver</w:t>
            </w:r>
          </w:p>
        </w:tc>
        <w:tc>
          <w:tcPr>
            <w:tcW w:w="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AvidXchange, Inc.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Biohaven Pharmaceuticals,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BlueSnap, Inc. - Revolver</w:t>
            </w: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ClearCompany, LLC - Delayed Draw</w:t>
            </w:r>
          </w:p>
        </w:tc>
        <w:tc>
          <w:tcPr>
            <w:tcW w:w="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Clinicient,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DaySmart Holdings, LLC - Revolver</w:t>
            </w:r>
          </w:p>
        </w:tc>
        <w:tc>
          <w:tcPr>
            <w:tcW w:w="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DaySmart Holdings, LLC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Dye &amp; Durham Corp. - Revolver</w:t>
            </w:r>
          </w:p>
        </w:tc>
        <w:tc>
          <w:tcPr>
            <w:tcW w:w="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Alloys, LLC - Delayed Draw</w:t>
            </w: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Factor Systems,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Ferrellgas, L.P. - Revolver</w:t>
            </w: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ForeScout Technologies Inc.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 Treasury SS, LLC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Gainsight, Inc. - Delayed Draw</w:t>
            </w:r>
          </w:p>
        </w:tc>
        <w:tc>
          <w:tcPr>
            <w:tcW w:w="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Integration Appliance,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IntelePeer Holdings,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InvMetrics Holdings,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Kyriba Corp.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Kyriba Corp.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Lexipol, LLC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Lithium Technologies, LLC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Lucidworks,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Netwrix Corp.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Netwrix Corp.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Nintex Global, Ltd.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PageUp People, Ltd.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PayLease, LLC - Revolver</w:t>
            </w:r>
          </w:p>
        </w:tc>
        <w:tc>
          <w:tcPr>
            <w:tcW w:w="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PayScale Holdings, Inc.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PrimeRevenue, Inc.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PrimeRevenue, Inc.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ReliaQuest Holdings, LLC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ReliaQuest Holdings, LLC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ResMan, LLC - Delayed Draw</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ResMan, LLC - Revolver</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Sprinklr, Inc. - Delayed Draw Convertible Note</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TherapeuticsMD, Inc. - Delayed Draw A1</w:t>
            </w: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TherapeuticsMD, Inc. - Delayed Draw A2</w:t>
            </w:r>
          </w:p>
        </w:tc>
        <w:tc>
          <w:tcPr>
            <w:tcW w:w="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Valant Medical Solutions, Inc.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Valant Medical Solutions, Inc.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Verdad Resources Intermediate Holdings, LLC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WideOrbit, Inc. - Revolver</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Workwell Acquisition Co. - Delayed Draw</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15"/>
                <w:szCs w:val="15"/>
                <w:b w:val="1"/>
                <w:bCs w:val="1"/>
                <w:color w:val="auto"/>
              </w:rPr>
              <w:t>(1)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hanging="492"/>
        <w:spacing w:after="0" w:line="266"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320" w:top="484"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we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40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2020, management is not aware of any material pending or threatened litigation that would require accounting recognition or financial statement disclosure.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8"/>
          <w:szCs w:val="18"/>
          <w:i w:val="1"/>
          <w:iCs w:val="1"/>
          <w:color w:val="auto"/>
        </w:rPr>
        <w:t>ITEM 1A. RISK FACTORS—Risks Related to Our Business and Structure—We operate in a highly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market for investment opportunities.</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 and Borrowings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anticipate generating cash in the future from cash flows from operations, including interest received on our cash and cash equivalents,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securities and other high-quality debt investments that mature in one year or less, and through issuances of common stock.</w:t>
      </w:r>
    </w:p>
    <w:p>
      <w:pPr>
        <w:spacing w:after="0" w:line="207"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2020 and 2019, our asset coverage was 204.5% and 200.4%, respectively. See “</w:t>
      </w:r>
      <w:r>
        <w:rPr>
          <w:rFonts w:ascii="Times New Roman" w:cs="Times New Roman" w:eastAsia="Times New Roman" w:hAnsi="Times New Roman"/>
          <w:sz w:val="18"/>
          <w:szCs w:val="18"/>
          <w:i w:val="1"/>
          <w:iCs w:val="1"/>
          <w:color w:val="auto"/>
        </w:rPr>
        <w:t>Regulation as a Business Development Company—Senior Securities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debt obligations consisted of the following as of December 31, 2020 and 2019:</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5"/>
                <w:szCs w:val="15"/>
                <w:color w:val="auto"/>
              </w:rPr>
            </w:pPr>
          </w:p>
        </w:tc>
      </w:tr>
      <w:tr>
        <w:trPr>
          <w:trHeight w:val="215"/>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1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2"/>
                <w:szCs w:val="12"/>
                <w:b w:val="1"/>
                <w:bCs w:val="1"/>
                <w:color w:val="auto"/>
                <w:w w:val="99"/>
              </w:rPr>
              <w:t>(2)(3)</w:t>
            </w:r>
          </w:p>
        </w:tc>
      </w:tr>
      <w:tr>
        <w:trPr>
          <w:trHeight w:val="223"/>
        </w:trPr>
        <w:tc>
          <w:tcPr>
            <w:tcW w:w="2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2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Borders>
              <w:bottom w:val="single" w:sz="8" w:color="CFF0FC"/>
            </w:tcBorders>
          </w:tcPr>
          <w:p>
            <w:pPr>
              <w:spacing w:after="0"/>
              <w:rPr>
                <w:sz w:val="19"/>
                <w:szCs w:val="19"/>
                <w:color w:val="auto"/>
              </w:rPr>
            </w:pPr>
          </w:p>
        </w:tc>
      </w:tr>
      <w:tr>
        <w:trPr>
          <w:trHeight w:val="223"/>
        </w:trPr>
        <w:tc>
          <w:tcPr>
            <w:tcW w:w="27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9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860" w:hanging="492"/>
        <w:spacing w:after="0" w:line="261"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00" w:right="160" w:hanging="492"/>
        <w:spacing w:after="0" w:line="250"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ind w:left="500" w:right="20" w:hanging="492"/>
        <w:spacing w:after="0" w:line="260"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84" w:right="37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5"/>
                <w:szCs w:val="15"/>
                <w:color w:val="auto"/>
              </w:rPr>
            </w:pPr>
          </w:p>
        </w:tc>
      </w:tr>
      <w:tr>
        <w:trPr>
          <w:trHeight w:val="215"/>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1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2"/>
                <w:szCs w:val="12"/>
                <w:b w:val="1"/>
                <w:bCs w:val="1"/>
                <w:color w:val="auto"/>
                <w:w w:val="99"/>
              </w:rPr>
              <w:t>(2)(3)</w:t>
            </w:r>
          </w:p>
        </w:tc>
      </w:tr>
      <w:tr>
        <w:trPr>
          <w:trHeight w:val="223"/>
        </w:trPr>
        <w:tc>
          <w:tcPr>
            <w:tcW w:w="2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shd w:val="clear" w:color="auto" w:fill="CFF0FC"/>
          </w:tcPr>
          <w:p>
            <w:pPr>
              <w:spacing w:after="0"/>
              <w:rPr>
                <w:sz w:val="19"/>
                <w:szCs w:val="19"/>
                <w:color w:val="auto"/>
              </w:rPr>
            </w:pPr>
          </w:p>
        </w:tc>
      </w:tr>
      <w:tr>
        <w:trPr>
          <w:trHeight w:val="229"/>
        </w:trPr>
        <w:tc>
          <w:tcPr>
            <w:tcW w:w="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2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tcBorders>
              <w:bottom w:val="single" w:sz="8" w:color="CFF0FC"/>
            </w:tcBorders>
          </w:tcPr>
          <w:p>
            <w:pPr>
              <w:spacing w:after="0"/>
              <w:rPr>
                <w:sz w:val="19"/>
                <w:szCs w:val="19"/>
                <w:color w:val="auto"/>
              </w:rPr>
            </w:pPr>
          </w:p>
        </w:tc>
      </w:tr>
      <w:tr>
        <w:trPr>
          <w:trHeight w:val="223"/>
        </w:trPr>
        <w:tc>
          <w:tcPr>
            <w:tcW w:w="27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9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1,867.5</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880" w:hanging="492"/>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00" w:right="180" w:hanging="492"/>
        <w:spacing w:after="0" w:line="250"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hanging="492"/>
        <w:spacing w:after="0" w:line="260"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2024 Notes is presented inclusive of an incremental ($1.8) million, which represents an adjustment in the carrying value of the 2024 Notes resulting from a hedge accounting relationship.</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2020, 2019 and 2018, the components of interest expense were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1-month LIBOR rate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80" w:firstLine="255"/>
        <w:spacing w:after="0" w:line="284" w:lineRule="auto"/>
        <w:rPr>
          <w:sz w:val="20"/>
          <w:szCs w:val="20"/>
          <w:color w:val="auto"/>
        </w:rPr>
      </w:pPr>
      <w:r>
        <w:rPr>
          <w:rFonts w:ascii="Times New Roman" w:cs="Times New Roman" w:eastAsia="Times New Roman" w:hAnsi="Times New Roman"/>
          <w:sz w:val="18"/>
          <w:szCs w:val="18"/>
          <w:color w:val="auto"/>
        </w:rPr>
        <w:t>For more information on our debt, see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OPERATIONS——Financial Condition, Liquidity and Capital Resources.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9" w:lineRule="exact"/>
        <w:rPr>
          <w:sz w:val="20"/>
          <w:szCs w:val="20"/>
          <w:color w:val="auto"/>
        </w:rPr>
      </w:pPr>
    </w:p>
    <w:p>
      <w:pPr>
        <w:ind w:left="500" w:hanging="249"/>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44" w:lineRule="exact"/>
        <w:rPr>
          <w:rFonts w:ascii="Times New Roman" w:cs="Times New Roman" w:eastAsia="Times New Roman" w:hAnsi="Times New Roman"/>
          <w:sz w:val="18"/>
          <w:szCs w:val="18"/>
          <w:color w:val="auto"/>
        </w:rPr>
      </w:pPr>
    </w:p>
    <w:p>
      <w:pPr>
        <w:ind w:left="500" w:right="160" w:hanging="249"/>
        <w:spacing w:after="0" w:line="282" w:lineRule="auto"/>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5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18"/>
          <w:szCs w:val="18"/>
          <w:i w:val="1"/>
          <w:iCs w:val="1"/>
          <w:color w:val="auto"/>
        </w:rPr>
        <w:t>See “ITEM 1A. RISK FACTORS—Risks Related to Our Business and Structure—We will be subject to corporate-level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 we are unable to maintain our qualification as a RIC under Subchapter M of the Code.”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2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Dividend Reinvestment Plan</w:t>
      </w:r>
    </w:p>
    <w:p>
      <w:pPr>
        <w:spacing w:after="0" w:line="11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0"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83"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62"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8"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8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8"/>
          <w:szCs w:val="18"/>
          <w:i w:val="1"/>
          <w:iCs w:val="1"/>
          <w:color w:val="auto"/>
        </w:rPr>
        <w:t>Investment Advisory Agreement; Administration Agreement; License Agreement</w:t>
      </w:r>
      <w:r>
        <w:rPr>
          <w:rFonts w:ascii="Times New Roman" w:cs="Times New Roman" w:eastAsia="Times New Roman" w:hAnsi="Times New Roman"/>
          <w:sz w:val="18"/>
          <w:szCs w:val="18"/>
          <w:color w:val="auto"/>
        </w:rPr>
        <w:t>” below.</w:t>
      </w:r>
    </w:p>
    <w:p>
      <w:pPr>
        <w:spacing w:after="0" w:line="84"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In addition to our Adviser, Sixth Street has a team of over 320 investment and operating professionals. As of December 31, 2020, thirty two (32) of these personnel are dedicated to our business, including twenty four (24) investment professionals.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 Administration Agreement; License Agreement</w:t>
      </w:r>
    </w:p>
    <w:p>
      <w:pPr>
        <w:spacing w:after="0" w:line="119"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17" w:lineRule="exact"/>
        <w:rPr>
          <w:sz w:val="20"/>
          <w:szCs w:val="20"/>
          <w:color w:val="auto"/>
        </w:rPr>
      </w:pPr>
    </w:p>
    <w:p>
      <w:pPr>
        <w:ind w:left="500" w:hanging="249"/>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144" w:lineRule="exact"/>
        <w:rPr>
          <w:rFonts w:ascii="Times New Roman" w:cs="Times New Roman" w:eastAsia="Times New Roman" w:hAnsi="Times New Roman"/>
          <w:sz w:val="18"/>
          <w:szCs w:val="18"/>
          <w:color w:val="auto"/>
        </w:rPr>
      </w:pPr>
    </w:p>
    <w:p>
      <w:pPr>
        <w:ind w:left="500" w:right="540" w:hanging="249"/>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144" w:lineRule="exact"/>
        <w:rPr>
          <w:rFonts w:ascii="Times New Roman" w:cs="Times New Roman" w:eastAsia="Times New Roman" w:hAnsi="Times New Roman"/>
          <w:sz w:val="18"/>
          <w:szCs w:val="18"/>
          <w:color w:val="auto"/>
        </w:rPr>
      </w:pPr>
    </w:p>
    <w:p>
      <w:pPr>
        <w:ind w:left="500" w:right="460" w:hanging="249"/>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or the “Management Fee,” and may also pay certain incentive fees, or “Incentive Fees”.</w:t>
      </w:r>
    </w:p>
    <w:p>
      <w:pPr>
        <w:spacing w:after="0" w:line="16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2020, 2019, and 2018, Management Fees (gross of waivers) were $32.1 million, $30.1 million and $28.6 million, respectively.</w:t>
      </w:r>
    </w:p>
    <w:p>
      <w:pPr>
        <w:spacing w:after="0" w:line="162"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The Adviser did not waive any Management Fees for the years ended December 31, 2020 and 2019. For the year ended December 31, 2018, Management Fees of less than $0.1 million were waived consisting solely of Management Fees attributable to our ownership of shares of common stock in Triangle Capital Corp. (the “TCAP Shares”). As of June 30, 2018 we had fully exited our position in the TCAP Shares.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25"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December 31, 2020, no Management Fees have been waived pursuant to the Leverage Waiver.</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00" w:right="160" w:hanging="249"/>
        <w:spacing w:after="0" w:line="255"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ind w:left="52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(ii)The second component, payable at the end of each fiscal year in arrears, equaled 15% through March 31, 2014 and, beginning April 1, 2014, equals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weighted percentage of cumulative realized capital gains from our inception to the end of that fiscal year, less cumulative realized capital losses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and unrealized capital losses. This component of the Incentive Fee is referred to as the Capital Gains Fee. Each year, the fee paid for this component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of the Incentive Fee is net of the aggregate amount of any previously paid Capital Gains Fee for prior periods. For capital gains that accrue following</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March 31, 2014, the Incentive Fee rate is 17.5%. We accrue, but do not pay, a capital gains Incentive Fee with respect to unrealized capital gains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because a capital gains Incentive Fee would be owed to the Adviser if we were to sell the relevant investment and realize a capital gain. The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percentage is intended to ensure that for each fiscal year following the completion of the IPO, the portion of our realized capital gains that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prior to March 31, 2014, is subject to an Incentive Fee rate of 15% and the portion of our realized capital gains that accrued beginning</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April 1, 2014 is subject to an Incentive Fee rate of 17.5%. As of March 31, 2020, there are no remaining investments that were made prior to April 1,</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2014, and as a result, the Incentive Fee rate of 17.5% is applicable to any future realized capital gains.</w:t>
      </w:r>
    </w:p>
    <w:p>
      <w:pPr>
        <w:spacing w:after="0" w:line="207" w:lineRule="exact"/>
        <w:rPr>
          <w:sz w:val="20"/>
          <w:szCs w:val="20"/>
          <w:color w:val="auto"/>
        </w:rPr>
      </w:pPr>
    </w:p>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2020, 2019 and 2018, Incentive Fees (gross of waivers) were $32.9 million, $27.2 million and $30.5 million, respectively, of which $31.5 million, $27.2 million, and $30.5 million, respectively, were realized and payable to the Adviser. For the year ended December 31, 2020, $1.4 million of Incentive Fees were accrued related to cumulative unrealized capital gains in excess of cumulative net realized capital gains less any cumulative unrealized losses and capital gains incentive fees paid inception to date. For the years ended December 31, 2019, and 2018, no Incentive Fees were accrued related to capital gains.</w:t>
      </w:r>
    </w:p>
    <w:p>
      <w:pPr>
        <w:spacing w:after="0" w:line="18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Adviser voluntarily waived the Incentive Fees attributable to pre-Incentive Fee net investment income accrued by the Company as a result of our ownership of the TCAP Shares. The Adviser did not waive any part of the Capital Gains Fee attributable to our ownership of the TCAP Shares and, accordingly, any realized capital gains or losses and unrealized capital losses with respect to the TCAP Shares were applied against our cumulative realized capital gains on which the Capital Gains Fee is calculated.</w:t>
      </w:r>
    </w:p>
    <w:p>
      <w:pPr>
        <w:spacing w:after="0" w:line="180"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The Adviser did not waive any Incentive Fees for the year ended December 31, 2020 and 2019. For the year ended December 31 2018, Incentive Fees of less than $0.1 million were waived consisting solely of Incentive Fees attributable to our ownership of the TCAP Shares. Any waived Incentive Fees are not subject to recoupment by the Adviser.</w:t>
      </w:r>
    </w:p>
    <w:p>
      <w:pPr>
        <w:spacing w:after="0" w:line="176"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Since our IPO, with the exception of its waiver of Management Fees and certain Incentive Fees attributable to our ownership of certain portfolio companies, including the TCAP Shares, the Adviser has not waived its right to receive any Management Fees or Incentive Fees payable pursuant to the Investment Advisory Agreement.</w:t>
      </w:r>
    </w:p>
    <w:p>
      <w:pPr>
        <w:spacing w:after="0" w:line="176"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In November 2020, the Board renewed the Investment Advisory Agreement. Unless earlier terminated as described below, the Investment Advisory Agreement will remain in effect until November 2021, and may be extended subject to required approvals.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right="240"/>
        <w:spacing w:after="0" w:line="282" w:lineRule="auto"/>
        <w:rPr>
          <w:sz w:val="20"/>
          <w:szCs w:val="20"/>
          <w:color w:val="auto"/>
        </w:rPr>
      </w:pPr>
      <w:r>
        <w:rPr>
          <w:rFonts w:ascii="Times New Roman" w:cs="Times New Roman" w:eastAsia="Times New Roman" w:hAnsi="Times New Roman"/>
          <w:sz w:val="18"/>
          <w:szCs w:val="18"/>
          <w:color w:val="auto"/>
        </w:rPr>
        <w:t>Investment Advisory Agreement will automatically terminate in the event of an assignment and may be terminated by either party without penalty on 60 days’ written notice to the other party.</w:t>
      </w:r>
    </w:p>
    <w:p>
      <w:pPr>
        <w:spacing w:after="0" w:line="16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62"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8"/>
          <w:szCs w:val="18"/>
          <w:i w:val="1"/>
          <w:iCs w:val="1"/>
          <w:color w:val="auto"/>
        </w:rPr>
        <w:t>Payment of Our Expenses</w:t>
      </w:r>
      <w:r>
        <w:rPr>
          <w:rFonts w:ascii="Times New Roman" w:cs="Times New Roman" w:eastAsia="Times New Roman" w:hAnsi="Times New Roman"/>
          <w:sz w:val="18"/>
          <w:szCs w:val="18"/>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2020, 2019, and 2018, we incurred expenses of $3.8 million, $4.2 million, and $3.4 million, respectively, for administrative services payable under the terms of the Administration Agreement.</w:t>
      </w:r>
    </w:p>
    <w:p>
      <w:pPr>
        <w:spacing w:after="0" w:line="192" w:lineRule="exact"/>
        <w:rPr>
          <w:sz w:val="20"/>
          <w:szCs w:val="20"/>
          <w:color w:val="auto"/>
        </w:rPr>
      </w:pPr>
    </w:p>
    <w:p>
      <w:pPr>
        <w:ind w:right="4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 November 2020, the Board renewed the Administration Agreement. Unless earlier terminated as described below, the Administration Agreement will remain in effect until November 2021,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3"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90"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 w:name="page18"/>
    <w:bookmarkEnd w:id="17"/>
    <w:p>
      <w:pPr>
        <w:ind w:left="260"/>
        <w:spacing w:after="0"/>
        <w:rPr>
          <w:sz w:val="20"/>
          <w:szCs w:val="20"/>
          <w:color w:val="auto"/>
        </w:rPr>
      </w:pPr>
      <w:r>
        <w:rPr>
          <w:rFonts w:ascii="Times New Roman" w:cs="Times New Roman" w:eastAsia="Times New Roman" w:hAnsi="Times New Roman"/>
          <w:sz w:val="17"/>
          <w:szCs w:val="17"/>
          <w:color w:val="auto"/>
        </w:rPr>
        <w:t>The following is a graphical representation of the calculation of the income-related portion of the Incentive Fee:</w:t>
      </w:r>
    </w:p>
    <w:p>
      <w:pPr>
        <w:spacing w:after="0" w:line="2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Quarterly Incentive Fee Based on Net Investment Income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154305</wp:posOffset>
            </wp:positionV>
            <wp:extent cx="4577715" cy="891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777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Percentage of pre-Incentive Fee net investment income allocated to income-related portion of Incentive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right="4259"/>
        <w:spacing w:after="0" w:line="250" w:lineRule="auto"/>
        <w:rPr>
          <w:sz w:val="20"/>
          <w:szCs w:val="20"/>
          <w:color w:val="auto"/>
        </w:rPr>
      </w:pPr>
      <w:r>
        <w:rPr>
          <w:rFonts w:ascii="Times New Roman" w:cs="Times New Roman" w:eastAsia="Times New Roman" w:hAnsi="Times New Roman"/>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1.425%</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2.375%</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right="4259"/>
        <w:spacing w:after="0" w:line="250" w:lineRule="auto"/>
        <w:rPr>
          <w:sz w:val="20"/>
          <w:szCs w:val="20"/>
          <w:color w:val="auto"/>
        </w:rPr>
      </w:pPr>
      <w:r>
        <w:rPr>
          <w:rFonts w:ascii="Times New Roman" w:cs="Times New Roman" w:eastAsia="Times New Roman" w:hAnsi="Times New Roman"/>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1.8%</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Incentive Fee = 100% × pre-Incentive Fee net investment income, subject to the “catch-up” (4)</w:t>
      </w:r>
    </w:p>
    <w:p>
      <w:pPr>
        <w:spacing w:after="0" w:line="9" w:lineRule="exact"/>
        <w:rPr>
          <w:sz w:val="20"/>
          <w:szCs w:val="20"/>
          <w:color w:val="auto"/>
        </w:rPr>
      </w:pPr>
    </w:p>
    <w:p>
      <w:pPr>
        <w:ind w:left="920" w:hanging="148"/>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(1.8% – 1.5%)</w:t>
      </w:r>
    </w:p>
    <w:p>
      <w:pPr>
        <w:spacing w:after="0" w:line="9" w:lineRule="exact"/>
        <w:rPr>
          <w:rFonts w:ascii="Times New Roman" w:cs="Times New Roman" w:eastAsia="Times New Roman" w:hAnsi="Times New Roman"/>
          <w:sz w:val="18"/>
          <w:szCs w:val="18"/>
          <w:color w:val="auto"/>
        </w:rPr>
      </w:pPr>
    </w:p>
    <w:p>
      <w:pPr>
        <w:ind w:left="920" w:hanging="148"/>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Alternative 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260" w:right="5340"/>
        <w:spacing w:after="0" w:line="250" w:lineRule="auto"/>
        <w:rPr>
          <w:sz w:val="20"/>
          <w:szCs w:val="20"/>
          <w:color w:val="auto"/>
        </w:rPr>
      </w:pPr>
      <w:r>
        <w:rPr>
          <w:rFonts w:ascii="Times New Roman" w:cs="Times New Roman" w:eastAsia="Times New Roman" w:hAnsi="Times New Roman"/>
          <w:sz w:val="18"/>
          <w:szCs w:val="18"/>
          <w:color w:val="auto"/>
        </w:rPr>
        <w:t>Other expenses (legal, accounting, custodian, transfer agent, etc.) (3) = 0.20% Pre-Incentive Fee net investment income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 income – (Management Fee + other expenses)) = 2.925%</w:t>
      </w:r>
    </w:p>
    <w:p>
      <w:pPr>
        <w:spacing w:after="0" w:line="9" w:lineRule="exact"/>
        <w:rPr>
          <w:sz w:val="20"/>
          <w:szCs w:val="20"/>
          <w:color w:val="auto"/>
        </w:rPr>
      </w:pPr>
    </w:p>
    <w:p>
      <w:pPr>
        <w:ind w:left="260" w:right="3740"/>
        <w:spacing w:after="0" w:line="250" w:lineRule="auto"/>
        <w:rPr>
          <w:sz w:val="20"/>
          <w:szCs w:val="20"/>
          <w:color w:val="auto"/>
        </w:rPr>
      </w:pPr>
      <w:r>
        <w:rPr>
          <w:rFonts w:ascii="Times New Roman" w:cs="Times New Roman" w:eastAsia="Times New Roman" w:hAnsi="Times New Roman"/>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Incentive Fee = (100% × 0.32%) + (17.5% × (2.925% – 1.82%))</w:t>
      </w:r>
    </w:p>
    <w:p>
      <w:pPr>
        <w:spacing w:after="0" w:line="9" w:lineRule="exact"/>
        <w:rPr>
          <w:sz w:val="20"/>
          <w:szCs w:val="20"/>
          <w:color w:val="auto"/>
        </w:rPr>
      </w:pPr>
    </w:p>
    <w:p>
      <w:pPr>
        <w:ind w:left="920" w:hanging="148"/>
        <w:spacing w:after="0"/>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(17.5% × 1.105%)</w:t>
      </w:r>
    </w:p>
    <w:p>
      <w:pPr>
        <w:spacing w:after="0" w:line="9" w:lineRule="exact"/>
        <w:rPr>
          <w:rFonts w:ascii="Times New Roman" w:cs="Times New Roman" w:eastAsia="Times New Roman" w:hAnsi="Times New Roman"/>
          <w:sz w:val="18"/>
          <w:szCs w:val="18"/>
          <w:color w:val="auto"/>
        </w:rPr>
      </w:pPr>
    </w:p>
    <w:p>
      <w:pPr>
        <w:ind w:left="920" w:hanging="148"/>
        <w:spacing w:after="0"/>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+ 0.193%</w:t>
      </w:r>
    </w:p>
    <w:p>
      <w:pPr>
        <w:spacing w:after="0" w:line="9" w:lineRule="exact"/>
        <w:rPr>
          <w:rFonts w:ascii="Times New Roman" w:cs="Times New Roman" w:eastAsia="Times New Roman" w:hAnsi="Times New Roman"/>
          <w:sz w:val="18"/>
          <w:szCs w:val="18"/>
          <w:color w:val="auto"/>
        </w:rPr>
      </w:pPr>
    </w:p>
    <w:p>
      <w:pPr>
        <w:ind w:left="920" w:hanging="148"/>
        <w:spacing w:after="0"/>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0.513%</w:t>
      </w:r>
    </w:p>
    <w:p>
      <w:pPr>
        <w:spacing w:after="0" w:line="98"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 annualized hurdle rate.</w:t>
      </w:r>
    </w:p>
    <w:p>
      <w:pPr>
        <w:spacing w:after="0" w:line="117" w:lineRule="exact"/>
        <w:rPr>
          <w:rFonts w:ascii="Times New Roman" w:cs="Times New Roman" w:eastAsia="Times New Roman" w:hAnsi="Times New Roman"/>
          <w:sz w:val="18"/>
          <w:szCs w:val="18"/>
          <w:color w:val="auto"/>
        </w:rPr>
      </w:pPr>
    </w:p>
    <w:p>
      <w:pPr>
        <w:ind w:left="500" w:right="80" w:hanging="249"/>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 annualized Management Fee. For the purposes of these examples the Management Fee is assumed to be based on net assets, rather than gross assets.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organizational and offering expenses.</w:t>
      </w:r>
    </w:p>
    <w:p>
      <w:pPr>
        <w:spacing w:after="0" w:line="117" w:lineRule="exact"/>
        <w:rPr>
          <w:rFonts w:ascii="Times New Roman" w:cs="Times New Roman" w:eastAsia="Times New Roman" w:hAnsi="Times New Roman"/>
          <w:sz w:val="18"/>
          <w:szCs w:val="18"/>
          <w:color w:val="auto"/>
        </w:rPr>
      </w:pPr>
    </w:p>
    <w:p>
      <w:pPr>
        <w:ind w:left="500" w:hanging="249"/>
        <w:spacing w:after="0" w:line="26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 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The hypothetical amount of pre-Incentive Fee net investment income shown is based on a percentage of total net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2: Capital Gains Portion of Incentive Fee: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500" w:right="60" w:hanging="249"/>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$10 million investment made in Company A (“Investment A”), $10 million investment made in Company B (“Investment B”), $10 million investment made in Company C (“Investment C”), $10 million investment made in Company D (“Investment D”) and $10 million investment made in Company E (“Investment E”).</w:t>
      </w:r>
    </w:p>
    <w:p>
      <w:pPr>
        <w:spacing w:after="0" w:line="67" w:lineRule="exact"/>
        <w:rPr>
          <w:rFonts w:ascii="Times New Roman" w:cs="Times New Roman" w:eastAsia="Times New Roman" w:hAnsi="Times New Roman"/>
          <w:sz w:val="18"/>
          <w:szCs w:val="18"/>
          <w:color w:val="auto"/>
        </w:rPr>
      </w:pPr>
    </w:p>
    <w:p>
      <w:pPr>
        <w:ind w:left="500" w:right="740" w:hanging="249"/>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53" w:lineRule="exact"/>
        <w:rPr>
          <w:rFonts w:ascii="Times New Roman" w:cs="Times New Roman" w:eastAsia="Times New Roman" w:hAnsi="Times New Roman"/>
          <w:sz w:val="18"/>
          <w:szCs w:val="18"/>
          <w:color w:val="auto"/>
        </w:rPr>
      </w:pPr>
    </w:p>
    <w:p>
      <w:pPr>
        <w:ind w:left="500" w:right="380" w:hanging="249"/>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3" w:lineRule="exact"/>
        <w:rPr>
          <w:rFonts w:ascii="Times New Roman" w:cs="Times New Roman" w:eastAsia="Times New Roman" w:hAnsi="Times New Roman"/>
          <w:sz w:val="18"/>
          <w:szCs w:val="18"/>
          <w:color w:val="auto"/>
        </w:rPr>
      </w:pPr>
    </w:p>
    <w:p>
      <w:pPr>
        <w:ind w:left="500" w:right="240" w:hanging="249"/>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3" w:lineRule="exact"/>
        <w:rPr>
          <w:rFonts w:ascii="Times New Roman" w:cs="Times New Roman" w:eastAsia="Times New Roman" w:hAnsi="Times New Roman"/>
          <w:sz w:val="18"/>
          <w:szCs w:val="18"/>
          <w:color w:val="auto"/>
        </w:rPr>
      </w:pPr>
    </w:p>
    <w:p>
      <w:pPr>
        <w:ind w:left="500" w:right="100" w:hanging="249"/>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Investment C sold for $20 million, FMV of Investment B determined to be $14 million, FMV of Investment E determined to be $10 million and FMV of Investment F determined to $12 million.</w:t>
      </w:r>
    </w:p>
    <w:p>
      <w:pPr>
        <w:spacing w:after="0" w:line="53" w:lineRule="exact"/>
        <w:rPr>
          <w:rFonts w:ascii="Times New Roman" w:cs="Times New Roman" w:eastAsia="Times New Roman" w:hAnsi="Times New Roman"/>
          <w:sz w:val="18"/>
          <w:szCs w:val="18"/>
          <w:color w:val="auto"/>
        </w:rPr>
      </w:pPr>
    </w:p>
    <w:p>
      <w:pPr>
        <w:ind w:left="500" w:right="500" w:hanging="249"/>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 Investment B sold for $16 million, FMV of Investment E determined to be $8 million and FMV of Investment F determined to be $15 million.</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 Investment E sold for $8 million and FMV of Investment F determined to be $17 million.</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 Investment F sold for $18 million.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8"/>
          <w:szCs w:val="18"/>
          <w:color w:val="auto"/>
        </w:rPr>
        <w:t>These assumptions are summarized in the following chart: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2"/>
              </w:rPr>
              <w:t>F</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196"/>
        </w:trPr>
        <w:tc>
          <w:tcPr>
            <w:tcW w:w="9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 1</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1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18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(cost basis)</w:t>
            </w: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(cost basis)</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Year 2</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 million</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 million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tcPr>
          <w:p>
            <w:pPr>
              <w:spacing w:after="0"/>
              <w:rPr>
                <w:sz w:val="8"/>
                <w:szCs w:val="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(sale price)</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$2 million</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 3 (IPO)</w:t>
            </w: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 million</w:t>
            </w: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FMV at IPO</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 million</w:t>
            </w:r>
          </w:p>
        </w:tc>
        <w:tc>
          <w:tcPr>
            <w:tcW w:w="11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Year 4</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 million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tcPr>
          <w:p>
            <w:pPr>
              <w:spacing w:after="0"/>
              <w:rPr>
                <w:sz w:val="8"/>
                <w:szCs w:val="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(sale price)</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(cost basis)</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 5</w:t>
            </w: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 million</w:t>
            </w: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 million</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(sale price)</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Year 6</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 million</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 million</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 million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tcPr>
          <w:p>
            <w:pPr>
              <w:spacing w:after="0"/>
              <w:rPr>
                <w:sz w:val="8"/>
                <w:szCs w:val="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(sale price)</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$2 million</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 million</w:t>
            </w:r>
          </w:p>
        </w:tc>
        <w:tc>
          <w:tcPr>
            <w:tcW w:w="0" w:type="dxa"/>
            <w:vAlign w:val="bottom"/>
          </w:tcPr>
          <w:p>
            <w:pPr>
              <w:spacing w:after="0"/>
              <w:rPr>
                <w:sz w:val="1"/>
                <w:szCs w:val="1"/>
                <w:color w:val="auto"/>
              </w:rPr>
            </w:pPr>
          </w:p>
        </w:tc>
      </w:tr>
      <w:tr>
        <w:trPr>
          <w:trHeight w:val="111"/>
        </w:trPr>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Year 7</w:t>
            </w: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 million</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 million</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shd w:val="clear" w:color="auto" w:fill="CFF0FC"/>
          </w:tcPr>
          <w:p>
            <w:pPr>
              <w:spacing w:after="0"/>
              <w:rPr>
                <w:sz w:val="8"/>
                <w:szCs w:val="8"/>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(sale price)</w:t>
            </w:r>
          </w:p>
        </w:tc>
        <w:tc>
          <w:tcPr>
            <w:tcW w:w="11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FMV</w:t>
            </w: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 million</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 million</w:t>
            </w:r>
          </w:p>
        </w:tc>
        <w:tc>
          <w:tcPr>
            <w:tcW w:w="0" w:type="dxa"/>
            <w:vAlign w:val="bottom"/>
          </w:tcPr>
          <w:p>
            <w:pPr>
              <w:spacing w:after="0"/>
              <w:rPr>
                <w:sz w:val="1"/>
                <w:szCs w:val="1"/>
                <w:color w:val="auto"/>
              </w:rPr>
            </w:pPr>
          </w:p>
        </w:tc>
      </w:tr>
      <w:tr>
        <w:trPr>
          <w:trHeight w:val="114"/>
        </w:trPr>
        <w:tc>
          <w:tcPr>
            <w:tcW w:w="96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160" w:type="dxa"/>
            <w:vAlign w:val="bottom"/>
            <w:gridSpan w:val="2"/>
            <w:vMerge w:val="continue"/>
            <w:shd w:val="clear" w:color="auto" w:fill="CFF0FC"/>
          </w:tcPr>
          <w:p>
            <w:pPr>
              <w:spacing w:after="0"/>
              <w:rPr>
                <w:sz w:val="9"/>
                <w:szCs w:val="9"/>
                <w:color w:val="auto"/>
              </w:rPr>
            </w:pPr>
          </w:p>
        </w:tc>
        <w:tc>
          <w:tcPr>
            <w:tcW w:w="1200" w:type="dxa"/>
            <w:vAlign w:val="bottom"/>
            <w:gridSpan w:val="2"/>
            <w:vMerge w:val="continue"/>
            <w:shd w:val="clear" w:color="auto" w:fill="CFF0FC"/>
          </w:tcPr>
          <w:p>
            <w:pPr>
              <w:spacing w:after="0"/>
              <w:rPr>
                <w:sz w:val="9"/>
                <w:szCs w:val="9"/>
                <w:color w:val="auto"/>
              </w:rPr>
            </w:pPr>
          </w:p>
        </w:tc>
        <w:tc>
          <w:tcPr>
            <w:tcW w:w="1180" w:type="dxa"/>
            <w:vAlign w:val="bottom"/>
            <w:gridSpan w:val="2"/>
            <w:vMerge w:val="continue"/>
            <w:shd w:val="clear" w:color="auto" w:fill="CFF0FC"/>
          </w:tcPr>
          <w:p>
            <w:pPr>
              <w:spacing w:after="0"/>
              <w:rPr>
                <w:sz w:val="9"/>
                <w:szCs w:val="9"/>
                <w:color w:val="auto"/>
              </w:rPr>
            </w:pPr>
          </w:p>
        </w:tc>
        <w:tc>
          <w:tcPr>
            <w:tcW w:w="98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Year 8</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 million</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vMerge w:val="continue"/>
          </w:tcPr>
          <w:p>
            <w:pPr>
              <w:spacing w:after="0"/>
              <w:rPr>
                <w:sz w:val="8"/>
                <w:szCs w:val="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(sale price)</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$2 million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 million</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capital gains portion of the Incentive Fee would be:</w:t>
      </w:r>
    </w:p>
    <w:p>
      <w:pPr>
        <w:spacing w:after="0" w:line="117" w:lineRule="exact"/>
        <w:rPr>
          <w:sz w:val="20"/>
          <w:szCs w:val="20"/>
          <w:color w:val="auto"/>
        </w:rPr>
      </w:pPr>
    </w:p>
    <w:p>
      <w:pPr>
        <w:ind w:left="500" w:hanging="249"/>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w:t>
      </w:r>
    </w:p>
    <w:p>
      <w:pPr>
        <w:spacing w:after="0" w:line="144"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15% multiplied by ($10 million realized capital gains on sale of Investment A less $2 million cumulative capital depreciation) = </w:t>
      </w:r>
      <w:r>
        <w:rPr>
          <w:rFonts w:ascii="Times New Roman" w:cs="Times New Roman" w:eastAsia="Times New Roman" w:hAnsi="Times New Roman"/>
          <w:sz w:val="18"/>
          <w:szCs w:val="18"/>
          <w:b w:val="1"/>
          <w:bCs w:val="1"/>
          <w:color w:val="auto"/>
        </w:rPr>
        <w:t>$1.2 million</w:t>
      </w:r>
    </w:p>
    <w:p>
      <w:pPr>
        <w:spacing w:after="0" w:line="54" w:lineRule="exact"/>
        <w:rPr>
          <w:sz w:val="20"/>
          <w:szCs w:val="20"/>
          <w:color w:val="auto"/>
        </w:rPr>
      </w:pPr>
    </w:p>
    <w:p>
      <w:pPr>
        <w:ind w:left="500" w:hanging="249"/>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w:t>
      </w:r>
    </w:p>
    <w:p>
      <w:pPr>
        <w:spacing w:after="0" w:line="144" w:lineRule="exact"/>
        <w:rPr>
          <w:sz w:val="20"/>
          <w:szCs w:val="20"/>
          <w:color w:val="auto"/>
        </w:rPr>
      </w:pPr>
    </w:p>
    <w:p>
      <w:pPr>
        <w:ind w:left="520" w:right="84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Times New Roman" w:cs="Times New Roman" w:eastAsia="Times New Roman" w:hAnsi="Times New Roman"/>
          <w:sz w:val="18"/>
          <w:szCs w:val="18"/>
          <w:b w:val="1"/>
          <w:bCs w:val="1"/>
          <w:color w:val="auto"/>
        </w:rPr>
        <w:t>$0.00</w:t>
      </w:r>
    </w:p>
    <w:p>
      <w:pPr>
        <w:spacing w:after="0" w:line="54"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54" w:lineRule="exact"/>
        <w:rPr>
          <w:sz w:val="20"/>
          <w:szCs w:val="20"/>
          <w:color w:val="auto"/>
        </w:rPr>
      </w:pPr>
    </w:p>
    <w:p>
      <w:pPr>
        <w:ind w:left="500" w:hanging="249"/>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w:t>
      </w:r>
    </w:p>
    <w:p>
      <w:pPr>
        <w:spacing w:after="0" w:line="144"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Times New Roman" w:cs="Times New Roman" w:eastAsia="Times New Roman" w:hAnsi="Times New Roman"/>
          <w:sz w:val="18"/>
          <w:szCs w:val="18"/>
          <w:b w:val="1"/>
          <w:bCs w:val="1"/>
          <w:color w:val="auto"/>
        </w:rPr>
        <w:t>$0.6 million</w:t>
      </w:r>
    </w:p>
    <w:p>
      <w:pPr>
        <w:spacing w:after="0" w:line="54"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($12 million Pre-IPO Gain Amount divided by $12 million Total Gain Amount)) plus (17.5% multiplied by ($0 Post-IPO Gain Amount divided by $12 million Total Gain Amount)) = </w:t>
      </w:r>
      <w:r>
        <w:rPr>
          <w:rFonts w:ascii="Times New Roman" w:cs="Times New Roman" w:eastAsia="Times New Roman" w:hAnsi="Times New Roman"/>
          <w:sz w:val="18"/>
          <w:szCs w:val="18"/>
          <w:b w:val="1"/>
          <w:bCs w:val="1"/>
          <w:color w:val="auto"/>
        </w:rPr>
        <w:t>15%</w:t>
      </w:r>
    </w:p>
    <w:p>
      <w:pPr>
        <w:spacing w:after="0" w:line="54" w:lineRule="exact"/>
        <w:rPr>
          <w:sz w:val="20"/>
          <w:szCs w:val="20"/>
          <w:color w:val="auto"/>
        </w:rPr>
      </w:pPr>
    </w:p>
    <w:p>
      <w:pPr>
        <w:ind w:left="500" w:hanging="249"/>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w:t>
      </w:r>
    </w:p>
    <w:p>
      <w:pPr>
        <w:spacing w:after="0" w:line="144"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Times New Roman" w:cs="Times New Roman" w:eastAsia="Times New Roman" w:hAnsi="Times New Roman"/>
          <w:sz w:val="18"/>
          <w:szCs w:val="18"/>
          <w:b w:val="1"/>
          <w:bCs w:val="1"/>
          <w:color w:val="auto"/>
        </w:rPr>
        <w:t>$1.65 million</w:t>
      </w:r>
    </w:p>
    <w:p>
      <w:pPr>
        <w:spacing w:after="0" w:line="54"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Times New Roman" w:cs="Times New Roman" w:eastAsia="Times New Roman" w:hAnsi="Times New Roman"/>
          <w:sz w:val="18"/>
          <w:szCs w:val="18"/>
          <w:b w:val="1"/>
          <w:bCs w:val="1"/>
          <w:color w:val="auto"/>
        </w:rPr>
        <w:t>15.68%</w:t>
      </w:r>
    </w:p>
    <w:p>
      <w:pPr>
        <w:spacing w:after="0" w:line="54" w:lineRule="exact"/>
        <w:rPr>
          <w:sz w:val="20"/>
          <w:szCs w:val="20"/>
          <w:color w:val="auto"/>
        </w:rPr>
      </w:pPr>
    </w:p>
    <w:p>
      <w:pPr>
        <w:ind w:left="500" w:hanging="249"/>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w:t>
      </w:r>
    </w:p>
    <w:p>
      <w:pPr>
        <w:spacing w:after="0" w:line="144" w:lineRule="exact"/>
        <w:rPr>
          <w:sz w:val="20"/>
          <w:szCs w:val="20"/>
          <w:color w:val="auto"/>
        </w:rPr>
      </w:pPr>
    </w:p>
    <w:p>
      <w:pPr>
        <w:ind w:left="520" w:right="84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Times New Roman" w:cs="Times New Roman" w:eastAsia="Times New Roman" w:hAnsi="Times New Roman"/>
          <w:sz w:val="18"/>
          <w:szCs w:val="18"/>
          <w:b w:val="1"/>
          <w:bCs w:val="1"/>
          <w:color w:val="auto"/>
        </w:rPr>
        <w:t>$0.73 million</w:t>
      </w:r>
    </w:p>
    <w:p>
      <w:pPr>
        <w:spacing w:after="0" w:line="54"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500" w:hanging="249"/>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w:t>
      </w:r>
    </w:p>
    <w:p>
      <w:pPr>
        <w:spacing w:after="0" w:line="144"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Times New Roman" w:cs="Times New Roman" w:eastAsia="Times New Roman" w:hAnsi="Times New Roman"/>
          <w:sz w:val="18"/>
          <w:szCs w:val="18"/>
          <w:b w:val="1"/>
          <w:bCs w:val="1"/>
          <w:color w:val="auto"/>
        </w:rPr>
        <w:t>$0.00</w:t>
      </w:r>
    </w:p>
    <w:p>
      <w:pPr>
        <w:spacing w:after="0" w:line="54"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54" w:lineRule="exact"/>
        <w:rPr>
          <w:sz w:val="20"/>
          <w:szCs w:val="20"/>
          <w:color w:val="auto"/>
        </w:rPr>
      </w:pPr>
    </w:p>
    <w:p>
      <w:pPr>
        <w:ind w:left="500" w:hanging="249"/>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w:t>
      </w:r>
    </w:p>
    <w:p>
      <w:pPr>
        <w:spacing w:after="0" w:line="144"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Times New Roman" w:cs="Times New Roman" w:eastAsia="Times New Roman" w:hAnsi="Times New Roman"/>
          <w:sz w:val="18"/>
          <w:szCs w:val="18"/>
          <w:b w:val="1"/>
          <w:bCs w:val="1"/>
          <w:color w:val="auto"/>
        </w:rPr>
        <w:t>$1.39 million</w:t>
      </w:r>
    </w:p>
    <w:p>
      <w:pPr>
        <w:spacing w:after="0" w:line="54"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$36 million Total Gain Amount)) plus (17.5% multiplied by ($20 million Post-IPO Gain Amount divided by $36 million Total Gain Amount)) = </w:t>
      </w:r>
      <w:r>
        <w:rPr>
          <w:rFonts w:ascii="Times New Roman" w:cs="Times New Roman" w:eastAsia="Times New Roman" w:hAnsi="Times New Roman"/>
          <w:sz w:val="18"/>
          <w:szCs w:val="18"/>
          <w:b w:val="1"/>
          <w:bCs w:val="1"/>
          <w:color w:val="auto"/>
        </w:rPr>
        <w:t>16.39%</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Our Expenses</w:t>
      </w:r>
    </w:p>
    <w:p>
      <w:pPr>
        <w:spacing w:after="0" w:line="119"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68" w:lineRule="exact"/>
        <w:rPr>
          <w:sz w:val="20"/>
          <w:szCs w:val="20"/>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00" w:right="260" w:hanging="249"/>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00" w:hanging="249"/>
        <w:spacing w:after="0" w:line="261"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00" w:right="120" w:hanging="249"/>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1" w:name="page22"/>
    <w:bookmarkEnd w:id="21"/>
    <w:p>
      <w:pPr>
        <w:ind w:left="500" w:hanging="249"/>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Termination</w:t>
      </w:r>
    </w:p>
    <w:p>
      <w:pPr>
        <w:spacing w:after="0" w:line="11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Unless earlier terminated as described below, both the Investment Advisory Agreement and the Administration Agreement will remain in effect until November 2021,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8"/>
          <w:szCs w:val="18"/>
          <w:i w:val="1"/>
          <w:iCs w:val="1"/>
          <w:color w:val="auto"/>
        </w:rPr>
        <w:t>ITEM 1A. RISK FACTORS—Risks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Structure—We are dependent upon management personnel of the Adviser, Sixth Street, and their affiliates for our future success</w:t>
      </w:r>
      <w:r>
        <w:rPr>
          <w:rFonts w:ascii="Times New Roman" w:cs="Times New Roman" w:eastAsia="Times New Roman" w:hAnsi="Times New Roman"/>
          <w:sz w:val="18"/>
          <w:szCs w:val="18"/>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Approval of the Investment Advisory Agreement</w:t>
      </w:r>
    </w:p>
    <w:p>
      <w:pPr>
        <w:spacing w:after="0" w:line="11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2020. In its consideration of the Investment Advisory Agreement at the time of approval and renewal, the Board focused on information it had received relating to, among other things:</w:t>
      </w:r>
    </w:p>
    <w:p>
      <w:pPr>
        <w:spacing w:after="0" w:line="72" w:lineRule="exact"/>
        <w:rPr>
          <w:sz w:val="20"/>
          <w:szCs w:val="20"/>
          <w:color w:val="auto"/>
        </w:rPr>
      </w:pPr>
    </w:p>
    <w:p>
      <w:pPr>
        <w:ind w:left="500" w:hanging="249"/>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the Adviser;</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and financial performance on a standalone basis and against a comparative universe of peers;</w:t>
      </w:r>
    </w:p>
    <w:p>
      <w:pPr>
        <w:spacing w:after="0" w:line="144" w:lineRule="exact"/>
        <w:rPr>
          <w:rFonts w:ascii="Times New Roman" w:cs="Times New Roman" w:eastAsia="Times New Roman" w:hAnsi="Times New Roman"/>
          <w:sz w:val="18"/>
          <w:szCs w:val="18"/>
          <w:color w:val="auto"/>
        </w:rPr>
      </w:pPr>
    </w:p>
    <w:p>
      <w:pPr>
        <w:ind w:left="500" w:right="480" w:hanging="249"/>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expense ratio compared to BDCs with similar investment objectives;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ind w:left="500" w:hanging="249"/>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the Adviser from its relationships with us and the profitability of those income sources;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those services under the Investment Advisory Agreement;</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and functional capabilities and financial condition of the Adviser and its respective affiliates;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 managed structure.</w:t>
      </w:r>
    </w:p>
    <w:p>
      <w:pPr>
        <w:spacing w:after="0" w:line="252"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factors collectively as a whole.</w:t>
      </w:r>
    </w:p>
    <w:p>
      <w:pPr>
        <w:spacing w:after="0" w:line="176"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76"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3"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senior to our common stock if our asset coverage, as defined in the 1940 Act, is at least equal to 150% immediately after any borrowing or issuance (prior to October 9, 2018, our minimum asset coverage requirement was 200%). See “</w:t>
      </w:r>
      <w:r>
        <w:rPr>
          <w:rFonts w:ascii="Times New Roman" w:cs="Times New Roman" w:eastAsia="Times New Roman" w:hAnsi="Times New Roman"/>
          <w:sz w:val="18"/>
          <w:szCs w:val="18"/>
          <w:i w:val="1"/>
          <w:iCs w:val="1"/>
          <w:color w:val="auto"/>
        </w:rPr>
        <w:t>—Senior Securities</w:t>
      </w:r>
      <w:r>
        <w:rPr>
          <w:rFonts w:ascii="Times New Roman" w:cs="Times New Roman" w:eastAsia="Times New Roman" w:hAnsi="Times New Roman"/>
          <w:sz w:val="18"/>
          <w:szCs w:val="18"/>
          <w:color w:val="auto"/>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Structure—We borrow money, which magnifies the potential for gain or loss and increases the risk of investing in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2020 and 2019, our asset coverage was 204.5% and 200.4% respectively.</w:t>
      </w:r>
    </w:p>
    <w:p>
      <w:pPr>
        <w:spacing w:after="0" w:line="192"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anticipate any substantial change in the nature of our business.</w:t>
      </w:r>
    </w:p>
    <w:p>
      <w:pPr>
        <w:spacing w:after="0" w:line="225"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“—Regulated Investment Company Classification” for more information.</w:t>
      </w:r>
    </w:p>
    <w:p>
      <w:pPr>
        <w:spacing w:after="0" w:line="187"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3" w:name="page24"/>
    <w:bookmarkEnd w:id="23"/>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28, 2020, we are currently permitted to sell or otherwise issue shares of our common stock at a price below our then-current net asset value per share, subject to the approval of our Board and certain other conditions. Such stockholder approval expires on May 28, 2021.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Compliance with regulations has not had a material effect on our capital expenditure, earnings or competitive position.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are subject to certain risks and uncertainties. See “</w:t>
      </w:r>
      <w:r>
        <w:rPr>
          <w:rFonts w:ascii="Times New Roman" w:cs="Times New Roman" w:eastAsia="Times New Roman" w:hAnsi="Times New Roman"/>
          <w:sz w:val="18"/>
          <w:szCs w:val="18"/>
          <w:i w:val="1"/>
          <w:iCs w:val="1"/>
          <w:color w:val="auto"/>
        </w:rPr>
        <w:t>ITEM 1A. RISK FACTORS—Risks Related to Our Business and Structure.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our Affiliates</w:t>
      </w:r>
    </w:p>
    <w:p>
      <w:pPr>
        <w:spacing w:after="0" w:line="119"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8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54" w:lineRule="exact"/>
        <w:rPr>
          <w:sz w:val="20"/>
          <w:szCs w:val="20"/>
          <w:color w:val="auto"/>
        </w:rPr>
      </w:pPr>
    </w:p>
    <w:p>
      <w:pPr>
        <w:ind w:left="500" w:right="200" w:hanging="249"/>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our investment strategies and policies;</w:t>
      </w:r>
    </w:p>
    <w:p>
      <w:pPr>
        <w:spacing w:after="0" w:line="144" w:lineRule="exact"/>
        <w:rPr>
          <w:rFonts w:ascii="Times New Roman" w:cs="Times New Roman" w:eastAsia="Times New Roman" w:hAnsi="Times New Roman"/>
          <w:sz w:val="18"/>
          <w:szCs w:val="18"/>
          <w:color w:val="auto"/>
        </w:rPr>
      </w:pPr>
    </w:p>
    <w:p>
      <w:pPr>
        <w:ind w:left="500" w:right="100" w:hanging="249"/>
        <w:spacing w:after="0" w:line="282"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by our affiliate would not disadvantage us, and our participation is not on a basis different from or less advantageous than that of our affiliate; and</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will not benefit any affiliate other than the affiliate participating in the investment, and as otherwise permitted by the order.</w:t>
      </w:r>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13. CERTAIN RELATIONSHIPS AND RELATED TRANSACTIONS, AND DIRECTOR INDEPENDENCE.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Qualifying Assets</w:t>
      </w:r>
    </w:p>
    <w:p>
      <w:pPr>
        <w:spacing w:after="0" w:line="11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ind w:left="500" w:right="440" w:hanging="249"/>
        <w:spacing w:after="0" w:line="261"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1"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44" w:lineRule="exact"/>
        <w:rPr>
          <w:rFonts w:ascii="Times New Roman" w:cs="Times New Roman" w:eastAsia="Times New Roman" w:hAnsi="Times New Roman"/>
          <w:sz w:val="18"/>
          <w:szCs w:val="18"/>
          <w:color w:val="auto"/>
        </w:rPr>
      </w:pPr>
    </w:p>
    <w:p>
      <w:pPr>
        <w:ind w:left="760" w:right="100" w:hanging="253"/>
        <w:spacing w:after="0" w:line="282" w:lineRule="auto"/>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53"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44" w:lineRule="exact"/>
        <w:rPr>
          <w:rFonts w:ascii="Times New Roman" w:cs="Times New Roman" w:eastAsia="Times New Roman" w:hAnsi="Times New Roman"/>
          <w:sz w:val="18"/>
          <w:szCs w:val="18"/>
          <w:color w:val="auto"/>
        </w:rPr>
      </w:pPr>
    </w:p>
    <w:p>
      <w:pPr>
        <w:ind w:left="1260" w:right="660" w:hanging="240"/>
        <w:spacing w:after="0" w:line="282" w:lineRule="auto"/>
        <w:tabs>
          <w:tab w:leader="none" w:pos="12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equity market capitalization of less than $250 million or does not have any class of securities listed on a national securities exchange;</w:t>
      </w:r>
    </w:p>
    <w:p>
      <w:pPr>
        <w:spacing w:after="0" w:line="53" w:lineRule="exact"/>
        <w:rPr>
          <w:rFonts w:ascii="Times New Roman" w:cs="Times New Roman" w:eastAsia="Times New Roman" w:hAnsi="Times New Roman"/>
          <w:sz w:val="18"/>
          <w:szCs w:val="18"/>
          <w:color w:val="auto"/>
        </w:rPr>
      </w:pPr>
    </w:p>
    <w:p>
      <w:pPr>
        <w:ind w:left="1260" w:right="240" w:hanging="240"/>
        <w:spacing w:after="0" w:line="266" w:lineRule="auto"/>
        <w:tabs>
          <w:tab w:leader="none" w:pos="12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67" w:lineRule="exact"/>
        <w:rPr>
          <w:rFonts w:ascii="Times New Roman" w:cs="Times New Roman" w:eastAsia="Times New Roman" w:hAnsi="Times New Roman"/>
          <w:sz w:val="18"/>
          <w:szCs w:val="18"/>
          <w:color w:val="auto"/>
        </w:rPr>
      </w:pPr>
    </w:p>
    <w:p>
      <w:pPr>
        <w:ind w:left="1260" w:hanging="240"/>
        <w:spacing w:after="0"/>
        <w:tabs>
          <w:tab w:leader="none" w:pos="126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44" w:lineRule="exact"/>
        <w:rPr>
          <w:rFonts w:ascii="Times New Roman" w:cs="Times New Roman" w:eastAsia="Times New Roman" w:hAnsi="Times New Roman"/>
          <w:sz w:val="18"/>
          <w:szCs w:val="18"/>
          <w:color w:val="auto"/>
        </w:rPr>
      </w:pPr>
    </w:p>
    <w:p>
      <w:pPr>
        <w:ind w:left="500" w:right="360" w:hanging="249"/>
        <w:spacing w:after="0" w:line="261"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1" w:lineRule="exact"/>
        <w:rPr>
          <w:rFonts w:ascii="Times New Roman" w:cs="Times New Roman" w:eastAsia="Times New Roman" w:hAnsi="Times New Roman"/>
          <w:sz w:val="18"/>
          <w:szCs w:val="18"/>
          <w:color w:val="auto"/>
        </w:rPr>
      </w:pPr>
    </w:p>
    <w:p>
      <w:pPr>
        <w:ind w:left="500" w:right="120" w:hanging="249"/>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3" w:lineRule="exact"/>
        <w:rPr>
          <w:rFonts w:ascii="Times New Roman" w:cs="Times New Roman" w:eastAsia="Times New Roman" w:hAnsi="Times New Roman"/>
          <w:sz w:val="18"/>
          <w:szCs w:val="18"/>
          <w:color w:val="auto"/>
        </w:rPr>
      </w:pPr>
    </w:p>
    <w:p>
      <w:pPr>
        <w:ind w:left="500" w:right="260" w:hanging="249"/>
        <w:spacing w:after="0" w:line="282"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5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Managerial Assistance to Portfolio Companies</w:t>
      </w:r>
    </w:p>
    <w:p>
      <w:pPr>
        <w:spacing w:after="0" w:line="119"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Securities</w:t>
      </w:r>
    </w:p>
    <w:p>
      <w:pPr>
        <w:spacing w:after="0" w:line="119" w:lineRule="exact"/>
        <w:rPr>
          <w:sz w:val="20"/>
          <w:szCs w:val="20"/>
          <w:color w:val="auto"/>
        </w:rPr>
      </w:pPr>
    </w:p>
    <w:p>
      <w:pPr>
        <w:ind w:right="280" w:firstLine="255"/>
        <w:spacing w:after="0" w:line="258"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Small Business Credit Availability Act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5" w:name="page26"/>
    <w:bookmarkEnd w:id="25"/>
    <w:p>
      <w:pPr>
        <w:jc w:val="both"/>
        <w:ind w:right="120" w:firstLine="255"/>
        <w:spacing w:after="0" w:line="261" w:lineRule="auto"/>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0"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83"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1940 Act imposes limitations on a BDC’s issuance of preferred stock, which is considered a “senior security” and thus is subject to the 150% asset coverage requirement described above.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2020 and 2019, our asset coverage was 204.5% and 200.4%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codes of ethics which apply to, among others, our and our Adviser’s executive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Policies and Procedures</w:t>
      </w:r>
    </w:p>
    <w:p>
      <w:pPr>
        <w:spacing w:after="0" w:line="119" w:lineRule="exact"/>
        <w:rPr>
          <w:sz w:val="20"/>
          <w:szCs w:val="20"/>
          <w:color w:val="auto"/>
        </w:rPr>
      </w:pPr>
    </w:p>
    <w:p>
      <w:pPr>
        <w:ind w:right="160" w:firstLine="255"/>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of 2002</w:t>
      </w:r>
    </w:p>
    <w:p>
      <w:pPr>
        <w:spacing w:after="0" w:line="119"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54" w:lineRule="exact"/>
        <w:rPr>
          <w:sz w:val="20"/>
          <w:szCs w:val="20"/>
          <w:color w:val="auto"/>
        </w:rPr>
      </w:pPr>
    </w:p>
    <w:p>
      <w:pPr>
        <w:ind w:left="500" w:right="740" w:hanging="249"/>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Chief Executive Officer and Chief Financial Officer certify the accuracy of the financial statements contained in our periodic reports;</w:t>
      </w:r>
    </w:p>
    <w:p>
      <w:pPr>
        <w:spacing w:after="0" w:line="53" w:lineRule="exact"/>
        <w:rPr>
          <w:rFonts w:ascii="Times New Roman" w:cs="Times New Roman" w:eastAsia="Times New Roman" w:hAnsi="Times New Roman"/>
          <w:sz w:val="18"/>
          <w:szCs w:val="18"/>
          <w:color w:val="auto"/>
        </w:rPr>
      </w:pPr>
    </w:p>
    <w:p>
      <w:pPr>
        <w:ind w:left="500" w:right="660" w:hanging="249"/>
        <w:spacing w:after="0" w:line="282"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disclose our conclusions about the effectiveness of our disclosure controls and procedures;</w:t>
      </w:r>
    </w:p>
    <w:p>
      <w:pPr>
        <w:spacing w:after="0" w:line="53" w:lineRule="exact"/>
        <w:rPr>
          <w:rFonts w:ascii="Times New Roman" w:cs="Times New Roman" w:eastAsia="Times New Roman" w:hAnsi="Times New Roman"/>
          <w:sz w:val="18"/>
          <w:szCs w:val="18"/>
          <w:color w:val="auto"/>
        </w:rPr>
      </w:pPr>
    </w:p>
    <w:p>
      <w:pPr>
        <w:ind w:left="500" w:hanging="249"/>
        <w:spacing w:after="0" w:line="312" w:lineRule="auto"/>
        <w:tabs>
          <w:tab w:leader="none" w:pos="5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31" w:lineRule="exact"/>
        <w:rPr>
          <w:rFonts w:ascii="Times New Roman" w:cs="Times New Roman" w:eastAsia="Times New Roman" w:hAnsi="Times New Roman"/>
          <w:sz w:val="17"/>
          <w:szCs w:val="17"/>
          <w:color w:val="auto"/>
        </w:rPr>
      </w:pPr>
    </w:p>
    <w:p>
      <w:pPr>
        <w:ind w:left="500" w:right="100" w:hanging="249"/>
        <w:spacing w:after="0" w:line="266" w:lineRule="auto"/>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76"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The NYSE Corporate Governance Rules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NYSE has adopted corporate governance rules that listed companies must comply with. We believe we are in compliance with these rules.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Proxy Voting Policies and Procedures</w:t>
      </w:r>
    </w:p>
    <w:p>
      <w:pPr>
        <w:spacing w:after="0" w:line="119" w:lineRule="exact"/>
        <w:rPr>
          <w:sz w:val="20"/>
          <w:szCs w:val="20"/>
          <w:color w:val="auto"/>
        </w:rPr>
      </w:pPr>
    </w:p>
    <w:p>
      <w:pPr>
        <w:ind w:right="760" w:firstLine="255"/>
        <w:spacing w:after="0" w:line="282" w:lineRule="auto"/>
        <w:rPr>
          <w:sz w:val="20"/>
          <w:szCs w:val="20"/>
          <w:color w:val="auto"/>
        </w:rPr>
      </w:pPr>
      <w:r>
        <w:rPr>
          <w:rFonts w:ascii="Times New Roman" w:cs="Times New Roman" w:eastAsia="Times New Roman" w:hAnsi="Times New Roman"/>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0"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Privacy Principles</w:t>
      </w:r>
    </w:p>
    <w:p>
      <w:pPr>
        <w:spacing w:after="0" w:line="119"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9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Obligations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76"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We make available on our website (www.sixthstreetspecialtylending.com) our proxy statements, our annual reports on Form 10-K, quarterly reports on Form 10-Q and our current reports on Form 8-K that we file with the SEC.</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SEC also maintains a website (www.sec.gov) that contains this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Regulated Investment Company Classification</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17" w:lineRule="exact"/>
        <w:rPr>
          <w:sz w:val="20"/>
          <w:szCs w:val="20"/>
          <w:color w:val="auto"/>
        </w:rPr>
      </w:pPr>
    </w:p>
    <w:p>
      <w:pPr>
        <w:ind w:left="500" w:hanging="249"/>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44" w:lineRule="exact"/>
        <w:rPr>
          <w:rFonts w:ascii="Times New Roman" w:cs="Times New Roman" w:eastAsia="Times New Roman" w:hAnsi="Times New Roman"/>
          <w:sz w:val="18"/>
          <w:szCs w:val="18"/>
          <w:color w:val="auto"/>
        </w:rPr>
      </w:pPr>
    </w:p>
    <w:p>
      <w:pPr>
        <w:ind w:left="500" w:right="200" w:hanging="249"/>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44" w:lineRule="exact"/>
        <w:rPr>
          <w:rFonts w:ascii="Times New Roman" w:cs="Times New Roman" w:eastAsia="Times New Roman" w:hAnsi="Times New Roman"/>
          <w:sz w:val="18"/>
          <w:szCs w:val="18"/>
          <w:color w:val="auto"/>
        </w:rPr>
      </w:pPr>
    </w:p>
    <w:p>
      <w:pPr>
        <w:ind w:left="760" w:right="140" w:hanging="253"/>
        <w:spacing w:after="0" w:line="266"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7" w:lineRule="exact"/>
        <w:rPr>
          <w:rFonts w:ascii="Times New Roman" w:cs="Times New Roman" w:eastAsia="Times New Roman" w:hAnsi="Times New Roman"/>
          <w:sz w:val="18"/>
          <w:szCs w:val="18"/>
          <w:color w:val="auto"/>
        </w:rPr>
      </w:pPr>
    </w:p>
    <w:p>
      <w:pPr>
        <w:ind w:left="760" w:right="260" w:hanging="253"/>
        <w:spacing w:after="0" w:line="266" w:lineRule="auto"/>
        <w:tabs>
          <w:tab w:leader="none" w:pos="7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9" w:lineRule="exact"/>
        <w:rPr>
          <w:sz w:val="20"/>
          <w:szCs w:val="20"/>
          <w:color w:val="auto"/>
        </w:rPr>
      </w:pPr>
    </w:p>
    <w:p>
      <w:pPr>
        <w:ind w:left="760" w:hanging="253"/>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44" w:lineRule="exact"/>
        <w:rPr>
          <w:rFonts w:ascii="Times New Roman" w:cs="Times New Roman" w:eastAsia="Times New Roman" w:hAnsi="Times New Roman"/>
          <w:sz w:val="18"/>
          <w:szCs w:val="18"/>
          <w:color w:val="auto"/>
        </w:rPr>
      </w:pPr>
    </w:p>
    <w:p>
      <w:pPr>
        <w:ind w:left="760" w:right="760" w:hanging="253"/>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53"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5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0"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for a description of our dividend policy and obligations. One or more of the considerations described below, however, could result in the deferral of dividend distributions until the end of the fiscal year:</w:t>
      </w:r>
    </w:p>
    <w:p>
      <w:pPr>
        <w:spacing w:after="0" w:line="72" w:lineRule="exact"/>
        <w:rPr>
          <w:sz w:val="20"/>
          <w:szCs w:val="20"/>
          <w:color w:val="auto"/>
        </w:rPr>
      </w:pPr>
    </w:p>
    <w:p>
      <w:pPr>
        <w:ind w:left="500" w:right="20" w:hanging="249"/>
        <w:spacing w:after="0" w:line="266"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7" w:lineRule="exact"/>
        <w:rPr>
          <w:rFonts w:ascii="Times New Roman" w:cs="Times New Roman" w:eastAsia="Times New Roman" w:hAnsi="Times New Roman"/>
          <w:sz w:val="18"/>
          <w:szCs w:val="18"/>
          <w:color w:val="auto"/>
        </w:rPr>
      </w:pPr>
    </w:p>
    <w:p>
      <w:pPr>
        <w:ind w:left="500" w:right="100" w:hanging="249"/>
        <w:spacing w:after="0" w:line="282"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28" w:name="page29"/>
    <w:bookmarkEnd w:id="28"/>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19" w:lineRule="exact"/>
        <w:rPr>
          <w:sz w:val="20"/>
          <w:szCs w:val="20"/>
          <w:color w:val="auto"/>
        </w:rPr>
      </w:pP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27" w:lineRule="exact"/>
        <w:rPr>
          <w:rFonts w:ascii="Times New Roman" w:cs="Times New Roman" w:eastAsia="Times New Roman" w:hAnsi="Times New Roman"/>
          <w:sz w:val="18"/>
          <w:szCs w:val="18"/>
          <w:color w:val="auto"/>
        </w:rPr>
      </w:pPr>
    </w:p>
    <w:p>
      <w:pPr>
        <w:ind w:left="740" w:right="6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regulations governing our operation as a BDC, which affect our ability to, and the way in which we, raise additional capital. Changes in regulation could adversely affect our business.</w:t>
      </w: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9" w:lineRule="exact"/>
        <w:rPr>
          <w:rFonts w:ascii="Times New Roman" w:cs="Times New Roman" w:eastAsia="Times New Roman" w:hAnsi="Times New Roman"/>
          <w:sz w:val="18"/>
          <w:szCs w:val="18"/>
          <w:color w:val="auto"/>
        </w:rPr>
      </w:pPr>
    </w:p>
    <w:p>
      <w:pPr>
        <w:ind w:left="740" w:right="54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ind w:left="740" w:right="60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ind w:left="740" w:right="18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ind w:left="740" w:right="16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ind w:left="740" w:right="28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be expected to retain some income and capital gains in excess of what is permissible for excise tax purposes and such amounts will be subject to 4% U.S. federal excise tax.</w:t>
      </w: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9" w:lineRule="exact"/>
        <w:rPr>
          <w:rFonts w:ascii="Times New Roman" w:cs="Times New Roman" w:eastAsia="Times New Roman" w:hAnsi="Times New Roman"/>
          <w:sz w:val="18"/>
          <w:szCs w:val="18"/>
          <w:color w:val="auto"/>
        </w:rPr>
      </w:pPr>
    </w:p>
    <w:p>
      <w:pPr>
        <w:ind w:left="740" w:right="12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1" w:lineRule="exact"/>
        <w:rPr>
          <w:rFonts w:ascii="Times New Roman" w:cs="Times New Roman" w:eastAsia="Times New Roman" w:hAnsi="Times New Roman"/>
          <w:sz w:val="18"/>
          <w:szCs w:val="18"/>
          <w:color w:val="auto"/>
        </w:rPr>
      </w:pPr>
    </w:p>
    <w:p>
      <w:pPr>
        <w:ind w:left="740" w:right="58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9" w:lineRule="exact"/>
        <w:rPr>
          <w:rFonts w:ascii="Times New Roman" w:cs="Times New Roman" w:eastAsia="Times New Roman" w:hAnsi="Times New Roman"/>
          <w:sz w:val="18"/>
          <w:szCs w:val="18"/>
          <w:color w:val="auto"/>
        </w:rPr>
      </w:pPr>
    </w:p>
    <w:p>
      <w:pPr>
        <w:ind w:left="740" w:hanging="368"/>
        <w:spacing w:after="0" w:line="25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General Corporation Law of the State of Delaware and our certificate of incorporation and bylaws could deter takeover attempts and have an adverse effect on the price of our common stock.</w:t>
      </w: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9" w:lineRule="exact"/>
        <w:rPr>
          <w:rFonts w:ascii="Times New Roman" w:cs="Times New Roman" w:eastAsia="Times New Roman" w:hAnsi="Times New Roman"/>
          <w:sz w:val="18"/>
          <w:szCs w:val="18"/>
          <w:color w:val="auto"/>
        </w:rPr>
      </w:pPr>
    </w:p>
    <w:p>
      <w:pPr>
        <w:ind w:left="740" w:right="200" w:hanging="368"/>
        <w:spacing w:after="0" w:line="260"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Risks Related to Economic Conditions</w:t>
      </w:r>
    </w:p>
    <w:p>
      <w:pPr>
        <w:spacing w:after="0" w:line="119" w:lineRule="exact"/>
        <w:rPr>
          <w:sz w:val="20"/>
          <w:szCs w:val="20"/>
          <w:color w:val="auto"/>
        </w:rPr>
      </w:pPr>
    </w:p>
    <w:p>
      <w:pPr>
        <w:ind w:left="740" w:right="620" w:hanging="368"/>
        <w:spacing w:after="0" w:line="261"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materially and adversely affected, and is likely to continue to materially and adversely affect, our portfolio companies and the results of our operations, including our financial results.</w:t>
      </w:r>
    </w:p>
    <w:p>
      <w:pPr>
        <w:ind w:left="740" w:right="640" w:hanging="368"/>
        <w:spacing w:after="0" w:line="250"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ind w:left="740" w:hanging="368"/>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financial stability could have a significant adverse effect on our business, results of operations and financial condition.</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19" w:lineRule="exact"/>
        <w:rPr>
          <w:sz w:val="20"/>
          <w:szCs w:val="20"/>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27" w:lineRule="exact"/>
        <w:rPr>
          <w:rFonts w:ascii="Times New Roman" w:cs="Times New Roman" w:eastAsia="Times New Roman" w:hAnsi="Times New Roman"/>
          <w:sz w:val="18"/>
          <w:szCs w:val="18"/>
          <w:color w:val="auto"/>
        </w:rPr>
      </w:pPr>
    </w:p>
    <w:p>
      <w:pPr>
        <w:ind w:left="740" w:right="140" w:hanging="368"/>
        <w:spacing w:after="0" w:line="250"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w:t>
      </w:r>
    </w:p>
    <w:p>
      <w:pPr>
        <w:spacing w:after="0" w:line="9" w:lineRule="exact"/>
        <w:rPr>
          <w:rFonts w:ascii="Times New Roman" w:cs="Times New Roman" w:eastAsia="Times New Roman" w:hAnsi="Times New Roman"/>
          <w:sz w:val="18"/>
          <w:szCs w:val="18"/>
          <w:color w:val="auto"/>
        </w:rPr>
      </w:pPr>
    </w:p>
    <w:p>
      <w:pPr>
        <w:ind w:left="740" w:right="380" w:hanging="368"/>
        <w:spacing w:after="0" w:line="250"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loss if any of these companies defaults on its obligations under any of its debt instruments or if there is a downturn in a particular industry.</w:t>
      </w: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9" w:lineRule="exact"/>
        <w:rPr>
          <w:rFonts w:ascii="Times New Roman" w:cs="Times New Roman" w:eastAsia="Times New Roman" w:hAnsi="Times New Roman"/>
          <w:sz w:val="18"/>
          <w:szCs w:val="18"/>
          <w:color w:val="auto"/>
        </w:rPr>
      </w:pPr>
    </w:p>
    <w:p>
      <w:pPr>
        <w:ind w:left="740" w:right="360" w:hanging="368"/>
        <w:spacing w:after="0" w:line="250"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9" w:lineRule="exact"/>
        <w:rPr>
          <w:rFonts w:ascii="Times New Roman" w:cs="Times New Roman" w:eastAsia="Times New Roman" w:hAnsi="Times New Roman"/>
          <w:sz w:val="18"/>
          <w:szCs w:val="18"/>
          <w:color w:val="auto"/>
        </w:rPr>
      </w:pPr>
    </w:p>
    <w:p>
      <w:pPr>
        <w:ind w:left="740" w:right="280" w:hanging="368"/>
        <w:spacing w:after="0" w:line="250"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ind w:left="740" w:right="360" w:hanging="368"/>
        <w:spacing w:after="0" w:line="250"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special risks associated with bankruptcy cases.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make follow-on investments in our portfolio companies could impair the value of our investments.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9" w:lineRule="exact"/>
        <w:rPr>
          <w:rFonts w:ascii="Times New Roman" w:cs="Times New Roman" w:eastAsia="Times New Roman" w:hAnsi="Times New Roman"/>
          <w:sz w:val="18"/>
          <w:szCs w:val="18"/>
          <w:color w:val="auto"/>
        </w:rPr>
      </w:pPr>
    </w:p>
    <w:p>
      <w:pPr>
        <w:ind w:left="740" w:hanging="368"/>
        <w:spacing w:after="0" w:line="250"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9" w:lineRule="exact"/>
        <w:rPr>
          <w:rFonts w:ascii="Times New Roman" w:cs="Times New Roman" w:eastAsia="Times New Roman" w:hAnsi="Times New Roman"/>
          <w:sz w:val="18"/>
          <w:szCs w:val="18"/>
          <w:color w:val="auto"/>
        </w:rPr>
      </w:pPr>
    </w:p>
    <w:p>
      <w:pPr>
        <w:ind w:left="740" w:right="480" w:hanging="368"/>
        <w:spacing w:after="0" w:line="250"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market structure applicable to derivatives imposed by the Dodd-Frank Act may affect our ability to use over-the-counter (“OTC”) derivatives for hedging purposes.</w:t>
      </w: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cease to be eligible for an exemption from regulation as a commodity pool operator, our compliance expenses could increase substantially.</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investments may present special tax issues.</w:t>
      </w:r>
    </w:p>
    <w:p>
      <w:pPr>
        <w:spacing w:after="0" w:line="9" w:lineRule="exact"/>
        <w:rPr>
          <w:rFonts w:ascii="Times New Roman" w:cs="Times New Roman" w:eastAsia="Times New Roman" w:hAnsi="Times New Roman"/>
          <w:sz w:val="18"/>
          <w:szCs w:val="18"/>
          <w:color w:val="auto"/>
        </w:rPr>
      </w:pPr>
    </w:p>
    <w:p>
      <w:pPr>
        <w:ind w:left="740" w:right="120" w:hanging="368"/>
        <w:spacing w:after="0" w:line="265" w:lineRule="auto"/>
        <w:tabs>
          <w:tab w:leader="none" w:pos="7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ind w:left="740" w:hanging="368"/>
        <w:spacing w:after="0"/>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risks associated with holding debt obligations that have original issue discount or payment-in-kind interest.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19" w:lineRule="exact"/>
        <w:rPr>
          <w:sz w:val="20"/>
          <w:szCs w:val="20"/>
          <w:color w:val="auto"/>
        </w:rPr>
      </w:pPr>
    </w:p>
    <w:p>
      <w:pPr>
        <w:ind w:left="740" w:hanging="368"/>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 and could decline.</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experience dilution upon the conversion of the 2022 Convertible Notes.</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experience dilution in their ownership percentage if they opt out of our dividend reinvestment plan.</w:t>
      </w:r>
    </w:p>
    <w:p>
      <w:pPr>
        <w:spacing w:after="0" w:line="9" w:lineRule="exact"/>
        <w:rPr>
          <w:rFonts w:ascii="Times New Roman" w:cs="Times New Roman" w:eastAsia="Times New Roman" w:hAnsi="Times New Roman"/>
          <w:sz w:val="18"/>
          <w:szCs w:val="18"/>
          <w:color w:val="auto"/>
        </w:rPr>
      </w:pPr>
    </w:p>
    <w:p>
      <w:pPr>
        <w:ind w:left="740" w:right="60" w:hanging="368"/>
        <w:spacing w:after="0" w:line="260" w:lineRule="auto"/>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19" w:lineRule="exact"/>
        <w:rPr>
          <w:sz w:val="20"/>
          <w:szCs w:val="20"/>
          <w:color w:val="auto"/>
        </w:rPr>
      </w:pPr>
    </w:p>
    <w:p>
      <w:pPr>
        <w:ind w:left="740" w:right="320" w:hanging="368"/>
        <w:spacing w:after="0" w:line="261" w:lineRule="auto"/>
        <w:tabs>
          <w:tab w:leader="none" w:pos="7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w:t>
      </w:r>
    </w:p>
    <w:p>
      <w:pPr>
        <w:ind w:left="740" w:hanging="368"/>
        <w:spacing w:after="0"/>
        <w:tabs>
          <w:tab w:leader="none" w:pos="7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Sixth Street and their affiliates for our future success.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3" w:lineRule="exact"/>
        <w:rPr>
          <w:sz w:val="20"/>
          <w:szCs w:val="20"/>
          <w:color w:val="auto"/>
        </w:rPr>
      </w:pPr>
    </w:p>
    <w:p>
      <w:pPr>
        <w:ind w:right="220" w:firstLine="255"/>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19"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See “</w:t>
      </w:r>
      <w:r>
        <w:rPr>
          <w:rFonts w:ascii="Times New Roman" w:cs="Times New Roman" w:eastAsia="Times New Roman" w:hAnsi="Times New Roman"/>
          <w:sz w:val="18"/>
          <w:szCs w:val="18"/>
          <w:i w:val="1"/>
          <w:iCs w:val="1"/>
          <w:color w:val="auto"/>
        </w:rPr>
        <w:t>ITEM 1. BUSINESS—Regulation as a Business Development Company</w:t>
      </w:r>
      <w:r>
        <w:rPr>
          <w:rFonts w:ascii="Times New Roman" w:cs="Times New Roman" w:eastAsia="Times New Roman" w:hAnsi="Times New Roman"/>
          <w:sz w:val="18"/>
          <w:szCs w:val="18"/>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2"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80"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92"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1" w:name="page32"/>
    <w:bookmarkEnd w:id="31"/>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28,2020, we are currently permitted to sell or otherwise issue shares of our common stock at a price below our then-current net asset value per share, subject to the approval of our Board and certain other conditions. Such stockholder approval expires on May 28, 2021.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97"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7"/>
          <w:szCs w:val="17"/>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7"/>
          <w:szCs w:val="17"/>
          <w:i w:val="1"/>
          <w:iCs w:val="1"/>
          <w:color w:val="auto"/>
        </w:rPr>
        <w:t>—Risks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Our Portfolio Company Investments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We may securitize certain of our investments, which may subject us to certain structured financing risks</w:t>
      </w:r>
      <w:r>
        <w:rPr>
          <w:rFonts w:ascii="Times New Roman" w:cs="Times New Roman" w:eastAsia="Times New Roman" w:hAnsi="Times New Roman"/>
          <w:sz w:val="17"/>
          <w:szCs w:val="17"/>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121"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Structure—Even in the event the value of your investment declines, the Management Fee and, in certain circumstances, the Incentive Fee will still be payable to the Adviser</w:t>
      </w:r>
      <w:r>
        <w:rPr>
          <w:rFonts w:ascii="Times New Roman" w:cs="Times New Roman" w:eastAsia="Times New Roman" w:hAnsi="Times New Roman"/>
          <w:sz w:val="18"/>
          <w:szCs w:val="18"/>
          <w:color w:val="auto"/>
        </w:rPr>
        <w:t>.” The amount of leverage that we employ will depend on our Adviser’s and our Board’s assessment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other factors at the time of any proposed borrowing. We cannot assure you that we will be able to obtain credit at all or on terms acceptable to us.</w:t>
      </w:r>
    </w:p>
    <w:p>
      <w:pPr>
        <w:spacing w:after="0" w:line="19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2"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2020, we had $1,112.6 million of outstanding indebtedness, which had an annualized interest cost of 3.0% under the terms of our debt, excluding fees (such as fees on undrawn amounts and amortization of upfront fees) and giving effect to the swap-adjusted interest rates on our 2022 Convertible Notes, 2023 Notes and 2024 Notes.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jc w:val="both"/>
        <w:ind w:right="12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2020, as adjusted to give effect to the interest rate swaps, the interest rate on the 2022 Convertible Notes was three-month LIBOR plus 2.11% (on a weighted-average basis), the interest rate on the 2023 Notes was three-month LIBOR plus 1.99%, and the interest rate on the 2024 Notes was three-month LIBOR plus 2.28% (on a weighted-average basis).</w:t>
      </w:r>
    </w:p>
    <w:p>
      <w:pPr>
        <w:spacing w:after="0" w:line="176"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For us to cover these annualized interest payments on indebtedness, we must achieve annual returns on our investments of at least 1.5%.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7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Effects of Leverage Based on Actual Amount of Borrowings Incurred by us as of December 31,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6"/>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-5%</w:t>
            </w:r>
          </w:p>
        </w:tc>
        <w:tc>
          <w:tcPr>
            <w:tcW w:w="320" w:type="dxa"/>
            <w:vAlign w:val="bottom"/>
          </w:tcPr>
          <w:p>
            <w:pPr>
              <w:spacing w:after="0"/>
              <w:rPr>
                <w:sz w:val="12"/>
                <w:szCs w:val="12"/>
                <w:color w:val="auto"/>
              </w:rPr>
            </w:pPr>
          </w:p>
        </w:tc>
        <w:tc>
          <w:tcPr>
            <w:tcW w:w="17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(net of expenses) </w:t>
            </w:r>
            <w:r>
              <w:rPr>
                <w:rFonts w:ascii="Times New Roman" w:cs="Times New Roman" w:eastAsia="Times New Roman" w:hAnsi="Times New Roman"/>
                <w:sz w:val="12"/>
                <w:szCs w:val="12"/>
                <w:b w:val="1"/>
                <w:bCs w:val="1"/>
                <w:color w:val="auto"/>
              </w:rPr>
              <w:t>(1)</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3"/>
                <w:shd w:val="clear" w:color="auto" w:fill="CCEEFF"/>
              </w:rPr>
              <w:t xml:space="preserve">Corresponding return to stockholder </w:t>
            </w:r>
            <w:r>
              <w:rPr>
                <w:rFonts w:ascii="Times New Roman" w:cs="Times New Roman" w:eastAsia="Times New Roman" w:hAnsi="Times New Roman"/>
                <w:sz w:val="15"/>
                <w:szCs w:val="15"/>
                <w:color w:val="auto"/>
                <w:w w:val="93"/>
                <w:shd w:val="clear" w:color="auto" w:fill="CCEEFF"/>
              </w:rPr>
              <w:t>(2)</w:t>
            </w:r>
          </w:p>
        </w:tc>
        <w:tc>
          <w:tcPr>
            <w:tcW w:w="2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-23.0%</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-12.9%</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5"/>
                <w:shd w:val="clear" w:color="auto" w:fill="CCEEFF"/>
              </w:rPr>
              <w:t>7.2%</w:t>
            </w: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17.3%</w:t>
            </w:r>
          </w:p>
        </w:tc>
        <w:tc>
          <w:tcPr>
            <w:tcW w:w="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hanging="492"/>
        <w:spacing w:after="0" w:line="257"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2020. As a result, it has not been updated to take into account any changes in assets or leverage since December 31, 2020.</w:t>
      </w:r>
    </w:p>
    <w:p>
      <w:pPr>
        <w:spacing w:after="0" w:line="1" w:lineRule="exact"/>
        <w:rPr>
          <w:rFonts w:ascii="Times New Roman" w:cs="Times New Roman" w:eastAsia="Times New Roman" w:hAnsi="Times New Roman"/>
          <w:sz w:val="18"/>
          <w:szCs w:val="18"/>
          <w:color w:val="auto"/>
        </w:rPr>
      </w:pPr>
    </w:p>
    <w:p>
      <w:pPr>
        <w:ind w:left="500" w:right="100" w:hanging="492"/>
        <w:spacing w:after="0" w:line="253"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compute the “Corresponding return to stockholder,” the “Assumed Return on Our Portfolio” is multiplied by the total value of our assets at December 31, 2020 to obtain an assumed return to us. From this amount, the interest expense (calculated by multiplying the weighted average stated interest rate of 3.0% by the approximately $1,112.6 million of principal debt outstanding) is subtracted to determine the return available to stockholders. The return available to stockholders is then divided by the total value of our net assets as of December 31, 2020 to determine the “Corresponding return to stockholder.”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12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80" w:lineRule="exact"/>
        <w:rPr>
          <w:sz w:val="20"/>
          <w:szCs w:val="20"/>
          <w:color w:val="auto"/>
        </w:rPr>
      </w:pPr>
    </w:p>
    <w:p>
      <w:pPr>
        <w:jc w:val="both"/>
        <w:ind w:right="160" w:firstLine="255"/>
        <w:spacing w:after="0" w:line="261" w:lineRule="auto"/>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76" w:lineRule="exact"/>
        <w:rPr>
          <w:sz w:val="20"/>
          <w:szCs w:val="20"/>
          <w:color w:val="auto"/>
        </w:rPr>
      </w:pPr>
    </w:p>
    <w:p>
      <w:pPr>
        <w:jc w:val="both"/>
        <w:ind w:right="140" w:firstLine="255"/>
        <w:spacing w:after="0" w:line="262" w:lineRule="auto"/>
        <w:rPr>
          <w:sz w:val="20"/>
          <w:szCs w:val="20"/>
          <w:color w:val="auto"/>
        </w:rPr>
      </w:pPr>
      <w:r>
        <w:rPr>
          <w:rFonts w:ascii="Times New Roman" w:cs="Times New Roman" w:eastAsia="Times New Roman" w:hAnsi="Times New Roman"/>
          <w:sz w:val="18"/>
          <w:szCs w:val="18"/>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operate in a highly competitive environment for investment opportunities</w:t>
      </w:r>
      <w:r>
        <w:rPr>
          <w:rFonts w:ascii="Times New Roman" w:cs="Times New Roman" w:eastAsia="Times New Roman" w:hAnsi="Times New Roman"/>
          <w:sz w:val="18"/>
          <w:szCs w:val="18"/>
          <w:color w:val="auto"/>
        </w:rPr>
        <w:t>.” Any impact on returns or equity or our business associated with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 may not outweigh the additional risk.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We borrow money, which magnifies the potential for gain or loss and increases the risk of investing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us.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jc w:val="both"/>
        <w:ind w:right="60" w:firstLine="255"/>
        <w:spacing w:after="0" w:line="272" w:lineRule="auto"/>
        <w:rPr>
          <w:sz w:val="20"/>
          <w:szCs w:val="20"/>
          <w:color w:val="auto"/>
        </w:rPr>
      </w:pPr>
      <w:r>
        <w:rPr>
          <w:rFonts w:ascii="Times New Roman" w:cs="Times New Roman" w:eastAsia="Times New Roman" w:hAnsi="Times New Roman"/>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w:t>
      </w:r>
    </w:p>
    <w:p>
      <w:pPr>
        <w:spacing w:after="0" w:line="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6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87"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9"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jc w:val="both"/>
        <w:ind w:right="20" w:firstLine="255"/>
        <w:spacing w:after="0" w:line="281" w:lineRule="auto"/>
        <w:rPr>
          <w:sz w:val="20"/>
          <w:szCs w:val="20"/>
          <w:color w:val="auto"/>
        </w:rPr>
      </w:pPr>
      <w:r>
        <w:rPr>
          <w:rFonts w:ascii="Times New Roman" w:cs="Times New Roman" w:eastAsia="Times New Roman" w:hAnsi="Times New Roman"/>
          <w:sz w:val="17"/>
          <w:szCs w:val="17"/>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56" w:lineRule="exact"/>
        <w:rPr>
          <w:sz w:val="20"/>
          <w:szCs w:val="20"/>
          <w:color w:val="auto"/>
        </w:rPr>
      </w:pPr>
    </w:p>
    <w:p>
      <w:pPr>
        <w:ind w:left="500" w:hanging="249"/>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17" w:lineRule="exact"/>
        <w:rPr>
          <w:rFonts w:ascii="Times New Roman" w:cs="Times New Roman" w:eastAsia="Times New Roman" w:hAnsi="Times New Roman"/>
          <w:sz w:val="18"/>
          <w:szCs w:val="18"/>
          <w:color w:val="auto"/>
        </w:rPr>
      </w:pPr>
    </w:p>
    <w:p>
      <w:pPr>
        <w:ind w:left="500" w:right="680" w:hanging="249"/>
        <w:spacing w:after="0" w:line="282"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2" w:lineRule="exact"/>
        <w:rPr>
          <w:sz w:val="20"/>
          <w:szCs w:val="20"/>
          <w:color w:val="auto"/>
        </w:rPr>
      </w:pPr>
    </w:p>
    <w:p>
      <w:pPr>
        <w:ind w:left="500" w:hanging="249"/>
        <w:spacing w:after="0" w:line="28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53" w:lineRule="exact"/>
        <w:rPr>
          <w:rFonts w:ascii="Times New Roman" w:cs="Times New Roman" w:eastAsia="Times New Roman" w:hAnsi="Times New Roman"/>
          <w:sz w:val="18"/>
          <w:szCs w:val="18"/>
          <w:color w:val="auto"/>
        </w:rPr>
      </w:pPr>
    </w:p>
    <w:p>
      <w:pPr>
        <w:ind w:left="500" w:right="260" w:hanging="249"/>
        <w:spacing w:after="0" w:line="266"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76" w:lineRule="exact"/>
        <w:rPr>
          <w:sz w:val="20"/>
          <w:szCs w:val="20"/>
          <w:color w:val="auto"/>
        </w:rPr>
      </w:pPr>
    </w:p>
    <w:p>
      <w:pPr>
        <w:ind w:right="500" w:firstLine="255"/>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2020 and 2019, we elected to retain approximately $121 million and $106 million of taxable income and capital gains, respectively, in order to provide us with additional liquidity and we recorded an expense of $5.8 million and $3.8 million, respectively, for U.S. federal excise tax as a result. We can be expected to retain some income and capital gains in the future, including for purposes of providing us with additional liquidity, which amounts would similarly be subject to the 4% U.S. federal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excise tax. In that event, we will be liable for the tax on the amount by which we do not meet the foregoing distribution requirement. See “</w:t>
      </w:r>
      <w:r>
        <w:rPr>
          <w:rFonts w:ascii="Times New Roman" w:cs="Times New Roman" w:eastAsia="Times New Roman" w:hAnsi="Times New Roman"/>
          <w:sz w:val="18"/>
          <w:szCs w:val="18"/>
          <w:i w:val="1"/>
          <w:iCs w:val="1"/>
          <w:color w:val="auto"/>
        </w:rPr>
        <w:t>ITEM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BUSINESS—Regulation as a Business Development Company—Regulated Investment Company Classification</w:t>
      </w:r>
      <w:r>
        <w:rPr>
          <w:rFonts w:ascii="Times New Roman" w:cs="Times New Roman" w:eastAsia="Times New Roman" w:hAnsi="Times New Roman"/>
          <w:sz w:val="18"/>
          <w:szCs w:val="18"/>
          <w:color w:val="auto"/>
        </w:rPr>
        <w:t>” for more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8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92"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those affiliates must be the same as those applicable to us. If the Adviser, Sixth Street and their affiliates were to determine that an investment is appropriate both for us and for one or more other affiliated vehicles, we would only be able to make the investment in conjunction with another vehicle to the extent the exemptive order granted to us by the SEC permits us to do so or the investment is otherwise permitted under relevant SEC guidance.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 We cannot assure you when or whether we will apply for any other exemptive relief in the future and whether such orders will be obtained.</w:t>
      </w:r>
    </w:p>
    <w:p>
      <w:pPr>
        <w:spacing w:after="0" w:line="296"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67"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88"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6" w:name="page37"/>
    <w:bookmarkEnd w:id="36"/>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9"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publicly traded company.</w:t>
      </w:r>
    </w:p>
    <w:p>
      <w:pPr>
        <w:spacing w:after="0" w:line="121"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right="440" w:firstLine="255"/>
        <w:spacing w:after="0" w:line="258" w:lineRule="auto"/>
        <w:rPr>
          <w:sz w:val="20"/>
          <w:szCs w:val="20"/>
          <w:color w:val="auto"/>
        </w:rPr>
      </w:pPr>
      <w:r>
        <w:rPr>
          <w:rFonts w:ascii="Times New Roman" w:cs="Times New Roman" w:eastAsia="Times New Roman" w:hAnsi="Times New Roman"/>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7" w:lineRule="exact"/>
        <w:rPr>
          <w:sz w:val="20"/>
          <w:szCs w:val="20"/>
          <w:color w:val="auto"/>
        </w:rPr>
      </w:pPr>
    </w:p>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stockholder approval.</w:t>
      </w:r>
    </w:p>
    <w:p>
      <w:pPr>
        <w:spacing w:after="0" w:line="12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32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debt investments to our portfolio companies and our indebtedness that extend beyond 2023 might be subject to change based on recent regulatory changes.</w:t>
      </w:r>
    </w:p>
    <w:p>
      <w:pPr>
        <w:spacing w:after="0" w:line="51"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LIBOR, the London Interbank Offered Rate, is the basic rate of interest used in lending transactions between banks on the London interbank market and has been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also currently bear interest at LIBOR plus a margin, and obligations under interest rate swaps we enter into are referenced to LIBOR.</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On July 27, 2017, the United Kingdom’s Financial Conduct Authority (“FCA”), which regulates LIBOR, announced that it intends to phase out LIBOR by the end of 2021. However, in November 2020, ICE Benchmark Administration Limited (“IBA”), the LIBOR administrator, announced that it will consult on its intention to cease the publication of all British pound, euro, Swiss franc and Japanese yen LIBOR settings and on its intention to cease the publication of the one-week and two-month U.S. dollar (“USD”) LIBOR settings immediately following the LIBOR publication on December 31, 2021 and the remaining USD LIBOR settings immediately following the LIBOR publication on June 30, 2023. This announcement is viewed as an effective extension of the end of USD LIBOR. Concurrently with each IBA announcement, the FCA published statements in support of the IBA announcements, including IBA’s proposed extension of the publication of most USD LIBOR tenors, noting that the extension would provide time to address the legacy contracts that reference USD LIBOR.</w:t>
      </w:r>
    </w:p>
    <w:p>
      <w:pPr>
        <w:spacing w:after="0" w:line="19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Whether or not SOFR attains market traction as a LIBOR replacement remains a question and the future of LIBOR at this time is uncertain. Because of this uncertainty, we cannot reasonably estimate the expected impact of a transition away from LIBOR to our business.</w:t>
      </w:r>
    </w:p>
    <w:p>
      <w:pPr>
        <w:spacing w:after="0" w:line="183"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Further, on October 23, 2020, the International Swap and Derivatives Association (“ISDA”) launched (i) Supplement number 70 to the 2006 ISDA Definitions (“IBOR Supplement”) and (ii) the ISDA 2020 IBOR Fallbacks Protocol (“IBOR Protocol”). The IBOR Supplement is intended to enhance the robustness of derivatives contracts traded on or after January 25, 2021 by addressing the risk that some interbank offered rates (“IBORs”) are permanently discontinued or, in the case of LIBOR, cease to be representative, by applying fallbacks to specified alternative references rates upon such a trigger. The IBOR Protocol permits adhering parties to amend in-scope transactions entered into prior to January 25, 2021 on similar terms. These documents are a critical element to industry efforts to facilitate the derivatives markets’ transition away from LIBOR and other IBORs.</w:t>
      </w:r>
    </w:p>
    <w:p>
      <w:pPr>
        <w:spacing w:after="0" w:line="187"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If LIBOR ceases to exist or degrades to the degree that it is no longer representative of the underlying market, we may need to renegotiate the credit agreements extending beyond 2023 with our portfolio companies that utilize LIBOR as a factor in determining the interest rate, in order to replace LIBOR with the new standard that is established, which may have an adverse effect on our ability to receive attractive returns. In addition, if LIBOR ceases to exist or degrades to the degree that it is no longer representative of the underlying market, we may need to renegotiate certain terms of our Revolving Credit Facility to replace LIBOR with the new standard that is established in its place. If we are unable to do so, amounts drawn under the Revolving Credit Facility may bear interest at a higher rate, which would increase the cost of our borrowings and, in turn, affect our return on capital. If LIBOR ceases to exist or degrades to the degree that it is no longer representative of the underlying market, we will also have to renegotiate the terms of any outstanding interest rate swaps.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right="20" w:firstLine="255"/>
        <w:spacing w:after="0" w:line="272" w:lineRule="auto"/>
        <w:rPr>
          <w:sz w:val="20"/>
          <w:szCs w:val="20"/>
          <w:color w:val="auto"/>
        </w:rPr>
      </w:pPr>
      <w:r>
        <w:rPr>
          <w:rFonts w:ascii="Times New Roman" w:cs="Times New Roman" w:eastAsia="Times New Roman" w:hAnsi="Times New Roman"/>
          <w:sz w:val="17"/>
          <w:szCs w:val="17"/>
          <w:color w:val="auto"/>
        </w:rPr>
        <w:t>A significant majority of our investments are expected to have interest rates with a LIBOR reference. As a result, the transition away from LIBOR could adversely impact us. Even if replacement conventions (e.g., SOFR) are adopted in the lending and bond markets, it is uncertain whether they might affect us as an investor in floating-rate instruments, including by: (a) affecting liquidity of our investments in the secondary market and their market value;</w:t>
      </w:r>
    </w:p>
    <w:p>
      <w:pPr>
        <w:spacing w:after="0" w:line="2" w:lineRule="exact"/>
        <w:rPr>
          <w:sz w:val="20"/>
          <w:szCs w:val="20"/>
          <w:color w:val="auto"/>
        </w:rPr>
      </w:pPr>
    </w:p>
    <w:p>
      <w:pPr>
        <w:ind w:right="80" w:firstLine="8"/>
        <w:spacing w:after="0" w:line="252"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interest rate earned by the Fund as a holder of such Investments (either generally or in certain market cycles) due to the use of a collateralized, overnight rate and credit spread adjustments instead of an unsecured, term rate; or (c) causing us to incur expenses to manage the transition away from LIBOR. Also, while it is common for recently issued instruments to contemplate a scenario where LIBOR is no longer available by providing for an alternative rate setting methodology and mechanisms to amend the applicable reference rate, not all instruments have such provisions and there are significant uncertainties regarding the effectiveness of any such alternative methodologies. As such, we may need to renegotiate the terms of credit agreements with certain issuers of investments that utilize LIBOR in order to replace it with the new standard convention that is established, which could result in increased costs for us.</w:t>
      </w:r>
    </w:p>
    <w:p>
      <w:pPr>
        <w:spacing w:after="0" w:line="188"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We may also enter into swaps and similar instruments that reference LIBOR, including swaps used to manage long-term interest rate risk related to assets and/or liabilities. In addition to us potentially needing to renegotiate some of those instruments to address a transition away from LIBOR, there also may be different conventions that arise in different but related market segments, which could result in mismatches between different assets and liabilities and, in turn, in possible unexpected gains and/or losses for us. In addition and as further described above, some of the standard conventions under consideration, including SOFR, are conceptually different than LIBOR, in that they are overnight, secured rates instead of unsecured, term rates, which could behave differently from LIBOR in ways that cause the Fund to owe greater payments or receive less payments under its derivatives, at least during certain market cycles. Some of these replacement rates may also be subject to compounding or similar adjustments that cause the amount of any payment referencing a replacement rate not to be determined until the end of the relevant calculation period, rather than at the beginning, which could lead to administrative challenges for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including the Tax Cuts and Jobs Act may adversely affect our business.</w:t>
      </w:r>
    </w:p>
    <w:p>
      <w:pPr>
        <w:spacing w:after="0" w:line="121" w:lineRule="exact"/>
        <w:rPr>
          <w:sz w:val="20"/>
          <w:szCs w:val="20"/>
          <w:color w:val="auto"/>
        </w:rPr>
      </w:pPr>
    </w:p>
    <w:p>
      <w:pPr>
        <w:ind w:firstLine="255"/>
        <w:spacing w:after="0" w:line="272" w:lineRule="auto"/>
        <w:rPr>
          <w:sz w:val="20"/>
          <w:szCs w:val="20"/>
          <w:color w:val="auto"/>
        </w:rPr>
      </w:pPr>
      <w:r>
        <w:rPr>
          <w:rFonts w:ascii="Times New Roman" w:cs="Times New Roman" w:eastAsia="Times New Roman" w:hAnsi="Times New Roman"/>
          <w:sz w:val="17"/>
          <w:szCs w:val="17"/>
          <w:color w:val="auto"/>
        </w:rPr>
        <w:t>Recent changes to U.S. tax laws, including the Tax Cuts and Jobs Act enacted on December 22, 2017 (“Tax Reform”) and the Coronavirus Aid, Relief, and Economic Security Act enacted on March 27, 2020 (the “CARES Act”)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Further changes could be made under the new Presidential administration in the United States. Such changes to the tax laws, including changes to interest deductibility, utility of net operating losses and other provisions of Tax Reform or of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and other changes in tax laws on the loan market and about the tax consequences of an investment in us.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materially and adversely affected, and is likely to continue to materially and adversely affect, our portfolio companies and the results of our operations, including our financial results.</w:t>
      </w:r>
    </w:p>
    <w:p>
      <w:pPr>
        <w:spacing w:after="0" w:line="51"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middle market loans and the businesses of our portfolio companies in particular, this outbreak has resulted in, and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and liquidity issues. While these effects are hoped to be temporary, some effects could be persistent or even permanent. We cannot predict when, or if, the impacts of the COVID-19 pandemic may lessen.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87" w:lineRule="exact"/>
        <w:rPr>
          <w:sz w:val="20"/>
          <w:szCs w:val="20"/>
          <w:color w:val="auto"/>
        </w:rPr>
      </w:pPr>
    </w:p>
    <w:p>
      <w:pPr>
        <w:jc w:val="both"/>
        <w:ind w:right="620" w:firstLine="255"/>
        <w:spacing w:after="0" w:line="266" w:lineRule="auto"/>
        <w:rPr>
          <w:sz w:val="20"/>
          <w:szCs w:val="20"/>
          <w:color w:val="auto"/>
        </w:rPr>
      </w:pPr>
      <w:r>
        <w:rPr>
          <w:rFonts w:ascii="Times New Roman" w:cs="Times New Roman" w:eastAsia="Times New Roman" w:hAnsi="Times New Roman"/>
          <w:sz w:val="18"/>
          <w:szCs w:val="18"/>
          <w:color w:val="auto"/>
        </w:rPr>
        <w:t>From an operational perspective, the effects of the COVID-19 pandemic could materially and adversely disrupt our business operations and the operations of the Adviser, including the guidelines and restrictions put in place by federal, state and local governments that may cause a potentially significant duration of remote working.</w:t>
      </w:r>
    </w:p>
    <w:p>
      <w:pPr>
        <w:spacing w:after="0" w:line="68" w:lineRule="exact"/>
        <w:rPr>
          <w:sz w:val="20"/>
          <w:szCs w:val="20"/>
          <w:color w:val="auto"/>
        </w:rPr>
      </w:pPr>
    </w:p>
    <w:p>
      <w:pPr>
        <w:ind w:right="420" w:firstLine="255"/>
        <w:spacing w:after="0" w:line="266" w:lineRule="auto"/>
        <w:rPr>
          <w:sz w:val="20"/>
          <w:szCs w:val="20"/>
          <w:color w:val="auto"/>
        </w:rPr>
      </w:pPr>
      <w:r>
        <w:rPr>
          <w:rFonts w:ascii="Times New Roman" w:cs="Times New Roman" w:eastAsia="Times New Roman" w:hAnsi="Times New Roman"/>
          <w:sz w:val="18"/>
          <w:szCs w:val="18"/>
          <w:color w:val="auto"/>
        </w:rPr>
        <w:t>Moreover, the effects of the COVID-19 pandemic may heighten the other risk factors described in this Annual Report.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disruption, volatility and uncertainty in the capital markets and in the economy generally.</w:t>
      </w:r>
    </w:p>
    <w:p>
      <w:pPr>
        <w:spacing w:after="0" w:line="229"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following the spread of COVID-19 in the United States and globally. Some economists and major investment banks have expressed concern that the continued spread of the virus could lead to a world-wide economic downturn.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88"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121"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The U.S. and global capital markets experienced extreme volatility and disruption in recent years, leading to recessionary conditions and depressed levels of consumer and commercial spending. For instance,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the transition of presidential power in the United States, has led to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5" w:lineRule="exact"/>
        <w:rPr>
          <w:sz w:val="20"/>
          <w:szCs w:val="20"/>
          <w:color w:val="auto"/>
        </w:rPr>
      </w:pPr>
    </w:p>
    <w:p>
      <w:pPr>
        <w:ind w:left="500" w:hanging="249"/>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after raising the target range for the federal funds rate in 2017 and 2018, the Federal Reserve lowered the target rate three times in 2019 and two times in 2020. Further changes in key economic indicators, such as the unemployment rate or inflation, could lead to changes to the target range for the federal funds rate that may cause instability or may negatively impact our ability to access the debt markets on favorable terms.</w:t>
      </w:r>
    </w:p>
    <w:p>
      <w:pPr>
        <w:spacing w:after="0" w:line="188"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As a result of the 2020 U.S. election, the Democratic Party currently controls the executive branch of government, the Senate, and the House. The Democratic Party’s consolidation of power, while a bare majority in the Senate, makes it more likely that legislation may be adopted that could significantly affect the regulation of U.S. financial markets. Areas subject to potential change or amendment include the Wall Street Reform and Consumer Protection Act, or the Dodd-Frank Act, and the authority of the Federal Reserve and the Financial Stability Oversight Council. These or other regulatory changes could result in greater regulation of nonbank lenders such as us.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1"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88" w:lineRule="exact"/>
        <w:rPr>
          <w:sz w:val="20"/>
          <w:szCs w:val="20"/>
          <w:color w:val="auto"/>
        </w:rPr>
      </w:pPr>
    </w:p>
    <w:p>
      <w:pPr>
        <w:jc w:val="both"/>
        <w:ind w:right="20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junior security interests or be unsecured. As such, other creditors may rank senior to us in the event of insolvency. This may result in greater risk and loss of principal.</w:t>
      </w:r>
    </w:p>
    <w:p>
      <w:pPr>
        <w:spacing w:after="0" w:line="17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and Other Investments. </w:t>
      </w:r>
      <w:r>
        <w:rPr>
          <w:rFonts w:ascii="Times New Roman" w:cs="Times New Roman" w:eastAsia="Times New Roman" w:hAnsi="Times New Roman"/>
          <w:sz w:val="18"/>
          <w:szCs w:val="18"/>
          <w:color w:val="auto"/>
        </w:rPr>
        <w:t>When we invest in first-lien debt, second-lien debt or mezzanine debt, we may acquire equity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To the extent we invest in preferred securities, we may incur particular risks, including:</w:t>
      </w:r>
    </w:p>
    <w:p>
      <w:pPr>
        <w:spacing w:after="0" w:line="119" w:lineRule="exact"/>
        <w:rPr>
          <w:sz w:val="20"/>
          <w:szCs w:val="20"/>
          <w:color w:val="auto"/>
        </w:rPr>
      </w:pPr>
    </w:p>
    <w:p>
      <w:pPr>
        <w:ind w:left="500" w:right="340" w:hanging="249"/>
        <w:spacing w:after="0" w:line="266"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7" w:lineRule="exact"/>
        <w:rPr>
          <w:rFonts w:ascii="Times New Roman" w:cs="Times New Roman" w:eastAsia="Times New Roman" w:hAnsi="Times New Roman"/>
          <w:sz w:val="18"/>
          <w:szCs w:val="18"/>
          <w:color w:val="auto"/>
        </w:rPr>
      </w:pPr>
    </w:p>
    <w:p>
      <w:pPr>
        <w:ind w:left="500" w:right="280" w:hanging="249"/>
        <w:spacing w:after="0" w:line="282" w:lineRule="auto"/>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ind w:left="500" w:hanging="249"/>
        <w:spacing w:after="0" w:line="266" w:lineRule="auto"/>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17" w:lineRule="exact"/>
        <w:rPr>
          <w:sz w:val="20"/>
          <w:szCs w:val="20"/>
          <w:color w:val="auto"/>
        </w:rPr>
      </w:pPr>
    </w:p>
    <w:p>
      <w:pPr>
        <w:ind w:left="500" w:right="100" w:hanging="249"/>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7" w:lineRule="exact"/>
        <w:rPr>
          <w:rFonts w:ascii="Times New Roman" w:cs="Times New Roman" w:eastAsia="Times New Roman" w:hAnsi="Times New Roman"/>
          <w:sz w:val="18"/>
          <w:szCs w:val="18"/>
          <w:color w:val="auto"/>
        </w:rPr>
      </w:pPr>
    </w:p>
    <w:p>
      <w:pPr>
        <w:ind w:left="500" w:right="20" w:hanging="249"/>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3" w:lineRule="exact"/>
        <w:rPr>
          <w:rFonts w:ascii="Times New Roman" w:cs="Times New Roman" w:eastAsia="Times New Roman" w:hAnsi="Times New Roman"/>
          <w:sz w:val="18"/>
          <w:szCs w:val="18"/>
          <w:color w:val="auto"/>
        </w:rPr>
      </w:pPr>
    </w:p>
    <w:p>
      <w:pPr>
        <w:jc w:val="both"/>
        <w:ind w:left="500" w:right="60" w:hanging="249"/>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7" w:lineRule="exact"/>
        <w:rPr>
          <w:rFonts w:ascii="Times New Roman" w:cs="Times New Roman" w:eastAsia="Times New Roman" w:hAnsi="Times New Roman"/>
          <w:sz w:val="18"/>
          <w:szCs w:val="18"/>
          <w:color w:val="auto"/>
        </w:rPr>
      </w:pPr>
    </w:p>
    <w:p>
      <w:pPr>
        <w:ind w:left="500" w:right="40" w:hanging="249"/>
        <w:spacing w:after="0" w:line="266"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67" w:lineRule="exact"/>
        <w:rPr>
          <w:rFonts w:ascii="Times New Roman" w:cs="Times New Roman" w:eastAsia="Times New Roman" w:hAnsi="Times New Roman"/>
          <w:sz w:val="18"/>
          <w:szCs w:val="18"/>
          <w:color w:val="auto"/>
        </w:rPr>
      </w:pPr>
    </w:p>
    <w:p>
      <w:pPr>
        <w:ind w:left="500" w:right="180" w:hanging="249"/>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3" w:lineRule="exact"/>
        <w:rPr>
          <w:rFonts w:ascii="Times New Roman" w:cs="Times New Roman" w:eastAsia="Times New Roman" w:hAnsi="Times New Roman"/>
          <w:sz w:val="18"/>
          <w:szCs w:val="18"/>
          <w:color w:val="auto"/>
        </w:rPr>
      </w:pPr>
    </w:p>
    <w:p>
      <w:pPr>
        <w:ind w:left="500" w:right="780" w:hanging="249"/>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53" w:lineRule="exact"/>
        <w:rPr>
          <w:rFonts w:ascii="Times New Roman" w:cs="Times New Roman" w:eastAsia="Times New Roman" w:hAnsi="Times New Roman"/>
          <w:sz w:val="18"/>
          <w:szCs w:val="18"/>
          <w:color w:val="auto"/>
        </w:rPr>
      </w:pPr>
    </w:p>
    <w:p>
      <w:pPr>
        <w:ind w:left="500" w:hanging="249"/>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3" w:lineRule="exact"/>
        <w:rPr>
          <w:rFonts w:ascii="Times New Roman" w:cs="Times New Roman" w:eastAsia="Times New Roman" w:hAnsi="Times New Roman"/>
          <w:sz w:val="18"/>
          <w:szCs w:val="18"/>
          <w:color w:val="auto"/>
        </w:rPr>
      </w:pPr>
    </w:p>
    <w:p>
      <w:pPr>
        <w:ind w:left="500" w:right="360" w:hanging="249"/>
        <w:spacing w:after="0" w:line="282" w:lineRule="auto"/>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6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8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jc w:val="both"/>
        <w:ind w:right="20" w:firstLine="255"/>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right="260" w:firstLine="255"/>
        <w:spacing w:after="0" w:line="289" w:lineRule="auto"/>
        <w:rPr>
          <w:sz w:val="20"/>
          <w:szCs w:val="20"/>
          <w:color w:val="auto"/>
        </w:rPr>
      </w:pPr>
      <w:r>
        <w:rPr>
          <w:rFonts w:ascii="Times New Roman" w:cs="Times New Roman" w:eastAsia="Times New Roman" w:hAnsi="Times New Roman"/>
          <w:sz w:val="17"/>
          <w:szCs w:val="17"/>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5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8"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7" w:lineRule="exact"/>
        <w:rPr>
          <w:sz w:val="20"/>
          <w:szCs w:val="20"/>
          <w:color w:val="auto"/>
        </w:rPr>
      </w:pPr>
    </w:p>
    <w:p>
      <w:pPr>
        <w:jc w:val="center"/>
        <w:ind w:right="360"/>
        <w:spacing w:after="0" w:line="312" w:lineRule="auto"/>
        <w:rPr>
          <w:sz w:val="20"/>
          <w:szCs w:val="20"/>
          <w:color w:val="auto"/>
        </w:rPr>
      </w:pPr>
      <w:r>
        <w:rPr>
          <w:rFonts w:ascii="Times New Roman" w:cs="Times New Roman" w:eastAsia="Times New Roman" w:hAnsi="Times New Roman"/>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7"/>
          <w:szCs w:val="17"/>
          <w:i w:val="1"/>
          <w:iCs w:val="1"/>
          <w:color w:val="auto"/>
        </w:rPr>
        <w:t>ITEM 1. BUSINESS – Regulation as a Business Development Company.”</w:t>
      </w:r>
    </w:p>
    <w:p>
      <w:pPr>
        <w:spacing w:after="0" w:line="24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1"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7"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18"/>
          <w:szCs w:val="18"/>
          <w:i w:val="1"/>
          <w:iCs w:val="1"/>
          <w:color w:val="auto"/>
        </w:rPr>
        <w:t>—Risks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Economic Conditions—Uncertainty about financial stability could have a significant adverse effect on our business, results of operations and financial condition.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8"/>
          <w:szCs w:val="18"/>
          <w:i w:val="1"/>
          <w:iCs w:val="1"/>
          <w:color w:val="auto"/>
        </w:rPr>
        <w:t>—Risks Related to Our Portfolio Company Investments—We expose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ourselves to risks when we engage in hedging 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6" w:name="page47"/>
    <w:bookmarkEnd w:id="46"/>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51"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8"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7"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3" w:lineRule="exact"/>
        <w:rPr>
          <w:sz w:val="20"/>
          <w:szCs w:val="20"/>
          <w:color w:val="auto"/>
        </w:rPr>
      </w:pPr>
    </w:p>
    <w:p>
      <w:pPr>
        <w:ind w:right="300" w:firstLine="255"/>
        <w:spacing w:after="0" w:line="261"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117" w:lineRule="exact"/>
        <w:rPr>
          <w:sz w:val="20"/>
          <w:szCs w:val="20"/>
          <w:color w:val="auto"/>
        </w:rPr>
      </w:pPr>
    </w:p>
    <w:p>
      <w:pPr>
        <w:ind w:left="500" w:hanging="249"/>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7" w:name="page48"/>
    <w:bookmarkEnd w:id="47"/>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92"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3"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12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3"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89"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stockholders free from withholding taxes.</w:t>
      </w:r>
    </w:p>
    <w:p>
      <w:pPr>
        <w:spacing w:after="0" w:line="189"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3"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87" w:lineRule="exact"/>
        <w:rPr>
          <w:sz w:val="20"/>
          <w:szCs w:val="20"/>
          <w:color w:val="auto"/>
        </w:rPr>
      </w:pPr>
    </w:p>
    <w:p>
      <w:pPr>
        <w:ind w:right="240" w:firstLine="255"/>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3"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2022 Convertible Notes, 2023 Notes, and 2024 Notes which bear interest at fixed rates,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ind w:firstLine="255"/>
        <w:spacing w:after="0" w:line="253"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8"/>
          <w:szCs w:val="18"/>
          <w:i w:val="1"/>
          <w:iCs w:val="1"/>
          <w:color w:val="auto"/>
        </w:rPr>
        <w:t>—Risks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Portfolio Company Investments—The new market structure applicable to derivatives imposed by the Dodd-Frank Act may affect our ability to use over-the-counter (“OTC”) derivatives for hedging purposes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—Risks Related to Our Portfolio Company Investments—We are exposed to risks associated with changes in interest rates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7. MANAGEMENT’S DISCUSSION AND ANALYSIS OF FINANCIAL CONDITION AND RESULTS OF OPERATIONS—Results of Operations—Hedging</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market structure applicable to derivatives imposed by the Dodd-Frank Act may affect our ability to use over-the-counter (“OTC”) derivatives for hedging purposes.</w:t>
      </w:r>
    </w:p>
    <w:p>
      <w:pPr>
        <w:spacing w:after="0" w:line="51"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16"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2022 Convertible Notes, 2023 Notes, and 2024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92"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The Dodd-Frank Act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5633720</wp:posOffset>
            </wp:positionH>
            <wp:positionV relativeFrom="paragraph">
              <wp:posOffset>-760095</wp:posOffset>
            </wp:positionV>
            <wp:extent cx="28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ind w:right="520" w:firstLine="255"/>
        <w:spacing w:after="0" w:line="282" w:lineRule="auto"/>
        <w:rPr>
          <w:sz w:val="20"/>
          <w:szCs w:val="20"/>
          <w:color w:val="auto"/>
        </w:rPr>
      </w:pPr>
      <w:r>
        <w:rPr>
          <w:rFonts w:ascii="Times New Roman" w:cs="Times New Roman" w:eastAsia="Times New Roman" w:hAnsi="Times New Roman"/>
          <w:sz w:val="18"/>
          <w:szCs w:val="18"/>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54" w:lineRule="exact"/>
        <w:rPr>
          <w:sz w:val="20"/>
          <w:szCs w:val="20"/>
          <w:color w:val="auto"/>
        </w:rPr>
      </w:pPr>
    </w:p>
    <w:p>
      <w:pPr>
        <w:ind w:left="500" w:hanging="249"/>
        <w:spacing w:after="0"/>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0" w:name="page51"/>
    <w:bookmarkEnd w:id="50"/>
    <w:p>
      <w:pPr>
        <w:ind w:left="500" w:hanging="249"/>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520" w:firstLine="255"/>
        <w:spacing w:after="0" w:line="261" w:lineRule="auto"/>
        <w:rPr>
          <w:sz w:val="20"/>
          <w:szCs w:val="20"/>
          <w:color w:val="auto"/>
        </w:rPr>
      </w:pPr>
      <w:r>
        <w:rPr>
          <w:rFonts w:ascii="Times New Roman" w:cs="Times New Roman" w:eastAsia="Times New Roman" w:hAnsi="Times New Roman"/>
          <w:sz w:val="18"/>
          <w:szCs w:val="18"/>
          <w:color w:val="auto"/>
        </w:rPr>
        <w:t>If we were unable to satisfy the conditions of CFTC Rule 4.5 in the future, our Adviser may be subject to registration with the CFTC as a CPO.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right="100" w:firstLine="255"/>
        <w:spacing w:after="0" w:line="253"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as a Business Development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for more information.</w:t>
      </w:r>
    </w:p>
    <w:p>
      <w:pPr>
        <w:spacing w:after="0" w:line="29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6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not deductible by individuals, trusts or estates for taxable years beginning after December 31, 2017 and before January 1, 2026.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121" w:lineRule="exact"/>
        <w:rPr>
          <w:sz w:val="20"/>
          <w:szCs w:val="20"/>
          <w:color w:val="auto"/>
        </w:rPr>
      </w:pPr>
    </w:p>
    <w:p>
      <w:pPr>
        <w:jc w:val="both"/>
        <w:ind w:right="380" w:firstLine="255"/>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ind w:right="480" w:firstLine="255"/>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76"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 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jc w:val="both"/>
        <w:ind w:right="40" w:firstLine="255"/>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3" w:lineRule="exact"/>
        <w:rPr>
          <w:sz w:val="20"/>
          <w:szCs w:val="20"/>
          <w:color w:val="auto"/>
        </w:rPr>
      </w:pPr>
    </w:p>
    <w:p>
      <w:pPr>
        <w:ind w:right="740" w:firstLine="255"/>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4" w:lineRule="exact"/>
        <w:rPr>
          <w:sz w:val="20"/>
          <w:szCs w:val="20"/>
          <w:color w:val="auto"/>
        </w:rPr>
      </w:pPr>
    </w:p>
    <w:p>
      <w:pPr>
        <w:ind w:left="500" w:right="100" w:hanging="249"/>
        <w:spacing w:after="0" w:line="282" w:lineRule="auto"/>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2" w:name="page53"/>
    <w:bookmarkEnd w:id="52"/>
    <w:p>
      <w:pPr>
        <w:ind w:left="500" w:right="200" w:hanging="249"/>
        <w:spacing w:after="0" w:line="282"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downgrades to our credit rating or placement on a negative watch status by a credit rating agency;</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pressure with respect to shares of our common stock or BDCs generally;</w:t>
      </w:r>
    </w:p>
    <w:p>
      <w:pPr>
        <w:spacing w:after="0" w:line="117" w:lineRule="exact"/>
        <w:rPr>
          <w:rFonts w:ascii="Times New Roman" w:cs="Times New Roman" w:eastAsia="Times New Roman" w:hAnsi="Times New Roman"/>
          <w:sz w:val="18"/>
          <w:szCs w:val="18"/>
          <w:color w:val="auto"/>
        </w:rPr>
      </w:pPr>
    </w:p>
    <w:p>
      <w:pPr>
        <w:ind w:left="500" w:right="200" w:hanging="249"/>
        <w:spacing w:after="0" w:line="282"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convertible into or exchangeable or exercisable for our common stock or the conversion of such securities, including our 2022 Convertible Notes;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strength of the U.S. economy;</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European sovereign debt and Brexit;</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volatility in the Chinese stock market and Chinese currency;</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U.S. and global tariffs and trade policy;</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base interest rates, such as LIBOR, EURIBOR, the Federal Funds Rate or the Prime Rate;</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the global economy, such as the COVID-19 pandemic and its worldwide impact;</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5"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market price of shares of our common stock will not decline.</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18"/>
          <w:szCs w:val="18"/>
          <w:i w:val="1"/>
          <w:iCs w:val="1"/>
          <w:color w:val="auto"/>
        </w:rPr>
        <w:t>“—Risks Related to Our Business and Structure—Regulations governing our operation as a BDC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ability to, and the way in which we, raise additional capital.”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the 2022 Convertible Notes.</w:t>
      </w:r>
    </w:p>
    <w:p>
      <w:pPr>
        <w:spacing w:after="0" w:line="121"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Our 2022 Convertible Notes are convertible into shares of our common stock beginning on February 1, 2022, or earlier, under certain circumstances. Upon conversion of our 2022 Convertible Notes, we have the choice to pay or deliver, as the case may be, at our election, cash, shares of our common stock or a combination of cash and shares of our common stock. The estimated adjusted conversion price of the 2022 Convertible Notes is $19.80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2022 Convertible Notes and any dividends paid on our common stock will also be paid on shares issued in connection with such conversion after such issuance.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 Reinvestment Plan</w:t>
      </w:r>
      <w:r>
        <w:rPr>
          <w:rFonts w:ascii="Times New Roman" w:cs="Times New Roman" w:eastAsia="Times New Roman" w:hAnsi="Times New Roman"/>
          <w:sz w:val="18"/>
          <w:szCs w:val="18"/>
          <w:color w:val="auto"/>
        </w:rPr>
        <w:t>” for a description of our dividend policy and obligations.</w:t>
      </w:r>
    </w:p>
    <w:p>
      <w:pPr>
        <w:spacing w:after="0" w:line="183"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1"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2021.</w:t>
      </w:r>
    </w:p>
    <w:p>
      <w:pPr>
        <w:spacing w:after="0" w:line="176"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dilution to our net asset value per share.</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2020.. Under the Company 10b5-1 Plan, the agent will increase the volume of purchases made as the price of our common stock declines, subject to volume restrictions.</w:t>
      </w:r>
    </w:p>
    <w:p>
      <w:pPr>
        <w:spacing w:after="0" w:line="180"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76"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including certain limited TPG-provided services (such as certain information technology services utilized by the Adviser on our behalf).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81" w:lineRule="exact"/>
        <w:rPr>
          <w:sz w:val="20"/>
          <w:szCs w:val="20"/>
          <w:color w:val="auto"/>
        </w:rPr>
      </w:pPr>
    </w:p>
    <w:p>
      <w:pPr>
        <w:ind w:left="500" w:hanging="249"/>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due to idiosyncratic issues at specific providers; and</w:t>
      </w:r>
    </w:p>
    <w:p>
      <w:pPr>
        <w:spacing w:after="0" w:line="11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117"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229"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8"/>
          <w:szCs w:val="18"/>
          <w:i w:val="1"/>
          <w:iCs w:val="1"/>
          <w:color w:val="auto"/>
        </w:rPr>
        <w:t>Risks Related to our Portfolio Company Investments.”</w:t>
      </w:r>
    </w:p>
    <w:p>
      <w:pPr>
        <w:spacing w:after="0" w:line="192" w:lineRule="exact"/>
        <w:rPr>
          <w:sz w:val="20"/>
          <w:szCs w:val="20"/>
          <w:color w:val="auto"/>
        </w:rPr>
      </w:pPr>
    </w:p>
    <w:p>
      <w:pPr>
        <w:ind w:right="140" w:firstLine="255"/>
        <w:spacing w:after="0" w:line="281" w:lineRule="auto"/>
        <w:rPr>
          <w:sz w:val="20"/>
          <w:szCs w:val="20"/>
          <w:color w:val="auto"/>
        </w:rPr>
      </w:pPr>
      <w:r>
        <w:rPr>
          <w:rFonts w:ascii="Times New Roman" w:cs="Times New Roman" w:eastAsia="Times New Roman" w:hAnsi="Times New Roman"/>
          <w:sz w:val="17"/>
          <w:szCs w:val="17"/>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maintain our principal executive office at 2100 McKinney Avenue, Suite 1500, Dallas, Texas 75201. We do not own any real estate.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87" w:right="4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Range of Common Stock</w:t>
      </w:r>
    </w:p>
    <w:p>
      <w:pPr>
        <w:spacing w:after="0" w:line="119" w:lineRule="exact"/>
        <w:rPr>
          <w:sz w:val="20"/>
          <w:szCs w:val="20"/>
          <w:color w:val="auto"/>
        </w:rPr>
      </w:pPr>
    </w:p>
    <w:p>
      <w:pPr>
        <w:jc w:val="both"/>
        <w:ind w:right="20" w:firstLine="255"/>
        <w:spacing w:after="0" w:line="289" w:lineRule="auto"/>
        <w:rPr>
          <w:sz w:val="20"/>
          <w:szCs w:val="20"/>
          <w:color w:val="auto"/>
        </w:rPr>
      </w:pPr>
      <w:r>
        <w:rPr>
          <w:rFonts w:ascii="Times New Roman" w:cs="Times New Roman" w:eastAsia="Times New Roman" w:hAnsi="Times New Roman"/>
          <w:sz w:val="17"/>
          <w:szCs w:val="17"/>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17"/>
          <w:szCs w:val="17"/>
          <w:i w:val="1"/>
          <w:iCs w:val="1"/>
          <w:color w:val="auto"/>
        </w:rPr>
        <w:t>ITEM 1A. RISK FACTORS—Risks Related to Our Securities—We cannot assure you that the market price of shares of our common stock will not decline</w:t>
      </w:r>
      <w:r>
        <w:rPr>
          <w:rFonts w:ascii="Times New Roman" w:cs="Times New Roman" w:eastAsia="Times New Roman" w:hAnsi="Times New Roman"/>
          <w:sz w:val="17"/>
          <w:szCs w:val="17"/>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February 17, 2021, there were approximately 3 holders of record of our common stock (including Cede &amp; Co.).</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Performance Graph</w:t>
      </w:r>
    </w:p>
    <w:p>
      <w:pPr>
        <w:spacing w:after="0" w:line="11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total return on our common stock from December 31, 2015 to December 31, 2020 with that of the Standard &amp; Poor’s BDC Index, the Standard &amp; Poor’s 500 Stock Index, the S&amp;P LSTA Leveraged Loan Index (“Leverage Loan Index”), and the Bloomberg Barclays US Corporate High Yield Total Return Index (“High Yield Bond Index”). This graph assumes that on December 31, 2015,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200025</wp:posOffset>
            </wp:positionV>
            <wp:extent cx="6069330" cy="3463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6933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each fiscal year ended December 31 since we commenced operations. The report of our independent registered public accounting firm, KPMG LLP, on the senior securities table as of December 31, 2020 is attached as an exhibit to this annual report on Form 10-K.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Treasury</w:t>
            </w:r>
          </w:p>
        </w:tc>
        <w:tc>
          <w:tcPr>
            <w:tcW w:w="240" w:type="dxa"/>
            <w:vAlign w:val="bottom"/>
          </w:tcPr>
          <w:p>
            <w:pPr>
              <w:spacing w:after="0"/>
              <w:rPr>
                <w:sz w:val="12"/>
                <w:szCs w:val="12"/>
                <w:color w:val="auto"/>
              </w:rPr>
            </w:pPr>
          </w:p>
        </w:tc>
        <w:tc>
          <w:tcPr>
            <w:tcW w:w="17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26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20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Securities </w:t>
            </w:r>
            <w:r>
              <w:rPr>
                <w:rFonts w:ascii="Times New Roman" w:cs="Times New Roman" w:eastAsia="Times New Roman" w:hAnsi="Times New Roman"/>
                <w:sz w:val="12"/>
                <w:szCs w:val="12"/>
                <w:b w:val="1"/>
                <w:bCs w:val="1"/>
                <w:color w:val="auto"/>
              </w:rPr>
              <w:t>(1)</w:t>
            </w:r>
          </w:p>
        </w:tc>
        <w:tc>
          <w:tcPr>
            <w:tcW w:w="2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Preference Per</w:t>
            </w:r>
          </w:p>
        </w:tc>
        <w:tc>
          <w:tcPr>
            <w:tcW w:w="1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73"/>
        </w:trPr>
        <w:tc>
          <w:tcPr>
            <w:tcW w:w="3280" w:type="dxa"/>
            <w:vAlign w:val="bottom"/>
            <w:gridSpan w:val="2"/>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17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60" w:type="dxa"/>
            <w:vAlign w:val="bottom"/>
          </w:tcPr>
          <w:p>
            <w:pPr>
              <w:spacing w:after="0"/>
              <w:rPr>
                <w:sz w:val="15"/>
                <w:szCs w:val="15"/>
                <w:color w:val="auto"/>
              </w:rPr>
            </w:pPr>
          </w:p>
        </w:tc>
        <w:tc>
          <w:tcPr>
            <w:tcW w:w="17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Revolving Credit Facilities</w:t>
            </w:r>
          </w:p>
        </w:tc>
        <w:tc>
          <w:tcPr>
            <w:tcW w:w="1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due 2019</w:t>
            </w: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5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5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due 2022</w:t>
            </w: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5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2024 Notes</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580" w:type="dxa"/>
            <w:vAlign w:val="bottom"/>
          </w:tcPr>
          <w:p>
            <w:pPr>
              <w:jc w:val="right"/>
              <w:ind w:right="42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right="100" w:hanging="492"/>
        <w:spacing w:after="0" w:line="261"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jc w:val="both"/>
        <w:ind w:left="500" w:right="40" w:hanging="492"/>
        <w:spacing w:after="0" w:line="250"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500" w:right="180" w:hanging="492"/>
        <w:spacing w:after="0" w:line="250"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The table below sets forth our selected consolidated historical financial data for the periods indicated. The selected consolidated financial data for the years ended December 31, 2020, 2019, 2018, 2017 and 2016 have been derived from our audited consolidated financial statements, which are included elsewhere in this Form 10-K and our SEC filings.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selected consolidated financial information and other data presented below should be read in conjunction with the information contained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the audited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the notes thereto included elsewhere in this annual report on Form 10-K.</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34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 Income</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Expenses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Net Unrealized Gain (Loss)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33.7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Realized Gain (Loss)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Earnings per common share—basic and diluted </w:t>
            </w:r>
            <w:r>
              <w:rPr>
                <w:rFonts w:ascii="Times New Roman" w:cs="Times New Roman" w:eastAsia="Times New Roman" w:hAnsi="Times New Roman"/>
                <w:sz w:val="15"/>
                <w:szCs w:val="15"/>
                <w:color w:val="auto"/>
              </w:rPr>
              <w:t>(1)</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2.65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80" w:type="dxa"/>
            <w:vAlign w:val="bottom"/>
            <w:tcBorders>
              <w:bottom w:val="single" w:sz="8" w:color="CFF0FC"/>
            </w:tcBorders>
            <w:vMerge w:val="continue"/>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2,245.9</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2,338.6</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2,280.9</w:t>
            </w:r>
          </w:p>
        </w:tc>
        <w:tc>
          <w:tcPr>
            <w:tcW w:w="2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1,094.5</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1,161.6</w:t>
            </w:r>
          </w:p>
        </w:tc>
        <w:tc>
          <w:tcPr>
            <w:tcW w:w="2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1,119.3</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6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Number of portfolio companies at year end</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15"/>
                <w:szCs w:val="15"/>
                <w:color w:val="auto"/>
              </w:rPr>
              <w:t>(2)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yield of debt and income</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producing securities at fair value </w:t>
            </w:r>
            <w:r>
              <w:rPr>
                <w:rFonts w:ascii="Times New Roman" w:cs="Times New Roman" w:eastAsia="Times New Roman" w:hAnsi="Times New Roman"/>
                <w:sz w:val="15"/>
                <w:szCs w:val="15"/>
                <w:color w:val="auto"/>
              </w:rPr>
              <w:t>(3)</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yield of debt and income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producing securities at amortized cost </w:t>
            </w:r>
            <w:r>
              <w:rPr>
                <w:rFonts w:ascii="Times New Roman" w:cs="Times New Roman" w:eastAsia="Times New Roman" w:hAnsi="Times New Roman"/>
                <w:sz w:val="15"/>
                <w:szCs w:val="15"/>
                <w:color w:val="auto"/>
              </w:rPr>
              <w:t>(3)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1"/>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debt investments as a percentage of</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99.4%</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99.4%</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fair value of debt investments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a percentage of call price</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common share is based on weighted average shares of common stock outstanding during the period.</w:t>
      </w:r>
    </w:p>
    <w:p>
      <w:pPr>
        <w:spacing w:after="0" w:line="27" w:lineRule="exact"/>
        <w:rPr>
          <w:rFonts w:ascii="Times New Roman" w:cs="Times New Roman" w:eastAsia="Times New Roman" w:hAnsi="Times New Roman"/>
          <w:sz w:val="18"/>
          <w:szCs w:val="18"/>
          <w:color w:val="auto"/>
        </w:rPr>
      </w:pPr>
    </w:p>
    <w:p>
      <w:pPr>
        <w:ind w:left="500" w:hanging="492"/>
        <w:spacing w:after="0" w:line="268" w:lineRule="auto"/>
        <w:tabs>
          <w:tab w:leader="none" w:pos="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years ended December 31, 2020, 2019, 2018, 2017, and 2016 reflects the Adviser’s waivers of its right to receive a portion of the Management Fee and Incentive Fees with respect to our ownership of shares of common stock of Triangle Capital Corp. and Oxford Square Capital Corp. The Management Fee, excluding the effects of the waivers, would have been $28.6 million, $24.3 million, and $24.3 million for the years ended December 31, 2018, 2017, and 2016, respectively. The Incentive Fee excluding the effects of the waiver would have been $30.5 million, $25.5 million, and $22.7 million for the years ended December 31, 2018, 2017, and 2016, respectively. The Adviser did not waive any Management Fees or Incentive Fees for the years ended December 31, 2020 and 2019. The corresponding impact on the total return calculation is not material.</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59" w:name="page60"/>
    <w:bookmarkEnd w:id="59"/>
    <w:p>
      <w:pPr>
        <w:ind w:left="500" w:right="200" w:hanging="492"/>
        <w:spacing w:after="0" w:line="255"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374" w:lineRule="exact"/>
        <w:rPr>
          <w:sz w:val="20"/>
          <w:szCs w:val="20"/>
          <w:color w:val="auto"/>
        </w:rPr>
      </w:pPr>
    </w:p>
    <w:p>
      <w:pPr>
        <w:ind w:right="1220"/>
        <w:spacing w:after="0" w:line="37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ind w:right="160" w:firstLine="255"/>
        <w:spacing w:after="0" w:line="267" w:lineRule="auto"/>
        <w:rPr>
          <w:sz w:val="20"/>
          <w:szCs w:val="20"/>
          <w:color w:val="auto"/>
        </w:rPr>
      </w:pPr>
      <w:r>
        <w:rPr>
          <w:rFonts w:ascii="Times New Roman" w:cs="Times New Roman" w:eastAsia="Times New Roman" w:hAnsi="Times New Roman"/>
          <w:sz w:val="18"/>
          <w:szCs w:val="18"/>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Sixth Street Specialty Lending, Inc. (formerly known as TPG Specialty Lending, Inc.) is a Delaware corporation formed on July 21, 2010. Effective June 15, 2020, we changed our name from TPG Specialty Lending, Inc. to Sixth Street Specialty Lending, Inc. The Adviser is our external manager. We have four wholly owned subsidiaries, TC Lending, LLC, a Delaware limited liability company, which holds a California finance lender and broker license, Sixth Street SL SPV, LLC (formerly known as TPG SL SPV, LLC), a Delaware limited liability company, in which we hold assets that were previously used to support our asset-backed credit facility, Sixth Street SL Holding, LLC (formerly known as TSL MR, LLC), a Delaware limited liability company, in which we hold certain investments, and Sixth Street Specialty Lending Sub, LLC, a Cayman Islands limited liability company, in which we plan to hold certain investments.</w:t>
      </w:r>
    </w:p>
    <w:p>
      <w:pPr>
        <w:spacing w:after="0" w:line="189"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00" w:hanging="249"/>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44" w:lineRule="exact"/>
        <w:rPr>
          <w:rFonts w:ascii="Times New Roman" w:cs="Times New Roman" w:eastAsia="Times New Roman" w:hAnsi="Times New Roman"/>
          <w:sz w:val="18"/>
          <w:szCs w:val="18"/>
          <w:color w:val="auto"/>
        </w:rPr>
      </w:pPr>
    </w:p>
    <w:p>
      <w:pPr>
        <w:ind w:left="500" w:right="380" w:hanging="249"/>
        <w:spacing w:after="0" w:line="282"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shares are currently listed on the NYSE under the symbol “TSLX.”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2020, we have originated more than $15.8 billion aggregate principal amount of investments and retained approximately $7.2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83"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2020, our core portfolio companies, which exclude certain investments that fall outside of our typical borrower profile and represent 87.1% of our total investments based on fair value, had weighted average annual revenue of $116.6 million and weighted average annual EBITDA of $40.9 million.</w:t>
      </w:r>
    </w:p>
    <w:p>
      <w:pPr>
        <w:spacing w:after="0" w:line="180"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right="60"/>
        <w:spacing w:after="0" w:line="282" w:lineRule="auto"/>
        <w:rPr>
          <w:sz w:val="20"/>
          <w:szCs w:val="20"/>
          <w:color w:val="auto"/>
        </w:rPr>
      </w:pPr>
      <w:r>
        <w:rPr>
          <w:rFonts w:ascii="Times New Roman" w:cs="Times New Roman" w:eastAsia="Times New Roman" w:hAnsi="Times New Roman"/>
          <w:sz w:val="18"/>
          <w:szCs w:val="18"/>
          <w:color w:val="auto"/>
        </w:rPr>
        <w:t>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6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December 31, 2020, the largest single investment based on fair value represented 3.7% of our total investment portfolio.</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2020, the average investment size in each of our portfolio companies was approximately $32.8 million based on fair value.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2020, the largest industry represented 22.2% of our total investment portfolio based on fair value.</w:t>
      </w:r>
    </w:p>
    <w:p>
      <w:pPr>
        <w:spacing w:after="0" w:line="223"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December 31, 2020,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95.8% of our portfolio was invested in secured debt, including 95.6%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2020, the weighted average term on new investment commitments in new portfolio companies was 4.6 years.</w:t>
      </w:r>
    </w:p>
    <w:p>
      <w:pPr>
        <w:spacing w:after="0" w:line="183" w:lineRule="exact"/>
        <w:rPr>
          <w:sz w:val="20"/>
          <w:szCs w:val="20"/>
          <w:color w:val="auto"/>
        </w:rPr>
      </w:pPr>
    </w:p>
    <w:p>
      <w:pPr>
        <w:ind w:right="140" w:firstLine="25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December 31, 2020, we had call protection on 82.0% of our debt investments based on fair value, with weighted average call prices of 107.0% for the first year, 104.3% for the second year and 101.4% for the third year, in each case from the date of the initial investment. As of December 31, 2020, 99.1% of our debt investments based on fair value bore interest at floating rates (when including investment specific hedges), with 99.2% of these subject to interest rate floors, which we believe helps act as a portfolio-wide hedge against inflation.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and Sixth Street</w:t>
      </w:r>
    </w:p>
    <w:p>
      <w:pPr>
        <w:spacing w:after="0" w:line="121"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7"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Sixth Street is a global investment business with approximately $50 billion of assets under management. Sixth Street’s core platforms include Sixth Street Specialty Lending, Sixth Street Specialty Lending Europe, which is aimed at European middle-market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1" w:name="page62"/>
    <w:bookmarkEnd w:id="61"/>
    <w:p>
      <w:pPr>
        <w:ind w:right="180"/>
        <w:spacing w:after="0" w:line="254" w:lineRule="auto"/>
        <w:rPr>
          <w:sz w:val="20"/>
          <w:szCs w:val="20"/>
          <w:color w:val="auto"/>
        </w:rPr>
      </w:pPr>
      <w:r>
        <w:rPr>
          <w:rFonts w:ascii="Times New Roman" w:cs="Times New Roman" w:eastAsia="Times New Roman" w:hAnsi="Times New Roman"/>
          <w:sz w:val="18"/>
          <w:szCs w:val="18"/>
          <w:color w:val="auto"/>
        </w:rPr>
        <w:t>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320 investment and operating professionals. As of December 31, 2020, thirty two (32) of these personnel are dedicated to our business, including twenty four (24) investment professionals.</w:t>
      </w:r>
    </w:p>
    <w:p>
      <w:pPr>
        <w:spacing w:after="0" w:line="188"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8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8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76" w:lineRule="exact"/>
        <w:rPr>
          <w:sz w:val="20"/>
          <w:szCs w:val="20"/>
          <w:color w:val="auto"/>
        </w:rPr>
      </w:pPr>
    </w:p>
    <w:p>
      <w:pPr>
        <w:ind w:right="340" w:firstLine="255"/>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December 31, 2020, 99.1% of these investments based on fair value bore interest at a floating rate (when including investment specific hedges), with 99.2% of these subject to interest rate floors. Interest on debt investments is generally payable quarterly or semiannually. Some of our investments provide for deferred interest payments or PIK interest. For the year ended December 31, 2020, 3.2% of our total investment income was comprised of PIK interest.</w:t>
      </w:r>
    </w:p>
    <w:p>
      <w:pPr>
        <w:spacing w:after="0" w:line="18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and 2024 Notes, after taking into account the effect of the interest rate swaps we have entered into in connection with these securities, all bear interest at floating rates. Macro trends in base interest rates like LIBOR or other alternate reference rates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9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3"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3"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00" w:hanging="249"/>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44" w:lineRule="exact"/>
        <w:rPr>
          <w:rFonts w:ascii="Times New Roman" w:cs="Times New Roman" w:eastAsia="Times New Roman" w:hAnsi="Times New Roman"/>
          <w:sz w:val="18"/>
          <w:szCs w:val="18"/>
          <w:color w:val="auto"/>
        </w:rPr>
      </w:pPr>
    </w:p>
    <w:p>
      <w:pPr>
        <w:ind w:left="500" w:right="320" w:hanging="249"/>
        <w:spacing w:after="0" w:line="266" w:lineRule="auto"/>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ind w:left="500" w:hanging="249"/>
        <w:spacing w:after="0" w:line="261"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44" w:lineRule="exact"/>
        <w:rPr>
          <w:rFonts w:ascii="Times New Roman" w:cs="Times New Roman" w:eastAsia="Times New Roman" w:hAnsi="Times New Roman"/>
          <w:sz w:val="18"/>
          <w:szCs w:val="18"/>
          <w:color w:val="auto"/>
        </w:rPr>
      </w:pPr>
    </w:p>
    <w:p>
      <w:pPr>
        <w:ind w:left="500" w:right="120" w:hanging="249"/>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52"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jc w:val="both"/>
        <w:ind w:right="100" w:firstLine="255"/>
        <w:spacing w:after="0" w:line="261" w:lineRule="auto"/>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780" w:firstLine="255"/>
        <w:spacing w:after="0" w:line="282"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64" w:name="page65"/>
    <w:bookmarkEnd w:id="64"/>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The limited number of dedicated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7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80"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2020, our portfolio based on fair value consisted of 95.6% first-lien debt investments, 0.2% second-lien debt investments, 0.5% mezzanine investments and 3.7% equity and other investments. As of December 31, 2019, our portfolio based on fair value consisted of 96.5% first-lien debt investments, 0.6% second-lien debt investments, 0.1% mezzanine investments, and 2.8% equity and other investments.</w:t>
      </w:r>
    </w:p>
    <w:p>
      <w:pPr>
        <w:spacing w:after="0" w:line="176" w:lineRule="exact"/>
        <w:rPr>
          <w:sz w:val="20"/>
          <w:szCs w:val="20"/>
          <w:color w:val="auto"/>
        </w:rPr>
      </w:pPr>
    </w:p>
    <w:p>
      <w:pPr>
        <w:ind w:right="20" w:firstLine="255"/>
        <w:spacing w:after="0" w:line="289" w:lineRule="auto"/>
        <w:rPr>
          <w:sz w:val="20"/>
          <w:szCs w:val="20"/>
          <w:color w:val="auto"/>
        </w:rPr>
      </w:pPr>
      <w:r>
        <w:rPr>
          <w:rFonts w:ascii="Times New Roman" w:cs="Times New Roman" w:eastAsia="Times New Roman" w:hAnsi="Times New Roman"/>
          <w:sz w:val="17"/>
          <w:szCs w:val="17"/>
          <w:color w:val="auto"/>
        </w:rPr>
        <w:t>As of December 31, 2020 and December 31, 2019, our weighted average total yield of debt and income producing securities at fair value (which includes interest income and amortization of fees and discounts) was 10.0% and 10.5%, respectively, and our weighted average total yield of debt and income-producing securities at amortized cost (which includes interest income and amortization of fees and discounts) was 10.2% and 10.7%, respectively.</w:t>
      </w:r>
    </w:p>
    <w:p>
      <w:pPr>
        <w:spacing w:after="0" w:line="158"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we had investments in 70 and 63 portfolio companies, respectively, with an aggregate fair value of $2,298.9 million and $2,245.9 million, respectively.</w:t>
      </w:r>
    </w:p>
    <w:p>
      <w:pPr>
        <w:spacing w:after="0" w:line="162"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principal amount of new investments funded was $939.0 million in 31 new portfolio companies and 27 existing portfolio companies. For this period, we had $941.3 million aggregate principal amount in exits and repayments.</w:t>
      </w:r>
    </w:p>
    <w:p>
      <w:pPr>
        <w:spacing w:after="0" w:line="162"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the principal amount of new investments funded was $1,087.6 million in 32 new portfolio companies and 14 existing portfolio companies. For this period, we had $575.2 million aggregate principal amount in exits and repayments.</w:t>
      </w:r>
    </w:p>
    <w:p>
      <w:pPr>
        <w:spacing w:after="0" w:line="162"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5" w:name="page66"/>
    <w:bookmarkEnd w:id="65"/>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investment activity for the years ended December 31, 2020, 2019 and 2018 is presented below (information presented herein is at par value unless otherwise indicated).</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originations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3,296.8</w:t>
            </w:r>
          </w:p>
        </w:tc>
        <w:tc>
          <w:tcPr>
            <w:tcW w:w="3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3,007.0</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2,112.1</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3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w:t>
            </w:r>
          </w:p>
        </w:tc>
        <w:tc>
          <w:tcPr>
            <w:tcW w:w="3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3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3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w:t>
            </w:r>
          </w:p>
        </w:tc>
        <w:tc>
          <w:tcPr>
            <w:tcW w:w="2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78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 new portfolio</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 new portfolio</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companies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 commitments in new</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portfolio companies (in years)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floating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rates </w:t>
            </w:r>
            <w:r>
              <w:rPr>
                <w:rFonts w:ascii="Times New Roman" w:cs="Times New Roman" w:eastAsia="Times New Roman" w:hAnsi="Times New Roman"/>
                <w:sz w:val="15"/>
                <w:szCs w:val="15"/>
                <w:b w:val="1"/>
                <w:bCs w:val="1"/>
                <w:color w:val="auto"/>
              </w:rPr>
              <w:t>(1)</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98.8%</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98.7%</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 at fixed rates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 investment commitments</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 floating rate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 sold or paid down</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00" w:right="4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fixed rate investment for the year ended December 31, 2020 and two fixed rate investments for the years ended December 31, 2019 and 2018 for which we entered into interest rate swap agreements to swap to floating rates.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2020 and 2019, our investments consisted of the following:</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5"/>
                <w:szCs w:val="15"/>
                <w:color w:val="auto"/>
              </w:rPr>
            </w:pPr>
          </w:p>
        </w:tc>
        <w:tc>
          <w:tcPr>
            <w:tcW w:w="26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show the fair value and amortized cost of our performing and non-accrual investments as of December 31, 2020 and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4"/>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5"/>
                <w:szCs w:val="15"/>
                <w:color w:val="auto"/>
              </w:rPr>
            </w:pPr>
          </w:p>
        </w:tc>
        <w:tc>
          <w:tcPr>
            <w:tcW w:w="2680" w:type="dxa"/>
            <w:vAlign w:val="bottom"/>
            <w:gridSpan w:val="4"/>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6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15"/>
                <w:szCs w:val="15"/>
                <w:color w:val="auto"/>
              </w:rPr>
              <w:t>(1)</w:t>
            </w:r>
          </w:p>
        </w:tc>
        <w:tc>
          <w:tcPr>
            <w:tcW w:w="15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4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66" w:name="page67"/>
    <w:bookmarkEnd w:id="66"/>
    <w:tbl>
      <w:tblPr>
        <w:tblLayout w:type="fixed"/>
        <w:tblInd w:w="580" w:type="dxa"/>
        <w:tblCellMar>
          <w:top w:w="0" w:type="dxa"/>
          <w:left w:w="0" w:type="dxa"/>
          <w:bottom w:w="0" w:type="dxa"/>
          <w:right w:w="0" w:type="dxa"/>
        </w:tblCellMar>
      </w:tblP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5"/>
                <w:szCs w:val="15"/>
                <w:color w:val="auto"/>
              </w:rPr>
            </w:pPr>
          </w:p>
        </w:tc>
        <w:tc>
          <w:tcPr>
            <w:tcW w:w="2960" w:type="dxa"/>
            <w:vAlign w:val="bottom"/>
            <w:gridSpan w:val="4"/>
          </w:tcPr>
          <w:p>
            <w:pPr>
              <w:jc w:val="right"/>
              <w:ind w:right="105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5"/>
                <w:szCs w:val="15"/>
                <w:color w:val="auto"/>
              </w:rPr>
            </w:pPr>
          </w:p>
        </w:tc>
        <w:tc>
          <w:tcPr>
            <w:tcW w:w="2760" w:type="dxa"/>
            <w:vAlign w:val="bottom"/>
            <w:gridSpan w:val="4"/>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vMerge w:val="continue"/>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7"/>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2,233.7</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3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15"/>
                <w:szCs w:val="15"/>
                <w:color w:val="auto"/>
              </w:rPr>
              <w:t>(1)</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2,238.0</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160" w:hanging="492"/>
        <w:spacing w:after="0" w:line="256"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8"/>
          <w:szCs w:val="18"/>
          <w:i w:val="1"/>
          <w:iCs w:val="1"/>
          <w:color w:val="auto"/>
        </w:rPr>
        <w:t>“–Critical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 – Interest and Dividend Income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December 31, 2020 and 2019 were as follows: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5"/>
        </w:trPr>
        <w:tc>
          <w:tcPr>
            <w:tcW w:w="50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1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34"/>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producing securities </w:t>
            </w:r>
            <w:r>
              <w:rPr>
                <w:rFonts w:ascii="Times New Roman" w:cs="Times New Roman" w:eastAsia="Times New Roman" w:hAnsi="Times New Roman"/>
                <w:sz w:val="15"/>
                <w:szCs w:val="15"/>
                <w:color w:val="auto"/>
              </w:rPr>
              <w:t>(1)</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1"/>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spread over LIBOR of all floating</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rate investments </w:t>
            </w:r>
            <w:r>
              <w:rPr>
                <w:rFonts w:ascii="Times New Roman" w:cs="Times New Roman" w:eastAsia="Times New Roman" w:hAnsi="Times New Roman"/>
                <w:sz w:val="15"/>
                <w:szCs w:val="15"/>
                <w:color w:val="auto"/>
              </w:rPr>
              <w:t>(2)</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bl>
    <w:p>
      <w:pPr>
        <w:spacing w:after="0" w:line="198" w:lineRule="exact"/>
        <w:rPr>
          <w:sz w:val="20"/>
          <w:szCs w:val="20"/>
          <w:color w:val="auto"/>
        </w:rPr>
      </w:pPr>
    </w:p>
    <w:p>
      <w:pPr>
        <w:ind w:left="500" w:hanging="492"/>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total portfolio yield at fair value was 9.5% at December 31, 2020 and 10.3% at December 31, 2019.</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fixed rate investments for which we entered into interest rate swap agreements to swap to floating rates.</w:t>
      </w:r>
    </w:p>
    <w:p>
      <w:pPr>
        <w:spacing w:after="0" w:line="247"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8" w:lineRule="exact"/>
        <w:rPr>
          <w:sz w:val="20"/>
          <w:szCs w:val="20"/>
          <w:color w:val="auto"/>
        </w:rPr>
      </w:pPr>
    </w:p>
    <w:p>
      <w:pPr>
        <w:ind w:left="500" w:hanging="249"/>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44" w:lineRule="exact"/>
        <w:rPr>
          <w:rFonts w:ascii="Times New Roman" w:cs="Times New Roman" w:eastAsia="Times New Roman" w:hAnsi="Times New Roman"/>
          <w:sz w:val="18"/>
          <w:szCs w:val="18"/>
          <w:color w:val="auto"/>
        </w:rPr>
      </w:pPr>
    </w:p>
    <w:p>
      <w:pPr>
        <w:ind w:left="500" w:right="40" w:hanging="249"/>
        <w:spacing w:after="0" w:line="282" w:lineRule="auto"/>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52"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00" w:right="620" w:hanging="249"/>
        <w:spacing w:after="0" w:line="266"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7" w:lineRule="exact"/>
        <w:rPr>
          <w:rFonts w:ascii="Times New Roman" w:cs="Times New Roman" w:eastAsia="Times New Roman" w:hAnsi="Times New Roman"/>
          <w:sz w:val="18"/>
          <w:szCs w:val="18"/>
          <w:color w:val="auto"/>
        </w:rPr>
      </w:pPr>
    </w:p>
    <w:p>
      <w:pPr>
        <w:ind w:left="500" w:right="100" w:hanging="249"/>
        <w:spacing w:after="0" w:line="266"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7" w:lineRule="exact"/>
        <w:rPr>
          <w:rFonts w:ascii="Times New Roman" w:cs="Times New Roman" w:eastAsia="Times New Roman" w:hAnsi="Times New Roman"/>
          <w:sz w:val="18"/>
          <w:szCs w:val="18"/>
          <w:color w:val="auto"/>
        </w:rPr>
      </w:pPr>
    </w:p>
    <w:p>
      <w:pPr>
        <w:ind w:left="500" w:right="180" w:hanging="249"/>
        <w:spacing w:after="0" w:line="266" w:lineRule="auto"/>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67" w:name="page68"/>
    <w:bookmarkEnd w:id="67"/>
    <w:p>
      <w:pPr>
        <w:ind w:left="500" w:hanging="249"/>
        <w:spacing w:after="0" w:line="256"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9" w:lineRule="exact"/>
        <w:rPr>
          <w:rFonts w:ascii="Times New Roman" w:cs="Times New Roman" w:eastAsia="Times New Roman" w:hAnsi="Times New Roman"/>
          <w:sz w:val="18"/>
          <w:szCs w:val="18"/>
          <w:color w:val="auto"/>
        </w:rPr>
      </w:pPr>
    </w:p>
    <w:p>
      <w:pPr>
        <w:ind w:left="500" w:right="180" w:hanging="249"/>
        <w:spacing w:after="0" w:line="261" w:lineRule="auto"/>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December 31, 2020 and 2019. Investment performance ratings are accurate only as of those dates and may change due to subsequent developments relating to a portfolio company’s business or financial condition, market conditions or developments, and other factors.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6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5"/>
                <w:szCs w:val="15"/>
                <w:color w:val="auto"/>
              </w:rPr>
            </w:pPr>
          </w:p>
        </w:tc>
        <w:tc>
          <w:tcPr>
            <w:tcW w:w="294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44"/>
        </w:trPr>
        <w:tc>
          <w:tcPr>
            <w:tcW w:w="3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Borders>
              <w:top w:val="single" w:sz="8" w:color="auto"/>
            </w:tcBorders>
            <w:gridSpan w:val="3"/>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4"/>
                <w:szCs w:val="14"/>
                <w:color w:val="auto"/>
              </w:rPr>
            </w:pPr>
          </w:p>
        </w:tc>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4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3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1,996.5</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1,968.0</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30"/>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140" w:type="dxa"/>
            <w:vAlign w:val="bottom"/>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2,245.9</w:t>
            </w: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years ended December 31, 2020, 2019 and 2018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20" w:type="dxa"/>
            <w:vAlign w:val="bottom"/>
            <w:tcBorders>
              <w:bottom w:val="single" w:sz="8" w:color="CFF0FC"/>
            </w:tcBorders>
            <w:vMerge w:val="continue"/>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7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117.3</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7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15"/>
                <w:szCs w:val="15"/>
                <w:color w:val="auto"/>
              </w:rPr>
              <w:t>(1)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15"/>
                <w:szCs w:val="15"/>
                <w:color w:val="auto"/>
              </w:rPr>
              <w:t>(1)</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5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12"/>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20" w:type="dxa"/>
            <w:vAlign w:val="bottom"/>
            <w:tcBorders>
              <w:bottom w:val="single" w:sz="8" w:color="CFF0FC"/>
            </w:tcBorders>
            <w:vMerge w:val="continue"/>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7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$237.2 million for the year ended December 31, 2019 to $245.7 million for the year ended December 31, 2020, primarily due to an increase in accelerated amortization of upfront fees and prepayment fees due to increased paydowns which was partially offset by a decrease in the average</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45" w:right="459" w:bottom="1440" w:gutter="0" w:footer="0" w:header="0"/>
        </w:sectPr>
      </w:pPr>
    </w:p>
    <w:bookmarkStart w:id="68" w:name="page69"/>
    <w:bookmarkEnd w:id="68"/>
    <w:p>
      <w:pPr>
        <w:ind w:right="60"/>
        <w:spacing w:after="0" w:line="254" w:lineRule="auto"/>
        <w:rPr>
          <w:sz w:val="20"/>
          <w:szCs w:val="20"/>
          <w:color w:val="auto"/>
        </w:rPr>
      </w:pPr>
      <w:r>
        <w:rPr>
          <w:rFonts w:ascii="Times New Roman" w:cs="Times New Roman" w:eastAsia="Times New Roman" w:hAnsi="Times New Roman"/>
          <w:sz w:val="18"/>
          <w:szCs w:val="18"/>
          <w:color w:val="auto"/>
        </w:rPr>
        <w:t>LIBOR rate for the year ended December 31, 2020. Accelerated amortization of upfront fees, from unscheduled paydowns, increased from $6.7 million for the year ended December 31, 2019 to $14.0 million for the year ended December 31, 2020, and prepayment fees increased from $12.0 million for the year ended December 31, 2019 to $21.5 million for the year ended December 31, 2020. The accelerated amortization and prepayment fees primarily resulted from full paydowns on 13 portfolio investments, partial paydowns on five portfolio investments, and prepayment fees on 11 portfolio investments during the year ended December 31, 2019, and full paydowns on 17 portfolio investments, partial paydowns on ten portfolio investments, partial realizations on four portfolio investments and prepayment fees on 18 portfolio investments during the year ended December 31, 2020. Dividend income increased from $0.4 million for the year ended December 31, 2019 to $1.8 million for the year ended December 31, 2020 due to increased investment in dividend yielding securities in 2020. Other income increased from $13.9 million for the year ended December 31, 2019 to $22.5 million for the year ended December 31, 2020, primarily due to higher agency, syndication and miscellaneous fees earned during 2020.</w:t>
      </w:r>
    </w:p>
    <w:p>
      <w:pPr>
        <w:spacing w:after="0" w:line="188"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decreased from $249.9 million for the year ended December 31, 2018 to $237.2 million for the year ended December 31, 2019, primarily due to a decrease in accelerated amortization of upfront fees and prepayment fees due to fewer paydowns which was partially offset by an increase in the average portfolio size for the year ended December 31, 2019. Accelerated amortization of upfront fees, primarily from unscheduled paydowns, decreased from $13.4 million for the year ended December 31, 2018 to $6.7 million for the year ended December 31, 2019, and prepayment fees decreased from $25.6 million for the year ended December 31, 2018 to $12.0 million for the year ended December 31, 2019. The accelerated amortization and prepayment fees primarily resulted from full paydowns on 16 portfolio investments, partial paydowns on three portfolio investments, partial realizations on two portfolio investments and prepayment fees on 15 portfolio investments during the year ended December 31, 2018, and full paydowns on 13 portfolio investments, partial paydowns on five portfolio investments, and prepayment fees on 11 portfolio investments during the year ended December 31, 2019. Dividend income increased from $0.2 million for the year ended December 31, 2018 to $0.4 million for the year ended December 31, 2019 due to increased investment in dividend yielding securities in 2019. Other income increased from $11.8 million for the year ended December 31, 2018 to $13.9 million for the year ended December 31, 2019, primarily due to higher amendment fees earned during 2019.</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years ended December 31, 2020, 2019 and 2018 were as follows: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7"/>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900" w:type="dxa"/>
            <w:vAlign w:val="bottom"/>
            <w:tcBorders>
              <w:bottom w:val="single" w:sz="8" w:color="CFF0FC"/>
            </w:tcBorders>
            <w:vMerge w:val="continue"/>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(net of waivers)</w:t>
            </w: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4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Interest expense, including other debt financing expenses, decreased from $49.1 million for the year ended December 31, 2019 to $39.4 million for the year ended December 31, 2020. This decrease was primarily due to a decrease in the average interest rate on our debt outstanding due to a decrease in LIBOR and a change in the mix of our debt financing sources for the year ended December 31, 2020 which was partially offset by an increase in the average debt outstanding from $913.4 million for the year ended December 31, 2019 to $1,001.6 million for the year ended December 31, 2020. The average interest rate on our debt outstanding decreased from 4.4% for the year ended December 31, 2019 to 3.0% for the year ended December 31, 2020 due to a change in the mix of our debt financing sources and a change in LIBOR rates. For the years ended December 31, 2019 and 2020, weighted average one-month LIBOR for the year was 2.2% and 0.5%, respectively.</w:t>
      </w:r>
    </w:p>
    <w:p>
      <w:pPr>
        <w:spacing w:after="0" w:line="18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$42.8 million for the year ended December 31, 2018 to $49.1 million for the year ended December 31, 2019. This increase was primarily due to an increase in the average debt outstanding for the year ended December 31, 2018 from $874.3 million to $913.4 million for the year ended December 31, 2019 and an increase in our average interest rate on debt outstanding due to a change in the mix of our debt financing sources. The average interest rate on our debt outstanding increased from 4.1% for the year ended December 31, 2018 to 4.4% for the year ended December 31, 2019 due to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69" w:name="page70"/>
    <w:bookmarkEnd w:id="69"/>
    <w:p>
      <w:pPr>
        <w:ind w:right="180"/>
        <w:spacing w:after="0" w:line="282" w:lineRule="auto"/>
        <w:rPr>
          <w:sz w:val="20"/>
          <w:szCs w:val="20"/>
          <w:color w:val="auto"/>
        </w:rPr>
      </w:pPr>
      <w:r>
        <w:rPr>
          <w:rFonts w:ascii="Times New Roman" w:cs="Times New Roman" w:eastAsia="Times New Roman" w:hAnsi="Times New Roman"/>
          <w:sz w:val="18"/>
          <w:szCs w:val="18"/>
          <w:color w:val="auto"/>
        </w:rPr>
        <w:t>change in the mix of our debt financing sources and a change in LIBOR. For the years ended December 31, 2018 and 2019, weighted average one-month LIBOR for the year was 2.0% and 2.2%, respectively.</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Management Fees increased from $30.1 million for the year ended December 31, 2019 to $32.1 million for the year ended December 31, 2020 due to a small increase in average total assets for the year ended December 31, 2020. The Adviser did not waive any Management Fees for the years ended December 31, 2019 and 2020.</w:t>
      </w:r>
    </w:p>
    <w:p>
      <w:pPr>
        <w:spacing w:after="0" w:line="17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Management Fees (gross of waivers) increased from $28.5 million for the year ended December 31, 2018 to $30.1 million for the year ended December 31, 2019 due to average total assets increasing from $1.9 billion for the year ended December 31, 2018 to $2.1 billion for the year ended December 31, 2019. Management Fees waived were less than $0.1 million for the year ended December 31, 2018 consisting solely of Management Fees attributable to our ownership of TCAP shares. The Adviser did not waive any Management Fees for the year ended December 31, 2019.</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Incentive Fees related to pre-Incentive Fee net investment income increased from $27.2 million for the year ended December 31, 2019 to $31.5 million for the year ended December 31, 2020. This increase resulted primarily from an increase in accelerated amortization of upfront fees and prepayment fees received during the year ended December 31, 2020 and the related increase in net investment income. There were no Incentive Fees related to pre-incentive Fee net investment income waived for the years ended December 31, 2019 or 2020. There were no Incentive Fees related to net capital gains and losses for the year ended December 31, 2019 due to cumulative realized and unrealized losses on our investments and $1.4 million of Incentive Fees were accrued for the year ended December 31, 2020 related to cumulative unrealized capital gains in excess of cumulative net realized capital gains less cumulative unrealized losses and capital gains incentive fees paid inception to date.</w:t>
      </w:r>
    </w:p>
    <w:p>
      <w:pPr>
        <w:spacing w:after="0" w:line="185"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Incentive Fees (gross of waivers) related to pre-Incentive Fee net investment income decreased from $30.5 million for the year ended December 31, 2018 to $27.2 million for the year ended December 31, 2019. This decrease resulted primarily from a decrease in interest from investments received during the year ended December 31, 2019 and the related decrease in net investment income. For the year ended December 31, 2018, Incentive Fees related to pre-Incentive Fee net investment income of less than $0.1 million were waived, consisting solely of Incentive Fees attributable to our ownership of the TCAP Shares. There were no Incentive Fees related to pre-incentive Fee net investment income waived for the year ended December 31, 2019. There were no Incentive Fees related to net capital gains for the year ended December 31, 2018 and the year ended December 31, 2019 due to cumulative realized and unrealized losses on our investments.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Any waived Incentive Fees are not subject to recoupment by the Adviser.</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$6.5 million for the year ended December 31, 2019 to $6.8 million for the year ended December 31, 2020 due to higher legal fees, independent third-party valuation firm and sub-agent administration costs due to a larger portfolio. Other general and administrative fees decreased from $5.9 million for the year ended December 31, 2019 to $5.3 million for the year ended December 31, 2020.</w:t>
      </w:r>
    </w:p>
    <w:p>
      <w:pPr>
        <w:spacing w:after="0" w:line="17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Professional fees decreased from $7.2 million for the year ended December 31, 2018 to $6.5 million for the year ended December 31, 2019 due to recognition of remaining non-recurring expenses associated with the initial shelf registration statement in 2018 that were previously recorded as deferred financing cost. Other general and administrative fees increased from $5.2 million for the year ended December 31, 2018 to $5.9 million for the year ended December 31,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0" w:name="page71"/>
    <w:bookmarkEnd w:id="70"/>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2020, 2019 and 2018 we recorded a net expense of $5.8 million, $3.8 million and $3.4 million, respectively, for U.S. federal excise tax and other taxes.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years ended December 31, 2020, 2019 and 2018:</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7"/>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on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 on foreign currency investments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on foreign currency borrowings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interest rate swaps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 on Investments</w:t>
            </w: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foreign currency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w:t>
            </w:r>
          </w:p>
        </w:tc>
        <w:tc>
          <w:tcPr>
            <w:tcW w:w="2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 (losses) on foreign</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currency cash and forward contracts</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interest rate swaps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1"/>
        </w:trPr>
        <w:tc>
          <w:tcPr>
            <w:tcW w:w="596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 and Interest Rate Swaps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7"/>
          <w:szCs w:val="17"/>
          <w:color w:val="auto"/>
        </w:rPr>
        <w:t>For the years ended December 31, 2020, 2019, and 2018, we had net realized losses on investments of $3.1 million, net realized gains on investments of $1.9 million and net realized losses on investments of $11.4 million, respectively. For the year ended December 31, 2020, we had net realized gains of $0.7 million on extinguishment of debt, as a result of our repurchases of our debt securities. For the year ended December 31, 2020, we had net realized losses of less than $0.1 million and for the years ended December 31 2019, and 2018, we had net realized gains of $0.1 million and $0.2 million, respectively, on foreign currency transactions, primarily as a result of translating foreign currency related to our non-USD denominated investments. For the years ended December 31, 2020, 2019 and 2018, we had net realized losses on foreign currency investments of $1.1 million, $0.4 million and $2.2 million, respectively. For the years ended December 31, 2020, 2019, and 2018 we had net realized gains on foreign currency borrowings of $1.0 million, $0.4 million and $2.7 million, respectively. The net realized gains on foreign currency borrowings were a result of payments on our revolving credit facility. For the years ended December 31, 2020 and 2019 we had net realized losses of $0.1 million and net realized gains less than $0.1 million, respectively, on interest rate swaps.</w:t>
      </w:r>
    </w:p>
    <w:p>
      <w:pPr>
        <w:spacing w:after="0" w:line="17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we had $74.4 million in unrealized gains on 53 portfolio company investments, which was offset by $42.4 million in unrealized losses on 29 portfolio company investments. Unrealized gains for the year ended December 31, 2020 resulted from an increase in fair value, primarily due to positive valuation adjustments, the positive impact on valuations from the existence of LIBOR floors, and unwind of prior period unrealized losses. Unrealized losses for the year ended December 31, 2020 resulted from the reversal of prior period unrealized gains due to realizations and negative credit-related adjustments.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1" w:name="page72"/>
    <w:bookmarkEnd w:id="71"/>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we had $45.6 million in unrealized gains on 53 portfolio company investments, which was offset by $27.3 million in unrealized losses on 23 portfolio company investments. Unrealized gains for the year ended December 31, 2019 resulted from an increase in fair value, primarily due to positive valuation adjustments and changes in credit spreads. Unrealized losses for the year ended December 31, 2019 resulted from the unwind of prior period unrealized gains due to realizations and negative credit-related adjustments.</w:t>
      </w:r>
    </w:p>
    <w:p>
      <w:pPr>
        <w:spacing w:after="0" w:line="180"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we had $44.9 million in unrealized gains on 17 portfolio company investments, which was offset by $62.8 million in unrealized losses on 50 portfolio company investments. Unrealized gains for the year ended December 31, 2018 resulted from an increase in fair value, primarily due to reversal of prior period unrealized losses and positive valuation adjustments. Unrealized losses for the year ended December 31, 2018 resulted from the unwind of prior period unrealized gains on realized investments, widening credit spreads, and in some instances negative credit-related adjustments.</w:t>
      </w:r>
    </w:p>
    <w:p>
      <w:pPr>
        <w:spacing w:after="0" w:line="18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2020 and December 31, 2019 we had unrealized losses on foreign currency borrowings of $5.1 million and $3.2 million, respectively, primarily as a result of fluctuations in the AUD, CAD, and EUR exchange rates. For the year ended December 31, 2018, we had unrealized gains on foreign currency borrowings of $5.4 million, primarily as a result of fluctuations in the AUD, CAD, and EUR exchange rates. For the years ended December 31, 2020, 2019, and 2018, we had unrealized losses on foreign currency cash and forward contracts of less than $0.1 million, unrealized gains on foreign currency cash and forward contracts of less than $0.1 million, and unrealized losses on foreign currency cash and forward contracts of less than $0.1 million, primarily as a result of settling our foreign currency forward contracts. For the year ended December 31, 2020 and 2019 we had unrealized gains on interest rate swaps of $6.8 million and $9.2 million, respectively and for the year ended December 31, 2018, we had unrealized losses on interest rate swaps of $1.7 million, due to fluctuations in interest rates.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121"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December 31, 2020, weighted by capital invested, our exited investments have generated an average realized gross internal rate of return to us of 19.2% (based on total capital invested of $4.9 billion and total proceeds from these exited investments of $6.2 billion). Ninety-one percent of these exited investments resulted in a realized gross internal rate of return to us of 10% or greater.</w:t>
      </w:r>
    </w:p>
    <w:p>
      <w:pPr>
        <w:spacing w:after="0" w:line="176"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jc w:val="both"/>
        <w:ind w:right="140" w:firstLine="255"/>
        <w:spacing w:after="0" w:line="312" w:lineRule="auto"/>
        <w:rPr>
          <w:sz w:val="20"/>
          <w:szCs w:val="20"/>
          <w:color w:val="auto"/>
        </w:rPr>
      </w:pPr>
      <w:r>
        <w:rPr>
          <w:rFonts w:ascii="Times New Roman" w:cs="Times New Roman" w:eastAsia="Times New Roman" w:hAnsi="Times New Roman"/>
          <w:sz w:val="17"/>
          <w:szCs w:val="17"/>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40"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7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Foreign Currency Hedging</w:t>
      </w:r>
    </w:p>
    <w:p>
      <w:pPr>
        <w:spacing w:after="0" w:line="121" w:lineRule="exact"/>
        <w:rPr>
          <w:sz w:val="20"/>
          <w:szCs w:val="20"/>
          <w:color w:val="auto"/>
        </w:rPr>
      </w:pPr>
    </w:p>
    <w:p>
      <w:pPr>
        <w:ind w:right="140" w:firstLine="255"/>
        <w:spacing w:after="0" w:line="253" w:lineRule="auto"/>
        <w:rPr>
          <w:sz w:val="20"/>
          <w:szCs w:val="20"/>
          <w:color w:val="auto"/>
        </w:rPr>
      </w:pPr>
      <w:r>
        <w:rPr>
          <w:rFonts w:ascii="Times New Roman" w:cs="Times New Roman" w:eastAsia="Times New Roman" w:hAnsi="Times New Roman"/>
          <w:sz w:val="18"/>
          <w:szCs w:val="18"/>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years ended December 31, 2020 and 2019, we had $5.1 million and $3.2 million of unrealized losses, respectively, and for the year ended December 31, 2018 we had $5.4 million of unrealized gains on the translation of our non-U.S. dollar denominated debt into U.S. dollars; such amounts approximate the corresponding unrealized gains and losses on the translation of our non-U.S. dollar denominated investments into U.S. dollars for the years ended December 31, 2020, 2019 and 2018. See Note 2 for additional disclosure regarding our accounting for foreign currency. See Note 7 for additional disclosure regarding the amounts of outstanding debt denominated in each foreign currency at December 31, 2020. See our consolidated schedule of investments for additional disclosure regarding the foreign currency amounts (in both par and fair value) of our non-U.S. dollar denominated investments.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00" w:hanging="249"/>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52"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18"/>
          <w:szCs w:val="18"/>
          <w:i w:val="1"/>
          <w:iCs w:val="1"/>
          <w:color w:val="auto"/>
        </w:rPr>
        <w:t>Key Components of Our Results of Operations —Leverage</w:t>
      </w:r>
      <w:r>
        <w:rPr>
          <w:rFonts w:ascii="Times New Roman" w:cs="Times New Roman" w:eastAsia="Times New Roman" w:hAnsi="Times New Roman"/>
          <w:sz w:val="18"/>
          <w:szCs w:val="18"/>
          <w:color w:val="auto"/>
        </w:rPr>
        <w:t>” above. As of December 31, 2020, 2019 and 2018, our asset coverage ratio was 204.5%, 200.4%, and 270.5%,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88" w:lineRule="exact"/>
        <w:rPr>
          <w:sz w:val="20"/>
          <w:szCs w:val="20"/>
          <w:color w:val="auto"/>
        </w:rPr>
      </w:pPr>
    </w:p>
    <w:p>
      <w:pPr>
        <w:jc w:val="both"/>
        <w:ind w:right="220" w:firstLine="255"/>
        <w:spacing w:after="0" w:line="266" w:lineRule="auto"/>
        <w:rPr>
          <w:sz w:val="20"/>
          <w:szCs w:val="20"/>
          <w:color w:val="auto"/>
        </w:rPr>
      </w:pPr>
      <w:r>
        <w:rPr>
          <w:rFonts w:ascii="Times New Roman" w:cs="Times New Roman" w:eastAsia="Times New Roman" w:hAnsi="Times New Roman"/>
          <w:sz w:val="18"/>
          <w:szCs w:val="18"/>
          <w:color w:val="auto"/>
        </w:rPr>
        <w:t>Cash and cash equivalents as of December 31, 2020, taken together with cash available under our credit facilities, is expected to be sufficient for our investing activities and to conduct our operations in the near term. As of December 31, 2020, we had approximately $862.7 million of availability on our Revolving Credit Facility, subject to asset coverage limitations.</w:t>
      </w:r>
    </w:p>
    <w:p>
      <w:pPr>
        <w:spacing w:after="0" w:line="176"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As of December 31, 2020, we had $13.3 million in cash and cash equivalents, including $10.8 million of restricted cash. During the year ended December 31, 2020, we provided $145.1 million in cash from operating activities as a result of repayments and proceeds from investments of $1,048.0 million and an increase in net assets resulting from operations of $178.1 million, which was partially offset by funding portfolio investments of $1,038.9 million, and other operating activity of $42.1 million. Lastly, cash used in financing activities was $145.9 million during the period, consisting of paydowns on our Revolving Credit Facility of $1,090.7 million, dividends paid of $130.4 million, repurchases of debt of $31.8 million, repurchases of common stock of $2.9 million, and deferred financing costs of $4.3 million, which was partially offset by borrowings of $1,114.2 million.</w:t>
      </w:r>
    </w:p>
    <w:p>
      <w:pPr>
        <w:spacing w:after="0" w:line="187"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As of December 31, 2019, we had $14.1 million in cash and cash equivalents, including $9.3 million of restricted cash. During the year ended December 31, 2019, we provided $378.0 million in cash for operating activities, primarily as a result of purchases and originations of investments of $1,118.1 million and other operating activity of $36.5 million partially offset by repayments on investments of $622.0 million and an increase in net assets resulting from operations of $154.6 million. Lastly, cash provided in financing activities was $381.6 million during the period, primarily due to borrowings of $1,742.6 million (including the issuance of $300.0 million principal amount of our 2024 Notes), which were partially offset by paydowns on our Revolving Credit Facility of $1,255.2 million, dividends paid of $98.1 million, and deferred financing costs of $7.7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ind w:right="4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we had $10.8 million of restricted cash pledged as collateral under our interest rate swap agreements, compared to $9.3 million as of December 31,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2020 and 2019, we issued 1,366,582 and 1,111,774 shares of our common stock, respectively, to investors who have not opted out of our dividend reinvestment plan for proceeds of $22.3 million and $21.1 million, respectively. On January 15, 2021, we issued 211,904 shares of our common stock through our dividend reinvestment plan for proceeds of $4.2 million, which is not reflected in the number of shares issued for the year ended December 31, 2020 in this section or the consolidated financial statements for the year ended December 31, 2020.</w:t>
      </w:r>
    </w:p>
    <w:p>
      <w:pPr>
        <w:spacing w:after="0" w:line="180" w:lineRule="exact"/>
        <w:rPr>
          <w:sz w:val="20"/>
          <w:szCs w:val="20"/>
          <w:color w:val="auto"/>
        </w:rPr>
      </w:pPr>
    </w:p>
    <w:p>
      <w:pPr>
        <w:jc w:val="both"/>
        <w:ind w:right="100" w:firstLine="255"/>
        <w:spacing w:after="0" w:line="261" w:lineRule="auto"/>
        <w:rPr>
          <w:sz w:val="20"/>
          <w:szCs w:val="20"/>
          <w:color w:val="auto"/>
        </w:rPr>
      </w:pPr>
      <w:r>
        <w:rPr>
          <w:rFonts w:ascii="Times New Roman" w:cs="Times New Roman" w:eastAsia="Times New Roman" w:hAnsi="Times New Roman"/>
          <w:sz w:val="18"/>
          <w:szCs w:val="18"/>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2020. The amount and timing of stock repurchases under the program may vary depending on market conditions, and no assurance can be given that any particular amount of common stock will be repurchased.</w:t>
      </w:r>
    </w:p>
    <w:p>
      <w:pPr>
        <w:spacing w:after="0" w:line="180"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repurchased 206,964 shares at a weighted average price per share of $14.17 inclusive of commissions, for a total cost of $2.9 million. For the year ended December 31, 2019 no shares were repurchased.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2020 and 2019:</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1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5"/>
                <w:szCs w:val="15"/>
                <w:color w:val="auto"/>
              </w:rPr>
            </w:pPr>
          </w:p>
        </w:tc>
      </w:tr>
      <w:tr>
        <w:trPr>
          <w:trHeight w:val="215"/>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8"/>
                <w:szCs w:val="18"/>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2"/>
                <w:szCs w:val="12"/>
                <w:b w:val="1"/>
                <w:bCs w:val="1"/>
                <w:color w:val="auto"/>
                <w:w w:val="99"/>
              </w:rPr>
              <w:t>(2)(3)</w:t>
            </w:r>
          </w:p>
        </w:tc>
      </w:tr>
      <w:tr>
        <w:trPr>
          <w:trHeight w:val="223"/>
        </w:trPr>
        <w:tc>
          <w:tcPr>
            <w:tcW w:w="44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r>
      <w:tr>
        <w:trPr>
          <w:trHeight w:val="229"/>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4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880" w:hanging="492"/>
        <w:spacing w:after="0" w:line="261"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00" w:right="180" w:hanging="492"/>
        <w:spacing w:after="0" w:line="250"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ind w:left="500" w:right="40" w:hanging="492"/>
        <w:spacing w:after="0" w:line="260"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1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5"/>
                <w:szCs w:val="15"/>
                <w:color w:val="auto"/>
              </w:rPr>
            </w:pPr>
          </w:p>
        </w:tc>
      </w:tr>
      <w:tr>
        <w:trPr>
          <w:trHeight w:val="215"/>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8"/>
                <w:szCs w:val="18"/>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2"/>
                <w:szCs w:val="12"/>
                <w:b w:val="1"/>
                <w:bCs w:val="1"/>
                <w:color w:val="auto"/>
                <w:w w:val="99"/>
              </w:rPr>
              <w:t>(2)(3)</w:t>
            </w:r>
          </w:p>
        </w:tc>
      </w:tr>
      <w:tr>
        <w:trPr>
          <w:trHeight w:val="223"/>
        </w:trPr>
        <w:tc>
          <w:tcPr>
            <w:tcW w:w="44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4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880" w:hanging="492"/>
        <w:spacing w:after="0" w:line="261"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00" w:right="180" w:hanging="492"/>
        <w:spacing w:after="0" w:line="250"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hanging="492"/>
        <w:spacing w:after="0" w:line="260" w:lineRule="auto"/>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2024 Notes is presented inclusive of an incremental ($1.8) million, which represents an adjustment in the carrying value of the 2024 Notes resulting from a hedge accounting relationship.</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4" w:name="page75"/>
    <w:bookmarkEnd w:id="74"/>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we were in compliance with the terms of our debt arrangements. We intend to continue to utilize our credit facilities to fund investments and for other general corporate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76"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us, under certain circumstances, to increase the size of the facility to up to $2.0 billion.</w:t>
      </w:r>
    </w:p>
    <w:p>
      <w:pPr>
        <w:spacing w:after="0" w:line="176"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Pursuant to the Tenth Amendment, with respect to $1.390 billion in commitments, the revolving period, during which period we, subject to certain conditions, may make borrowings under the facility, was extended from January 31, 2024 to February 4, 2025 and the stated maturity date was extended from January 31, 2025 to February 4, 2026. For the remaining $95.0 million of commitments, the revolving period ends January 31, 2024 and the stated maturity is January 31, 2025.</w:t>
      </w:r>
    </w:p>
    <w:p>
      <w:pPr>
        <w:spacing w:after="0" w:line="180" w:lineRule="exact"/>
        <w:rPr>
          <w:sz w:val="20"/>
          <w:szCs w:val="20"/>
          <w:color w:val="auto"/>
        </w:rPr>
      </w:pPr>
    </w:p>
    <w:p>
      <w:pPr>
        <w:ind w:right="460" w:firstLine="255"/>
        <w:spacing w:after="0" w:line="266"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December 31, 2020, we had outstanding debt denominated in Australian dollars (AUD) of 51.6 million, Canadian dollars (CAD) of 74.8 million, and Euro (EUR) of 8.4 million on our Revolving Credit Facility, included in the Outstanding Principal amount in the table above.</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December 31, 2020 and December 31, 2019, we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87"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54" w:lineRule="exact"/>
        <w:rPr>
          <w:sz w:val="20"/>
          <w:szCs w:val="20"/>
          <w:color w:val="auto"/>
        </w:rPr>
      </w:pPr>
    </w:p>
    <w:p>
      <w:pPr>
        <w:ind w:left="500" w:hanging="249"/>
        <w:spacing w:after="0"/>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44" w:lineRule="exact"/>
        <w:rPr>
          <w:rFonts w:ascii="Times New Roman" w:cs="Times New Roman" w:eastAsia="Times New Roman" w:hAnsi="Times New Roman"/>
          <w:sz w:val="18"/>
          <w:szCs w:val="18"/>
          <w:color w:val="auto"/>
        </w:rPr>
      </w:pPr>
    </w:p>
    <w:p>
      <w:pPr>
        <w:ind w:left="500" w:right="180" w:hanging="249"/>
        <w:spacing w:after="0" w:line="266" w:lineRule="auto"/>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spacing w:after="0" w:line="6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January 31, 2020;</w:t>
      </w:r>
    </w:p>
    <w:p>
      <w:pPr>
        <w:spacing w:after="0" w:line="144" w:lineRule="exact"/>
        <w:rPr>
          <w:rFonts w:ascii="Times New Roman" w:cs="Times New Roman" w:eastAsia="Times New Roman" w:hAnsi="Times New Roman"/>
          <w:sz w:val="18"/>
          <w:szCs w:val="18"/>
          <w:color w:val="auto"/>
        </w:rPr>
      </w:pPr>
    </w:p>
    <w:p>
      <w:pPr>
        <w:ind w:left="500" w:hanging="249"/>
        <w:spacing w:after="0" w:line="261" w:lineRule="auto"/>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1" w:lineRule="exact"/>
        <w:rPr>
          <w:rFonts w:ascii="Times New Roman" w:cs="Times New Roman" w:eastAsia="Times New Roman" w:hAnsi="Times New Roman"/>
          <w:sz w:val="18"/>
          <w:szCs w:val="18"/>
          <w:color w:val="auto"/>
        </w:rPr>
      </w:pPr>
    </w:p>
    <w:p>
      <w:pPr>
        <w:ind w:left="500" w:right="100" w:hanging="249"/>
        <w:spacing w:after="0" w:line="312" w:lineRule="auto"/>
        <w:tabs>
          <w:tab w:leader="none" w:pos="5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5" w:name="page76"/>
    <w:bookmarkEnd w:id="75"/>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right="340" w:firstLine="255"/>
        <w:spacing w:after="0" w:line="282" w:lineRule="auto"/>
        <w:rPr>
          <w:sz w:val="20"/>
          <w:szCs w:val="20"/>
          <w:color w:val="auto"/>
        </w:rPr>
      </w:pPr>
      <w:r>
        <w:rPr>
          <w:rFonts w:ascii="Times New Roman" w:cs="Times New Roman" w:eastAsia="Times New Roman" w:hAnsi="Times New Roman"/>
          <w:sz w:val="18"/>
          <w:szCs w:val="18"/>
          <w:color w:val="auto"/>
        </w:rPr>
        <w:t>Net proceeds received from our common stock issuance in March 2018 and net proceeds received from the issuance of the 2022 Convertible Notes, 2023 Notes and 2024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Convertible Notes</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June 2014, we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119" w:lineRule="exact"/>
        <w:rPr>
          <w:sz w:val="20"/>
          <w:szCs w:val="20"/>
          <w:color w:val="auto"/>
        </w:rPr>
      </w:pPr>
    </w:p>
    <w:p>
      <w:pPr>
        <w:jc w:val="both"/>
        <w:ind w:right="220" w:firstLine="255"/>
        <w:spacing w:after="0" w:line="272" w:lineRule="auto"/>
        <w:rPr>
          <w:sz w:val="20"/>
          <w:szCs w:val="20"/>
          <w:color w:val="auto"/>
        </w:rPr>
      </w:pPr>
      <w:r>
        <w:rPr>
          <w:rFonts w:ascii="Times New Roman" w:cs="Times New Roman" w:eastAsia="Times New Roman" w:hAnsi="Times New Roman"/>
          <w:sz w:val="17"/>
          <w:szCs w:val="17"/>
          <w:color w:val="auto"/>
        </w:rPr>
        <w:t>In February 2017, we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December 31, 2020, the estimated adjusted conversion price was approximately $19.80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93" w:lineRule="exact"/>
        <w:rPr>
          <w:sz w:val="20"/>
          <w:szCs w:val="20"/>
          <w:color w:val="auto"/>
        </w:rPr>
      </w:pPr>
    </w:p>
    <w:p>
      <w:pPr>
        <w:ind w:right="200" w:firstLine="255"/>
        <w:spacing w:after="0" w:line="256" w:lineRule="auto"/>
        <w:rPr>
          <w:sz w:val="20"/>
          <w:szCs w:val="20"/>
          <w:color w:val="auto"/>
        </w:rPr>
      </w:pPr>
      <w:r>
        <w:rPr>
          <w:rFonts w:ascii="Times New Roman" w:cs="Times New Roman" w:eastAsia="Times New Roman" w:hAnsi="Times New Roman"/>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 See Note 5 for further information related to our interest rate swaps.</w:t>
      </w:r>
    </w:p>
    <w:p>
      <w:pPr>
        <w:spacing w:after="0" w:line="187"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our effective interest rate on the outstanding 2022 Convertible Notes is three-month LIBOR plus 2.11% (on a weighted-average basis).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Holders may convert their 2022 Convertible Notes at their option at any time prior to February 1, 2022 only under the following circumstances:</w:t>
      </w:r>
    </w:p>
    <w:p>
      <w:pPr>
        <w:spacing w:after="0" w:line="27" w:lineRule="exact"/>
        <w:rPr>
          <w:sz w:val="20"/>
          <w:szCs w:val="20"/>
          <w:color w:val="auto"/>
        </w:rPr>
      </w:pPr>
    </w:p>
    <w:p>
      <w:pPr>
        <w:ind w:right="80" w:firstLine="8"/>
        <w:spacing w:after="0" w:line="250"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Times New Roman" w:cs="Times New Roman" w:eastAsia="Times New Roman" w:hAnsi="Times New Roman"/>
          <w:sz w:val="18"/>
          <w:szCs w:val="18"/>
          <w:color w:val="auto"/>
        </w:rPr>
      </w:pPr>
    </w:p>
    <w:p>
      <w:pPr>
        <w:ind w:right="160" w:firstLine="8"/>
        <w:spacing w:after="0" w:line="253"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jc w:val="both"/>
        <w:ind w:right="20" w:firstLine="255"/>
        <w:spacing w:after="0" w:line="258" w:lineRule="auto"/>
        <w:rPr>
          <w:sz w:val="20"/>
          <w:szCs w:val="20"/>
          <w:color w:val="auto"/>
        </w:rPr>
      </w:pPr>
      <w:r>
        <w:rPr>
          <w:rFonts w:ascii="Times New Roman" w:cs="Times New Roman" w:eastAsia="Times New Roman" w:hAnsi="Times New Roman"/>
          <w:sz w:val="18"/>
          <w:szCs w:val="18"/>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2020, the principal amount of the 2022 Convertible Notes was exceeded by the value of the underlying shares multiplied by the per share closing price of our common stock. However, the conditions required for conversion prior to maturity had not been satisfied. As of December 31, 2019, the principal amount of the 2022 Convertible Notes was exceeded by the value of the underlying shares multiplied by the per share closing price of our common stock. However, the conditions required for conversion prior to maturity had not been satisfied.</w:t>
      </w:r>
    </w:p>
    <w:p>
      <w:pPr>
        <w:spacing w:after="0" w:line="180"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December 31, 2020 and 2019, we were in compliance with the terms of the indenture governing the 2022 Convertible Notes.</w:t>
      </w:r>
    </w:p>
    <w:p>
      <w:pPr>
        <w:spacing w:after="0" w:line="180"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The 2022 Convertible Notes are accounted for in accordance with Accounting Standards Codification (“ASC”) Topic 470-20. Upon conversion of any of the 2022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 governing the 2022 Convertible Notes. We have determined that the embedded conversion options in the 2022 Convertible Notes are not required to be separately accounted for as a derivative under U.S. GAAP. In accounting for the 2022 Convertible Notes, we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3" w:lineRule="exact"/>
        <w:rPr>
          <w:sz w:val="20"/>
          <w:szCs w:val="20"/>
          <w:color w:val="auto"/>
        </w:rPr>
      </w:pPr>
    </w:p>
    <w:p>
      <w:pPr>
        <w:ind w:right="360"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8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7" w:name="page78"/>
    <w:bookmarkEnd w:id="77"/>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2024 Notes offering and reopening of the 2024 Notes, we entered into interest rate swaps to continue to align the interest rates of our liabilities with our investment portfolio, which consists of predominately floating rate loans. As a result of the swaps, our effective interest rate on the 2024 Notes is three-month LIBOR plus 2.28% (on a weighted average basis).</w:t>
      </w:r>
    </w:p>
    <w:p>
      <w:pPr>
        <w:spacing w:after="0" w:line="176"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our effective interest rate on the outstanding 2024 Notes is three-month LIBOR plus 2.28% (on a weighted average basis).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and estimated offering costs, were $294.1 million. We used the net proceeds of the 2026 Notes to repay outstanding indebtedness under the Revolving Credit Facility.</w:t>
      </w:r>
    </w:p>
    <w:p>
      <w:pPr>
        <w:spacing w:after="0" w:line="183" w:lineRule="exact"/>
        <w:rPr>
          <w:sz w:val="20"/>
          <w:szCs w:val="20"/>
          <w:color w:val="auto"/>
        </w:rPr>
      </w:pPr>
    </w:p>
    <w:p>
      <w:pPr>
        <w:ind w:right="140"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Notes, we entered into an interest rate swap to continue to align the interest rates of our liabilities with our investment portfolio, which consists of predominantly floating rate loans. As a result of the swap, our effective interest rate on the 2026 Notes is three-month LIBOR plus 1.91%.</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2020 and 2019, we had the following commitments to fund investments in current portfolio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 in millions)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700" w:type="dxa"/>
            <w:vAlign w:val="bottom"/>
          </w:tcPr>
          <w:p>
            <w:pPr>
              <w:spacing w:after="0"/>
              <w:rPr>
                <w:sz w:val="15"/>
                <w:szCs w:val="15"/>
                <w:color w:val="auto"/>
              </w:rPr>
            </w:pPr>
          </w:p>
        </w:tc>
      </w:tr>
      <w:tr>
        <w:trPr>
          <w:trHeight w:val="223"/>
        </w:trPr>
        <w:tc>
          <w:tcPr>
            <w:tcW w:w="170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Alpha Midco, Inc. - Delayed Draw</w:t>
            </w:r>
          </w:p>
        </w:tc>
        <w:tc>
          <w:tcPr>
            <w:tcW w:w="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AppStar Financial, LLC - Revolver</w:t>
            </w:r>
          </w:p>
        </w:tc>
        <w:tc>
          <w:tcPr>
            <w:tcW w:w="5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AvidXchange, Inc. - Delayed Draw</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Biohaven Pharmaceuticals, Inc. - Delayed Draw</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BlueSnap, Inc. - Revolver</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ClearCompany, LLC - Delayed Draw</w:t>
            </w:r>
          </w:p>
        </w:tc>
        <w:tc>
          <w:tcPr>
            <w:tcW w:w="5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Clinicient, Inc.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DaySmart Holdings, LLC - Revolver</w:t>
            </w:r>
          </w:p>
        </w:tc>
        <w:tc>
          <w:tcPr>
            <w:tcW w:w="5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DaySmart Holdings, LLC - Delayed Draw</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Dye &amp; Durham Corp. - Revolver</w:t>
            </w:r>
          </w:p>
        </w:tc>
        <w:tc>
          <w:tcPr>
            <w:tcW w:w="5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Alloys, LLC - Delayed Draw</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Factor Systems, Inc. - Delayed Draw</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Ferrellgas, L.P. - Revolver</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ForeScout Technologies Inc. - Revolver</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 Treasury SS, LLC - Delayed Draw</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Gainsight, Inc. - Delayed Draw</w:t>
            </w:r>
          </w:p>
        </w:tc>
        <w:tc>
          <w:tcPr>
            <w:tcW w:w="5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Integration Appliance, Inc.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IntelePeer Holdings, Inc. - Delayed Draw</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InvMetrics Holdings, Inc.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Kyriba Corp. - Delayed Draw</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Kyriba Corp. - Revolver</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Lexipol, LLC - Delayed Draw</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Lithium Technologies, LLC - Revolver</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Lucidworks, Inc.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Netwrix Corp. - Delayed Draw</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Netwrix Corp.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Nintex Global, Ltd. - Revolver</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PageUp People, Ltd.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PayLease, LLC - Revolver</w:t>
            </w:r>
          </w:p>
        </w:tc>
        <w:tc>
          <w:tcPr>
            <w:tcW w:w="5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PayScale Holdings, Inc. - Delayed Draw</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PrimeRevenue, Inc. - Delayed Draw</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PrimeRevenue, Inc.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ReliaQuest Holdings, LLC - Delayed Draw</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ReliaQuest Holdings, LLC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ResMan, LLC - Delayed Draw</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ResMan, LLC - Revolver</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Sprinklr, Inc. - Delayed Draw Convertible Note</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TherapeuticsMD, Inc. - Delayed Draw A1</w:t>
            </w:r>
          </w:p>
        </w:tc>
        <w:tc>
          <w:tcPr>
            <w:tcW w:w="5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TherapeuticsMD, Inc. - Delayed Draw A2</w:t>
            </w:r>
          </w:p>
        </w:tc>
        <w:tc>
          <w:tcPr>
            <w:tcW w:w="5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Valant Medical Solutions, Inc. - Delayed Draw</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Valant Medical Solutions, Inc. - Revolver</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Verdad Resources Intermediate Holdings, LLC - Delayed Draw</w:t>
            </w: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4"/>
        </w:trPr>
        <w:tc>
          <w:tcPr>
            <w:tcW w:w="17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WideOrbit, Inc. - Revolver</w:t>
            </w:r>
          </w:p>
        </w:tc>
        <w:tc>
          <w:tcPr>
            <w:tcW w:w="5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0"/>
                <w:szCs w:val="20"/>
                <w:color w:val="auto"/>
              </w:rPr>
            </w:pPr>
          </w:p>
        </w:tc>
      </w:tr>
      <w:tr>
        <w:trPr>
          <w:trHeight w:val="427"/>
        </w:trPr>
        <w:tc>
          <w:tcPr>
            <w:tcW w:w="68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79</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82" w:right="319" w:bottom="1440" w:gutter="0" w:footer="0" w:header="0"/>
        </w:sectPr>
      </w:pPr>
    </w:p>
    <w:bookmarkStart w:id="79" w:name="page80"/>
    <w:bookmarkEnd w:id="79"/>
    <w:tbl>
      <w:tblPr>
        <w:tblLayout w:type="fixed"/>
        <w:tblInd w:w="1700" w:type="dxa"/>
        <w:tblCellMar>
          <w:top w:w="0" w:type="dxa"/>
          <w:left w:w="0" w:type="dxa"/>
          <w:bottom w:w="0" w:type="dxa"/>
          <w:right w:w="0" w:type="dxa"/>
        </w:tblCellMar>
      </w:tblP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Workwell Acquisition Co. - Delayed Draw</w:t>
            </w: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15"/>
                <w:szCs w:val="15"/>
                <w:b w:val="1"/>
                <w:bCs w:val="1"/>
                <w:color w:val="auto"/>
              </w:rPr>
              <w:t>(1)</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00" w:right="320" w:hanging="492"/>
        <w:spacing w:after="0" w:line="266" w:lineRule="auto"/>
        <w:tabs>
          <w:tab w:leader="none" w:pos="5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we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440" w:firstLine="255"/>
        <w:spacing w:after="0" w:line="282" w:lineRule="auto"/>
        <w:rPr>
          <w:sz w:val="20"/>
          <w:szCs w:val="20"/>
          <w:color w:val="auto"/>
        </w:rPr>
      </w:pPr>
      <w:r>
        <w:rPr>
          <w:rFonts w:ascii="Times New Roman" w:cs="Times New Roman" w:eastAsia="Times New Roman" w:hAnsi="Times New Roman"/>
          <w:sz w:val="18"/>
          <w:szCs w:val="18"/>
          <w:color w:val="auto"/>
        </w:rPr>
        <w:t>From time to time, we may become a party to certain legal proceedings incidental to the normal course of our business. As of December 31, 2020, management is not aware of any material pending or threatened litigation that would require accounting recognition or financial statement disclosure.</w:t>
      </w:r>
    </w:p>
    <w:p>
      <w:pPr>
        <w:spacing w:after="0" w:line="162"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December 31, 2020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5"/>
                <w:szCs w:val="15"/>
                <w:color w:val="auto"/>
              </w:rPr>
            </w:pP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After 5 years</w:t>
            </w: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2024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00" w:firstLine="255"/>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00" w:right="260" w:hanging="249"/>
        <w:spacing w:after="0" w:line="282" w:lineRule="auto"/>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00" w:right="340" w:hanging="249"/>
        <w:spacing w:after="0" w:line="282" w:lineRule="auto"/>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 exempt interest income over certain disallowed deductions) for such taxable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80" w:name="page81"/>
    <w:bookmarkEnd w:id="80"/>
    <w:p>
      <w:pPr>
        <w:ind w:right="80" w:firstLine="255"/>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jc w:val="both"/>
        <w:ind w:right="260" w:firstLine="255"/>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jc w:val="both"/>
        <w:ind w:right="160" w:firstLine="255"/>
        <w:spacing w:after="0" w:line="266" w:lineRule="auto"/>
        <w:rPr>
          <w:sz w:val="20"/>
          <w:szCs w:val="20"/>
          <w:color w:val="auto"/>
        </w:rPr>
      </w:pPr>
      <w:r>
        <w:rPr>
          <w:rFonts w:ascii="Times New Roman" w:cs="Times New Roman" w:eastAsia="Times New Roman" w:hAnsi="Times New Roman"/>
          <w:sz w:val="18"/>
          <w:szCs w:val="18"/>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68" w:lineRule="exact"/>
        <w:rPr>
          <w:sz w:val="20"/>
          <w:szCs w:val="20"/>
          <w:color w:val="auto"/>
        </w:rPr>
      </w:pPr>
    </w:p>
    <w:p>
      <w:pPr>
        <w:ind w:left="500" w:hanging="249"/>
        <w:spacing w:after="0"/>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44" w:lineRule="exact"/>
        <w:rPr>
          <w:rFonts w:ascii="Times New Roman" w:cs="Times New Roman" w:eastAsia="Times New Roman" w:hAnsi="Times New Roman"/>
          <w:sz w:val="18"/>
          <w:szCs w:val="18"/>
          <w:color w:val="auto"/>
        </w:rPr>
      </w:pPr>
    </w:p>
    <w:p>
      <w:pPr>
        <w:ind w:left="500" w:right="180" w:hanging="249"/>
        <w:spacing w:after="0" w:line="282" w:lineRule="auto"/>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52"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0"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00" w:hanging="249"/>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44" w:lineRule="exact"/>
        <w:rPr>
          <w:rFonts w:ascii="Times New Roman" w:cs="Times New Roman" w:eastAsia="Times New Roman" w:hAnsi="Times New Roman"/>
          <w:sz w:val="18"/>
          <w:szCs w:val="18"/>
          <w:color w:val="auto"/>
        </w:rPr>
      </w:pPr>
    </w:p>
    <w:p>
      <w:pPr>
        <w:ind w:left="500" w:right="380" w:hanging="249"/>
        <w:spacing w:after="0" w:line="282"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ongoing agreement with an affiliate of TPG governing, inter alia, the parties’ respective ownership of and rights to use the “Sixth Street” and “TPG” trademarks and certain variations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8"/>
          <w:szCs w:val="18"/>
          <w:i w:val="1"/>
          <w:iCs w:val="1"/>
          <w:color w:val="auto"/>
        </w:rPr>
        <w:t>“ITEM 1A.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1" w:name="page82"/>
    <w:bookmarkEnd w:id="81"/>
    <w:p>
      <w:pPr>
        <w:ind w:right="280"/>
        <w:spacing w:after="0" w:line="282" w:lineRule="auto"/>
        <w:rPr>
          <w:sz w:val="20"/>
          <w:szCs w:val="20"/>
          <w:color w:val="auto"/>
        </w:rPr>
      </w:pPr>
      <w:r>
        <w:rPr>
          <w:rFonts w:ascii="Times New Roman" w:cs="Times New Roman" w:eastAsia="Times New Roman" w:hAnsi="Times New Roman"/>
          <w:sz w:val="18"/>
          <w:szCs w:val="18"/>
          <w:color w:val="auto"/>
        </w:rPr>
        <w:t>change in unrealized gains or losses primarily reflects the change in investment values and also includes the reversal of previously recorded unrealized gains or losses with respect to investments realized during the period.</w:t>
      </w:r>
    </w:p>
    <w:p>
      <w:pPr>
        <w:spacing w:after="0" w:line="16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3"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w:t>
      </w:r>
    </w:p>
    <w:p>
      <w:pPr>
        <w:spacing w:after="0" w:line="54" w:lineRule="exact"/>
        <w:rPr>
          <w:sz w:val="20"/>
          <w:szCs w:val="20"/>
          <w:color w:val="auto"/>
        </w:rPr>
      </w:pPr>
    </w:p>
    <w:p>
      <w:pPr>
        <w:ind w:left="500" w:hanging="249"/>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value of the portfolio company’s net debt and equity);</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44"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44" w:lineRule="exact"/>
        <w:rPr>
          <w:rFonts w:ascii="Times New Roman" w:cs="Times New Roman" w:eastAsia="Times New Roman" w:hAnsi="Times New Roman"/>
          <w:sz w:val="18"/>
          <w:szCs w:val="18"/>
          <w:color w:val="auto"/>
        </w:rPr>
      </w:pPr>
    </w:p>
    <w:p>
      <w:pPr>
        <w:ind w:left="500" w:right="240" w:hanging="249"/>
        <w:spacing w:after="0" w:line="282" w:lineRule="auto"/>
        <w:tabs>
          <w:tab w:leader="none" w:pos="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right="420" w:firstLine="255"/>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hanging="249"/>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00" w:right="320" w:hanging="249"/>
        <w:spacing w:after="0" w:line="282"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44" w:lineRule="exact"/>
        <w:rPr>
          <w:rFonts w:ascii="Times New Roman" w:cs="Times New Roman" w:eastAsia="Times New Roman" w:hAnsi="Times New Roman"/>
          <w:sz w:val="18"/>
          <w:szCs w:val="18"/>
          <w:color w:val="auto"/>
        </w:rPr>
      </w:pPr>
    </w:p>
    <w:p>
      <w:pPr>
        <w:ind w:left="500" w:right="20" w:hanging="249"/>
        <w:spacing w:after="0" w:line="266" w:lineRule="auto"/>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22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2020,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78"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9" w:lineRule="exact"/>
        <w:rPr>
          <w:sz w:val="20"/>
          <w:szCs w:val="20"/>
          <w:color w:val="auto"/>
        </w:rPr>
      </w:pPr>
    </w:p>
    <w:p>
      <w:pPr>
        <w:ind w:left="5540" w:right="1440" w:hanging="5289"/>
        <w:spacing w:after="0" w:line="563" w:lineRule="auto"/>
        <w:tabs>
          <w:tab w:leader="none" w:pos="5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82" w:name="page83"/>
    <w:bookmarkEnd w:id="82"/>
    <w:p>
      <w:pPr>
        <w:ind w:left="500" w:right="600" w:hanging="249"/>
        <w:spacing w:after="0" w:line="282" w:lineRule="auto"/>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5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92"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6 to our consolidated financial statements included in this Form 10-K for more information on the fair value of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2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0"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2020, the Company did not have any uncertain tax positions that met the recognition or measurement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83" w:name="page84"/>
    <w:bookmarkEnd w:id="83"/>
    <w:p>
      <w:pPr>
        <w:ind w:right="80"/>
        <w:spacing w:after="0" w:line="282" w:lineRule="auto"/>
        <w:rPr>
          <w:sz w:val="20"/>
          <w:szCs w:val="20"/>
          <w:color w:val="auto"/>
        </w:rPr>
      </w:pPr>
      <w:r>
        <w:rPr>
          <w:rFonts w:ascii="Times New Roman" w:cs="Times New Roman" w:eastAsia="Times New Roman" w:hAnsi="Times New Roman"/>
          <w:sz w:val="18"/>
          <w:szCs w:val="18"/>
          <w:color w:val="auto"/>
        </w:rPr>
        <w:t>criteria, nor did the Company have any unrecognized tax benefits. Our 2019, 2018 and 2017 tax year returns remain subject to examination by the relevant federal, state, and local tax authorities.</w:t>
      </w:r>
    </w:p>
    <w:p>
      <w:pPr>
        <w:spacing w:after="0" w:line="162"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255"/>
        <w:spacing w:after="0" w:line="289" w:lineRule="auto"/>
        <w:rPr>
          <w:sz w:val="20"/>
          <w:szCs w:val="20"/>
          <w:color w:val="auto"/>
        </w:rPr>
      </w:pPr>
      <w:r>
        <w:rPr>
          <w:rFonts w:ascii="Times New Roman" w:cs="Times New Roman" w:eastAsia="Times New Roman" w:hAnsi="Times New Roman"/>
          <w:sz w:val="17"/>
          <w:szCs w:val="17"/>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58" w:lineRule="exact"/>
        <w:rPr>
          <w:sz w:val="20"/>
          <w:szCs w:val="20"/>
          <w:color w:val="auto"/>
        </w:rPr>
      </w:pPr>
    </w:p>
    <w:p>
      <w:pPr>
        <w:ind w:right="520" w:firstLine="255"/>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jc w:val="both"/>
        <w:ind w:right="80" w:firstLine="255"/>
        <w:spacing w:after="0" w:line="261" w:lineRule="auto"/>
        <w:rPr>
          <w:sz w:val="20"/>
          <w:szCs w:val="20"/>
          <w:color w:val="auto"/>
        </w:rPr>
      </w:pPr>
      <w:r>
        <w:rPr>
          <w:rFonts w:ascii="Times New Roman" w:cs="Times New Roman" w:eastAsia="Times New Roman" w:hAnsi="Times New Roman"/>
          <w:sz w:val="18"/>
          <w:szCs w:val="18"/>
          <w:color w:val="auto"/>
        </w:rPr>
        <w:t>As of December 31, 2020, 99.1% of our debt investments based on fair value in our portfolio bore interest at floating rates (when including investment specific hedges), with 99.2% of these subject to interest rate floors. Our credit facilities also bear interest at floating rates, and in connection with our 2022 Convertible Notes, 2023 Notes and 2024 Notes, which bear interest at fixed rates, we entered into fixed-to-floating interest rate swaps in order to continue to align the interest rates of our liabilities with our investment portfolio.</w:t>
      </w:r>
    </w:p>
    <w:p>
      <w:pPr>
        <w:spacing w:after="0" w:line="180"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December 31, 2020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80" w:type="dxa"/>
            <w:vAlign w:val="bottom"/>
          </w:tcPr>
          <w:p>
            <w:pPr>
              <w:spacing w:after="0"/>
              <w:rPr>
                <w:sz w:val="15"/>
                <w:szCs w:val="15"/>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6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9"/>
                <w:szCs w:val="19"/>
                <w:color w:val="auto"/>
              </w:rPr>
            </w:pPr>
          </w:p>
        </w:tc>
        <w:tc>
          <w:tcPr>
            <w:tcW w:w="56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240" w:firstLine="255"/>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12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Report of Independent Registered Public Accounting Firm</w:t>
              </w:r>
            </w:hyperlink>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28"/>
        </w:trPr>
        <w:tc>
          <w:tcPr>
            <w:tcW w:w="10120" w:type="dxa"/>
            <w:vAlign w:val="bottom"/>
            <w:vMerge w:val="continue"/>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Consolidated Balance Sheets as of December 31, 2020 and 2019</w:t>
              </w:r>
            </w:hyperlink>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38"/>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90">
              <w:r>
                <w:rPr>
                  <w:rFonts w:ascii="Times New Roman" w:cs="Times New Roman" w:eastAsia="Times New Roman" w:hAnsi="Times New Roman"/>
                  <w:sz w:val="18"/>
                  <w:szCs w:val="18"/>
                  <w:u w:val="single" w:color="auto"/>
                  <w:color w:val="0000EE"/>
                </w:rPr>
                <w:t>Consolidated Statements of Operations for the Years Ended December 31, 2020, 2019 and 2018</w:t>
              </w:r>
            </w:hyperlink>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38"/>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Consolidated Schedules of Investments as of December 31, 2020 and 2019</w:t>
              </w:r>
            </w:hyperlink>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338"/>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Consolidated Statements of Changes in Net Assets for the Years Ended December 31, 2020, 2019 and 2018</w:t>
              </w:r>
            </w:hyperlink>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F-19</w:t>
            </w:r>
          </w:p>
        </w:tc>
        <w:tc>
          <w:tcPr>
            <w:tcW w:w="0" w:type="dxa"/>
            <w:vAlign w:val="bottom"/>
          </w:tcPr>
          <w:p>
            <w:pPr>
              <w:spacing w:after="0"/>
              <w:rPr>
                <w:sz w:val="1"/>
                <w:szCs w:val="1"/>
                <w:color w:val="auto"/>
              </w:rPr>
            </w:pPr>
          </w:p>
        </w:tc>
      </w:tr>
      <w:tr>
        <w:trPr>
          <w:trHeight w:val="338"/>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Consolidated Statements of Cash Flows for the Years Ended December 31, 2020, 2019 and 2018</w:t>
              </w:r>
            </w:hyperlink>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F-20</w:t>
            </w:r>
          </w:p>
        </w:tc>
        <w:tc>
          <w:tcPr>
            <w:tcW w:w="0" w:type="dxa"/>
            <w:vAlign w:val="bottom"/>
          </w:tcPr>
          <w:p>
            <w:pPr>
              <w:spacing w:after="0"/>
              <w:rPr>
                <w:sz w:val="1"/>
                <w:szCs w:val="1"/>
                <w:color w:val="auto"/>
              </w:rPr>
            </w:pPr>
          </w:p>
        </w:tc>
      </w:tr>
      <w:tr>
        <w:trPr>
          <w:trHeight w:val="338"/>
        </w:trPr>
        <w:tc>
          <w:tcPr>
            <w:tcW w:w="10120" w:type="dxa"/>
            <w:vAlign w:val="bottom"/>
          </w:tcPr>
          <w:p>
            <w:pPr>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Notes to Consolidated Financial Statements</w:t>
              </w:r>
            </w:hyperlink>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Sixth Street Specialty Lending, Inc. and subsidiaries (the Company), including the consolidated schedules of investments, as of December 31, 2020 and 2019, the related consolidated statements of operations, changes in net assets, and cash flows for each of the years in the three-year period ended December 31, 2020, and the related notes (collectively,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75" w:lineRule="exact"/>
        <w:rPr>
          <w:sz w:val="20"/>
          <w:szCs w:val="20"/>
          <w:color w:val="auto"/>
        </w:rPr>
      </w:pPr>
    </w:p>
    <w:p>
      <w:pPr>
        <w:ind w:right="280" w:firstLine="255"/>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changes in net assets, and cash flows for each of the years in the three-year period ended December 31, 2020, in conformity with U.S. generally accepted accounting principles.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380" w:firstLine="255"/>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2020 and 2019, by correspondence with custodians,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Assessment of the fair value of investments</w:t>
      </w:r>
    </w:p>
    <w:p>
      <w:pPr>
        <w:spacing w:after="0" w:line="1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As discussed in Notes 2, 4 and 6 to the consolidated financial statements, the Company classified $2.25 billion of its debt and equity investments as Level 3 in the fair value hierarchy as of December 31, 2020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7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We identified the assessment of the fair value of Level 3 debt and equity investments as a critical audit matter because evaluating the assumptions used to measure fair value involved a high degree of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7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2021</w:t>
      </w: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1" w:right="4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0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$2,187,427 and $2,099,781,</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2,249,302</w:t>
            </w:r>
          </w:p>
        </w:tc>
        <w:tc>
          <w:tcPr>
            <w:tcW w:w="1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2,147,876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Non-controlled, affiliated investments (amortized cost of $12,892 and $49,445, respectively)</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 (amortized cost of $58,709 and $88,811, respectively)</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(amortized cost of $2,259,028 and $2,238,037, respectively)</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2,298,870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of $10,815 and $9,315, respectively)</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2,338,593</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2,280,931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(net of deferred financing costs of $17,246 and $18,471, 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1,110,363</w:t>
            </w:r>
          </w:p>
        </w:tc>
        <w:tc>
          <w:tcPr>
            <w:tcW w:w="180" w:type="dxa"/>
            <w:vAlign w:val="bottom"/>
          </w:tcPr>
          <w:p>
            <w:pPr>
              <w:spacing w:after="0"/>
              <w:rPr>
                <w:sz w:val="19"/>
                <w:szCs w:val="19"/>
                <w:color w:val="auto"/>
              </w:rPr>
            </w:pP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1,177,278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1,161,634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w:t>
            </w:r>
          </w:p>
        </w:tc>
        <w:tc>
          <w:tcPr>
            <w:tcW w:w="2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400,000,000 shares authorized, 67,980,253</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66,613,671 shares issued, respectively; and 67,684,209 and 66,524,591</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1,025,676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296,044 and 89,080 shares held, respectively</w:t>
            </w: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30"/>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1,161,315</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2,338,593</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2,280,931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Pr>
          <w:p>
            <w:pPr>
              <w:spacing w:after="0"/>
              <w:rPr>
                <w:sz w:val="15"/>
                <w:szCs w:val="15"/>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69"/>
        </w:trPr>
        <w:tc>
          <w:tcPr>
            <w:tcW w:w="5760" w:type="dxa"/>
            <w:vAlign w:val="bottom"/>
            <w:tcBorders>
              <w:top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Income</w:t>
            </w: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Investment income from non-controlled, non-affiliated investments: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237,260</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224,810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232,517</w:t>
            </w:r>
          </w:p>
        </w:tc>
        <w:tc>
          <w:tcPr>
            <w:tcW w:w="120" w:type="dxa"/>
            <w:vAlign w:val="bottom"/>
            <w:shd w:val="clear" w:color="auto" w:fill="CFF0FC"/>
          </w:tcPr>
          <w:p>
            <w:pPr>
              <w:spacing w:after="0"/>
              <w:rPr>
                <w:sz w:val="15"/>
                <w:szCs w:val="15"/>
                <w:color w:val="auto"/>
              </w:rPr>
            </w:pPr>
          </w:p>
        </w:tc>
      </w:tr>
      <w:tr>
        <w:trPr>
          <w:trHeight w:val="175"/>
        </w:trPr>
        <w:tc>
          <w:tcPr>
            <w:tcW w:w="5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Dividend income</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tcPr>
          <w:p>
            <w:pPr>
              <w:spacing w:after="0"/>
              <w:rPr>
                <w:sz w:val="15"/>
                <w:szCs w:val="15"/>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22,174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13,838</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11,298</w:t>
            </w:r>
          </w:p>
        </w:tc>
        <w:tc>
          <w:tcPr>
            <w:tcW w:w="120" w:type="dxa"/>
            <w:vAlign w:val="bottom"/>
            <w:shd w:val="clear" w:color="auto" w:fill="CFF0FC"/>
          </w:tcPr>
          <w:p>
            <w:pPr>
              <w:spacing w:after="0"/>
              <w:rPr>
                <w:sz w:val="15"/>
                <w:szCs w:val="15"/>
                <w:color w:val="auto"/>
              </w:rPr>
            </w:pPr>
          </w:p>
        </w:tc>
      </w:tr>
      <w:tr>
        <w:trPr>
          <w:trHeight w:val="152"/>
        </w:trPr>
        <w:tc>
          <w:tcPr>
            <w:tcW w:w="5760" w:type="dxa"/>
            <w:vAlign w:val="bottom"/>
          </w:tcPr>
          <w:p>
            <w:pPr>
              <w:ind w:left="500"/>
              <w:spacing w:after="0" w:line="152" w:lineRule="exact"/>
              <w:rPr>
                <w:sz w:val="20"/>
                <w:szCs w:val="20"/>
                <w:color w:val="auto"/>
              </w:rPr>
            </w:pPr>
            <w:r>
              <w:rPr>
                <w:rFonts w:ascii="Times New Roman" w:cs="Times New Roman" w:eastAsia="Times New Roman" w:hAnsi="Times New Roman"/>
                <w:sz w:val="15"/>
                <w:szCs w:val="15"/>
                <w:color w:val="auto"/>
              </w:rPr>
              <w:t>Total investment income from non-controlled, non-affiliated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576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261,250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239,068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244,011</w:t>
            </w:r>
          </w:p>
        </w:tc>
        <w:tc>
          <w:tcPr>
            <w:tcW w:w="120" w:type="dxa"/>
            <w:vAlign w:val="bottom"/>
          </w:tcPr>
          <w:p>
            <w:pPr>
              <w:spacing w:after="0"/>
              <w:rPr>
                <w:sz w:val="15"/>
                <w:szCs w:val="15"/>
                <w:color w:val="auto"/>
              </w:rPr>
            </w:pPr>
          </w:p>
        </w:tc>
      </w:tr>
      <w:tr>
        <w:trPr>
          <w:trHeight w:val="17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 income from non-controlled, 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5"/>
        </w:trPr>
        <w:tc>
          <w:tcPr>
            <w:tcW w:w="5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3,652</w:t>
            </w:r>
          </w:p>
        </w:tc>
        <w:tc>
          <w:tcPr>
            <w:tcW w:w="120" w:type="dxa"/>
            <w:vAlign w:val="bottom"/>
          </w:tcPr>
          <w:p>
            <w:pPr>
              <w:spacing w:after="0"/>
              <w:rPr>
                <w:sz w:val="15"/>
                <w:szCs w:val="15"/>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120" w:type="dxa"/>
            <w:vAlign w:val="bottom"/>
            <w:shd w:val="clear" w:color="auto" w:fill="CFF0FC"/>
          </w:tcPr>
          <w:p>
            <w:pPr>
              <w:spacing w:after="0"/>
              <w:rPr>
                <w:sz w:val="15"/>
                <w:szCs w:val="15"/>
                <w:color w:val="auto"/>
              </w:rPr>
            </w:pPr>
          </w:p>
        </w:tc>
      </w:tr>
      <w:tr>
        <w:trPr>
          <w:trHeight w:val="152"/>
        </w:trPr>
        <w:tc>
          <w:tcPr>
            <w:tcW w:w="5760" w:type="dxa"/>
            <w:vAlign w:val="bottom"/>
          </w:tcPr>
          <w:p>
            <w:pPr>
              <w:ind w:left="500"/>
              <w:spacing w:after="0" w:line="152" w:lineRule="exact"/>
              <w:rPr>
                <w:sz w:val="20"/>
                <w:szCs w:val="20"/>
                <w:color w:val="auto"/>
              </w:rPr>
            </w:pPr>
            <w:r>
              <w:rPr>
                <w:rFonts w:ascii="Times New Roman" w:cs="Times New Roman" w:eastAsia="Times New Roman" w:hAnsi="Times New Roman"/>
                <w:sz w:val="15"/>
                <w:szCs w:val="15"/>
                <w:color w:val="auto"/>
              </w:rPr>
              <w:t>Total investment income from non-controlled, affiliated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576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4,050</w:t>
            </w:r>
          </w:p>
        </w:tc>
        <w:tc>
          <w:tcPr>
            <w:tcW w:w="120" w:type="dxa"/>
            <w:vAlign w:val="bottom"/>
          </w:tcPr>
          <w:p>
            <w:pPr>
              <w:spacing w:after="0"/>
              <w:rPr>
                <w:sz w:val="15"/>
                <w:szCs w:val="15"/>
                <w:color w:val="auto"/>
              </w:rPr>
            </w:pPr>
          </w:p>
        </w:tc>
      </w:tr>
      <w:tr>
        <w:trPr>
          <w:trHeight w:val="175"/>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Investment income from controlled, 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5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from 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13,763</w:t>
            </w:r>
          </w:p>
        </w:tc>
        <w:tc>
          <w:tcPr>
            <w:tcW w:w="120" w:type="dxa"/>
            <w:vAlign w:val="bottom"/>
          </w:tcPr>
          <w:p>
            <w:pPr>
              <w:spacing w:after="0"/>
              <w:rPr>
                <w:sz w:val="15"/>
                <w:szCs w:val="15"/>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120" w:type="dxa"/>
            <w:vAlign w:val="bottom"/>
            <w:shd w:val="clear" w:color="auto" w:fill="CFF0FC"/>
          </w:tcPr>
          <w:p>
            <w:pPr>
              <w:spacing w:after="0"/>
              <w:rPr>
                <w:sz w:val="15"/>
                <w:szCs w:val="15"/>
                <w:color w:val="auto"/>
              </w:rPr>
            </w:pPr>
          </w:p>
        </w:tc>
      </w:tr>
      <w:tr>
        <w:trPr>
          <w:trHeight w:val="169"/>
        </w:trPr>
        <w:tc>
          <w:tcPr>
            <w:tcW w:w="5760" w:type="dxa"/>
            <w:vAlign w:val="bottom"/>
            <w:tcBorders>
              <w:bottom w:val="single" w:sz="8" w:color="CFF0FC"/>
            </w:tcBorders>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investment income from controlled, affiliated investments</w:t>
            </w: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3,813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5,969</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13,853</w:t>
            </w:r>
          </w:p>
        </w:tc>
        <w:tc>
          <w:tcPr>
            <w:tcW w:w="120" w:type="dxa"/>
            <w:vAlign w:val="bottom"/>
            <w:tcBorders>
              <w:bottom w:val="single" w:sz="8" w:color="CFF0FC"/>
            </w:tcBorders>
          </w:tcPr>
          <w:p>
            <w:pPr>
              <w:spacing w:after="0"/>
              <w:rPr>
                <w:sz w:val="14"/>
                <w:szCs w:val="14"/>
                <w:color w:val="auto"/>
              </w:rPr>
            </w:pPr>
          </w:p>
        </w:tc>
      </w:tr>
      <w:tr>
        <w:trPr>
          <w:trHeight w:val="169"/>
        </w:trPr>
        <w:tc>
          <w:tcPr>
            <w:tcW w:w="5760" w:type="dxa"/>
            <w:vAlign w:val="bottom"/>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b w:val="1"/>
                <w:bCs w:val="1"/>
                <w:color w:val="auto"/>
              </w:rPr>
              <w:t>Total Investment Income</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270,037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251,495</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261,914</w:t>
            </w:r>
          </w:p>
        </w:tc>
        <w:tc>
          <w:tcPr>
            <w:tcW w:w="120" w:type="dxa"/>
            <w:vAlign w:val="bottom"/>
            <w:shd w:val="clear" w:color="auto" w:fill="CFF0FC"/>
          </w:tcPr>
          <w:p>
            <w:pPr>
              <w:spacing w:after="0"/>
              <w:rPr>
                <w:sz w:val="14"/>
                <w:szCs w:val="14"/>
                <w:color w:val="auto"/>
              </w:rPr>
            </w:pPr>
          </w:p>
        </w:tc>
      </w:tr>
      <w:tr>
        <w:trPr>
          <w:trHeight w:val="169"/>
        </w:trPr>
        <w:tc>
          <w:tcPr>
            <w:tcW w:w="57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Expenses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39,402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49,110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42,761</w:t>
            </w:r>
          </w:p>
        </w:tc>
        <w:tc>
          <w:tcPr>
            <w:tcW w:w="120" w:type="dxa"/>
            <w:vAlign w:val="bottom"/>
            <w:shd w:val="clear" w:color="auto" w:fill="CFF0FC"/>
          </w:tcPr>
          <w:p>
            <w:pPr>
              <w:spacing w:after="0"/>
              <w:rPr>
                <w:sz w:val="15"/>
                <w:szCs w:val="15"/>
                <w:color w:val="auto"/>
              </w:rPr>
            </w:pPr>
          </w:p>
        </w:tc>
      </w:tr>
      <w:tr>
        <w:trPr>
          <w:trHeight w:val="175"/>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Management fees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30,104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28,589</w:t>
            </w:r>
          </w:p>
        </w:tc>
        <w:tc>
          <w:tcPr>
            <w:tcW w:w="120" w:type="dxa"/>
            <w:vAlign w:val="bottom"/>
          </w:tcPr>
          <w:p>
            <w:pPr>
              <w:spacing w:after="0"/>
              <w:rPr>
                <w:sz w:val="15"/>
                <w:szCs w:val="15"/>
                <w:color w:val="auto"/>
              </w:rPr>
            </w:pPr>
          </w:p>
        </w:tc>
      </w:tr>
      <w:tr>
        <w:trPr>
          <w:trHeight w:val="17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Incentive fees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32,904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27,211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30,515</w:t>
            </w:r>
          </w:p>
        </w:tc>
        <w:tc>
          <w:tcPr>
            <w:tcW w:w="120" w:type="dxa"/>
            <w:vAlign w:val="bottom"/>
            <w:shd w:val="clear" w:color="auto" w:fill="CFF0FC"/>
          </w:tcPr>
          <w:p>
            <w:pPr>
              <w:spacing w:after="0"/>
              <w:rPr>
                <w:sz w:val="15"/>
                <w:szCs w:val="15"/>
                <w:color w:val="auto"/>
              </w:rPr>
            </w:pPr>
          </w:p>
        </w:tc>
      </w:tr>
      <w:tr>
        <w:trPr>
          <w:trHeight w:val="175"/>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7,208</w:t>
            </w:r>
          </w:p>
        </w:tc>
        <w:tc>
          <w:tcPr>
            <w:tcW w:w="120" w:type="dxa"/>
            <w:vAlign w:val="bottom"/>
          </w:tcPr>
          <w:p>
            <w:pPr>
              <w:spacing w:after="0"/>
              <w:rPr>
                <w:sz w:val="15"/>
                <w:szCs w:val="15"/>
                <w:color w:val="auto"/>
              </w:rPr>
            </w:pPr>
          </w:p>
        </w:tc>
      </w:tr>
      <w:tr>
        <w:trPr>
          <w:trHeight w:val="17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Directors’ fees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120" w:type="dxa"/>
            <w:vAlign w:val="bottom"/>
            <w:shd w:val="clear" w:color="auto" w:fill="CFF0FC"/>
          </w:tcPr>
          <w:p>
            <w:pPr>
              <w:spacing w:after="0"/>
              <w:rPr>
                <w:sz w:val="15"/>
                <w:szCs w:val="15"/>
                <w:color w:val="auto"/>
              </w:rPr>
            </w:pPr>
          </w:p>
        </w:tc>
      </w:tr>
      <w:tr>
        <w:trPr>
          <w:trHeight w:val="175"/>
        </w:trPr>
        <w:tc>
          <w:tcPr>
            <w:tcW w:w="5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Other general and administrative</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5,262</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5,912</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5,226</w:t>
            </w:r>
          </w:p>
        </w:tc>
        <w:tc>
          <w:tcPr>
            <w:tcW w:w="120" w:type="dxa"/>
            <w:vAlign w:val="bottom"/>
            <w:tcBorders>
              <w:bottom w:val="single" w:sz="8" w:color="CFF0FC"/>
            </w:tcBorders>
          </w:tcPr>
          <w:p>
            <w:pPr>
              <w:spacing w:after="0"/>
              <w:rPr>
                <w:sz w:val="15"/>
                <w:szCs w:val="15"/>
                <w:color w:val="auto"/>
              </w:rPr>
            </w:pPr>
          </w:p>
        </w:tc>
      </w:tr>
      <w:tr>
        <w:trPr>
          <w:trHeight w:val="169"/>
        </w:trPr>
        <w:tc>
          <w:tcPr>
            <w:tcW w:w="5760" w:type="dxa"/>
            <w:vAlign w:val="bottom"/>
            <w:shd w:val="clear" w:color="auto" w:fill="CFF0FC"/>
          </w:tcPr>
          <w:p>
            <w:pPr>
              <w:ind w:left="500"/>
              <w:spacing w:after="0" w:line="169" w:lineRule="exact"/>
              <w:rPr>
                <w:sz w:val="20"/>
                <w:szCs w:val="20"/>
                <w:color w:val="auto"/>
              </w:rPr>
            </w:pPr>
            <w:r>
              <w:rPr>
                <w:rFonts w:ascii="Times New Roman" w:cs="Times New Roman" w:eastAsia="Times New Roman" w:hAnsi="Times New Roman"/>
                <w:sz w:val="15"/>
                <w:szCs w:val="15"/>
                <w:color w:val="auto"/>
              </w:rPr>
              <w:t>Total expenses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117,273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119,462</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114,713</w:t>
            </w:r>
          </w:p>
        </w:tc>
        <w:tc>
          <w:tcPr>
            <w:tcW w:w="120" w:type="dxa"/>
            <w:vAlign w:val="bottom"/>
            <w:shd w:val="clear" w:color="auto" w:fill="CFF0FC"/>
          </w:tcPr>
          <w:p>
            <w:pPr>
              <w:spacing w:after="0"/>
              <w:rPr>
                <w:sz w:val="14"/>
                <w:szCs w:val="14"/>
                <w:color w:val="auto"/>
              </w:rPr>
            </w:pPr>
          </w:p>
        </w:tc>
      </w:tr>
      <w:tr>
        <w:trPr>
          <w:trHeight w:val="169"/>
        </w:trPr>
        <w:tc>
          <w:tcPr>
            <w:tcW w:w="5760" w:type="dxa"/>
            <w:vAlign w:val="bottom"/>
            <w:tcBorders>
              <w:bottom w:val="single" w:sz="8" w:color="CFF0FC"/>
            </w:tcBorders>
          </w:tcPr>
          <w:p>
            <w:pPr>
              <w:spacing w:after="0" w:line="169" w:lineRule="exact"/>
              <w:rPr>
                <w:sz w:val="20"/>
                <w:szCs w:val="20"/>
                <w:color w:val="auto"/>
              </w:rPr>
            </w:pPr>
            <w:r>
              <w:rPr>
                <w:rFonts w:ascii="Times New Roman" w:cs="Times New Roman" w:eastAsia="Times New Roman" w:hAnsi="Times New Roman"/>
                <w:sz w:val="15"/>
                <w:szCs w:val="15"/>
                <w:color w:val="auto"/>
              </w:rPr>
              <w:t>Management and incentive fees waived (Note 3)</w:t>
            </w: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(63)</w:t>
            </w:r>
          </w:p>
        </w:tc>
        <w:tc>
          <w:tcPr>
            <w:tcW w:w="120" w:type="dxa"/>
            <w:vAlign w:val="bottom"/>
            <w:tcBorders>
              <w:bottom w:val="single" w:sz="8" w:color="CFF0FC"/>
            </w:tcBorders>
          </w:tcPr>
          <w:p>
            <w:pPr>
              <w:spacing w:after="0"/>
              <w:rPr>
                <w:sz w:val="14"/>
                <w:szCs w:val="14"/>
                <w:color w:val="auto"/>
              </w:rPr>
            </w:pPr>
          </w:p>
        </w:tc>
      </w:tr>
      <w:tr>
        <w:trPr>
          <w:trHeight w:val="169"/>
        </w:trPr>
        <w:tc>
          <w:tcPr>
            <w:tcW w:w="5760" w:type="dxa"/>
            <w:vAlign w:val="bottom"/>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b w:val="1"/>
                <w:bCs w:val="1"/>
                <w:color w:val="auto"/>
              </w:rPr>
              <w:t>Net Expenses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117,273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119,462</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114,650</w:t>
            </w:r>
          </w:p>
        </w:tc>
        <w:tc>
          <w:tcPr>
            <w:tcW w:w="120" w:type="dxa"/>
            <w:vAlign w:val="bottom"/>
            <w:shd w:val="clear" w:color="auto" w:fill="CFF0FC"/>
          </w:tcPr>
          <w:p>
            <w:pPr>
              <w:spacing w:after="0"/>
              <w:rPr>
                <w:sz w:val="14"/>
                <w:szCs w:val="14"/>
                <w:color w:val="auto"/>
              </w:rPr>
            </w:pPr>
          </w:p>
        </w:tc>
      </w:tr>
      <w:tr>
        <w:trPr>
          <w:trHeight w:val="169"/>
        </w:trPr>
        <w:tc>
          <w:tcPr>
            <w:tcW w:w="57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Investment Income Before Income Taxes</w:t>
            </w: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152,764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132,033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147,264</w:t>
            </w:r>
          </w:p>
        </w:tc>
        <w:tc>
          <w:tcPr>
            <w:tcW w:w="120" w:type="dxa"/>
            <w:vAlign w:val="bottom"/>
          </w:tcPr>
          <w:p>
            <w:pPr>
              <w:spacing w:after="0"/>
              <w:rPr>
                <w:sz w:val="14"/>
                <w:szCs w:val="14"/>
                <w:color w:val="auto"/>
              </w:rPr>
            </w:pPr>
          </w:p>
        </w:tc>
      </w:tr>
      <w:tr>
        <w:trPr>
          <w:trHeight w:val="175"/>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taxes, including excise taxes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5,760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3,375</w:t>
            </w:r>
          </w:p>
        </w:tc>
        <w:tc>
          <w:tcPr>
            <w:tcW w:w="120" w:type="dxa"/>
            <w:vAlign w:val="bottom"/>
            <w:shd w:val="clear" w:color="auto" w:fill="CFF0FC"/>
          </w:tcPr>
          <w:p>
            <w:pPr>
              <w:spacing w:after="0"/>
              <w:rPr>
                <w:sz w:val="15"/>
                <w:szCs w:val="15"/>
                <w:color w:val="auto"/>
              </w:rPr>
            </w:pPr>
          </w:p>
        </w:tc>
      </w:tr>
      <w:tr>
        <w:trPr>
          <w:trHeight w:val="169"/>
        </w:trPr>
        <w:tc>
          <w:tcPr>
            <w:tcW w:w="576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Net Investment Income</w:t>
            </w: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147,004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128,283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143,889</w:t>
            </w:r>
          </w:p>
        </w:tc>
        <w:tc>
          <w:tcPr>
            <w:tcW w:w="120" w:type="dxa"/>
            <w:vAlign w:val="bottom"/>
          </w:tcPr>
          <w:p>
            <w:pPr>
              <w:spacing w:after="0"/>
              <w:rPr>
                <w:sz w:val="14"/>
                <w:szCs w:val="14"/>
                <w:color w:val="auto"/>
              </w:rPr>
            </w:pPr>
          </w:p>
        </w:tc>
      </w:tr>
      <w:tr>
        <w:trPr>
          <w:trHeight w:val="175"/>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Unrealized and Realized Gains (Losses)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5"/>
        </w:trPr>
        <w:tc>
          <w:tcPr>
            <w:tcW w:w="576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unrealized gains (losses):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Non-controlled, non-affiliated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10,304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29,432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(15,207)</w:t>
            </w:r>
          </w:p>
        </w:tc>
      </w:tr>
      <w:tr>
        <w:trPr>
          <w:trHeight w:val="176"/>
        </w:trPr>
        <w:tc>
          <w:tcPr>
            <w:tcW w:w="5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Non-controlled, affiliated 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(670)</w:t>
            </w:r>
          </w:p>
        </w:tc>
      </w:tr>
      <w:tr>
        <w:trPr>
          <w:trHeight w:val="175"/>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Controlled, 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18,862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(12,381)</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(2,028)</w:t>
            </w:r>
          </w:p>
        </w:tc>
      </w:tr>
      <w:tr>
        <w:trPr>
          <w:trHeight w:val="175"/>
        </w:trPr>
        <w:tc>
          <w:tcPr>
            <w:tcW w:w="5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Translation of other assets and liabilities in foreign currencies</w:t>
            </w:r>
          </w:p>
        </w:tc>
        <w:tc>
          <w:tcPr>
            <w:tcW w:w="14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(3,255)</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5,455</w:t>
            </w:r>
          </w:p>
        </w:tc>
        <w:tc>
          <w:tcPr>
            <w:tcW w:w="120" w:type="dxa"/>
            <w:vAlign w:val="bottom"/>
          </w:tcPr>
          <w:p>
            <w:pPr>
              <w:spacing w:after="0"/>
              <w:rPr>
                <w:sz w:val="15"/>
                <w:szCs w:val="15"/>
                <w:color w:val="auto"/>
              </w:rPr>
            </w:pPr>
          </w:p>
        </w:tc>
      </w:tr>
      <w:tr>
        <w:trPr>
          <w:trHeight w:val="175"/>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Interest rate swaps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6,812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9,194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(1,701)</w:t>
            </w:r>
          </w:p>
        </w:tc>
      </w:tr>
      <w:tr>
        <w:trPr>
          <w:trHeight w:val="169"/>
        </w:trPr>
        <w:tc>
          <w:tcPr>
            <w:tcW w:w="5760" w:type="dxa"/>
            <w:vAlign w:val="bottom"/>
            <w:tcBorders>
              <w:bottom w:val="single" w:sz="8" w:color="CFF0FC"/>
            </w:tcBorders>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net change in unrealized gains (losses)</w:t>
            </w: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33,695</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24,262</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(14,151)</w:t>
            </w:r>
          </w:p>
        </w:tc>
        <w:tc>
          <w:tcPr>
            <w:tcW w:w="120" w:type="dxa"/>
            <w:vAlign w:val="bottom"/>
            <w:tcBorders>
              <w:bottom w:val="single" w:sz="8" w:color="CFF0FC"/>
            </w:tcBorders>
          </w:tcPr>
          <w:p>
            <w:pPr>
              <w:spacing w:after="0"/>
              <w:rPr>
                <w:sz w:val="14"/>
                <w:szCs w:val="14"/>
                <w:color w:val="auto"/>
              </w:rPr>
            </w:pPr>
          </w:p>
        </w:tc>
      </w:tr>
      <w:tr>
        <w:trPr>
          <w:trHeight w:val="169"/>
        </w:trPr>
        <w:tc>
          <w:tcPr>
            <w:tcW w:w="576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Realized gains (losses):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5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Non-controlled, non-affiliated investments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25,382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3,457</w:t>
            </w:r>
          </w:p>
        </w:tc>
        <w:tc>
          <w:tcPr>
            <w:tcW w:w="120" w:type="dxa"/>
            <w:vAlign w:val="bottom"/>
          </w:tcPr>
          <w:p>
            <w:pPr>
              <w:spacing w:after="0"/>
              <w:rPr>
                <w:sz w:val="15"/>
                <w:szCs w:val="15"/>
                <w:color w:val="auto"/>
              </w:rPr>
            </w:pPr>
          </w:p>
        </w:tc>
      </w:tr>
      <w:tr>
        <w:trPr>
          <w:trHeight w:val="176"/>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Non-controlled, affiliated investments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7,854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5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Controlled, affiliated investments</w:t>
            </w:r>
          </w:p>
        </w:tc>
        <w:tc>
          <w:tcPr>
            <w:tcW w:w="14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(36,352)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(3,594)</w:t>
            </w:r>
          </w:p>
        </w:tc>
        <w:tc>
          <w:tcPr>
            <w:tcW w:w="14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(14,890)</w:t>
            </w:r>
          </w:p>
        </w:tc>
      </w:tr>
      <w:tr>
        <w:trPr>
          <w:trHeight w:val="175"/>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Extinguishment of debt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5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Interest rate swaps</w:t>
            </w:r>
          </w:p>
        </w:tc>
        <w:tc>
          <w:tcPr>
            <w:tcW w:w="140" w:type="dxa"/>
            <w:vAlign w:val="bottom"/>
          </w:tcPr>
          <w:p>
            <w:pPr>
              <w:spacing w:after="0"/>
              <w:rPr>
                <w:sz w:val="15"/>
                <w:szCs w:val="15"/>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Foreign currency transactions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(152)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120" w:type="dxa"/>
            <w:vAlign w:val="bottom"/>
            <w:shd w:val="clear" w:color="auto" w:fill="CFF0FC"/>
          </w:tcPr>
          <w:p>
            <w:pPr>
              <w:spacing w:after="0"/>
              <w:rPr>
                <w:sz w:val="15"/>
                <w:szCs w:val="15"/>
                <w:color w:val="auto"/>
              </w:rPr>
            </w:pPr>
          </w:p>
        </w:tc>
      </w:tr>
      <w:tr>
        <w:trPr>
          <w:trHeight w:val="169"/>
        </w:trPr>
        <w:tc>
          <w:tcPr>
            <w:tcW w:w="5760" w:type="dxa"/>
            <w:vAlign w:val="bottom"/>
            <w:tcBorders>
              <w:bottom w:val="single" w:sz="8" w:color="CFF0FC"/>
            </w:tcBorders>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net realized gains (losses)</w:t>
            </w: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(2,591)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2,038</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(10,721)</w:t>
            </w:r>
          </w:p>
        </w:tc>
        <w:tc>
          <w:tcPr>
            <w:tcW w:w="120" w:type="dxa"/>
            <w:vAlign w:val="bottom"/>
            <w:tcBorders>
              <w:bottom w:val="single" w:sz="8" w:color="CFF0FC"/>
            </w:tcBorders>
          </w:tcPr>
          <w:p>
            <w:pPr>
              <w:spacing w:after="0"/>
              <w:rPr>
                <w:sz w:val="14"/>
                <w:szCs w:val="14"/>
                <w:color w:val="auto"/>
              </w:rPr>
            </w:pPr>
          </w:p>
        </w:tc>
      </w:tr>
      <w:tr>
        <w:trPr>
          <w:trHeight w:val="169"/>
        </w:trPr>
        <w:tc>
          <w:tcPr>
            <w:tcW w:w="5760" w:type="dxa"/>
            <w:vAlign w:val="bottom"/>
            <w:shd w:val="clear" w:color="auto" w:fill="CFF0FC"/>
          </w:tcPr>
          <w:p>
            <w:pPr>
              <w:ind w:left="1000"/>
              <w:spacing w:after="0" w:line="169" w:lineRule="exact"/>
              <w:rPr>
                <w:sz w:val="20"/>
                <w:szCs w:val="20"/>
                <w:color w:val="auto"/>
              </w:rPr>
            </w:pPr>
            <w:r>
              <w:rPr>
                <w:rFonts w:ascii="Times New Roman" w:cs="Times New Roman" w:eastAsia="Times New Roman" w:hAnsi="Times New Roman"/>
                <w:sz w:val="15"/>
                <w:szCs w:val="15"/>
                <w:b w:val="1"/>
                <w:bCs w:val="1"/>
                <w:color w:val="auto"/>
              </w:rPr>
              <w:t>Total Unrealized and Realized Gains (Losses)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31,104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26,300</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(24,872)</w:t>
            </w:r>
          </w:p>
        </w:tc>
        <w:tc>
          <w:tcPr>
            <w:tcW w:w="120" w:type="dxa"/>
            <w:vAlign w:val="bottom"/>
            <w:shd w:val="clear" w:color="auto" w:fill="CFF0FC"/>
          </w:tcPr>
          <w:p>
            <w:pPr>
              <w:spacing w:after="0"/>
              <w:rPr>
                <w:sz w:val="14"/>
                <w:szCs w:val="14"/>
                <w:color w:val="auto"/>
              </w:rPr>
            </w:pPr>
          </w:p>
        </w:tc>
      </w:tr>
      <w:tr>
        <w:trPr>
          <w:trHeight w:val="209"/>
        </w:trPr>
        <w:tc>
          <w:tcPr>
            <w:tcW w:w="5760" w:type="dxa"/>
            <w:vAlign w:val="bottom"/>
            <w:tcBorders>
              <w:bottom w:val="single" w:sz="8" w:color="CFF0FC"/>
            </w:tcBorders>
          </w:tcPr>
          <w:p>
            <w:pPr>
              <w:ind w:left="1000"/>
              <w:spacing w:after="0" w:line="169" w:lineRule="exact"/>
              <w:rPr>
                <w:sz w:val="20"/>
                <w:szCs w:val="20"/>
                <w:color w:val="auto"/>
              </w:rPr>
            </w:pPr>
            <w:r>
              <w:rPr>
                <w:rFonts w:ascii="Times New Roman" w:cs="Times New Roman" w:eastAsia="Times New Roman" w:hAnsi="Times New Roman"/>
                <w:sz w:val="15"/>
                <w:szCs w:val="15"/>
                <w:b w:val="1"/>
                <w:bCs w:val="1"/>
                <w:color w:val="auto"/>
              </w:rPr>
              <w:t>Increase in Net Assets Resulting from Operations</w:t>
            </w: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178,108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154,583</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119,017</w:t>
            </w:r>
          </w:p>
        </w:tc>
        <w:tc>
          <w:tcPr>
            <w:tcW w:w="120" w:type="dxa"/>
            <w:vAlign w:val="bottom"/>
            <w:tcBorders>
              <w:bottom w:val="single" w:sz="8" w:color="CFF0FC"/>
            </w:tcBorders>
          </w:tcPr>
          <w:p>
            <w:pPr>
              <w:spacing w:after="0"/>
              <w:rPr>
                <w:sz w:val="18"/>
                <w:szCs w:val="18"/>
                <w:color w:val="auto"/>
              </w:rPr>
            </w:pPr>
          </w:p>
        </w:tc>
      </w:tr>
      <w:tr>
        <w:trPr>
          <w:trHeight w:val="156"/>
        </w:trPr>
        <w:tc>
          <w:tcPr>
            <w:tcW w:w="57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Earnings per common share—basic and diluted</w:t>
            </w: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2.65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2.34</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1.86</w:t>
            </w:r>
          </w:p>
        </w:tc>
        <w:tc>
          <w:tcPr>
            <w:tcW w:w="120" w:type="dxa"/>
            <w:vAlign w:val="bottom"/>
            <w:shd w:val="clear" w:color="auto" w:fill="CFF0FC"/>
          </w:tcPr>
          <w:p>
            <w:pPr>
              <w:spacing w:after="0"/>
              <w:rPr>
                <w:sz w:val="13"/>
                <w:szCs w:val="13"/>
                <w:color w:val="auto"/>
              </w:rPr>
            </w:pPr>
          </w:p>
        </w:tc>
      </w:tr>
      <w:tr>
        <w:trPr>
          <w:trHeight w:val="152"/>
        </w:trPr>
        <w:tc>
          <w:tcPr>
            <w:tcW w:w="576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Weighted average shares of common stock outstanding—basic and</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9"/>
        </w:trPr>
        <w:tc>
          <w:tcPr>
            <w:tcW w:w="57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diluted</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67,209,078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66,069,305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64,028,137</w:t>
            </w:r>
          </w:p>
        </w:tc>
        <w:tc>
          <w:tcPr>
            <w:tcW w:w="120" w:type="dxa"/>
            <w:vAlign w:val="bottom"/>
          </w:tcPr>
          <w:p>
            <w:pPr>
              <w:spacing w:after="0"/>
              <w:rPr>
                <w:sz w:val="15"/>
                <w:szCs w:val="15"/>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79"/>
              <w:spacing w:after="0" w:line="135" w:lineRule="exact"/>
              <w:rPr>
                <w:sz w:val="20"/>
                <w:szCs w:val="20"/>
                <w:color w:val="auto"/>
              </w:rPr>
            </w:pPr>
            <w:r>
              <w:rPr>
                <w:rFonts w:ascii="Times New Roman" w:cs="Times New Roman" w:eastAsia="Times New Roman" w:hAnsi="Times New Roman"/>
                <w:sz w:val="13"/>
                <w:szCs w:val="13"/>
                <w:b w:val="1"/>
                <w:bCs w:val="1"/>
                <w:color w:val="auto"/>
              </w:rPr>
              <w:t>Percentage</w:t>
            </w:r>
          </w:p>
        </w:tc>
      </w:tr>
      <w:tr>
        <w:trPr>
          <w:trHeight w:val="155"/>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3"/>
                <w:szCs w:val="13"/>
                <w:color w:val="auto"/>
              </w:rPr>
            </w:pPr>
          </w:p>
        </w:tc>
        <w:tc>
          <w:tcPr>
            <w:tcW w:w="2640" w:type="dxa"/>
            <w:vAlign w:val="bottom"/>
            <w:gridSpan w:val="2"/>
          </w:tcPr>
          <w:p>
            <w:pPr>
              <w:ind w:left="96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Interest Rate</w:t>
            </w: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 xml:space="preserve">Cost </w:t>
            </w:r>
            <w:r>
              <w:rPr>
                <w:rFonts w:ascii="Times New Roman" w:cs="Times New Roman" w:eastAsia="Times New Roman" w:hAnsi="Times New Roman"/>
                <w:sz w:val="10"/>
                <w:szCs w:val="10"/>
                <w:b w:val="1"/>
                <w:bCs w:val="1"/>
                <w:color w:val="auto"/>
              </w:rPr>
              <w:t>(2)(8)</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Fair Value </w:t>
            </w:r>
            <w:r>
              <w:rPr>
                <w:rFonts w:ascii="Times New Roman" w:cs="Times New Roman" w:eastAsia="Times New Roman" w:hAnsi="Times New Roman"/>
                <w:sz w:val="10"/>
                <w:szCs w:val="10"/>
                <w:b w:val="1"/>
                <w:bCs w:val="1"/>
                <w:color w:val="auto"/>
              </w:rPr>
              <w:t>(10)</w:t>
            </w:r>
          </w:p>
        </w:tc>
        <w:tc>
          <w:tcPr>
            <w:tcW w:w="920" w:type="dxa"/>
            <w:vAlign w:val="bottom"/>
            <w:gridSpan w:val="2"/>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w w:val="97"/>
              </w:rPr>
              <w:t>of Net Assets</w:t>
            </w:r>
          </w:p>
        </w:tc>
      </w:tr>
      <w:tr>
        <w:trPr>
          <w:trHeight w:val="209"/>
        </w:trPr>
        <w:tc>
          <w:tcPr>
            <w:tcW w:w="25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8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14"/>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Acceo Solutions,</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(CAD 74,813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7/6/2018</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C + 5.25%</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56,132</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$59,603</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4"/>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(3)(4)(5)</w:t>
            </w: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10/2025)</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(CAD</w:t>
            </w: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75,935)</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23"/>
                <w:szCs w:val="23"/>
                <w:color w:val="auto"/>
                <w:vertAlign w:val="superscript"/>
              </w:rPr>
              <w:t>(3)(5)</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loan ($64,317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+ 7.50%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62,934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64,837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8/2025)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ForeScout Technologies, Inc. </w:t>
            </w:r>
            <w:r>
              <w:rPr>
                <w:rFonts w:ascii="Times New Roman" w:cs="Times New Roman" w:eastAsia="Times New Roman" w:hAnsi="Times New Roman"/>
                <w:sz w:val="23"/>
                <w:szCs w:val="23"/>
                <w:color w:val="auto"/>
                <w:vertAlign w:val="superscript"/>
              </w:rPr>
              <w:t>(3)</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($4,662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8/17/2020</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+ 9.50%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2580" w:type="dxa"/>
            <w:vAlign w:val="bottom"/>
            <w:shd w:val="clear" w:color="auto" w:fill="CFF0FC"/>
          </w:tcPr>
          <w:p>
            <w:pPr>
              <w:spacing w:after="0"/>
              <w:rPr>
                <w:sz w:val="17"/>
                <w:szCs w:val="17"/>
                <w:color w:val="auto"/>
              </w:rPr>
            </w:pP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8/2026)</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(incl.</w:t>
            </w: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2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PIK)</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Integration Appliance, Inc. </w:t>
            </w:r>
            <w:r>
              <w:rPr>
                <w:rFonts w:ascii="Times New Roman" w:cs="Times New Roman" w:eastAsia="Times New Roman" w:hAnsi="Times New Roman"/>
                <w:sz w:val="23"/>
                <w:szCs w:val="23"/>
                <w:color w:val="auto"/>
                <w:vertAlign w:val="superscript"/>
              </w:rPr>
              <w:t>(3)</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loan ($71,500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8/13/2018</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+ 7.25%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70,857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72,215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8/2023)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80" w:type="dxa"/>
            <w:vAlign w:val="bottom"/>
            <w:shd w:val="clear" w:color="auto" w:fill="CFF0FC"/>
          </w:tcPr>
          <w:p>
            <w:pPr>
              <w:spacing w:after="0"/>
              <w:rPr>
                <w:sz w:val="17"/>
                <w:szCs w:val="17"/>
                <w:color w:val="auto"/>
              </w:rPr>
            </w:pP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revolving loan ($1,310 par,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8/13/2018</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+ 7.25%</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2580" w:type="dxa"/>
            <w:vAlign w:val="bottom"/>
            <w:shd w:val="clear" w:color="auto" w:fill="CFF0FC"/>
          </w:tcPr>
          <w:p>
            <w:pPr>
              <w:spacing w:after="0"/>
              <w:rPr>
                <w:sz w:val="18"/>
                <w:szCs w:val="18"/>
                <w:color w:val="auto"/>
              </w:rPr>
            </w:pP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due 8/2023)</w:t>
            </w: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Motus, LLC </w:t>
            </w:r>
            <w:r>
              <w:rPr>
                <w:rFonts w:ascii="Times New Roman" w:cs="Times New Roman" w:eastAsia="Times New Roman" w:hAnsi="Times New Roman"/>
                <w:sz w:val="23"/>
                <w:szCs w:val="23"/>
                <w:color w:val="auto"/>
                <w:vertAlign w:val="superscript"/>
              </w:rPr>
              <w:t>(3)(5)</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loan ($61,800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1/17/2018</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+ 5.50%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60,902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62,418</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Netwrix Corp. </w:t>
            </w:r>
            <w:r>
              <w:rPr>
                <w:rFonts w:ascii="Times New Roman" w:cs="Times New Roman" w:eastAsia="Times New Roman" w:hAnsi="Times New Roman"/>
                <w:sz w:val="23"/>
                <w:szCs w:val="23"/>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($50,792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9/30/2020</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+ 6.50%</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49,381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49,391</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6"/>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9/2026)</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Nintex Global, Ltd. </w:t>
            </w:r>
            <w:r>
              <w:rPr>
                <w:rFonts w:ascii="Times New Roman" w:cs="Times New Roman" w:eastAsia="Times New Roman" w:hAnsi="Times New Roman"/>
                <w:sz w:val="23"/>
                <w:szCs w:val="23"/>
                <w:color w:val="auto"/>
                <w:vertAlign w:val="superscript"/>
              </w:rPr>
              <w:t>(3)(5)</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loan ($79,695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3/30/2018</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+ 6.75%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78,370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81,912</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4/2024)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ReliaQuest Holdings, LLC </w:t>
            </w:r>
            <w:r>
              <w:rPr>
                <w:rFonts w:ascii="Times New Roman" w:cs="Times New Roman" w:eastAsia="Times New Roman" w:hAnsi="Times New Roman"/>
                <w:sz w:val="23"/>
                <w:szCs w:val="23"/>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($36,511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10/8/2020</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+ 8.25%</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9.25%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35,450</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35,653</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10/2026)</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ServiceChannel Holdings, Inc. </w:t>
            </w:r>
            <w:r>
              <w:rPr>
                <w:rFonts w:ascii="Times New Roman" w:cs="Times New Roman" w:eastAsia="Times New Roman" w:hAnsi="Times New Roman"/>
                <w:sz w:val="23"/>
                <w:szCs w:val="23"/>
                <w:color w:val="auto"/>
                <w:vertAlign w:val="superscript"/>
              </w:rPr>
              <w:t>(9)</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Second-lien loan ($5,359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6/2025)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PIK</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Sprinklr, Inc.</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note ($3,920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5/20/2020</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9.88%</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9.88% PIK</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4,478</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5/2025)</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WideOrbit, Inc. </w:t>
            </w:r>
            <w:r>
              <w:rPr>
                <w:rFonts w:ascii="Times New Roman" w:cs="Times New Roman" w:eastAsia="Times New Roman" w:hAnsi="Times New Roman"/>
                <w:sz w:val="23"/>
                <w:szCs w:val="23"/>
                <w:color w:val="auto"/>
                <w:vertAlign w:val="superscript"/>
              </w:rPr>
              <w:t>(3)</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loan ($59,943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+ 8.50%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59,044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3"/>
        </w:trPr>
        <w:tc>
          <w:tcPr>
            <w:tcW w:w="2580" w:type="dxa"/>
            <w:vAlign w:val="bottom"/>
            <w:tcBorders>
              <w:bottom w:val="single" w:sz="8" w:color="CFF0FC"/>
            </w:tcBorders>
          </w:tcPr>
          <w:p>
            <w:pPr>
              <w:spacing w:after="0"/>
              <w:rPr>
                <w:sz w:val="18"/>
                <w:szCs w:val="18"/>
                <w:color w:val="auto"/>
              </w:rPr>
            </w:pPr>
          </w:p>
        </w:tc>
        <w:tc>
          <w:tcPr>
            <w:tcW w:w="262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6"/>
                <w:szCs w:val="16"/>
                <w:color w:val="auto"/>
              </w:rPr>
              <w:t>7/2025)</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487,784</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502,578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IntelePeer Holdings, Inc.</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($43,324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12/2/2019</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+ 8.25%</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9.75%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43,220</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42,999</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8"/>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line="217" w:lineRule="exact"/>
              <w:rPr>
                <w:sz w:val="20"/>
                <w:szCs w:val="20"/>
                <w:color w:val="auto"/>
              </w:rPr>
            </w:pPr>
            <w:r>
              <w:rPr>
                <w:rFonts w:ascii="Times New Roman" w:cs="Times New Roman" w:eastAsia="Times New Roman" w:hAnsi="Times New Roman"/>
                <w:sz w:val="15"/>
                <w:szCs w:val="15"/>
                <w:color w:val="auto"/>
              </w:rPr>
              <w:t xml:space="preserve">12/2024) </w:t>
            </w:r>
            <w:r>
              <w:rPr>
                <w:rFonts w:ascii="Times New Roman" w:cs="Times New Roman" w:eastAsia="Times New Roman" w:hAnsi="Times New Roman"/>
                <w:sz w:val="25"/>
                <w:szCs w:val="25"/>
                <w:color w:val="auto"/>
                <w:vertAlign w:val="superscript"/>
              </w:rPr>
              <w:t>(3)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rPr>
                <w:sz w:val="17"/>
                <w:szCs w:val="17"/>
                <w:color w:val="auto"/>
              </w:rPr>
            </w:pP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Convertible note ($1,750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 PIK</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2580" w:type="dxa"/>
            <w:vAlign w:val="bottom"/>
            <w:tcBorders>
              <w:bottom w:val="single" w:sz="8" w:color="CFF0FC"/>
            </w:tcBorders>
          </w:tcPr>
          <w:p>
            <w:pPr>
              <w:spacing w:after="0"/>
              <w:rPr>
                <w:sz w:val="18"/>
                <w:szCs w:val="18"/>
                <w:color w:val="auto"/>
              </w:rPr>
            </w:pPr>
          </w:p>
        </w:tc>
        <w:tc>
          <w:tcPr>
            <w:tcW w:w="262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6"/>
                <w:szCs w:val="16"/>
                <w:color w:val="auto"/>
              </w:rPr>
              <w:t>12/2024)</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44,951</w:t>
            </w: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44,657</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7"/>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Education</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25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EMS Linq, Inc. </w:t>
            </w:r>
            <w:r>
              <w:rPr>
                <w:rFonts w:ascii="Times New Roman" w:cs="Times New Roman" w:eastAsia="Times New Roman" w:hAnsi="Times New Roman"/>
                <w:sz w:val="23"/>
                <w:szCs w:val="23"/>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($34,913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9/17/2020</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+ 7.75%</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8.75%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33,903</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34,476</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9/2025)</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Follet Corp. </w:t>
            </w:r>
            <w:r>
              <w:rPr>
                <w:rFonts w:ascii="Times New Roman" w:cs="Times New Roman" w:eastAsia="Times New Roman" w:hAnsi="Times New Roman"/>
                <w:sz w:val="23"/>
                <w:szCs w:val="23"/>
                <w:color w:val="auto"/>
                <w:vertAlign w:val="superscript"/>
              </w:rPr>
              <w:t>(3)</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loan ($75,000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11/25/2020</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+ 7.75%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73,341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11/2025)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4"/>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Frontline Technologies</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($84,835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9/18/2017</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+ 5.75%</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6.75%</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84,479</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84,835</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8"/>
        </w:trPr>
        <w:tc>
          <w:tcPr>
            <w:tcW w:w="258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Group, LLC </w:t>
            </w:r>
            <w:r>
              <w:rPr>
                <w:rFonts w:ascii="Times New Roman" w:cs="Times New Roman" w:eastAsia="Times New Roman" w:hAnsi="Times New Roman"/>
                <w:sz w:val="25"/>
                <w:szCs w:val="25"/>
                <w:color w:val="auto"/>
                <w:vertAlign w:val="superscript"/>
              </w:rPr>
              <w:t>(3)</w:t>
            </w: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9/2023)</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1"/>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Illuminate Education,</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loan ($63,375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8/25/2017</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+ 6.25%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62,864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63,375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5"/>
        </w:trPr>
        <w:tc>
          <w:tcPr>
            <w:tcW w:w="258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Inc.</w:t>
            </w:r>
            <w:r>
              <w:rPr>
                <w:rFonts w:ascii="Times New Roman" w:cs="Times New Roman" w:eastAsia="Times New Roman" w:hAnsi="Times New Roman"/>
                <w:sz w:val="13"/>
                <w:szCs w:val="13"/>
                <w:color w:val="auto"/>
              </w:rPr>
              <w:t>(3)(5)</w:t>
            </w:r>
          </w:p>
        </w:tc>
        <w:tc>
          <w:tcPr>
            <w:tcW w:w="2620" w:type="dxa"/>
            <w:vAlign w:val="bottom"/>
            <w:tcBorders>
              <w:bottom w:val="single" w:sz="8" w:color="CFF0FC"/>
            </w:tcBorders>
            <w:gridSpan w:val="2"/>
          </w:tcPr>
          <w:p>
            <w:pPr>
              <w:ind w:left="80"/>
              <w:spacing w:after="0"/>
              <w:rPr>
                <w:sz w:val="20"/>
                <w:szCs w:val="20"/>
                <w:color w:val="auto"/>
              </w:rPr>
            </w:pPr>
            <w:r>
              <w:rPr>
                <w:rFonts w:ascii="Times New Roman" w:cs="Times New Roman" w:eastAsia="Times New Roman" w:hAnsi="Times New Roman"/>
                <w:sz w:val="16"/>
                <w:szCs w:val="16"/>
                <w:color w:val="auto"/>
              </w:rPr>
              <w:t>8/2022)</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254,587</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256,186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06"/>
        </w:trPr>
        <w:tc>
          <w:tcPr>
            <w:tcW w:w="2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25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23"/>
                <w:szCs w:val="23"/>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($10,831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10/1/2019</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+ 9.00%</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10,717</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4/2024)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23"/>
                <w:szCs w:val="23"/>
                <w:color w:val="auto"/>
                <w:vertAlign w:val="superscript"/>
              </w:rPr>
              <w:t>(3)(5)</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loan ($19,775 par, due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+ 6.50%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19,341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19,627</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2580" w:type="dxa"/>
            <w:vAlign w:val="bottom"/>
          </w:tcPr>
          <w:p>
            <w:pPr>
              <w:spacing w:after="0"/>
              <w:rPr>
                <w:sz w:val="18"/>
                <w:szCs w:val="18"/>
                <w:color w:val="auto"/>
              </w:rPr>
            </w:pPr>
          </w:p>
        </w:tc>
        <w:tc>
          <w:tcPr>
            <w:tcW w:w="26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10/2024)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23"/>
                <w:szCs w:val="23"/>
                <w:color w:val="auto"/>
                <w:vertAlign w:val="superscript"/>
              </w:rPr>
              <w:t>(3)</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($35,000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10/25/2019</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+ 7.00%</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35,262</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10/2024)</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80" w:type="dxa"/>
            <w:vAlign w:val="bottom"/>
          </w:tcPr>
          <w:p>
            <w:pPr>
              <w:spacing w:after="0"/>
              <w:rPr>
                <w:sz w:val="17"/>
                <w:szCs w:val="17"/>
                <w:color w:val="auto"/>
              </w:rPr>
            </w:pP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First-lien revolving loan ($2,500 par,</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10/25/2019</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P + 6.00%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2580" w:type="dxa"/>
            <w:vAlign w:val="bottom"/>
          </w:tcPr>
          <w:p>
            <w:pPr>
              <w:spacing w:after="0"/>
              <w:rPr>
                <w:sz w:val="18"/>
                <w:szCs w:val="18"/>
                <w:color w:val="auto"/>
              </w:rPr>
            </w:pP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due 10/2024)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Factor Systems, Inc. </w:t>
            </w:r>
            <w:r>
              <w:rPr>
                <w:rFonts w:ascii="Times New Roman" w:cs="Times New Roman" w:eastAsia="Times New Roman" w:hAnsi="Times New Roman"/>
                <w:sz w:val="23"/>
                <w:szCs w:val="23"/>
                <w:color w:val="auto"/>
                <w:vertAlign w:val="superscript"/>
              </w:rPr>
              <w:t>(3)(5)</w:t>
            </w:r>
          </w:p>
        </w:tc>
        <w:tc>
          <w:tcPr>
            <w:tcW w:w="272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First-lien loan ($29,775 par, due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1/17/2020</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+ 7.00%</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29,232</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30,966</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2580" w:type="dxa"/>
            <w:vAlign w:val="bottom"/>
            <w:shd w:val="clear" w:color="auto" w:fill="CFF0FC"/>
          </w:tcPr>
          <w:p>
            <w:pPr>
              <w:spacing w:after="0"/>
              <w:rPr>
                <w:sz w:val="18"/>
                <w:szCs w:val="18"/>
                <w:color w:val="auto"/>
              </w:rPr>
            </w:pPr>
          </w:p>
        </w:tc>
        <w:tc>
          <w:tcPr>
            <w:tcW w:w="26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1/2025)</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31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G Treasury SS, LLC </w:t>
            </w:r>
            <w:r>
              <w:rPr>
                <w:rFonts w:ascii="Times New Roman" w:cs="Times New Roman" w:eastAsia="Times New Roman" w:hAnsi="Times New Roman"/>
                <w:sz w:val="27"/>
                <w:szCs w:val="27"/>
                <w:color w:val="auto"/>
                <w:vertAlign w:val="superscript"/>
              </w:rPr>
              <w:t>(3)(5)</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($30,934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4/9/2018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+ 8.25%</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30,674</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31,398</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4/2023)</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GC Agile Holdings, Ltd. </w:t>
            </w:r>
            <w:r>
              <w:rPr>
                <w:rFonts w:ascii="Times New Roman" w:cs="Times New Roman" w:eastAsia="Times New Roman" w:hAnsi="Times New Roman"/>
                <w:sz w:val="23"/>
                <w:szCs w:val="23"/>
                <w:color w:val="auto"/>
                <w:vertAlign w:val="superscript"/>
              </w:rPr>
              <w:t>(3)(4)</w:t>
            </w: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loan ($39,323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1/31/2019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38,814</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39,618</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6/2025)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InvMetrics Holdings, Inc. </w:t>
            </w:r>
            <w:r>
              <w:rPr>
                <w:rFonts w:ascii="Times New Roman" w:cs="Times New Roman" w:eastAsia="Times New Roman" w:hAnsi="Times New Roman"/>
                <w:sz w:val="23"/>
                <w:szCs w:val="23"/>
                <w:color w:val="auto"/>
                <w:vertAlign w:val="superscript"/>
              </w:rPr>
              <w:t>(3)(5)</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($53,200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12/30/2020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+ 6.25%</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12/2025)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Kyriba Corp.</w:t>
            </w:r>
            <w:r>
              <w:rPr>
                <w:rFonts w:ascii="Times New Roman" w:cs="Times New Roman" w:eastAsia="Times New Roman" w:hAnsi="Times New Roman"/>
                <w:sz w:val="23"/>
                <w:szCs w:val="23"/>
                <w:color w:val="auto"/>
                <w:vertAlign w:val="superscript"/>
              </w:rPr>
              <w:t>(3)</w:t>
            </w: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loan ($13,921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4/9/2019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+ 9.00%</w:t>
            </w: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10.50%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13,644</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14,387</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4/2025)</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(incl.</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9.00%</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PIK)</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(EUR 8,288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4/9/2019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 + 9.00%</w:t>
            </w: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9.00% PIK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3"/>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4/2025)</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(EUR</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revolving loan ($1,411 par,</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4/9/2019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+ 7.25%</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due 4/2025)</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revolving loan (EUR 336</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4/9/2019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 + 7.25%</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par, due 4/2025)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(EUR 345)</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PayLease, LLC </w:t>
            </w:r>
            <w:r>
              <w:rPr>
                <w:rFonts w:ascii="Times New Roman" w:cs="Times New Roman" w:eastAsia="Times New Roman" w:hAnsi="Times New Roman"/>
                <w:sz w:val="23"/>
                <w:szCs w:val="23"/>
                <w:color w:val="auto"/>
                <w:vertAlign w:val="superscript"/>
              </w:rPr>
              <w:t>(3)</w:t>
            </w: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loan ($63,671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7/28/2017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+ 7.25%</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63,183</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64,467</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7/2022)</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revolving loan ($3,333 par,</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7/28/2017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+ 7.25%</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due 7/2022)</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23"/>
                <w:szCs w:val="23"/>
                <w:color w:val="auto"/>
                <w:vertAlign w:val="superscript"/>
              </w:rPr>
              <w:t>(3)</w:t>
            </w: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loan ($22,207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12/31/2018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+ 9.50%</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22,932</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12/2023)</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330,512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339,569</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w:t>
            </w:r>
          </w:p>
        </w:tc>
      </w:tr>
      <w:tr>
        <w:trPr>
          <w:trHeight w:val="212"/>
        </w:trPr>
        <w:tc>
          <w:tcPr>
            <w:tcW w:w="2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27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r>
      <w:tr>
        <w:trPr>
          <w:trHeight w:val="202"/>
        </w:trPr>
        <w:tc>
          <w:tcPr>
            <w:tcW w:w="25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BCTO Ace Purchaser, Inc. </w:t>
            </w:r>
            <w:r>
              <w:rPr>
                <w:rFonts w:ascii="Times New Roman" w:cs="Times New Roman" w:eastAsia="Times New Roman" w:hAnsi="Times New Roman"/>
                <w:sz w:val="23"/>
                <w:szCs w:val="23"/>
                <w:color w:val="auto"/>
                <w:vertAlign w:val="superscript"/>
              </w:rPr>
              <w:t>(3)(5)</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($40,000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11/23/2020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+ 6.50%</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39,300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11/2026)</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Caris Life Sciences, Inc.</w:t>
            </w: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loan ($5,000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9/21/2018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9/2023)</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($3,750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4/2/2020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4/2025)</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Convertible note ($2,602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9/21/2018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9/2023)</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Clinicient, Inc.</w:t>
            </w:r>
            <w:r>
              <w:rPr>
                <w:rFonts w:ascii="Times New Roman" w:cs="Times New Roman" w:eastAsia="Times New Roman" w:hAnsi="Times New Roman"/>
                <w:sz w:val="23"/>
                <w:szCs w:val="23"/>
                <w:color w:val="auto"/>
                <w:vertAlign w:val="superscript"/>
              </w:rPr>
              <w:t>(3)</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($15,000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5/31/2019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+ 7.00%</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250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5/2024)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5"/>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revolving loan ($2,400 par,</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5/31/2019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+ 7.00%</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due 5/2024)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1"/>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Integrated Practice</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($49,375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6/30/2017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+ 7.50%</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50,733</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8"/>
        </w:trPr>
        <w:tc>
          <w:tcPr>
            <w:tcW w:w="250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Solutions, Inc. </w:t>
            </w:r>
            <w:r>
              <w:rPr>
                <w:rFonts w:ascii="Times New Roman" w:cs="Times New Roman" w:eastAsia="Times New Roman" w:hAnsi="Times New Roman"/>
                <w:sz w:val="25"/>
                <w:szCs w:val="25"/>
                <w:color w:val="auto"/>
                <w:vertAlign w:val="superscript"/>
              </w:rPr>
              <w:t>(3)(5)</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5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4"/>
                <w:szCs w:val="14"/>
                <w:color w:val="auto"/>
              </w:rPr>
              <w:t xml:space="preserve">Quantros, Inc. </w:t>
            </w:r>
            <w:r>
              <w:rPr>
                <w:rFonts w:ascii="Times New Roman" w:cs="Times New Roman" w:eastAsia="Times New Roman" w:hAnsi="Times New Roman"/>
                <w:sz w:val="23"/>
                <w:szCs w:val="23"/>
                <w:color w:val="auto"/>
                <w:vertAlign w:val="superscript"/>
              </w:rPr>
              <w:t>(3)(5)</w:t>
            </w: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loan ($17,781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2/29/2016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+ 8.50%</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17,773</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16,892</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1/2021)</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1"/>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Valant Medical Solutions,</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($28,536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4/8/2019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+ 8.75%</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27,909</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28,841</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8"/>
        </w:trPr>
        <w:tc>
          <w:tcPr>
            <w:tcW w:w="250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Inc. </w:t>
            </w:r>
            <w:r>
              <w:rPr>
                <w:rFonts w:ascii="Times New Roman" w:cs="Times New Roman" w:eastAsia="Times New Roman" w:hAnsi="Times New Roman"/>
                <w:sz w:val="25"/>
                <w:szCs w:val="25"/>
                <w:color w:val="auto"/>
                <w:vertAlign w:val="superscript"/>
              </w:rPr>
              <w:t>(3)</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4/2024)</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revolving loan ($1,500 par,</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4/8/2019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+ 8.75%</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due 4/2024)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Vita Bidco, Inc. </w:t>
            </w:r>
            <w:r>
              <w:rPr>
                <w:rFonts w:ascii="Times New Roman" w:cs="Times New Roman" w:eastAsia="Times New Roman" w:hAnsi="Times New Roman"/>
                <w:sz w:val="23"/>
                <w:szCs w:val="23"/>
                <w:color w:val="auto"/>
                <w:vertAlign w:val="superscript"/>
              </w:rPr>
              <w:t>(3)(5)</w:t>
            </w: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loan ($9,058 par, due</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2/11/2019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+ 6.50%</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9,126</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250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2/2024)</w:t>
            </w:r>
          </w:p>
        </w:tc>
        <w:tc>
          <w:tcPr>
            <w:tcW w:w="108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171,076</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178,360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0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2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23"/>
                <w:szCs w:val="23"/>
                <w:color w:val="auto"/>
                <w:vertAlign w:val="superscript"/>
              </w:rPr>
              <w:t>(3)(7)</w:t>
            </w: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loan ($29,881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9/29/2015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+ 9.50%</w:t>
            </w: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28,215</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28,611</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9/2021)</w:t>
            </w: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(incl.</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250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5.00%</w:t>
            </w: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PIK)</w:t>
            </w: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02"/>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First-lien revolving loan ($7,054 par,</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9/29/2015</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L + 9.50%</w:t>
            </w: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3"/>
        </w:trPr>
        <w:tc>
          <w:tcPr>
            <w:tcW w:w="250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due 9/2021)</w:t>
            </w: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(incl.</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5.00%</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250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jc w:val="right"/>
              <w:ind w:right="179"/>
              <w:spacing w:after="0"/>
              <w:rPr>
                <w:sz w:val="20"/>
                <w:szCs w:val="20"/>
                <w:color w:val="auto"/>
              </w:rPr>
            </w:pPr>
            <w:r>
              <w:rPr>
                <w:rFonts w:ascii="Times New Roman" w:cs="Times New Roman" w:eastAsia="Times New Roman" w:hAnsi="Times New Roman"/>
                <w:sz w:val="16"/>
                <w:szCs w:val="16"/>
                <w:color w:val="auto"/>
              </w:rPr>
              <w:t>PIK)</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r>
      <w:tr>
        <w:trPr>
          <w:trHeight w:val="213"/>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35,269</w:t>
            </w: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35,361</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Human resource support services</w:t>
            </w:r>
          </w:p>
        </w:tc>
        <w:tc>
          <w:tcPr>
            <w:tcW w:w="2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25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Absorb Software, Inc. </w:t>
            </w:r>
            <w:r>
              <w:rPr>
                <w:rFonts w:ascii="Times New Roman" w:cs="Times New Roman" w:eastAsia="Times New Roman" w:hAnsi="Times New Roman"/>
                <w:sz w:val="23"/>
                <w:szCs w:val="23"/>
                <w:color w:val="auto"/>
                <w:vertAlign w:val="superscript"/>
              </w:rPr>
              <w:t>(3)(4)(5)</w:t>
            </w: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First-lien loan ($34,487 par, due</w:t>
            </w:r>
          </w:p>
        </w:tc>
        <w:tc>
          <w:tcPr>
            <w:tcW w:w="10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7/31/2019</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L + 6.50%</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33,920</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34,746</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2500" w:type="dxa"/>
            <w:vAlign w:val="bottom"/>
            <w:shd w:val="clear" w:color="auto" w:fill="CFF0FC"/>
          </w:tcPr>
          <w:p>
            <w:pPr>
              <w:spacing w:after="0"/>
              <w:rPr>
                <w:sz w:val="18"/>
                <w:szCs w:val="18"/>
                <w:color w:val="auto"/>
              </w:rPr>
            </w:pPr>
          </w:p>
        </w:tc>
        <w:tc>
          <w:tcPr>
            <w:tcW w:w="2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5/2024)</w:t>
            </w:r>
          </w:p>
        </w:tc>
        <w:tc>
          <w:tcPr>
            <w:tcW w:w="10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310"/>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ClearCompany, LLC </w:t>
            </w:r>
            <w:r>
              <w:rPr>
                <w:rFonts w:ascii="Times New Roman" w:cs="Times New Roman" w:eastAsia="Times New Roman" w:hAnsi="Times New Roman"/>
                <w:sz w:val="27"/>
                <w:szCs w:val="27"/>
                <w:color w:val="auto"/>
                <w:vertAlign w:val="superscript"/>
              </w:rPr>
              <w:t>(3)</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($20,055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7/23/2018</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+ 8.75%</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20,206</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2340" w:type="dxa"/>
            <w:vAlign w:val="bottom"/>
          </w:tcPr>
          <w:p>
            <w:pPr>
              <w:spacing w:after="0"/>
              <w:rPr>
                <w:sz w:val="17"/>
                <w:szCs w:val="17"/>
                <w:color w:val="auto"/>
              </w:rPr>
            </w:pP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7/2023)</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(incl.</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2.50%</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PIK)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23"/>
                <w:szCs w:val="23"/>
                <w:color w:val="auto"/>
                <w:vertAlign w:val="superscript"/>
              </w:rPr>
              <w:t>(3)(5)</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loan ($36,318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12/18/2020</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+ 7.25%</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36,348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36,199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10/2025)</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40" w:type="dxa"/>
            <w:vAlign w:val="bottom"/>
          </w:tcPr>
          <w:p>
            <w:pPr>
              <w:spacing w:after="0"/>
              <w:rPr>
                <w:sz w:val="17"/>
                <w:szCs w:val="17"/>
                <w:color w:val="auto"/>
              </w:rPr>
            </w:pP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revolving loan ($3,000 par,</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12/18/2020</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+ 7.25%</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due 10/2025)</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PageUp People, Ltd. </w:t>
            </w:r>
            <w:r>
              <w:rPr>
                <w:rFonts w:ascii="Times New Roman" w:cs="Times New Roman" w:eastAsia="Times New Roman" w:hAnsi="Times New Roman"/>
                <w:sz w:val="23"/>
                <w:szCs w:val="23"/>
                <w:color w:val="auto"/>
                <w:vertAlign w:val="superscript"/>
              </w:rPr>
              <w:t>(3)(4)</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loan (AUD 51,474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B + 7.25%</w:t>
            </w:r>
          </w:p>
        </w:tc>
        <w:tc>
          <w:tcPr>
            <w:tcW w:w="9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8.50%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39,531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39,938</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2340" w:type="dxa"/>
            <w:vAlign w:val="bottom"/>
            <w:shd w:val="clear" w:color="auto" w:fill="CFF0FC"/>
          </w:tcPr>
          <w:p>
            <w:pPr>
              <w:spacing w:after="0"/>
              <w:rPr>
                <w:sz w:val="17"/>
                <w:szCs w:val="17"/>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12/2022)</w:t>
            </w: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(incl.</w:t>
            </w:r>
          </w:p>
        </w:tc>
        <w:tc>
          <w:tcPr>
            <w:tcW w:w="80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(AUD 51,757)</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340" w:type="dxa"/>
            <w:vAlign w:val="bottom"/>
            <w:shd w:val="clear" w:color="auto" w:fill="CFF0FC"/>
          </w:tcPr>
          <w:p>
            <w:pPr>
              <w:spacing w:after="0"/>
              <w:rPr>
                <w:sz w:val="17"/>
                <w:szCs w:val="17"/>
                <w:color w:val="auto"/>
              </w:rPr>
            </w:pPr>
          </w:p>
        </w:tc>
        <w:tc>
          <w:tcPr>
            <w:tcW w:w="28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1.25%</w:t>
            </w: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PIK)</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23"/>
                <w:szCs w:val="23"/>
                <w:color w:val="auto"/>
                <w:vertAlign w:val="superscript"/>
              </w:rPr>
              <w:t>(3)(5)</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($39,700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5/3/2019</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+ 7.00%</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39,937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5/2024)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Modern Hire, Inc. </w:t>
            </w:r>
            <w:r>
              <w:rPr>
                <w:rFonts w:ascii="Times New Roman" w:cs="Times New Roman" w:eastAsia="Times New Roman" w:hAnsi="Times New Roman"/>
                <w:sz w:val="23"/>
                <w:szCs w:val="23"/>
                <w:color w:val="auto"/>
                <w:vertAlign w:val="superscript"/>
              </w:rPr>
              <w:t>(3)(5)</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loan ($30,113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5/15/2019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+ 7.00%</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8.50%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29,514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30,338</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5/2024)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Workwell Acquisition Co. </w:t>
            </w:r>
            <w:r>
              <w:rPr>
                <w:rFonts w:ascii="Times New Roman" w:cs="Times New Roman" w:eastAsia="Times New Roman" w:hAnsi="Times New Roman"/>
                <w:sz w:val="23"/>
                <w:szCs w:val="23"/>
                <w:color w:val="auto"/>
                <w:vertAlign w:val="superscript"/>
              </w:rPr>
              <w:t>(3)(5)</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($19,950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10/19/2020</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+ 7.50%</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2340" w:type="dxa"/>
            <w:vAlign w:val="bottom"/>
            <w:tcBorders>
              <w:bottom w:val="single" w:sz="8" w:color="CFF0FC"/>
            </w:tcBorders>
          </w:tcPr>
          <w:p>
            <w:pPr>
              <w:spacing w:after="0"/>
              <w:rPr>
                <w:sz w:val="18"/>
                <w:szCs w:val="18"/>
                <w:color w:val="auto"/>
              </w:rPr>
            </w:pPr>
          </w:p>
        </w:tc>
        <w:tc>
          <w:tcPr>
            <w:tcW w:w="2820" w:type="dxa"/>
            <w:vAlign w:val="bottom"/>
            <w:tcBorders>
              <w:bottom w:val="single" w:sz="8" w:color="CFF0FC"/>
            </w:tcBorders>
          </w:tcPr>
          <w:p>
            <w:pPr>
              <w:ind w:left="280"/>
              <w:spacing w:after="0"/>
              <w:rPr>
                <w:sz w:val="20"/>
                <w:szCs w:val="20"/>
                <w:color w:val="auto"/>
              </w:rPr>
            </w:pPr>
            <w:r>
              <w:rPr>
                <w:rFonts w:ascii="Times New Roman" w:cs="Times New Roman" w:eastAsia="Times New Roman" w:hAnsi="Times New Roman"/>
                <w:sz w:val="16"/>
                <w:szCs w:val="16"/>
                <w:color w:val="auto"/>
              </w:rPr>
              <w:t>10/2025)</w:t>
            </w: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220,360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224,081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06"/>
        </w:trPr>
        <w:tc>
          <w:tcPr>
            <w:tcW w:w="2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3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23"/>
                <w:szCs w:val="23"/>
                <w:color w:val="auto"/>
                <w:vertAlign w:val="superscript"/>
              </w:rPr>
              <w:t>(3)(5)</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loan ($50,767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6/30/2017</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+ 7.00%</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50,380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51,402</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10/2023)</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Internet services</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3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Higher Logic, LLC </w:t>
            </w:r>
            <w:r>
              <w:rPr>
                <w:rFonts w:ascii="Times New Roman" w:cs="Times New Roman" w:eastAsia="Times New Roman" w:hAnsi="Times New Roman"/>
                <w:sz w:val="23"/>
                <w:szCs w:val="23"/>
                <w:color w:val="auto"/>
                <w:vertAlign w:val="superscript"/>
              </w:rPr>
              <w:t>(3)(5)</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loan ($50,000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6/18/2018</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+ 7.25%</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49,521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50,125</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1"/>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Lithium Technologies,</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($54,700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10/3/2017</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+ 8.00%</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53,606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8"/>
        </w:trPr>
        <w:tc>
          <w:tcPr>
            <w:tcW w:w="234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LLC </w:t>
            </w:r>
            <w:r>
              <w:rPr>
                <w:rFonts w:ascii="Times New Roman" w:cs="Times New Roman" w:eastAsia="Times New Roman" w:hAnsi="Times New Roman"/>
                <w:sz w:val="25"/>
                <w:szCs w:val="25"/>
                <w:color w:val="auto"/>
                <w:vertAlign w:val="superscript"/>
              </w:rPr>
              <w:t>(3)</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10/2022)</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2340" w:type="dxa"/>
            <w:vAlign w:val="bottom"/>
            <w:shd w:val="clear" w:color="auto" w:fill="CFF0FC"/>
          </w:tcPr>
          <w:p>
            <w:pPr>
              <w:spacing w:after="0"/>
              <w:rPr>
                <w:sz w:val="17"/>
                <w:szCs w:val="17"/>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revolving loan ($1,320 par,</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10/3/2017</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+ 8.00%</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due 10/2022)</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23"/>
                <w:szCs w:val="23"/>
                <w:color w:val="auto"/>
                <w:vertAlign w:val="superscript"/>
              </w:rPr>
              <w:t>(9)</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($12,902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7/31/2019</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12.00%</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2340" w:type="dxa"/>
            <w:vAlign w:val="bottom"/>
          </w:tcPr>
          <w:p>
            <w:pPr>
              <w:spacing w:after="0"/>
              <w:rPr>
                <w:sz w:val="17"/>
                <w:szCs w:val="17"/>
                <w:color w:val="auto"/>
              </w:rPr>
            </w:pP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7/2024)</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(incl.</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7.00%</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340" w:type="dxa"/>
            <w:vAlign w:val="bottom"/>
            <w:tcBorders>
              <w:bottom w:val="single" w:sz="8" w:color="CFF0FC"/>
            </w:tcBorders>
          </w:tcPr>
          <w:p>
            <w:pPr>
              <w:spacing w:after="0"/>
              <w:rPr>
                <w:sz w:val="18"/>
                <w:szCs w:val="18"/>
                <w:color w:val="auto"/>
              </w:rPr>
            </w:pPr>
          </w:p>
        </w:tc>
        <w:tc>
          <w:tcPr>
            <w:tcW w:w="282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ind w:right="179"/>
              <w:spacing w:after="0"/>
              <w:rPr>
                <w:sz w:val="20"/>
                <w:szCs w:val="20"/>
                <w:color w:val="auto"/>
              </w:rPr>
            </w:pPr>
            <w:r>
              <w:rPr>
                <w:rFonts w:ascii="Times New Roman" w:cs="Times New Roman" w:eastAsia="Times New Roman" w:hAnsi="Times New Roman"/>
                <w:sz w:val="16"/>
                <w:szCs w:val="16"/>
                <w:color w:val="auto"/>
              </w:rPr>
              <w:t>PIK)</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117,806</w:t>
            </w: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118,130</w:t>
            </w: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6"/>
        </w:trPr>
        <w:tc>
          <w:tcPr>
            <w:tcW w:w="2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Marketing Services</w:t>
            </w: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3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Acoustic, L.P. </w:t>
            </w:r>
            <w:r>
              <w:rPr>
                <w:rFonts w:ascii="Times New Roman" w:cs="Times New Roman" w:eastAsia="Times New Roman" w:hAnsi="Times New Roman"/>
                <w:sz w:val="23"/>
                <w:szCs w:val="23"/>
                <w:color w:val="auto"/>
                <w:vertAlign w:val="superscript"/>
              </w:rPr>
              <w:t>(3)</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note ($33,000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12/17/2019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+ 7.00%</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8.50%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32,376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32,010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6/2024)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Office products</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3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23"/>
                <w:szCs w:val="23"/>
                <w:color w:val="auto"/>
                <w:vertAlign w:val="superscript"/>
              </w:rPr>
              <w:t>(3)(5)</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ABL FILO term loan ($7,732 par,</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9/12/2017</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+ 7.75%</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due 9/2022)</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gas and consumable fuels</w:t>
            </w: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MD America Energy,</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loan ($9,000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11/14/2018</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+ 7.75%</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9.25%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8"/>
        </w:trPr>
        <w:tc>
          <w:tcPr>
            <w:tcW w:w="2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13"/>
                <w:szCs w:val="13"/>
                <w:color w:val="auto"/>
              </w:rPr>
              <w:t>(3)(6)</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12/2024)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1"/>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Mississippi Resources,</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($1,500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6/29/2018</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P + 8.00%</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5"/>
        </w:trPr>
        <w:tc>
          <w:tcPr>
            <w:tcW w:w="2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13"/>
                <w:szCs w:val="13"/>
                <w:color w:val="auto"/>
              </w:rPr>
              <w:t>(3)(7)(16)</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12/2021)</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Verdad Resources Intermediate</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loan ($25,233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4/10/2019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+ 7.50%</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9.50%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25,437</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8"/>
        </w:trPr>
        <w:tc>
          <w:tcPr>
            <w:tcW w:w="234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Holdings, LLC </w:t>
            </w:r>
            <w:r>
              <w:rPr>
                <w:rFonts w:ascii="Times New Roman" w:cs="Times New Roman" w:eastAsia="Times New Roman" w:hAnsi="Times New Roman"/>
                <w:sz w:val="25"/>
                <w:szCs w:val="25"/>
                <w:color w:val="auto"/>
                <w:vertAlign w:val="superscript"/>
              </w:rPr>
              <w:t>(3)</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10/2024)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35,219</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34,437</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2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Lexipol, LLC </w:t>
            </w:r>
            <w:r>
              <w:rPr>
                <w:rFonts w:ascii="Times New Roman" w:cs="Times New Roman" w:eastAsia="Times New Roman" w:hAnsi="Times New Roman"/>
                <w:sz w:val="23"/>
                <w:szCs w:val="23"/>
                <w:color w:val="auto"/>
                <w:vertAlign w:val="superscript"/>
              </w:rPr>
              <w:t>(3)(5)</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($19,762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10/8/2020</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+ 5.75%</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19,762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10/2025)</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Pharmaceuticals</w:t>
            </w:r>
          </w:p>
        </w:tc>
        <w:tc>
          <w:tcPr>
            <w:tcW w:w="28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01"/>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Biohaven Pharmaceuticals,</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($27,948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8/7/2020</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+ 9.00%</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27,569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4"/>
        </w:trPr>
        <w:tc>
          <w:tcPr>
            <w:tcW w:w="2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(3)(4)</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8/2025)</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(incl.</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4.00%</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3"/>
        </w:trPr>
        <w:tc>
          <w:tcPr>
            <w:tcW w:w="23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PIK)</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23"/>
                <w:szCs w:val="23"/>
                <w:color w:val="auto"/>
                <w:vertAlign w:val="superscript"/>
              </w:rPr>
              <w:t>(3)(4)</w:t>
            </w: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First-lien loan ($37,500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4/24/2019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+ 7.75%</w:t>
            </w:r>
          </w:p>
        </w:tc>
        <w:tc>
          <w:tcPr>
            <w:tcW w:w="9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10.45%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35,887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36,469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2340" w:type="dxa"/>
            <w:vAlign w:val="bottom"/>
            <w:shd w:val="clear" w:color="auto" w:fill="CFF0FC"/>
          </w:tcPr>
          <w:p>
            <w:pPr>
              <w:spacing w:after="0"/>
              <w:rPr>
                <w:sz w:val="18"/>
                <w:szCs w:val="18"/>
                <w:color w:val="auto"/>
              </w:rPr>
            </w:pPr>
          </w:p>
        </w:tc>
        <w:tc>
          <w:tcPr>
            <w:tcW w:w="28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3/2024)</w:t>
            </w:r>
          </w:p>
        </w:tc>
        <w:tc>
          <w:tcPr>
            <w:tcW w:w="10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3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64,038</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2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8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3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ResMan, LLC </w:t>
            </w:r>
            <w:r>
              <w:rPr>
                <w:rFonts w:ascii="Times New Roman" w:cs="Times New Roman" w:eastAsia="Times New Roman" w:hAnsi="Times New Roman"/>
                <w:sz w:val="23"/>
                <w:szCs w:val="23"/>
                <w:color w:val="auto"/>
                <w:vertAlign w:val="superscript"/>
              </w:rPr>
              <w:t>(3)</w:t>
            </w: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First-lien loan ($39,886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10/3/2019</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+ 9.50%</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39,763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0"/>
        </w:trPr>
        <w:tc>
          <w:tcPr>
            <w:tcW w:w="2340" w:type="dxa"/>
            <w:vAlign w:val="bottom"/>
          </w:tcPr>
          <w:p>
            <w:pPr>
              <w:spacing w:after="0"/>
              <w:rPr>
                <w:sz w:val="18"/>
                <w:szCs w:val="18"/>
                <w:color w:val="auto"/>
              </w:rPr>
            </w:pPr>
          </w:p>
        </w:tc>
        <w:tc>
          <w:tcPr>
            <w:tcW w:w="2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10/2024)</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Retail and consumer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1"/>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99 Cents Only Stores</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ABL FILO term loan ($25,000 par,</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9/6/2017</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L + 8.50%</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25,625</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8"/>
        </w:trPr>
        <w:tc>
          <w:tcPr>
            <w:tcW w:w="254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LLC </w:t>
            </w:r>
            <w:r>
              <w:rPr>
                <w:rFonts w:ascii="Times New Roman" w:cs="Times New Roman" w:eastAsia="Times New Roman" w:hAnsi="Times New Roman"/>
                <w:sz w:val="25"/>
                <w:szCs w:val="25"/>
                <w:color w:val="auto"/>
                <w:vertAlign w:val="superscript"/>
              </w:rPr>
              <w:t>(3)</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5/2025)</w:t>
            </w: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American Achievement,</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loan ($23,876 par, due</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9/30/2015</w:t>
            </w:r>
          </w:p>
        </w:tc>
        <w:tc>
          <w:tcPr>
            <w:tcW w:w="11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L + 8.25%</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23,822</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21,608</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Corp. </w:t>
            </w:r>
            <w:r>
              <w:rPr>
                <w:rFonts w:ascii="Times New Roman" w:cs="Times New Roman" w:eastAsia="Times New Roman" w:hAnsi="Times New Roman"/>
                <w:sz w:val="13"/>
                <w:szCs w:val="13"/>
                <w:color w:val="auto"/>
              </w:rPr>
              <w:t>(3)(5)(16)</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9/2022)</w:t>
            </w: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Designer Brands, Inc. </w:t>
            </w:r>
            <w:r>
              <w:rPr>
                <w:rFonts w:ascii="Times New Roman" w:cs="Times New Roman" w:eastAsia="Times New Roman" w:hAnsi="Times New Roman"/>
                <w:sz w:val="23"/>
                <w:szCs w:val="23"/>
                <w:color w:val="auto"/>
                <w:vertAlign w:val="superscript"/>
              </w:rPr>
              <w:t>(3)(4)</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ABL First-lien loan ($49,375 par, due</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8/7/2020</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L + 8.50%</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49,252</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8/2025)</w:t>
            </w: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J.C. Penney Company,</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ABL DIP term loan ($12,198 par, due</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6/8/2020</w:t>
            </w:r>
          </w:p>
        </w:tc>
        <w:tc>
          <w:tcPr>
            <w:tcW w:w="116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12,198</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13,336</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(11)(13)</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4/2021)</w:t>
            </w: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First-lien loan ($4,129 par, due</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6/5/2019</w:t>
            </w: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6/2023)</w:t>
            </w: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spacing w:after="0"/>
              <w:rPr>
                <w:sz w:val="17"/>
                <w:szCs w:val="17"/>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secured note ($12,384 par,</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6/5/2019</w:t>
            </w:r>
          </w:p>
        </w:tc>
        <w:tc>
          <w:tcPr>
            <w:tcW w:w="116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10,122</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due 7/2023)</w:t>
            </w: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Maurices, Inc. </w:t>
            </w:r>
            <w:r>
              <w:rPr>
                <w:rFonts w:ascii="Times New Roman" w:cs="Times New Roman" w:eastAsia="Times New Roman" w:hAnsi="Times New Roman"/>
                <w:sz w:val="23"/>
                <w:szCs w:val="23"/>
                <w:color w:val="auto"/>
                <w:vertAlign w:val="superscript"/>
              </w:rPr>
              <w:t>(3)(5)</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ABL FILO term loan ($20,667 par,</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5/6/2019</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L + 6.50%</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21,132</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5/2024)</w:t>
            </w: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Moran Foods, LLC </w:t>
            </w:r>
            <w:r>
              <w:rPr>
                <w:rFonts w:ascii="Times New Roman" w:cs="Times New Roman" w:eastAsia="Times New Roman" w:hAnsi="Times New Roman"/>
                <w:sz w:val="23"/>
                <w:szCs w:val="23"/>
                <w:color w:val="auto"/>
                <w:vertAlign w:val="superscript"/>
              </w:rPr>
              <w:t>(3)</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ABL FILO term loan ($30,000 par,</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4/1/2020</w:t>
            </w:r>
          </w:p>
        </w:tc>
        <w:tc>
          <w:tcPr>
            <w:tcW w:w="11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L + 7.50%</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29,498</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30,600</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due 4/2024)</w:t>
            </w: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ABL FILO term loan ($7,500 par, due</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4/1/2020</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P + 6.50%</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7,374</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4/2024)</w:t>
            </w: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NMG Holding Company, Inc. </w:t>
            </w:r>
            <w:r>
              <w:rPr>
                <w:rFonts w:ascii="Times New Roman" w:cs="Times New Roman" w:eastAsia="Times New Roman" w:hAnsi="Times New Roman"/>
                <w:sz w:val="23"/>
                <w:szCs w:val="23"/>
                <w:color w:val="auto"/>
                <w:vertAlign w:val="superscript"/>
              </w:rPr>
              <w:t>(3)(11)</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term loan ($16,961 par, due</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9/25/2020</w:t>
            </w:r>
          </w:p>
        </w:tc>
        <w:tc>
          <w:tcPr>
            <w:tcW w:w="11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L + 12.00%</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13,254</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17,994</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9/2025)</w:t>
            </w: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Penney Borrower, LLC </w:t>
            </w:r>
            <w:r>
              <w:rPr>
                <w:rFonts w:ascii="Times New Roman" w:cs="Times New Roman" w:eastAsia="Times New Roman" w:hAnsi="Times New Roman"/>
                <w:sz w:val="23"/>
                <w:szCs w:val="23"/>
                <w:color w:val="auto"/>
                <w:vertAlign w:val="superscript"/>
              </w:rPr>
              <w:t>(3)</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ABL FILO term loan ($72,000 par,</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12/7/2020</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L + 8.50%</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70,560</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12/2025)</w:t>
            </w: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spacing w:after="0"/>
              <w:rPr>
                <w:sz w:val="17"/>
                <w:szCs w:val="17"/>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First-lien term loan ($6,912 par, due</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12/7/2020</w:t>
            </w:r>
          </w:p>
        </w:tc>
        <w:tc>
          <w:tcPr>
            <w:tcW w:w="11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L + 8.50%</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5,887</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12/2026)</w:t>
            </w:r>
            <w:r>
              <w:rPr>
                <w:rFonts w:ascii="Times New Roman" w:cs="Times New Roman" w:eastAsia="Times New Roman" w:hAnsi="Times New Roman"/>
                <w:sz w:val="25"/>
                <w:szCs w:val="25"/>
                <w:color w:val="auto"/>
                <w:vertAlign w:val="superscript"/>
              </w:rPr>
              <w:t>(11)</w:t>
            </w: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268,538</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264,786</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27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vMerge w:val="continue"/>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2,178,314</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2,212,929</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190.6%</w:t>
            </w: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 and Other Investments</w:t>
            </w:r>
          </w:p>
        </w:tc>
        <w:tc>
          <w:tcPr>
            <w:tcW w:w="27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line="217" w:lineRule="exact"/>
              <w:rPr>
                <w:sz w:val="20"/>
                <w:szCs w:val="20"/>
                <w:color w:val="auto"/>
              </w:rPr>
            </w:pPr>
            <w:r>
              <w:rPr>
                <w:rFonts w:ascii="Times New Roman" w:cs="Times New Roman" w:eastAsia="Times New Roman" w:hAnsi="Times New Roman"/>
                <w:sz w:val="15"/>
                <w:szCs w:val="15"/>
                <w:color w:val="auto"/>
              </w:rPr>
              <w:t xml:space="preserve">Motus, LLC </w:t>
            </w:r>
            <w:r>
              <w:rPr>
                <w:rFonts w:ascii="Times New Roman" w:cs="Times New Roman" w:eastAsia="Times New Roman" w:hAnsi="Times New Roman"/>
                <w:sz w:val="25"/>
                <w:szCs w:val="25"/>
                <w:color w:val="auto"/>
                <w:vertAlign w:val="superscript"/>
              </w:rPr>
              <w:t>(13)</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Class A Units (1,262 units)</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1/17/2018</w:t>
            </w: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B Units (517,020 units)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1/17/2018</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Nintex Global, Ltd. </w:t>
            </w:r>
            <w:r>
              <w:rPr>
                <w:rFonts w:ascii="Times New Roman" w:cs="Times New Roman" w:eastAsia="Times New Roman" w:hAnsi="Times New Roman"/>
                <w:sz w:val="25"/>
                <w:szCs w:val="25"/>
                <w:color w:val="auto"/>
                <w:vertAlign w:val="superscript"/>
              </w:rPr>
              <w:t>(13)</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Class A Shares (1,197 shares)</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3/30/2018</w:t>
            </w:r>
          </w:p>
        </w:tc>
        <w:tc>
          <w:tcPr>
            <w:tcW w:w="1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B Shares (398,557 shares)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3/30/2018</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ServiceChannel Holdings,</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207,991 Warrants</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6/3/2020</w:t>
            </w:r>
          </w:p>
        </w:tc>
        <w:tc>
          <w:tcPr>
            <w:tcW w:w="1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(13)(14)</w:t>
            </w:r>
          </w:p>
        </w:tc>
        <w:tc>
          <w:tcPr>
            <w:tcW w:w="27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WideOrbit, Inc. </w:t>
            </w:r>
            <w:r>
              <w:rPr>
                <w:rFonts w:ascii="Times New Roman" w:cs="Times New Roman" w:eastAsia="Times New Roman" w:hAnsi="Times New Roman"/>
                <w:sz w:val="25"/>
                <w:szCs w:val="25"/>
                <w:color w:val="auto"/>
                <w:vertAlign w:val="superscript"/>
              </w:rPr>
              <w:t>(13)(14)</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1,567,807 Warrants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7/8/2020</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7,299</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IntelePeer Holdings, Inc. </w:t>
            </w:r>
            <w:r>
              <w:rPr>
                <w:rFonts w:ascii="Times New Roman" w:cs="Times New Roman" w:eastAsia="Times New Roman" w:hAnsi="Times New Roman"/>
                <w:sz w:val="25"/>
                <w:szCs w:val="25"/>
                <w:color w:val="auto"/>
                <w:vertAlign w:val="superscript"/>
              </w:rPr>
              <w:t>(13)(14)</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280,000 Warrants</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2/28/2020</w:t>
            </w:r>
          </w:p>
        </w:tc>
        <w:tc>
          <w:tcPr>
            <w:tcW w:w="1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Education</w:t>
            </w:r>
          </w:p>
        </w:tc>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line="217" w:lineRule="exact"/>
              <w:rPr>
                <w:sz w:val="20"/>
                <w:szCs w:val="20"/>
                <w:color w:val="auto"/>
              </w:rPr>
            </w:pPr>
            <w:r>
              <w:rPr>
                <w:rFonts w:ascii="Times New Roman" w:cs="Times New Roman" w:eastAsia="Times New Roman" w:hAnsi="Times New Roman"/>
                <w:sz w:val="15"/>
                <w:szCs w:val="15"/>
                <w:color w:val="auto"/>
              </w:rPr>
              <w:t xml:space="preserve">EMS Linq, Inc. </w:t>
            </w:r>
            <w:r>
              <w:rPr>
                <w:rFonts w:ascii="Times New Roman" w:cs="Times New Roman" w:eastAsia="Times New Roman" w:hAnsi="Times New Roman"/>
                <w:sz w:val="25"/>
                <w:szCs w:val="25"/>
                <w:color w:val="auto"/>
                <w:vertAlign w:val="superscript"/>
              </w:rPr>
              <w:t>(13)(14)</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Units (474,684 units)</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11/2/2020</w:t>
            </w: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AvidXchange, Inc.</w:t>
            </w:r>
          </w:p>
        </w:tc>
        <w:tc>
          <w:tcPr>
            <w:tcW w:w="274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Common Shares (2,198 shares)</w:t>
            </w:r>
            <w:r>
              <w:rPr>
                <w:rFonts w:ascii="Times New Roman" w:cs="Times New Roman" w:eastAsia="Times New Roman" w:hAnsi="Times New Roman"/>
                <w:sz w:val="25"/>
                <w:szCs w:val="25"/>
                <w:color w:val="auto"/>
                <w:vertAlign w:val="superscript"/>
              </w:rPr>
              <w:t>(13)(14)</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4/7/2020</w:t>
            </w: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Shares (293,232 shares)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10/1/2019</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15,802</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spacing w:after="0"/>
              <w:rPr>
                <w:sz w:val="17"/>
                <w:szCs w:val="17"/>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Series F Preferred Shares (8,791</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4/7/2020</w:t>
            </w:r>
          </w:p>
        </w:tc>
        <w:tc>
          <w:tcPr>
            <w:tcW w:w="1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w:t>
            </w:r>
            <w:r>
              <w:rPr>
                <w:rFonts w:ascii="Times New Roman" w:cs="Times New Roman" w:eastAsia="Times New Roman" w:hAnsi="Times New Roman"/>
                <w:sz w:val="13"/>
                <w:szCs w:val="13"/>
                <w:color w:val="auto"/>
              </w:rPr>
              <w:t>(13)(14)</w:t>
            </w: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740" w:type="dxa"/>
            <w:vAlign w:val="bottom"/>
          </w:tcPr>
          <w:p>
            <w:pPr>
              <w:ind w:left="120"/>
              <w:spacing w:after="0" w:line="216" w:lineRule="exact"/>
              <w:rPr>
                <w:sz w:val="20"/>
                <w:szCs w:val="20"/>
                <w:color w:val="auto"/>
              </w:rPr>
            </w:pPr>
            <w:r>
              <w:rPr>
                <w:rFonts w:ascii="Times New Roman" w:cs="Times New Roman" w:eastAsia="Times New Roman" w:hAnsi="Times New Roman"/>
                <w:sz w:val="15"/>
                <w:szCs w:val="15"/>
                <w:color w:val="auto"/>
              </w:rPr>
              <w:t xml:space="preserve">75,016 Warrants </w:t>
            </w:r>
            <w:r>
              <w:rPr>
                <w:rFonts w:ascii="Times New Roman" w:cs="Times New Roman" w:eastAsia="Times New Roman" w:hAnsi="Times New Roman"/>
                <w:sz w:val="25"/>
                <w:szCs w:val="25"/>
                <w:color w:val="auto"/>
                <w:vertAlign w:val="superscript"/>
              </w:rPr>
              <w:t>(13)</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10/1/2019</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5"/>
                <w:szCs w:val="15"/>
                <w:color w:val="auto"/>
              </w:rPr>
              <w:t xml:space="preserve">Newport Parent Holdings, LP </w:t>
            </w:r>
            <w:r>
              <w:rPr>
                <w:rFonts w:ascii="Times New Roman" w:cs="Times New Roman" w:eastAsia="Times New Roman" w:hAnsi="Times New Roman"/>
                <w:sz w:val="25"/>
                <w:szCs w:val="25"/>
                <w:color w:val="auto"/>
                <w:vertAlign w:val="superscript"/>
              </w:rPr>
              <w:t>(13)(14)</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Class A-2 Units (131,569 units)</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12/10/2020</w:t>
            </w: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4,177</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1"/>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Oxford Square Capital</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Shares (1,059 shares)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8/5/2015</w:t>
            </w: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5"/>
        </w:trPr>
        <w:tc>
          <w:tcPr>
            <w:tcW w:w="25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Corp. </w:t>
            </w:r>
            <w:r>
              <w:rPr>
                <w:rFonts w:ascii="Times New Roman" w:cs="Times New Roman" w:eastAsia="Times New Roman" w:hAnsi="Times New Roman"/>
                <w:sz w:val="13"/>
                <w:szCs w:val="13"/>
                <w:color w:val="auto"/>
              </w:rPr>
              <w:t>(4)(12)</w:t>
            </w:r>
          </w:p>
        </w:tc>
        <w:tc>
          <w:tcPr>
            <w:tcW w:w="274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20,961</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2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4"/>
                <w:szCs w:val="14"/>
                <w:color w:val="auto"/>
              </w:rPr>
              <w:t xml:space="preserve">Caris Life Sciences, Inc. </w:t>
            </w:r>
            <w:r>
              <w:rPr>
                <w:rFonts w:ascii="Times New Roman" w:cs="Times New Roman" w:eastAsia="Times New Roman" w:hAnsi="Times New Roman"/>
                <w:sz w:val="23"/>
                <w:szCs w:val="23"/>
                <w:color w:val="auto"/>
                <w:vertAlign w:val="superscript"/>
              </w:rPr>
              <w:t>(13)</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Series C Preferred Shares (362,319</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10/13/2020</w:t>
            </w:r>
          </w:p>
        </w:tc>
        <w:tc>
          <w:tcPr>
            <w:tcW w:w="1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shares) </w:t>
            </w:r>
            <w:r>
              <w:rPr>
                <w:rFonts w:ascii="Times New Roman" w:cs="Times New Roman" w:eastAsia="Times New Roman" w:hAnsi="Times New Roman"/>
                <w:sz w:val="25"/>
                <w:szCs w:val="25"/>
                <w:color w:val="auto"/>
                <w:vertAlign w:val="superscript"/>
              </w:rPr>
              <w:t>(14)</w:t>
            </w:r>
          </w:p>
        </w:tc>
        <w:tc>
          <w:tcPr>
            <w:tcW w:w="10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633,376 Warrants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9/21/2018</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19"/>
                <w:szCs w:val="19"/>
                <w:color w:val="auto"/>
              </w:rPr>
            </w:pPr>
          </w:p>
        </w:tc>
        <w:tc>
          <w:tcPr>
            <w:tcW w:w="2740" w:type="dxa"/>
            <w:vAlign w:val="bottom"/>
            <w:shd w:val="clear" w:color="auto" w:fill="CFF0FC"/>
          </w:tcPr>
          <w:p>
            <w:pPr>
              <w:ind w:left="120"/>
              <w:spacing w:after="0" w:line="219" w:lineRule="exact"/>
              <w:rPr>
                <w:sz w:val="20"/>
                <w:szCs w:val="20"/>
                <w:color w:val="auto"/>
              </w:rPr>
            </w:pPr>
            <w:r>
              <w:rPr>
                <w:rFonts w:ascii="Times New Roman" w:cs="Times New Roman" w:eastAsia="Times New Roman" w:hAnsi="Times New Roman"/>
                <w:sz w:val="15"/>
                <w:szCs w:val="15"/>
                <w:color w:val="auto"/>
              </w:rPr>
              <w:t xml:space="preserve">569,991 Warrants </w:t>
            </w:r>
            <w:r>
              <w:rPr>
                <w:rFonts w:ascii="Times New Roman" w:cs="Times New Roman" w:eastAsia="Times New Roman" w:hAnsi="Times New Roman"/>
                <w:sz w:val="25"/>
                <w:szCs w:val="25"/>
                <w:color w:val="auto"/>
                <w:vertAlign w:val="superscript"/>
              </w:rPr>
              <w:t>(14)</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4/2/2020</w:t>
            </w:r>
          </w:p>
        </w:tc>
        <w:tc>
          <w:tcPr>
            <w:tcW w:w="1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36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Quantros, Inc. </w:t>
            </w:r>
            <w:r>
              <w:rPr>
                <w:rFonts w:ascii="Times New Roman" w:cs="Times New Roman" w:eastAsia="Times New Roman" w:hAnsi="Times New Roman"/>
                <w:sz w:val="27"/>
                <w:szCs w:val="27"/>
                <w:color w:val="auto"/>
                <w:vertAlign w:val="superscript"/>
              </w:rPr>
              <w:t>(13)</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363 AA Preferred Stock Warrants</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10/7/2019</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bl>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2,748 A Preferred Stock Warrants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10/7/2019</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4,681,958 Common Stock Warrants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10/7/2019</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Valant Medical Solutions,</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954,478 Warrants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4/8/2019</w:t>
            </w: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(13)(15)</w:t>
            </w: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Vita Topco, Inc. </w:t>
            </w:r>
            <w:r>
              <w:rPr>
                <w:rFonts w:ascii="Times New Roman" w:cs="Times New Roman" w:eastAsia="Times New Roman" w:hAnsi="Times New Roman"/>
                <w:sz w:val="25"/>
                <w:szCs w:val="25"/>
                <w:color w:val="auto"/>
                <w:vertAlign w:val="superscript"/>
              </w:rPr>
              <w:t>(13)(15)</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Shares (1,000 shares)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2/11/2019</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8,973</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20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IRGSE Holding Corp. </w:t>
            </w:r>
            <w:r>
              <w:rPr>
                <w:rFonts w:ascii="Times New Roman" w:cs="Times New Roman" w:eastAsia="Times New Roman" w:hAnsi="Times New Roman"/>
                <w:sz w:val="25"/>
                <w:szCs w:val="25"/>
                <w:color w:val="auto"/>
                <w:vertAlign w:val="superscript"/>
              </w:rPr>
              <w:t>(7)(13)</w:t>
            </w:r>
          </w:p>
        </w:tc>
        <w:tc>
          <w:tcPr>
            <w:tcW w:w="2740" w:type="dxa"/>
            <w:vAlign w:val="bottom"/>
            <w:shd w:val="clear" w:color="auto" w:fill="CFF0FC"/>
          </w:tcPr>
          <w:p>
            <w:pPr>
              <w:ind w:left="120"/>
              <w:spacing w:after="0" w:line="219" w:lineRule="exact"/>
              <w:rPr>
                <w:sz w:val="20"/>
                <w:szCs w:val="20"/>
                <w:color w:val="auto"/>
              </w:rPr>
            </w:pPr>
            <w:r>
              <w:rPr>
                <w:rFonts w:ascii="Times New Roman" w:cs="Times New Roman" w:eastAsia="Times New Roman" w:hAnsi="Times New Roman"/>
                <w:sz w:val="15"/>
                <w:szCs w:val="15"/>
                <w:color w:val="auto"/>
              </w:rPr>
              <w:t xml:space="preserve">Class A Units (33,790,171 units) </w:t>
            </w:r>
            <w:r>
              <w:rPr>
                <w:rFonts w:ascii="Times New Roman" w:cs="Times New Roman" w:eastAsia="Times New Roman" w:hAnsi="Times New Roman"/>
                <w:sz w:val="25"/>
                <w:szCs w:val="25"/>
                <w:color w:val="auto"/>
                <w:vertAlign w:val="superscript"/>
              </w:rPr>
              <w:t>(14)</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12/21/2018</w:t>
            </w:r>
          </w:p>
        </w:tc>
        <w:tc>
          <w:tcPr>
            <w:tcW w:w="1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C-1 Units (8,800,000 units)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12/21/2018</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21,942</w:t>
            </w:r>
          </w:p>
        </w:tc>
        <w:tc>
          <w:tcPr>
            <w:tcW w:w="20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Human resource support services</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ClearCompany, LLC </w:t>
            </w:r>
            <w:r>
              <w:rPr>
                <w:rFonts w:ascii="Times New Roman" w:cs="Times New Roman" w:eastAsia="Times New Roman" w:hAnsi="Times New Roman"/>
                <w:sz w:val="23"/>
                <w:szCs w:val="23"/>
                <w:color w:val="auto"/>
                <w:vertAlign w:val="superscript"/>
              </w:rPr>
              <w:t>(13)(15)</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Series A Preferred Units (1,429,228</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8/24/2018</w:t>
            </w: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DaySmart Holdings, LLC </w:t>
            </w:r>
            <w:r>
              <w:rPr>
                <w:rFonts w:ascii="Times New Roman" w:cs="Times New Roman" w:eastAsia="Times New Roman" w:hAnsi="Times New Roman"/>
                <w:sz w:val="25"/>
                <w:szCs w:val="25"/>
                <w:color w:val="auto"/>
                <w:vertAlign w:val="superscript"/>
              </w:rPr>
              <w:t>(13)(14)(15)</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Class A Units (155,240 units)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10/1/2019</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20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Riskonnect, Inc. </w:t>
            </w:r>
            <w:r>
              <w:rPr>
                <w:rFonts w:ascii="Times New Roman" w:cs="Times New Roman" w:eastAsia="Times New Roman" w:hAnsi="Times New Roman"/>
                <w:sz w:val="25"/>
                <w:szCs w:val="25"/>
                <w:color w:val="auto"/>
                <w:vertAlign w:val="superscript"/>
              </w:rPr>
              <w:t>(13)</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Shares Class A (1,020 units)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6/30/2017</w:t>
            </w:r>
          </w:p>
        </w:tc>
        <w:tc>
          <w:tcPr>
            <w:tcW w:w="11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Shares Class B (987,929</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6/30/2017</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spacing w:after="0"/>
              <w:rPr>
                <w:sz w:val="18"/>
                <w:szCs w:val="18"/>
                <w:color w:val="auto"/>
              </w:rPr>
            </w:pPr>
          </w:p>
        </w:tc>
        <w:tc>
          <w:tcPr>
            <w:tcW w:w="27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Internet Services</w:t>
            </w:r>
          </w:p>
        </w:tc>
        <w:tc>
          <w:tcPr>
            <w:tcW w:w="2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23"/>
                <w:szCs w:val="23"/>
                <w:color w:val="auto"/>
                <w:vertAlign w:val="superscript"/>
              </w:rPr>
              <w:t>(13)</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Series F Preferred Shares (199,054</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8/2/2019</w:t>
            </w: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Marketing services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23"/>
                <w:szCs w:val="23"/>
                <w:color w:val="auto"/>
                <w:vertAlign w:val="superscript"/>
              </w:rPr>
              <w:t>(13)</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Series A Preferred Shares (3,840,000</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5/31/2018</w:t>
            </w: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13,056</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gas and consumable fuels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line="217" w:lineRule="exact"/>
              <w:rPr>
                <w:sz w:val="20"/>
                <w:szCs w:val="20"/>
                <w:color w:val="auto"/>
              </w:rPr>
            </w:pPr>
            <w:r>
              <w:rPr>
                <w:rFonts w:ascii="Times New Roman" w:cs="Times New Roman" w:eastAsia="Times New Roman" w:hAnsi="Times New Roman"/>
                <w:sz w:val="15"/>
                <w:szCs w:val="15"/>
                <w:color w:val="auto"/>
              </w:rPr>
              <w:t xml:space="preserve">SMPA Holdings LLC </w:t>
            </w:r>
            <w:r>
              <w:rPr>
                <w:rFonts w:ascii="Times New Roman" w:cs="Times New Roman" w:eastAsia="Times New Roman" w:hAnsi="Times New Roman"/>
                <w:sz w:val="25"/>
                <w:szCs w:val="25"/>
                <w:color w:val="auto"/>
                <w:vertAlign w:val="superscript"/>
              </w:rPr>
              <w:t>(6)(13)(14)</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Units (15,000 units)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12/24/2020</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Pharmaceuticals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spacing w:after="0" w:line="217" w:lineRule="exact"/>
              <w:rPr>
                <w:sz w:val="20"/>
                <w:szCs w:val="20"/>
                <w:color w:val="auto"/>
              </w:rPr>
            </w:pPr>
            <w:r>
              <w:rPr>
                <w:rFonts w:ascii="Times New Roman" w:cs="Times New Roman" w:eastAsia="Times New Roman" w:hAnsi="Times New Roman"/>
                <w:sz w:val="15"/>
                <w:szCs w:val="15"/>
                <w:color w:val="auto"/>
              </w:rPr>
              <w:t xml:space="preserve">TherapeuticsMD, Inc. </w:t>
            </w:r>
            <w:r>
              <w:rPr>
                <w:rFonts w:ascii="Times New Roman" w:cs="Times New Roman" w:eastAsia="Times New Roman" w:hAnsi="Times New Roman"/>
                <w:sz w:val="25"/>
                <w:szCs w:val="25"/>
                <w:color w:val="auto"/>
                <w:vertAlign w:val="superscript"/>
              </w:rPr>
              <w:t>(13)(14)</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712,817 Warrants</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8/5/2020</w:t>
            </w: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Retail and consumer products</w:t>
            </w: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5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Copper Bidco LLC </w:t>
            </w:r>
            <w:r>
              <w:rPr>
                <w:rFonts w:ascii="Times New Roman" w:cs="Times New Roman" w:eastAsia="Times New Roman" w:hAnsi="Times New Roman"/>
                <w:sz w:val="23"/>
                <w:szCs w:val="23"/>
                <w:color w:val="auto"/>
                <w:vertAlign w:val="superscript"/>
              </w:rPr>
              <w:t>(11)(13)(14)</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Trust Certificates (132,928</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12/7/2020</w:t>
            </w: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Certificates)</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NMG Parent LLC Com Unit </w:t>
            </w:r>
            <w:r>
              <w:rPr>
                <w:rFonts w:ascii="Times New Roman" w:cs="Times New Roman" w:eastAsia="Times New Roman" w:hAnsi="Times New Roman"/>
                <w:sz w:val="25"/>
                <w:szCs w:val="25"/>
                <w:color w:val="auto"/>
                <w:vertAlign w:val="superscript"/>
              </w:rPr>
              <w:t>(13)(14)</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Units (110,210 units)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9/29/2020</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6,613</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40" w:type="dxa"/>
            <w:vAlign w:val="bottom"/>
            <w:shd w:val="clear" w:color="auto" w:fill="CFF0FC"/>
          </w:tcPr>
          <w:p>
            <w:pPr>
              <w:spacing w:after="0"/>
              <w:rPr>
                <w:sz w:val="17"/>
                <w:szCs w:val="17"/>
                <w:color w:val="auto"/>
              </w:rPr>
            </w:pPr>
          </w:p>
        </w:tc>
        <w:tc>
          <w:tcPr>
            <w:tcW w:w="27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200" w:type="dxa"/>
            <w:vAlign w:val="bottom"/>
            <w:vMerge w:val="continue"/>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Bain Capital Credit CLO Ltd,</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Structured Product ($500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10/15/2020</w:t>
            </w:r>
          </w:p>
        </w:tc>
        <w:tc>
          <w:tcPr>
            <w:tcW w:w="1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 + 5.35%</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8"/>
        </w:trPr>
        <w:tc>
          <w:tcPr>
            <w:tcW w:w="254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Series 2018-1A </w:t>
            </w:r>
            <w:r>
              <w:rPr>
                <w:rFonts w:ascii="Times New Roman" w:cs="Times New Roman" w:eastAsia="Times New Roman" w:hAnsi="Times New Roman"/>
                <w:sz w:val="25"/>
                <w:szCs w:val="25"/>
                <w:color w:val="auto"/>
                <w:vertAlign w:val="superscript"/>
              </w:rPr>
              <w:t>(3)(4)(11)</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4/2031)</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Carlyle Global Market Strategies</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Structured Product ($1,550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8/11/2020</w:t>
            </w:r>
          </w:p>
        </w:tc>
        <w:tc>
          <w:tcPr>
            <w:tcW w:w="1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 + 5.75%</w:t>
            </w:r>
          </w:p>
        </w:tc>
        <w:tc>
          <w:tcPr>
            <w:tcW w:w="8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1"/>
        </w:trPr>
        <w:tc>
          <w:tcPr>
            <w:tcW w:w="2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CLO Ltd, Series 2018-1A</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4/2031)</w:t>
            </w:r>
          </w:p>
        </w:tc>
        <w:tc>
          <w:tcPr>
            <w:tcW w:w="10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(3)(4)(11)</w:t>
            </w:r>
          </w:p>
        </w:tc>
        <w:tc>
          <w:tcPr>
            <w:tcW w:w="27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right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Carlyle Global Market Strategies</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Structured Product ($4,150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9/3/2020</w:t>
            </w:r>
          </w:p>
        </w:tc>
        <w:tc>
          <w:tcPr>
            <w:tcW w:w="1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 + 6.15%</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1"/>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CLO Ltd, Series 2017-4A</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1/2030)</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(3)(4)(11)</w:t>
            </w:r>
          </w:p>
        </w:tc>
        <w:tc>
          <w:tcPr>
            <w:tcW w:w="2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Madison Park Funding Ltd,</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Structured Product ($2,400 par, due</w:t>
            </w:r>
          </w:p>
        </w:tc>
        <w:tc>
          <w:tcPr>
            <w:tcW w:w="10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8/11/2020</w:t>
            </w:r>
          </w:p>
        </w:tc>
        <w:tc>
          <w:tcPr>
            <w:tcW w:w="1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 + 5.80%</w:t>
            </w:r>
          </w:p>
        </w:tc>
        <w:tc>
          <w:tcPr>
            <w:tcW w:w="840" w:type="dxa"/>
            <w:vAlign w:val="bottom"/>
            <w:tcBorders>
              <w:right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8"/>
        </w:trPr>
        <w:tc>
          <w:tcPr>
            <w:tcW w:w="254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Series 2014-14A </w:t>
            </w:r>
            <w:r>
              <w:rPr>
                <w:rFonts w:ascii="Times New Roman" w:cs="Times New Roman" w:eastAsia="Times New Roman" w:hAnsi="Times New Roman"/>
                <w:sz w:val="25"/>
                <w:szCs w:val="25"/>
                <w:color w:val="auto"/>
                <w:vertAlign w:val="superscript"/>
              </w:rPr>
              <w:t>(3)(4)(11)</w:t>
            </w:r>
          </w:p>
        </w:tc>
        <w:tc>
          <w:tcPr>
            <w:tcW w:w="2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10/2030)</w:t>
            </w: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OZLM Ltd., Series</w:t>
            </w:r>
          </w:p>
        </w:tc>
        <w:tc>
          <w:tcPr>
            <w:tcW w:w="2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Structured Product ($2,000 par, due</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5/28/2020</w:t>
            </w:r>
          </w:p>
        </w:tc>
        <w:tc>
          <w:tcPr>
            <w:tcW w:w="1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 + 2.85%</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1,904</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5"/>
        </w:trPr>
        <w:tc>
          <w:tcPr>
            <w:tcW w:w="25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2018-18A </w:t>
            </w:r>
            <w:r>
              <w:rPr>
                <w:rFonts w:ascii="Times New Roman" w:cs="Times New Roman" w:eastAsia="Times New Roman" w:hAnsi="Times New Roman"/>
                <w:sz w:val="13"/>
                <w:szCs w:val="13"/>
                <w:color w:val="auto"/>
              </w:rPr>
              <w:t>(3)(4)(11)</w:t>
            </w:r>
          </w:p>
        </w:tc>
        <w:tc>
          <w:tcPr>
            <w:tcW w:w="27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4/2031)</w:t>
            </w: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18"/>
                <w:szCs w:val="18"/>
                <w:color w:val="auto"/>
              </w:rPr>
            </w:pP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Equity and Other</w:t>
            </w:r>
          </w:p>
        </w:tc>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540" w:type="dxa"/>
            <w:vAlign w:val="bottom"/>
            <w:vMerge w:val="continue"/>
          </w:tcPr>
          <w:p>
            <w:pPr>
              <w:spacing w:after="0"/>
              <w:rPr>
                <w:sz w:val="16"/>
                <w:szCs w:val="16"/>
                <w:color w:val="auto"/>
              </w:rPr>
            </w:pPr>
          </w:p>
        </w:tc>
        <w:tc>
          <w:tcPr>
            <w:tcW w:w="2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80,714</w:t>
            </w:r>
          </w:p>
        </w:tc>
        <w:tc>
          <w:tcPr>
            <w:tcW w:w="20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85,941</w:t>
            </w:r>
          </w:p>
        </w:tc>
        <w:tc>
          <w:tcPr>
            <w:tcW w:w="2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5"/>
        </w:trPr>
        <w:tc>
          <w:tcPr>
            <w:tcW w:w="254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74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2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$ 2,259,028</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$ 2,298,870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198.0%</w:t>
            </w: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0" w:type="dxa"/>
            <w:vAlign w:val="bottom"/>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20" w:type="dxa"/>
            <w:vAlign w:val="bottom"/>
          </w:tcPr>
          <w:p>
            <w:pPr>
              <w:spacing w:after="0"/>
              <w:rPr>
                <w:sz w:val="11"/>
                <w:szCs w:val="11"/>
                <w:color w:val="auto"/>
              </w:rPr>
            </w:pPr>
          </w:p>
        </w:tc>
        <w:tc>
          <w:tcPr>
            <w:tcW w:w="16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Upfront</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Pays</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(Losses)</w:t>
            </w: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1.47%</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7/30/2021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+ 1.59%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+ 1.60%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6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9"/>
              </w:rPr>
              <w:t>L + 2.11%</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 + 2.11%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+ 1.99%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(a)(e)</w:t>
            </w:r>
          </w:p>
        </w:tc>
        <w:tc>
          <w:tcPr>
            <w:tcW w:w="16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99"/>
              </w:rPr>
              <w:t>L + 2.28%</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(a)(b)</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(a)(b)</w:t>
            </w:r>
          </w:p>
        </w:tc>
        <w:tc>
          <w:tcPr>
            <w:tcW w:w="160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371,391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(a)(c)(d)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(a)(c)(d)</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+ 2.46%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collateral</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(26,431)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721,391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hanging="493"/>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3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was terminated or matured during the period.</w:t>
      </w:r>
    </w:p>
    <w:p>
      <w:pPr>
        <w:spacing w:after="0" w:line="36" w:lineRule="exact"/>
        <w:rPr>
          <w:rFonts w:ascii="Times New Roman" w:cs="Times New Roman" w:eastAsia="Times New Roman" w:hAnsi="Times New Roman"/>
          <w:sz w:val="18"/>
          <w:szCs w:val="18"/>
          <w:color w:val="auto"/>
        </w:rPr>
      </w:pPr>
    </w:p>
    <w:p>
      <w:pPr>
        <w:ind w:left="1000" w:right="200" w:hanging="493"/>
        <w:spacing w:after="0" w:line="261" w:lineRule="auto"/>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ind w:left="1000" w:right="180" w:hanging="493"/>
        <w:spacing w:after="0" w:line="250" w:lineRule="auto"/>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00" w:right="20" w:hanging="493"/>
        <w:spacing w:after="0" w:line="260" w:lineRule="auto"/>
        <w:tabs>
          <w:tab w:leader="none" w:pos="10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this instrument is presented net with the $2.5 million in aggregate notional value of instruments no longer designated as instruments in a hedge accounting relationship.</w:t>
      </w:r>
    </w:p>
    <w:p>
      <w:pPr>
        <w:spacing w:after="0" w:line="86"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50"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2020.</w:t>
      </w:r>
    </w:p>
    <w:p>
      <w:pPr>
        <w:spacing w:after="0" w:line="2"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12.7% of total assets as of December 31, 2020.</w:t>
      </w:r>
    </w:p>
    <w:p>
      <w:pPr>
        <w:spacing w:after="0" w:line="1" w:lineRule="exact"/>
        <w:rPr>
          <w:rFonts w:ascii="Times New Roman" w:cs="Times New Roman" w:eastAsia="Times New Roman" w:hAnsi="Times New Roman"/>
          <w:sz w:val="18"/>
          <w:szCs w:val="18"/>
          <w:color w:val="auto"/>
        </w:rPr>
      </w:pPr>
    </w:p>
    <w:p>
      <w:pPr>
        <w:ind w:left="500" w:right="60" w:hanging="492"/>
        <w:spacing w:after="0" w:line="250"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Times New Roman" w:cs="Times New Roman" w:eastAsia="Times New Roman" w:hAnsi="Times New Roman"/>
          <w:sz w:val="18"/>
          <w:szCs w:val="18"/>
          <w:color w:val="auto"/>
        </w:rPr>
      </w:pPr>
    </w:p>
    <w:p>
      <w:pPr>
        <w:ind w:left="500" w:right="220" w:hanging="492"/>
        <w:spacing w:after="0" w:line="255" w:lineRule="auto"/>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2020 in which the Company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year ended December 31,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1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40" w:type="dxa"/>
            <w:vAlign w:val="bottom"/>
            <w:gridSpan w:val="3"/>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Additions (a)</w:t>
            </w:r>
          </w:p>
        </w:tc>
        <w:tc>
          <w:tcPr>
            <w:tcW w:w="1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(61,819)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MD America Energy,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(c)</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(3,965)</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(62,913</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right="100" w:hanging="493"/>
        <w:spacing w:after="0" w:line="261" w:lineRule="auto"/>
        <w:tabs>
          <w:tab w:leader="none" w:pos="10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00" w:hanging="493"/>
        <w:spacing w:after="0" w:line="250" w:lineRule="auto"/>
        <w:tabs>
          <w:tab w:leader="none" w:pos="10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SMPA Holdings, LLC of 15,000 common equity units.</w:t>
      </w:r>
    </w:p>
    <w:p>
      <w:pPr>
        <w:spacing w:after="0" w:line="112" w:lineRule="exact"/>
        <w:rPr>
          <w:rFonts w:ascii="Times New Roman" w:cs="Times New Roman" w:eastAsia="Times New Roman" w:hAnsi="Times New Roman"/>
          <w:sz w:val="18"/>
          <w:szCs w:val="18"/>
          <w:color w:val="auto"/>
        </w:rPr>
      </w:pPr>
    </w:p>
    <w:p>
      <w:pPr>
        <w:ind w:left="500" w:right="200" w:hanging="492"/>
        <w:spacing w:after="0" w:line="261" w:lineRule="auto"/>
        <w:tabs>
          <w:tab w:leader="none" w:pos="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2020 in which the issuer was an Affiliated Person of and was deemed to Control a portfolio company are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1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40" w:type="dxa"/>
            <w:vAlign w:val="bottom"/>
            <w:gridSpan w:val="3"/>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Transfers</w:t>
            </w:r>
          </w:p>
        </w:tc>
        <w:tc>
          <w:tcPr>
            <w:tcW w:w="1040" w:type="dxa"/>
            <w:vAlign w:val="bottom"/>
            <w:gridSpan w:val="3"/>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Additions (a)</w:t>
            </w:r>
          </w:p>
        </w:tc>
        <w:tc>
          <w:tcPr>
            <w:tcW w:w="1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Mississippi Resources,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(32,219)</w:t>
            </w:r>
          </w:p>
        </w:tc>
        <w:tc>
          <w:tcPr>
            <w:tcW w:w="340" w:type="dxa"/>
            <w:vAlign w:val="bottom"/>
          </w:tcPr>
          <w:p>
            <w:pPr>
              <w:spacing w:after="0"/>
              <w:rPr>
                <w:sz w:val="20"/>
                <w:szCs w:val="20"/>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47,916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(36,352</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36,676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3,809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right="100" w:hanging="493"/>
        <w:spacing w:after="0" w:line="261" w:lineRule="auto"/>
        <w:tabs>
          <w:tab w:leader="none" w:pos="10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00" w:hanging="493"/>
        <w:spacing w:after="0" w:line="255" w:lineRule="auto"/>
        <w:tabs>
          <w:tab w:leader="none" w:pos="10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1" w:lineRule="exact"/>
        <w:rPr>
          <w:rFonts w:ascii="Times New Roman" w:cs="Times New Roman" w:eastAsia="Times New Roman" w:hAnsi="Times New Roman"/>
          <w:sz w:val="18"/>
          <w:szCs w:val="18"/>
          <w:color w:val="auto"/>
        </w:rPr>
      </w:pPr>
    </w:p>
    <w:p>
      <w:pPr>
        <w:ind w:left="500" w:right="640" w:hanging="492"/>
        <w:spacing w:after="0" w:line="261" w:lineRule="auto"/>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2020, the estimated cost basis of investments for U.S. federal tax purposes was $2,285,393, resulting in estimated gross unrealized gains and losses of $125,374 and $101,215, respectively.</w:t>
      </w:r>
    </w:p>
    <w:p>
      <w:pPr>
        <w:ind w:left="500" w:right="80" w:hanging="492"/>
        <w:spacing w:after="0" w:line="250" w:lineRule="auto"/>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00" w:right="120" w:hanging="492"/>
        <w:spacing w:after="0" w:line="250" w:lineRule="auto"/>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non-income producing.</w:t>
      </w:r>
    </w:p>
    <w:p>
      <w:pPr>
        <w:spacing w:after="0" w:line="9" w:lineRule="exact"/>
        <w:rPr>
          <w:rFonts w:ascii="Times New Roman" w:cs="Times New Roman" w:eastAsia="Times New Roman" w:hAnsi="Times New Roman"/>
          <w:sz w:val="18"/>
          <w:szCs w:val="18"/>
          <w:color w:val="auto"/>
        </w:rPr>
      </w:pPr>
    </w:p>
    <w:p>
      <w:pPr>
        <w:ind w:left="500" w:right="360" w:hanging="492"/>
        <w:spacing w:after="0" w:line="250" w:lineRule="auto"/>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transaction exempt from registration under the Securities Act of 1933, and may be deemed to be “restricted securities” under the Securities Act. As of December 31, 2020, the aggregate fair value of these securities is $20,983, or 1.8% of the Company’s net assets.</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on non-accrual status as of December 31, 2020.</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xml:space="preserve">Company </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2"/>
                <w:szCs w:val="12"/>
                <w:color w:val="auto"/>
              </w:rPr>
            </w:pPr>
          </w:p>
        </w:tc>
        <w:tc>
          <w:tcPr>
            <w:tcW w:w="23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0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Rate and</w:t>
            </w:r>
          </w:p>
        </w:tc>
        <w:tc>
          <w:tcPr>
            <w:tcW w:w="14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760" w:type="dxa"/>
            <w:vAlign w:val="bottom"/>
          </w:tcPr>
          <w:p>
            <w:pPr>
              <w:jc w:val="right"/>
              <w:ind w:right="20"/>
              <w:spacing w:after="0" w:line="142"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00" w:type="dxa"/>
            <w:vAlign w:val="bottom"/>
          </w:tcPr>
          <w:p>
            <w:pPr>
              <w:spacing w:after="0"/>
              <w:rPr>
                <w:sz w:val="12"/>
                <w:szCs w:val="12"/>
                <w:color w:val="auto"/>
              </w:rPr>
            </w:pPr>
          </w:p>
        </w:tc>
        <w:tc>
          <w:tcPr>
            <w:tcW w:w="9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8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48"/>
        </w:trPr>
        <w:tc>
          <w:tcPr>
            <w:tcW w:w="2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Spread</w:t>
            </w:r>
          </w:p>
        </w:tc>
        <w:tc>
          <w:tcPr>
            <w:tcW w:w="1460" w:type="dxa"/>
            <w:vAlign w:val="bottom"/>
            <w:gridSpan w:val="2"/>
            <w:vMerge w:val="continue"/>
          </w:tcPr>
          <w:p>
            <w:pPr>
              <w:spacing w:after="0"/>
              <w:rPr>
                <w:sz w:val="12"/>
                <w:szCs w:val="12"/>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xml:space="preserve">Cost </w:t>
            </w:r>
            <w:r>
              <w:rPr>
                <w:rFonts w:ascii="Times New Roman" w:cs="Times New Roman" w:eastAsia="Times New Roman" w:hAnsi="Times New Roman"/>
                <w:sz w:val="10"/>
                <w:szCs w:val="10"/>
                <w:b w:val="1"/>
                <w:bCs w:val="1"/>
                <w:color w:val="auto"/>
              </w:rPr>
              <w:t>(2)(8)</w:t>
            </w:r>
          </w:p>
        </w:tc>
        <w:tc>
          <w:tcPr>
            <w:tcW w:w="960" w:type="dxa"/>
            <w:vAlign w:val="bottom"/>
            <w:gridSpan w:val="2"/>
          </w:tcPr>
          <w:p>
            <w:pPr>
              <w:jc w:val="right"/>
              <w:ind w:right="222"/>
              <w:spacing w:after="0"/>
              <w:rPr>
                <w:sz w:val="20"/>
                <w:szCs w:val="20"/>
                <w:color w:val="auto"/>
              </w:rPr>
            </w:pPr>
            <w:r>
              <w:rPr>
                <w:rFonts w:ascii="Times New Roman" w:cs="Times New Roman" w:eastAsia="Times New Roman" w:hAnsi="Times New Roman"/>
                <w:sz w:val="11"/>
                <w:szCs w:val="11"/>
                <w:b w:val="1"/>
                <w:bCs w:val="1"/>
                <w:color w:val="auto"/>
              </w:rPr>
              <w:t>(10)</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2"/>
              </w:rPr>
              <w:t>of Net Assets</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Debt Investments</w:t>
            </w:r>
          </w:p>
        </w:tc>
        <w:tc>
          <w:tcPr>
            <w:tcW w:w="100" w:type="dxa"/>
            <w:vAlign w:val="bottom"/>
            <w:tcBorders>
              <w:top w:val="single" w:sz="8" w:color="CFF0FC"/>
            </w:tcBorders>
            <w:shd w:val="clear" w:color="auto" w:fill="CFF0FC"/>
          </w:tcPr>
          <w:p>
            <w:pPr>
              <w:spacing w:after="0"/>
              <w:rPr>
                <w:sz w:val="18"/>
                <w:szCs w:val="18"/>
                <w:color w:val="auto"/>
              </w:rPr>
            </w:pPr>
          </w:p>
        </w:tc>
        <w:tc>
          <w:tcPr>
            <w:tcW w:w="2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AFS Technologies, Inc. </w:t>
            </w:r>
            <w:r>
              <w:rPr>
                <w:rFonts w:ascii="Times New Roman" w:cs="Times New Roman" w:eastAsia="Times New Roman" w:hAnsi="Times New Roman"/>
                <w:sz w:val="23"/>
                <w:szCs w:val="23"/>
                <w:color w:val="auto"/>
                <w:vertAlign w:val="superscript"/>
              </w:rPr>
              <w:t>(3)(5)(6)</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($45,559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10/16/2018</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+ 6.25%</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45,004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45,673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10/2023)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Acceo Solutions,</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(CAD 64,025 par,</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7/6/2018</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C + 4.75%</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6.83%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48,001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49,497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4"/>
        </w:trPr>
        <w:tc>
          <w:tcPr>
            <w:tcW w:w="2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(3)(4)(5)</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due 7/2023)</w:t>
            </w: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64,185)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Alpha Midco, Inc. </w:t>
            </w:r>
            <w:r>
              <w:rPr>
                <w:rFonts w:ascii="Times New Roman" w:cs="Times New Roman" w:eastAsia="Times New Roman" w:hAnsi="Times New Roman"/>
                <w:sz w:val="23"/>
                <w:szCs w:val="23"/>
                <w:color w:val="auto"/>
                <w:vertAlign w:val="superscript"/>
              </w:rPr>
              <w:t>(3)(5)</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loan ($45,296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8/15/2019</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+ 6.75%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44,061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8/2025)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Dye &amp; Durham Corp. </w:t>
            </w:r>
            <w:r>
              <w:rPr>
                <w:rFonts w:ascii="Times New Roman" w:cs="Times New Roman" w:eastAsia="Times New Roman" w:hAnsi="Times New Roman"/>
                <w:sz w:val="23"/>
                <w:szCs w:val="23"/>
                <w:color w:val="auto"/>
                <w:vertAlign w:val="superscript"/>
              </w:rPr>
              <w:t>(3)(4)</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(CAD 65,669 par,</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7/11/2019</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C + 7.00%</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9.03%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49,015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17"/>
                <w:szCs w:val="17"/>
                <w:color w:val="auto"/>
              </w:rPr>
            </w:pP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due 7/2024)</w:t>
            </w: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(CAD</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64,355)</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rPr>
                <w:sz w:val="17"/>
                <w:szCs w:val="17"/>
                <w:color w:val="auto"/>
              </w:rPr>
            </w:pP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revolving loan (CAD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7/11/2019</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P + 6.00%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1,750 par, due 7/2024)</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(CAD</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Integration Appliance, Inc. </w:t>
            </w:r>
            <w:r>
              <w:rPr>
                <w:rFonts w:ascii="Times New Roman" w:cs="Times New Roman" w:eastAsia="Times New Roman" w:hAnsi="Times New Roman"/>
                <w:sz w:val="23"/>
                <w:szCs w:val="23"/>
                <w:color w:val="auto"/>
                <w:vertAlign w:val="superscript"/>
              </w:rPr>
              <w:t>(3)</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($71,500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8/13/2018</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+ 7.25%</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9.43%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70,619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71,685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8/2023)</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Motus, LLC </w:t>
            </w:r>
            <w:r>
              <w:rPr>
                <w:rFonts w:ascii="Times New Roman" w:cs="Times New Roman" w:eastAsia="Times New Roman" w:hAnsi="Times New Roman"/>
                <w:sz w:val="23"/>
                <w:szCs w:val="23"/>
                <w:color w:val="auto"/>
                <w:vertAlign w:val="superscript"/>
              </w:rPr>
              <w:t>(3)(5)</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loan ($59,853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1/17/2018</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+ 5.50%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58,764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60,451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Netwrix Corp. and Concept</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($20,000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10/17/2019</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+ 5.88%</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7.67%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19,541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19,650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8"/>
        </w:trPr>
        <w:tc>
          <w:tcPr>
            <w:tcW w:w="260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Searching, Inc. </w:t>
            </w:r>
            <w:r>
              <w:rPr>
                <w:rFonts w:ascii="Times New Roman" w:cs="Times New Roman" w:eastAsia="Times New Roman" w:hAnsi="Times New Roman"/>
                <w:sz w:val="25"/>
                <w:szCs w:val="25"/>
                <w:color w:val="auto"/>
                <w:vertAlign w:val="superscript"/>
              </w:rPr>
              <w:t>(3)(5)</w:t>
            </w: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Nintex Global, Ltd. </w:t>
            </w:r>
            <w:r>
              <w:rPr>
                <w:rFonts w:ascii="Times New Roman" w:cs="Times New Roman" w:eastAsia="Times New Roman" w:hAnsi="Times New Roman"/>
                <w:sz w:val="23"/>
                <w:szCs w:val="23"/>
                <w:color w:val="auto"/>
                <w:vertAlign w:val="superscript"/>
              </w:rPr>
              <w:t>(3)(5)</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loan ($74,223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3/30/2018</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+ 6.25%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72,844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75,151</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spacing w:after="0"/>
              <w:rPr>
                <w:sz w:val="18"/>
                <w:szCs w:val="18"/>
                <w:color w:val="auto"/>
              </w:rPr>
            </w:pPr>
          </w:p>
        </w:tc>
        <w:tc>
          <w:tcPr>
            <w:tcW w:w="238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6"/>
                <w:szCs w:val="16"/>
                <w:color w:val="auto"/>
              </w:rPr>
              <w:t>4/2024)</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363,974</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371,419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7"/>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Chemicals</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Vertellus Specialties, Inc. </w:t>
            </w:r>
            <w:r>
              <w:rPr>
                <w:rFonts w:ascii="Times New Roman" w:cs="Times New Roman" w:eastAsia="Times New Roman" w:hAnsi="Times New Roman"/>
                <w:sz w:val="23"/>
                <w:szCs w:val="23"/>
                <w:color w:val="auto"/>
                <w:vertAlign w:val="superscript"/>
              </w:rPr>
              <w:t>(3)</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Second-lien loan ($4,147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10/31/2016</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+ 12.00%</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13.63%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10/2021)</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IntelePeer Holdings, Inc. </w:t>
            </w:r>
            <w:r>
              <w:rPr>
                <w:rFonts w:ascii="Times New Roman" w:cs="Times New Roman" w:eastAsia="Times New Roman" w:hAnsi="Times New Roman"/>
                <w:sz w:val="23"/>
                <w:szCs w:val="23"/>
                <w:color w:val="auto"/>
                <w:vertAlign w:val="superscript"/>
              </w:rPr>
              <w:t>(3)</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12/2/2019</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+ 8.00%</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9.91%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34,711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12/2024)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Education</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Curriculum Associates,</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($75,000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2/28/2018</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+ 5.50%</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72,055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77,438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8"/>
        </w:trPr>
        <w:tc>
          <w:tcPr>
            <w:tcW w:w="2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13"/>
                <w:szCs w:val="13"/>
                <w:color w:val="auto"/>
              </w:rPr>
              <w:t>(3)(5)</w:t>
            </w: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9/2025)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Frontline Technologies</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loan ($65,798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9/18/2017</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+ 5.75%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65,963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8"/>
        </w:trPr>
        <w:tc>
          <w:tcPr>
            <w:tcW w:w="260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Group, LLC </w:t>
            </w:r>
            <w:r>
              <w:rPr>
                <w:rFonts w:ascii="Times New Roman" w:cs="Times New Roman" w:eastAsia="Times New Roman" w:hAnsi="Times New Roman"/>
                <w:sz w:val="25"/>
                <w:szCs w:val="25"/>
                <w:color w:val="auto"/>
                <w:vertAlign w:val="superscript"/>
              </w:rPr>
              <w:t>(3)</w:t>
            </w: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9/2023)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Illuminate Education,</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($64,025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8/25/2017</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+ 7.25%</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9.05%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63,227</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63,545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8"/>
        </w:trPr>
        <w:tc>
          <w:tcPr>
            <w:tcW w:w="2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w:t>
            </w:r>
            <w:r>
              <w:rPr>
                <w:rFonts w:ascii="Times New Roman" w:cs="Times New Roman" w:eastAsia="Times New Roman" w:hAnsi="Times New Roman"/>
                <w:sz w:val="13"/>
                <w:szCs w:val="13"/>
                <w:color w:val="auto"/>
              </w:rPr>
              <w:t>(3)(5)</w:t>
            </w: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8/2022)</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200,677</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206,946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2"/>
        </w:trPr>
        <w:tc>
          <w:tcPr>
            <w:tcW w:w="2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Electronics</w:t>
            </w:r>
          </w:p>
        </w:tc>
        <w:tc>
          <w:tcPr>
            <w:tcW w:w="100" w:type="dxa"/>
            <w:vAlign w:val="bottom"/>
            <w:tcBorders>
              <w:top w:val="single" w:sz="8" w:color="CFF0FC"/>
            </w:tcBorders>
            <w:shd w:val="clear" w:color="auto" w:fill="CFF0FC"/>
          </w:tcPr>
          <w:p>
            <w:pPr>
              <w:spacing w:after="0"/>
              <w:rPr>
                <w:sz w:val="18"/>
                <w:szCs w:val="18"/>
                <w:color w:val="auto"/>
              </w:rPr>
            </w:pPr>
          </w:p>
        </w:tc>
        <w:tc>
          <w:tcPr>
            <w:tcW w:w="2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APX Group, Inc. </w:t>
            </w:r>
            <w:r>
              <w:rPr>
                <w:rFonts w:ascii="Times New Roman" w:cs="Times New Roman" w:eastAsia="Times New Roman" w:hAnsi="Times New Roman"/>
                <w:sz w:val="23"/>
                <w:szCs w:val="23"/>
                <w:color w:val="auto"/>
                <w:vertAlign w:val="superscript"/>
              </w:rPr>
              <w:t>(11)</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Secured note ($1,000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5/31/2019</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12/2022)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1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AppStar Financial, LLC </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loan ($15,855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8/18/2015</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+ 7.50%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15,944</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8/2020)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23"/>
                <w:szCs w:val="23"/>
                <w:color w:val="auto"/>
                <w:vertAlign w:val="superscript"/>
              </w:rPr>
              <w:t>(3)(5)</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($10,350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10/1/2019</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+ 9.00%</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11.00%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10,195</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10,236</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4/2024)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Bear OpCo, LLC </w:t>
            </w:r>
            <w:r>
              <w:rPr>
                <w:rFonts w:ascii="Times New Roman" w:cs="Times New Roman" w:eastAsia="Times New Roman" w:hAnsi="Times New Roman"/>
                <w:sz w:val="23"/>
                <w:szCs w:val="23"/>
                <w:color w:val="auto"/>
                <w:vertAlign w:val="superscript"/>
              </w:rPr>
              <w:t>(3)(5)</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loan ($17,456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10/10/2019</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+ 5.00%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17,063</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10/2024)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BlueSnap, Inc. </w:t>
            </w:r>
            <w:r>
              <w:rPr>
                <w:rFonts w:ascii="Times New Roman" w:cs="Times New Roman" w:eastAsia="Times New Roman" w:hAnsi="Times New Roman"/>
                <w:sz w:val="23"/>
                <w:szCs w:val="23"/>
                <w:color w:val="auto"/>
                <w:vertAlign w:val="superscript"/>
              </w:rPr>
              <w:t>(3)</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($35,000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10/25/2019</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+ 7.00%</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8.80%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34,273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34,531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10/2024)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G Treasury SS, LLC </w:t>
            </w:r>
            <w:r>
              <w:rPr>
                <w:rFonts w:ascii="Times New Roman" w:cs="Times New Roman" w:eastAsia="Times New Roman" w:hAnsi="Times New Roman"/>
                <w:sz w:val="23"/>
                <w:szCs w:val="23"/>
                <w:color w:val="auto"/>
                <w:vertAlign w:val="superscript"/>
              </w:rPr>
              <w:t>(3)(5)</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loan ($30,000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4/9/2018</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+ 8.25%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4/2023)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GC Agile Holdings, Ltd. </w:t>
            </w:r>
            <w:r>
              <w:rPr>
                <w:rFonts w:ascii="Times New Roman" w:cs="Times New Roman" w:eastAsia="Times New Roman" w:hAnsi="Times New Roman"/>
                <w:sz w:val="23"/>
                <w:szCs w:val="23"/>
                <w:color w:val="auto"/>
                <w:vertAlign w:val="superscript"/>
              </w:rPr>
              <w:t>(3)(4)</w:t>
            </w: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($39,724 par, due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1/31/2019</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L + 7.00%</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8.95%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39,099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39,128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6/2025)</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Kyriba Corp.</w:t>
            </w:r>
            <w:r>
              <w:rPr>
                <w:rFonts w:ascii="Times New Roman" w:cs="Times New Roman" w:eastAsia="Times New Roman" w:hAnsi="Times New Roman"/>
                <w:sz w:val="23"/>
                <w:szCs w:val="23"/>
                <w:color w:val="auto"/>
                <w:vertAlign w:val="superscript"/>
              </w:rPr>
              <w:t>(3)</w:t>
            </w:r>
          </w:p>
        </w:tc>
        <w:tc>
          <w:tcPr>
            <w:tcW w:w="248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First-lien loan ($12,717 par, due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4/9/2019</w:t>
            </w: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 + 9.00%</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10.94% (incl.</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12,866</w:t>
            </w:r>
          </w:p>
        </w:tc>
        <w:tc>
          <w:tcPr>
            <w:tcW w:w="2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4/2025)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9.00%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0" w:type="dxa"/>
            <w:vAlign w:val="bottom"/>
            <w:shd w:val="clear" w:color="auto" w:fill="CFF0FC"/>
          </w:tcPr>
          <w:p>
            <w:pPr>
              <w:spacing w:after="0"/>
              <w:rPr>
                <w:sz w:val="17"/>
                <w:szCs w:val="17"/>
                <w:color w:val="auto"/>
              </w:rPr>
            </w:pP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First-lien loan (EUR 7,571 par,</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4/9/2019</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E + 9.00%</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9.00% PIK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2"/>
        </w:trPr>
        <w:tc>
          <w:tcPr>
            <w:tcW w:w="2600" w:type="dxa"/>
            <w:vAlign w:val="bottom"/>
            <w:shd w:val="clear" w:color="auto" w:fill="CFF0FC"/>
          </w:tcPr>
          <w:p>
            <w:pPr>
              <w:spacing w:after="0"/>
              <w:rPr>
                <w:sz w:val="17"/>
                <w:szCs w:val="17"/>
                <w:color w:val="auto"/>
              </w:rPr>
            </w:pPr>
          </w:p>
        </w:tc>
        <w:tc>
          <w:tcPr>
            <w:tcW w:w="24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due 4/2025)</w:t>
            </w: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(EUR</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revolving loan ($427</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4/9/2019</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+ 7.25%</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par, due 4/2025)</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00" w:type="dxa"/>
            <w:vAlign w:val="bottom"/>
            <w:shd w:val="clear" w:color="auto" w:fill="CFF0FC"/>
          </w:tcPr>
          <w:p>
            <w:pPr>
              <w:spacing w:after="0"/>
              <w:rPr>
                <w:sz w:val="17"/>
                <w:szCs w:val="17"/>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revolving loan (EUR</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E + 7.25%</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183 par, due 4/2025)</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(EUR 54)</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PayLease, LLC </w:t>
            </w:r>
            <w:r>
              <w:rPr>
                <w:rFonts w:ascii="Times New Roman" w:cs="Times New Roman" w:eastAsia="Times New Roman" w:hAnsi="Times New Roman"/>
                <w:sz w:val="23"/>
                <w:szCs w:val="23"/>
                <w:color w:val="auto"/>
                <w:vertAlign w:val="superscript"/>
              </w:rPr>
              <w:t>(3)</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($64,327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7/28/2017</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+ 7.25%</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65,511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7/2022)</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23"/>
                <w:szCs w:val="23"/>
                <w:color w:val="auto"/>
                <w:vertAlign w:val="superscript"/>
              </w:rPr>
              <w:t>(3)</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($21,144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12/31/2018</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+ 8.50%</w:t>
            </w: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10.30% (incl.</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20,877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21,213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12/2023)</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5.50%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Swift Gift, Ltd. </w:t>
            </w:r>
            <w:r>
              <w:rPr>
                <w:rFonts w:ascii="Times New Roman" w:cs="Times New Roman" w:eastAsia="Times New Roman" w:hAnsi="Times New Roman"/>
                <w:sz w:val="23"/>
                <w:szCs w:val="23"/>
                <w:color w:val="auto"/>
                <w:vertAlign w:val="superscript"/>
              </w:rPr>
              <w:t>(3)(5)</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($28,146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7/31/2017</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+ 6.50%</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28,849</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2300" w:type="dxa"/>
            <w:vAlign w:val="bottom"/>
            <w:tcBorders>
              <w:bottom w:val="single" w:sz="8" w:color="CFF0FC"/>
            </w:tcBorders>
          </w:tcPr>
          <w:p>
            <w:pPr>
              <w:spacing w:after="0"/>
              <w:rPr>
                <w:sz w:val="18"/>
                <w:szCs w:val="18"/>
                <w:color w:val="auto"/>
              </w:rPr>
            </w:pPr>
          </w:p>
        </w:tc>
        <w:tc>
          <w:tcPr>
            <w:tcW w:w="260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6"/>
                <w:szCs w:val="16"/>
                <w:color w:val="auto"/>
              </w:rPr>
              <w:t>1/2022)</w:t>
            </w:r>
          </w:p>
        </w:tc>
        <w:tc>
          <w:tcPr>
            <w:tcW w:w="9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279,383</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283,696</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06"/>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2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Caris Life Sciences, Inc.</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($5,000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9/21/2018</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11.30%</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11.30%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9/2023)</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rPr>
                <w:sz w:val="17"/>
                <w:szCs w:val="17"/>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Convertible note ($2,500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9/21/2018</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8.00%</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9/2023)</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Clinicient, Inc.</w:t>
            </w:r>
            <w:r>
              <w:rPr>
                <w:rFonts w:ascii="Times New Roman" w:cs="Times New Roman" w:eastAsia="Times New Roman" w:hAnsi="Times New Roman"/>
                <w:sz w:val="23"/>
                <w:szCs w:val="23"/>
                <w:color w:val="auto"/>
                <w:vertAlign w:val="superscript"/>
              </w:rPr>
              <w:t>(3)</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($15,000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5/31/2019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+ 7.00%</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14,858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5/2024)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1"/>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Integrated Practice</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($49,875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6/30/2017</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+ 7.50%</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49,875</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8"/>
        </w:trPr>
        <w:tc>
          <w:tcPr>
            <w:tcW w:w="230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Solutions, Inc. </w:t>
            </w:r>
            <w:r>
              <w:rPr>
                <w:rFonts w:ascii="Times New Roman" w:cs="Times New Roman" w:eastAsia="Times New Roman" w:hAnsi="Times New Roman"/>
                <w:sz w:val="25"/>
                <w:szCs w:val="25"/>
                <w:color w:val="auto"/>
                <w:vertAlign w:val="superscript"/>
              </w:rPr>
              <w:t>(3)(5)</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10/2024)</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23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MedeAnalytics, Inc. </w:t>
            </w:r>
            <w:r>
              <w:rPr>
                <w:rFonts w:ascii="Times New Roman" w:cs="Times New Roman" w:eastAsia="Times New Roman" w:hAnsi="Times New Roman"/>
                <w:sz w:val="23"/>
                <w:szCs w:val="23"/>
                <w:color w:val="auto"/>
                <w:vertAlign w:val="superscript"/>
              </w:rPr>
              <w:t>(3)(5)</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($40,773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9/30/2015</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+ 7.50%</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9.30%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40,556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40,875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9/2020)</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Quantros, Inc. </w:t>
            </w:r>
            <w:r>
              <w:rPr>
                <w:rFonts w:ascii="Times New Roman" w:cs="Times New Roman" w:eastAsia="Times New Roman" w:hAnsi="Times New Roman"/>
                <w:sz w:val="23"/>
                <w:szCs w:val="23"/>
                <w:color w:val="auto"/>
                <w:vertAlign w:val="superscript"/>
              </w:rPr>
              <w:t>(3)(5)</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($18,444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2/29/2016</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+ 8.50%</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18,444</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12/2020)</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Valant Medical Solutions,</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($27,936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4/8/2019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+ 8.75%</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27,117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27,372</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8"/>
        </w:trPr>
        <w:tc>
          <w:tcPr>
            <w:tcW w:w="2300" w:type="dxa"/>
            <w:vAlign w:val="bottom"/>
            <w:shd w:val="clear" w:color="auto" w:fill="CFF0FC"/>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Inc. </w:t>
            </w:r>
            <w:r>
              <w:rPr>
                <w:rFonts w:ascii="Times New Roman" w:cs="Times New Roman" w:eastAsia="Times New Roman" w:hAnsi="Times New Roman"/>
                <w:sz w:val="25"/>
                <w:szCs w:val="25"/>
                <w:color w:val="auto"/>
                <w:vertAlign w:val="superscript"/>
              </w:rPr>
              <w:t>(3)</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4/2024)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Vita Bidco, Inc. </w:t>
            </w:r>
            <w:r>
              <w:rPr>
                <w:rFonts w:ascii="Times New Roman" w:cs="Times New Roman" w:eastAsia="Times New Roman" w:hAnsi="Times New Roman"/>
                <w:sz w:val="23"/>
                <w:szCs w:val="23"/>
                <w:color w:val="auto"/>
                <w:vertAlign w:val="superscript"/>
              </w:rPr>
              <w:t>(3)(5)</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($21,773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2/11/2019</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+ 6.50%</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21,773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2300" w:type="dxa"/>
            <w:vAlign w:val="bottom"/>
            <w:tcBorders>
              <w:bottom w:val="single" w:sz="8" w:color="CFF0FC"/>
            </w:tcBorders>
          </w:tcPr>
          <w:p>
            <w:pPr>
              <w:spacing w:after="0"/>
              <w:rPr>
                <w:sz w:val="18"/>
                <w:szCs w:val="18"/>
                <w:color w:val="auto"/>
              </w:rPr>
            </w:pPr>
          </w:p>
        </w:tc>
        <w:tc>
          <w:tcPr>
            <w:tcW w:w="260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6"/>
                <w:szCs w:val="16"/>
                <w:color w:val="auto"/>
              </w:rPr>
              <w:t>2/2024)</w:t>
            </w:r>
          </w:p>
        </w:tc>
        <w:tc>
          <w:tcPr>
            <w:tcW w:w="9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177,524</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180,703</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6"/>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2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3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23"/>
                <w:szCs w:val="23"/>
                <w:color w:val="auto"/>
                <w:vertAlign w:val="superscript"/>
              </w:rPr>
              <w:t>(3)(7)</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($31,600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9/29/2015</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+ 9.50%</w:t>
            </w: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11.44% (incl.</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29,746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31,047</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9/2021)</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5.00% PIK)</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rPr>
                <w:sz w:val="17"/>
                <w:szCs w:val="17"/>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revolving loan ($3,221</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9/29/2015</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+ 9.50%</w:t>
            </w: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11.44% (incl.</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2300" w:type="dxa"/>
            <w:vAlign w:val="bottom"/>
            <w:tcBorders>
              <w:bottom w:val="single" w:sz="8" w:color="CFF0FC"/>
            </w:tcBorders>
          </w:tcPr>
          <w:p>
            <w:pPr>
              <w:spacing w:after="0"/>
              <w:rPr>
                <w:sz w:val="18"/>
                <w:szCs w:val="18"/>
                <w:color w:val="auto"/>
              </w:rPr>
            </w:pPr>
          </w:p>
        </w:tc>
        <w:tc>
          <w:tcPr>
            <w:tcW w:w="260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6"/>
                <w:szCs w:val="16"/>
                <w:color w:val="auto"/>
              </w:rPr>
              <w:t>par, due 9/2021)</w:t>
            </w:r>
          </w:p>
        </w:tc>
        <w:tc>
          <w:tcPr>
            <w:tcW w:w="9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ind w:right="159"/>
              <w:spacing w:after="0"/>
              <w:rPr>
                <w:sz w:val="20"/>
                <w:szCs w:val="20"/>
                <w:color w:val="auto"/>
              </w:rPr>
            </w:pPr>
            <w:r>
              <w:rPr>
                <w:rFonts w:ascii="Times New Roman" w:cs="Times New Roman" w:eastAsia="Times New Roman" w:hAnsi="Times New Roman"/>
                <w:sz w:val="16"/>
                <w:szCs w:val="16"/>
                <w:color w:val="auto"/>
              </w:rPr>
              <w:t>5.00% PIK)</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32,967</w:t>
            </w: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34,175</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Human resource support</w:t>
            </w:r>
          </w:p>
        </w:tc>
        <w:tc>
          <w:tcPr>
            <w:tcW w:w="2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23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Absorb Software, Inc. </w:t>
            </w:r>
            <w:r>
              <w:rPr>
                <w:rFonts w:ascii="Times New Roman" w:cs="Times New Roman" w:eastAsia="Times New Roman" w:hAnsi="Times New Roman"/>
                <w:sz w:val="23"/>
                <w:szCs w:val="23"/>
                <w:color w:val="auto"/>
                <w:vertAlign w:val="superscript"/>
              </w:rPr>
              <w:t>(3)(4)(5)</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($34,837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7/31/2019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+ 6.50%</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8.30%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34,122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34,228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5/2024)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ClearCompany, LLC </w:t>
            </w:r>
            <w:r>
              <w:rPr>
                <w:rFonts w:ascii="Times New Roman" w:cs="Times New Roman" w:eastAsia="Times New Roman" w:hAnsi="Times New Roman"/>
                <w:sz w:val="23"/>
                <w:szCs w:val="23"/>
                <w:color w:val="auto"/>
                <w:vertAlign w:val="superscript"/>
              </w:rPr>
              <w:t>(3)</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($19,192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7/23/2018</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+ 8.50%</w:t>
            </w: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10.34% (incl.</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7/2023)</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2.50% PIK)</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DaySmart Holdings, LLC </w:t>
            </w:r>
            <w:r>
              <w:rPr>
                <w:rFonts w:ascii="Times New Roman" w:cs="Times New Roman" w:eastAsia="Times New Roman" w:hAnsi="Times New Roman"/>
                <w:sz w:val="23"/>
                <w:szCs w:val="23"/>
                <w:color w:val="auto"/>
                <w:vertAlign w:val="superscript"/>
              </w:rPr>
              <w:t>(3)</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($30,247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+ 7.25%</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29,370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29,456</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10/2024)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PageUp People, Ltd. </w:t>
            </w:r>
            <w:r>
              <w:rPr>
                <w:rFonts w:ascii="Times New Roman" w:cs="Times New Roman" w:eastAsia="Times New Roman" w:hAnsi="Times New Roman"/>
                <w:sz w:val="23"/>
                <w:szCs w:val="23"/>
                <w:color w:val="auto"/>
                <w:vertAlign w:val="superscript"/>
              </w:rPr>
              <w:t>(3)(4)</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(AUD 51,401 par,</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1/11/2018</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B + 7.25%</w:t>
            </w: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8.50% (incl.</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36,042</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due 12/2022)</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1.25% PIK)</w:t>
            </w:r>
          </w:p>
        </w:tc>
        <w:tc>
          <w:tcPr>
            <w:tcW w:w="760" w:type="dxa"/>
            <w:vAlign w:val="bottom"/>
          </w:tcPr>
          <w:p>
            <w:pPr>
              <w:spacing w:after="0"/>
              <w:rPr>
                <w:sz w:val="18"/>
                <w:szCs w:val="18"/>
                <w:color w:val="auto"/>
              </w:rPr>
            </w:pP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(AUD 51,273)</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00" w:type="dxa"/>
            <w:vAlign w:val="bottom"/>
            <w:shd w:val="clear" w:color="auto" w:fill="CFF0FC"/>
          </w:tcPr>
          <w:p>
            <w:pPr>
              <w:spacing w:after="0"/>
              <w:rPr>
                <w:sz w:val="17"/>
                <w:szCs w:val="17"/>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revolving loan (AUD</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1/11/2018</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B + 7.25%</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8.50%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1,000 par, due 12/2022)</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(AUD 988)</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PayScale Holdings, Inc. </w:t>
            </w:r>
            <w:r>
              <w:rPr>
                <w:rFonts w:ascii="Times New Roman" w:cs="Times New Roman" w:eastAsia="Times New Roman" w:hAnsi="Times New Roman"/>
                <w:sz w:val="23"/>
                <w:szCs w:val="23"/>
                <w:color w:val="auto"/>
                <w:vertAlign w:val="superscript"/>
              </w:rPr>
              <w:t>(3)(5)</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($39,900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5/3/2019</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+ 7.00%</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39,187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5/2024)</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3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Modern Hire, Inc. </w:t>
            </w:r>
            <w:r>
              <w:rPr>
                <w:rFonts w:ascii="Times New Roman" w:cs="Times New Roman" w:eastAsia="Times New Roman" w:hAnsi="Times New Roman"/>
                <w:sz w:val="23"/>
                <w:szCs w:val="23"/>
                <w:color w:val="auto"/>
                <w:vertAlign w:val="superscript"/>
              </w:rPr>
              <w:t>(3)(5)</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($22,388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5/15/2019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L + 7.00%</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21,879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21,940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5/2024)</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3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183,383</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180,687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2"/>
        </w:trPr>
        <w:tc>
          <w:tcPr>
            <w:tcW w:w="2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6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23"/>
                <w:szCs w:val="23"/>
                <w:color w:val="auto"/>
                <w:vertAlign w:val="superscript"/>
              </w:rPr>
              <w:t>(3)(5)</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($49,813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6/30/2017</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+ 7.00%</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49,346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50,186</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10/2023)</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30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Internet services</w:t>
            </w:r>
          </w:p>
        </w:tc>
        <w:tc>
          <w:tcPr>
            <w:tcW w:w="2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30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Gainsight, Inc. </w:t>
            </w:r>
            <w:r>
              <w:rPr>
                <w:rFonts w:ascii="Times New Roman" w:cs="Times New Roman" w:eastAsia="Times New Roman" w:hAnsi="Times New Roman"/>
                <w:sz w:val="23"/>
                <w:szCs w:val="23"/>
                <w:color w:val="auto"/>
                <w:vertAlign w:val="superscript"/>
              </w:rPr>
              <w:t>(9)</w:t>
            </w: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First-lien loan ($3,322 par, due</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7/29/2019</w:t>
            </w:r>
          </w:p>
        </w:tc>
        <w:tc>
          <w:tcPr>
            <w:tcW w:w="10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13.00%</w:t>
            </w:r>
          </w:p>
        </w:tc>
        <w:tc>
          <w:tcPr>
            <w:tcW w:w="1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13.00% PIK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230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7/2025)</w:t>
            </w:r>
          </w:p>
        </w:tc>
        <w:tc>
          <w:tcPr>
            <w:tcW w:w="9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30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Higher Logic, LLC </w:t>
            </w:r>
            <w:r>
              <w:rPr>
                <w:rFonts w:ascii="Times New Roman" w:cs="Times New Roman" w:eastAsia="Times New Roman" w:hAnsi="Times New Roman"/>
                <w:sz w:val="23"/>
                <w:szCs w:val="23"/>
                <w:color w:val="auto"/>
                <w:vertAlign w:val="superscript"/>
              </w:rPr>
              <w:t>(3)(5)</w:t>
            </w: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First-lien loan ($37,430 par, due</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6/18/2018</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L + 6.00%</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37,243</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230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1/2022)</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310"/>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Lithium Technologies, LLC </w:t>
            </w:r>
            <w:r>
              <w:rPr>
                <w:rFonts w:ascii="Times New Roman" w:cs="Times New Roman" w:eastAsia="Times New Roman" w:hAnsi="Times New Roman"/>
                <w:sz w:val="27"/>
                <w:szCs w:val="27"/>
                <w:color w:val="auto"/>
                <w:vertAlign w:val="superscript"/>
              </w:rPr>
              <w:t>(3)</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First-lien loan ($54,700 par, due</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10/3/2017</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+ 8.00%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53,888</w:t>
            </w:r>
          </w:p>
        </w:tc>
        <w:tc>
          <w:tcPr>
            <w:tcW w:w="20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53,967</w:t>
            </w:r>
          </w:p>
        </w:tc>
        <w:tc>
          <w:tcPr>
            <w:tcW w:w="20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10/2022)</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23"/>
                <w:szCs w:val="23"/>
                <w:color w:val="auto"/>
                <w:vertAlign w:val="superscript"/>
              </w:rPr>
              <w:t>(9)</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First-lien loan ($12,018 par, due</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7/31/2019</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12.00%</w:t>
            </w: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12.00% (incl.</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244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7/2024)</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jc w:val="right"/>
              <w:ind w:right="179"/>
              <w:spacing w:after="0"/>
              <w:rPr>
                <w:sz w:val="20"/>
                <w:szCs w:val="20"/>
                <w:color w:val="auto"/>
              </w:rPr>
            </w:pPr>
            <w:r>
              <w:rPr>
                <w:rFonts w:ascii="Times New Roman" w:cs="Times New Roman" w:eastAsia="Times New Roman" w:hAnsi="Times New Roman"/>
                <w:sz w:val="16"/>
                <w:szCs w:val="16"/>
                <w:color w:val="auto"/>
              </w:rPr>
              <w:t>7.00% PIK)</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2"/>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106,056</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106,435</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Marketing Services</w:t>
            </w:r>
          </w:p>
        </w:tc>
        <w:tc>
          <w:tcPr>
            <w:tcW w:w="2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Acoustic, L.P. </w:t>
            </w:r>
            <w:r>
              <w:rPr>
                <w:rFonts w:ascii="Times New Roman" w:cs="Times New Roman" w:eastAsia="Times New Roman" w:hAnsi="Times New Roman"/>
                <w:sz w:val="23"/>
                <w:szCs w:val="23"/>
                <w:color w:val="auto"/>
                <w:vertAlign w:val="superscript"/>
              </w:rPr>
              <w:t>(3)</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First-lien note ($33,000 par, due</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12/17/2019</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+ 7.00%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8.80%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32,230</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32,175</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6/2024)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Office products</w:t>
            </w:r>
          </w:p>
        </w:tc>
        <w:tc>
          <w:tcPr>
            <w:tcW w:w="2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4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23"/>
                <w:szCs w:val="23"/>
                <w:color w:val="auto"/>
                <w:vertAlign w:val="superscript"/>
              </w:rPr>
              <w:t>(3)(5)</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ABL FILO term loan ($11,500</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9/12/2017</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11,338</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par, due 9/2022)</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gas and consumable fuels</w:t>
            </w:r>
          </w:p>
        </w:tc>
        <w:tc>
          <w:tcPr>
            <w:tcW w:w="2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4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Energy Alloys, LLC </w:t>
            </w:r>
            <w:r>
              <w:rPr>
                <w:rFonts w:ascii="Times New Roman" w:cs="Times New Roman" w:eastAsia="Times New Roman" w:hAnsi="Times New Roman"/>
                <w:sz w:val="23"/>
                <w:szCs w:val="23"/>
                <w:color w:val="auto"/>
                <w:vertAlign w:val="superscript"/>
              </w:rPr>
              <w:t>(3)(5)</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ABL FILO term loan ($22,000</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8/28/2019</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+ 6.25%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21,171</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par, due 8/2024)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MD America Energy, LLC </w:t>
            </w:r>
            <w:r>
              <w:rPr>
                <w:rFonts w:ascii="Times New Roman" w:cs="Times New Roman" w:eastAsia="Times New Roman" w:hAnsi="Times New Roman"/>
                <w:sz w:val="23"/>
                <w:szCs w:val="23"/>
                <w:color w:val="auto"/>
                <w:vertAlign w:val="superscript"/>
              </w:rPr>
              <w:t>(3)</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First-lien loan ($19,069 par, due</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11/14/2018</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2440" w:type="dxa"/>
            <w:vAlign w:val="bottom"/>
          </w:tcPr>
          <w:p>
            <w:pPr>
              <w:spacing w:after="0"/>
              <w:rPr>
                <w:sz w:val="18"/>
                <w:szCs w:val="18"/>
                <w:color w:val="auto"/>
              </w:rPr>
            </w:pP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11/2023)</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Mississippi Resources, LLC </w:t>
            </w:r>
            <w:r>
              <w:rPr>
                <w:rFonts w:ascii="Times New Roman" w:cs="Times New Roman" w:eastAsia="Times New Roman" w:hAnsi="Times New Roman"/>
                <w:sz w:val="23"/>
                <w:szCs w:val="23"/>
                <w:color w:val="auto"/>
                <w:vertAlign w:val="superscript"/>
              </w:rPr>
              <w:t>(3)(7)</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First-lien loan ($8,000 par, due</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6/29/2018</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+ 9.00%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6/2020)</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1"/>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Verdad Resources Intermediate</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First-lien loan ($42,222 par, due</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4/10/2019</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+ 7.50%</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41,257</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8"/>
        </w:trPr>
        <w:tc>
          <w:tcPr>
            <w:tcW w:w="2440" w:type="dxa"/>
            <w:vAlign w:val="bottom"/>
            <w:tcBorders>
              <w:bottom w:val="single" w:sz="8" w:color="CFF0FC"/>
            </w:tcBorders>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Holdings, LLC </w:t>
            </w:r>
            <w:r>
              <w:rPr>
                <w:rFonts w:ascii="Times New Roman" w:cs="Times New Roman" w:eastAsia="Times New Roman" w:hAnsi="Times New Roman"/>
                <w:sz w:val="25"/>
                <w:szCs w:val="25"/>
                <w:color w:val="auto"/>
                <w:vertAlign w:val="superscript"/>
              </w:rPr>
              <w:t>(3)</w:t>
            </w:r>
          </w:p>
        </w:tc>
        <w:tc>
          <w:tcPr>
            <w:tcW w:w="2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10/2023)</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09"/>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89,262</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89,247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Pharmaceuticals</w:t>
            </w:r>
          </w:p>
        </w:tc>
        <w:tc>
          <w:tcPr>
            <w:tcW w:w="2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Nektar Therapeutics </w:t>
            </w:r>
            <w:r>
              <w:rPr>
                <w:rFonts w:ascii="Times New Roman" w:cs="Times New Roman" w:eastAsia="Times New Roman" w:hAnsi="Times New Roman"/>
                <w:sz w:val="23"/>
                <w:szCs w:val="23"/>
                <w:color w:val="auto"/>
                <w:vertAlign w:val="superscript"/>
              </w:rPr>
              <w:t>(4)(5)(9)</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Secured note ($74,950 par, due</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10/5/2015</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7.75%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74,774</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76,074</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10/2020)</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TherapeuticsMD, Inc. </w:t>
            </w:r>
            <w:r>
              <w:rPr>
                <w:rFonts w:ascii="Times New Roman" w:cs="Times New Roman" w:eastAsia="Times New Roman" w:hAnsi="Times New Roman"/>
                <w:sz w:val="23"/>
                <w:szCs w:val="23"/>
                <w:color w:val="auto"/>
                <w:vertAlign w:val="superscript"/>
              </w:rPr>
              <w:t>(3)(4)</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First-lien loan ($30,000 par, due</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4/24/2019</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29,333</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244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3/2024)</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104,107</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105,174</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ResMan, LLC </w:t>
            </w:r>
            <w:r>
              <w:rPr>
                <w:rFonts w:ascii="Times New Roman" w:cs="Times New Roman" w:eastAsia="Times New Roman" w:hAnsi="Times New Roman"/>
                <w:sz w:val="23"/>
                <w:szCs w:val="23"/>
                <w:color w:val="auto"/>
                <w:vertAlign w:val="superscript"/>
              </w:rPr>
              <w:t>(3)</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First-lien loan ($20,648 par, due</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10/3/2019</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+ 8.00%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20,208</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20,303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10/2024)</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Retail and consumer products</w:t>
            </w:r>
          </w:p>
        </w:tc>
        <w:tc>
          <w:tcPr>
            <w:tcW w:w="2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4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23"/>
                <w:szCs w:val="23"/>
                <w:color w:val="auto"/>
                <w:vertAlign w:val="superscript"/>
              </w:rPr>
              <w:t>(3)</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ABL FILO term loan ($32,500</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9/6/2017</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+ 7.75%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32,303</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par, due 4/2021)</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1"/>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American Achievement,</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First-lien loan ($22,619 par, due</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9/30/2015</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+ 8.25%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22,167</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5"/>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Corp. </w:t>
            </w:r>
            <w:r>
              <w:rPr>
                <w:rFonts w:ascii="Times New Roman" w:cs="Times New Roman" w:eastAsia="Times New Roman" w:hAnsi="Times New Roman"/>
                <w:sz w:val="13"/>
                <w:szCs w:val="13"/>
                <w:color w:val="auto"/>
              </w:rPr>
              <w:t>(3)(5)</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9/2022)</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Forever 21, Inc. </w:t>
            </w:r>
            <w:r>
              <w:rPr>
                <w:rFonts w:ascii="Times New Roman" w:cs="Times New Roman" w:eastAsia="Times New Roman" w:hAnsi="Times New Roman"/>
                <w:sz w:val="23"/>
                <w:szCs w:val="23"/>
                <w:color w:val="auto"/>
                <w:vertAlign w:val="superscript"/>
              </w:rPr>
              <w:t>(3)</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ABL DIP term loan ($50,000 par,</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10/2/2019</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+ 12.00%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48,970</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48,500</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due 7/2020)</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1"/>
        </w:trPr>
        <w:tc>
          <w:tcPr>
            <w:tcW w:w="2440" w:type="dxa"/>
            <w:vAlign w:val="bottom"/>
          </w:tcPr>
          <w:p>
            <w:pPr>
              <w:spacing w:after="0" w:line="201" w:lineRule="exact"/>
              <w:rPr>
                <w:sz w:val="20"/>
                <w:szCs w:val="20"/>
                <w:color w:val="auto"/>
              </w:rPr>
            </w:pPr>
            <w:r>
              <w:rPr>
                <w:rFonts w:ascii="Times New Roman" w:cs="Times New Roman" w:eastAsia="Times New Roman" w:hAnsi="Times New Roman"/>
                <w:sz w:val="14"/>
                <w:szCs w:val="14"/>
                <w:color w:val="auto"/>
              </w:rPr>
              <w:t xml:space="preserve">J.C. Penney Company, Inc. </w:t>
            </w:r>
            <w:r>
              <w:rPr>
                <w:rFonts w:ascii="Times New Roman" w:cs="Times New Roman" w:eastAsia="Times New Roman" w:hAnsi="Times New Roman"/>
                <w:sz w:val="23"/>
                <w:szCs w:val="23"/>
                <w:color w:val="auto"/>
                <w:vertAlign w:val="superscript"/>
              </w:rPr>
              <w:t>(4)(11)</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First-lien loan ($6,201 par, due</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6/5/2019</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+ 4.25%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8"/>
        </w:trPr>
        <w:tc>
          <w:tcPr>
            <w:tcW w:w="2440" w:type="dxa"/>
            <w:vAlign w:val="bottom"/>
          </w:tcPr>
          <w:p>
            <w:pPr>
              <w:spacing w:after="0"/>
              <w:rPr>
                <w:sz w:val="18"/>
                <w:szCs w:val="18"/>
                <w:color w:val="auto"/>
              </w:rPr>
            </w:pPr>
          </w:p>
        </w:tc>
        <w:tc>
          <w:tcPr>
            <w:tcW w:w="2560" w:type="dxa"/>
            <w:vAlign w:val="bottom"/>
          </w:tcPr>
          <w:p>
            <w:pPr>
              <w:ind w:left="240"/>
              <w:spacing w:after="0" w:line="217" w:lineRule="exact"/>
              <w:rPr>
                <w:sz w:val="20"/>
                <w:szCs w:val="20"/>
                <w:color w:val="auto"/>
              </w:rPr>
            </w:pPr>
            <w:r>
              <w:rPr>
                <w:rFonts w:ascii="Times New Roman" w:cs="Times New Roman" w:eastAsia="Times New Roman" w:hAnsi="Times New Roman"/>
                <w:sz w:val="15"/>
                <w:szCs w:val="15"/>
                <w:color w:val="auto"/>
              </w:rPr>
              <w:t>6/2023)</w:t>
            </w:r>
            <w:r>
              <w:rPr>
                <w:rFonts w:ascii="Times New Roman" w:cs="Times New Roman" w:eastAsia="Times New Roman" w:hAnsi="Times New Roman"/>
                <w:sz w:val="25"/>
                <w:szCs w:val="25"/>
                <w:color w:val="auto"/>
                <w:vertAlign w:val="superscript"/>
              </w:rPr>
              <w:t>(3)</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2440" w:type="dxa"/>
            <w:vAlign w:val="bottom"/>
            <w:shd w:val="clear" w:color="auto" w:fill="CFF0FC"/>
          </w:tcPr>
          <w:p>
            <w:pPr>
              <w:spacing w:after="0"/>
              <w:rPr>
                <w:sz w:val="17"/>
                <w:szCs w:val="17"/>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First-lien secured note ($11,559</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6/5/2019</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5.88%</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9,761</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9,911</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par, due 7/2023)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Maurices, Inc. </w:t>
            </w:r>
            <w:r>
              <w:rPr>
                <w:rFonts w:ascii="Times New Roman" w:cs="Times New Roman" w:eastAsia="Times New Roman" w:hAnsi="Times New Roman"/>
                <w:sz w:val="23"/>
                <w:szCs w:val="23"/>
                <w:color w:val="auto"/>
                <w:vertAlign w:val="superscript"/>
              </w:rPr>
              <w:t>(3)(5)</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ABL FILO term loan ($27,778</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5/6/2019</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+ 6.50%</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28,958</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2440" w:type="dxa"/>
            <w:vAlign w:val="bottom"/>
          </w:tcPr>
          <w:p>
            <w:pPr>
              <w:spacing w:after="0"/>
              <w:rPr>
                <w:sz w:val="18"/>
                <w:szCs w:val="18"/>
                <w:color w:val="auto"/>
              </w:rPr>
            </w:pP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par, due 5/2024)</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Moran Foods, LLC </w:t>
            </w:r>
            <w:r>
              <w:rPr>
                <w:rFonts w:ascii="Times New Roman" w:cs="Times New Roman" w:eastAsia="Times New Roman" w:hAnsi="Times New Roman"/>
                <w:sz w:val="23"/>
                <w:szCs w:val="23"/>
                <w:color w:val="auto"/>
                <w:vertAlign w:val="superscript"/>
              </w:rPr>
              <w:t>(3)</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ABL FILO term loan ($39,138</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6/21/2019</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+ 6.75%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38,750</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39,138</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par, due 12/2021)</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1"/>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Neiman Marcus Group</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ABL FILO term loan ($72,000</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9/11/2019</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+ 6.00%</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71,086</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71,100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8"/>
        </w:trPr>
        <w:tc>
          <w:tcPr>
            <w:tcW w:w="2440" w:type="dxa"/>
            <w:vAlign w:val="bottom"/>
          </w:tcPr>
          <w:p>
            <w:pPr>
              <w:ind w:left="120"/>
              <w:spacing w:after="0" w:line="217" w:lineRule="exact"/>
              <w:rPr>
                <w:sz w:val="20"/>
                <w:szCs w:val="20"/>
                <w:color w:val="auto"/>
              </w:rPr>
            </w:pPr>
            <w:r>
              <w:rPr>
                <w:rFonts w:ascii="Times New Roman" w:cs="Times New Roman" w:eastAsia="Times New Roman" w:hAnsi="Times New Roman"/>
                <w:sz w:val="15"/>
                <w:szCs w:val="15"/>
                <w:color w:val="auto"/>
              </w:rPr>
              <w:t xml:space="preserve">Ltd., LLC </w:t>
            </w:r>
            <w:r>
              <w:rPr>
                <w:rFonts w:ascii="Times New Roman" w:cs="Times New Roman" w:eastAsia="Times New Roman" w:hAnsi="Times New Roman"/>
                <w:sz w:val="25"/>
                <w:szCs w:val="25"/>
                <w:color w:val="auto"/>
                <w:vertAlign w:val="superscript"/>
              </w:rPr>
              <w:t>(3)</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par, due 7/2021)</w:t>
            </w: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1"/>
        </w:trPr>
        <w:tc>
          <w:tcPr>
            <w:tcW w:w="2440" w:type="dxa"/>
            <w:vAlign w:val="bottom"/>
            <w:shd w:val="clear" w:color="auto" w:fill="CFF0FC"/>
          </w:tcPr>
          <w:p>
            <w:pPr>
              <w:spacing w:after="0"/>
              <w:rPr>
                <w:sz w:val="17"/>
                <w:szCs w:val="17"/>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First-lien loan ($996 par, due</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9/12/2019</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+ 6.00%</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8"/>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line="217" w:lineRule="exact"/>
              <w:rPr>
                <w:sz w:val="20"/>
                <w:szCs w:val="20"/>
                <w:color w:val="auto"/>
              </w:rPr>
            </w:pPr>
            <w:r>
              <w:rPr>
                <w:rFonts w:ascii="Times New Roman" w:cs="Times New Roman" w:eastAsia="Times New Roman" w:hAnsi="Times New Roman"/>
                <w:sz w:val="15"/>
                <w:szCs w:val="15"/>
                <w:color w:val="auto"/>
              </w:rPr>
              <w:t xml:space="preserve">10/2023) </w:t>
            </w:r>
            <w:r>
              <w:rPr>
                <w:rFonts w:ascii="Times New Roman" w:cs="Times New Roman" w:eastAsia="Times New Roman" w:hAnsi="Times New Roman"/>
                <w:sz w:val="25"/>
                <w:szCs w:val="25"/>
                <w:color w:val="auto"/>
                <w:vertAlign w:val="superscript"/>
              </w:rPr>
              <w:t>(11)</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Transform SR Holdings, LLC </w:t>
            </w:r>
            <w:r>
              <w:rPr>
                <w:rFonts w:ascii="Times New Roman" w:cs="Times New Roman" w:eastAsia="Times New Roman" w:hAnsi="Times New Roman"/>
                <w:sz w:val="23"/>
                <w:szCs w:val="23"/>
                <w:color w:val="auto"/>
                <w:vertAlign w:val="superscript"/>
              </w:rPr>
              <w:t>(3)</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ABL FILO term loan ($75,000</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2/11/2019</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L + 7.25%</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74,359</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75,750</w:t>
            </w: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244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par, due 2/2024)</w:t>
            </w:r>
          </w:p>
        </w:tc>
        <w:tc>
          <w:tcPr>
            <w:tcW w:w="9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r>
      <w:tr>
        <w:trPr>
          <w:trHeight w:val="213"/>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330,940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334,375</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07"/>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2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4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4"/>
                <w:szCs w:val="14"/>
                <w:color w:val="auto"/>
              </w:rPr>
              <w:t xml:space="preserve">Ferrellgas, L.P. </w:t>
            </w:r>
            <w:r>
              <w:rPr>
                <w:rFonts w:ascii="Times New Roman" w:cs="Times New Roman" w:eastAsia="Times New Roman" w:hAnsi="Times New Roman"/>
                <w:sz w:val="23"/>
                <w:szCs w:val="23"/>
                <w:color w:val="auto"/>
                <w:vertAlign w:val="superscript"/>
              </w:rPr>
              <w:t>(3)(4)(5)</w:t>
            </w: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First-lien loan ($85,159 par, due</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5/4/2018</w:t>
            </w:r>
          </w:p>
        </w:tc>
        <w:tc>
          <w:tcPr>
            <w:tcW w:w="11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L + 5.75%</w:t>
            </w: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83,994</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90,053</w:t>
            </w: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5/2023)</w:t>
            </w: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256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1120" w:type="dxa"/>
            <w:vAlign w:val="bottom"/>
            <w:tcBorders>
              <w:bottom w:val="single" w:sz="8" w:color="CFF0FC"/>
            </w:tcBorders>
          </w:tcPr>
          <w:p>
            <w:pPr>
              <w:spacing w:after="0"/>
              <w:rPr>
                <w:sz w:val="17"/>
                <w:szCs w:val="17"/>
                <w:color w:val="auto"/>
              </w:rPr>
            </w:pPr>
          </w:p>
        </w:tc>
        <w:tc>
          <w:tcPr>
            <w:tcW w:w="136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2,150,478</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2,182,815</w:t>
            </w:r>
          </w:p>
        </w:tc>
        <w:tc>
          <w:tcPr>
            <w:tcW w:w="2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2"/>
        </w:trPr>
        <w:tc>
          <w:tcPr>
            <w:tcW w:w="244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and Other Investments</w:t>
            </w:r>
          </w:p>
        </w:tc>
        <w:tc>
          <w:tcPr>
            <w:tcW w:w="2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2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4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AFS Technologies, Inc. </w:t>
            </w:r>
            <w:r>
              <w:rPr>
                <w:rFonts w:ascii="Times New Roman" w:cs="Times New Roman" w:eastAsia="Times New Roman" w:hAnsi="Times New Roman"/>
                <w:sz w:val="25"/>
                <w:szCs w:val="25"/>
                <w:color w:val="auto"/>
                <w:vertAlign w:val="superscript"/>
              </w:rPr>
              <w:t>(6)(13)</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Preferred Units (4,441,090 units)</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10/16/2018</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2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363"/>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Motus, LLC </w:t>
            </w:r>
            <w:r>
              <w:rPr>
                <w:rFonts w:ascii="Times New Roman" w:cs="Times New Roman" w:eastAsia="Times New Roman" w:hAnsi="Times New Roman"/>
                <w:sz w:val="27"/>
                <w:szCs w:val="27"/>
                <w:color w:val="auto"/>
                <w:vertAlign w:val="superscript"/>
              </w:rPr>
              <w:t>(13)</w:t>
            </w:r>
          </w:p>
        </w:tc>
        <w:tc>
          <w:tcPr>
            <w:tcW w:w="2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A Units (1,262 units)</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1/17/2018</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bl>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244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Class B Units (517,020 units)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1/17/2018</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6"/>
        </w:trPr>
        <w:tc>
          <w:tcPr>
            <w:tcW w:w="24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Nintex Global, Ltd. </w:t>
            </w:r>
            <w:r>
              <w:rPr>
                <w:rFonts w:ascii="Times New Roman" w:cs="Times New Roman" w:eastAsia="Times New Roman" w:hAnsi="Times New Roman"/>
                <w:sz w:val="25"/>
                <w:szCs w:val="25"/>
                <w:color w:val="auto"/>
                <w:vertAlign w:val="superscript"/>
              </w:rPr>
              <w:t>(13)</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Class A Shares (1,197 shares)</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3/30/2018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244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Class B Shares (398,557 shares)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3/30/2018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2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2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Chemicals</w:t>
            </w:r>
          </w:p>
        </w:tc>
        <w:tc>
          <w:tcPr>
            <w:tcW w:w="266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4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Vertellus Specialties, Inc. </w:t>
            </w:r>
            <w:r>
              <w:rPr>
                <w:rFonts w:ascii="Times New Roman" w:cs="Times New Roman" w:eastAsia="Times New Roman" w:hAnsi="Times New Roman"/>
                <w:sz w:val="25"/>
                <w:szCs w:val="25"/>
                <w:color w:val="auto"/>
                <w:vertAlign w:val="superscript"/>
              </w:rPr>
              <w:t>(13)(14)</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Units (3,386,630 units)</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10/31/2016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6"/>
        </w:trPr>
        <w:tc>
          <w:tcPr>
            <w:tcW w:w="2440" w:type="dxa"/>
            <w:vAlign w:val="bottom"/>
            <w:shd w:val="clear" w:color="auto" w:fill="CFF0FC"/>
          </w:tcPr>
          <w:p>
            <w:pPr>
              <w:spacing w:after="0"/>
              <w:rPr>
                <w:sz w:val="18"/>
                <w:szCs w:val="18"/>
                <w:color w:val="auto"/>
              </w:rPr>
            </w:pPr>
          </w:p>
        </w:tc>
        <w:tc>
          <w:tcPr>
            <w:tcW w:w="266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2440" w:type="dxa"/>
            <w:vAlign w:val="bottom"/>
            <w:shd w:val="clear" w:color="auto" w:fill="CFF0FC"/>
          </w:tcPr>
          <w:p>
            <w:pPr>
              <w:spacing w:after="0" w:line="217" w:lineRule="exact"/>
              <w:rPr>
                <w:sz w:val="20"/>
                <w:szCs w:val="20"/>
                <w:color w:val="auto"/>
              </w:rPr>
            </w:pPr>
            <w:r>
              <w:rPr>
                <w:rFonts w:ascii="Times New Roman" w:cs="Times New Roman" w:eastAsia="Times New Roman" w:hAnsi="Times New Roman"/>
                <w:sz w:val="15"/>
                <w:szCs w:val="15"/>
                <w:color w:val="auto"/>
              </w:rPr>
              <w:t xml:space="preserve">AvidXchange, Inc. </w:t>
            </w:r>
            <w:r>
              <w:rPr>
                <w:rFonts w:ascii="Times New Roman" w:cs="Times New Roman" w:eastAsia="Times New Roman" w:hAnsi="Times New Roman"/>
                <w:sz w:val="25"/>
                <w:szCs w:val="25"/>
                <w:color w:val="auto"/>
                <w:vertAlign w:val="superscript"/>
              </w:rPr>
              <w:t>(14)</w:t>
            </w: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Preferred Shares (293,232 shares)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10/1/2019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14,423</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14,423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1"/>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Oxford Square Capital</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Shares (1,059 shares)</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8/5/2015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5"/>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Corp. </w:t>
            </w:r>
            <w:r>
              <w:rPr>
                <w:rFonts w:ascii="Times New Roman" w:cs="Times New Roman" w:eastAsia="Times New Roman" w:hAnsi="Times New Roman"/>
                <w:sz w:val="13"/>
                <w:szCs w:val="13"/>
                <w:color w:val="auto"/>
              </w:rPr>
              <w:t>(4)(12)</w:t>
            </w: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Swift Gift, Ltd. </w:t>
            </w:r>
            <w:r>
              <w:rPr>
                <w:rFonts w:ascii="Times New Roman" w:cs="Times New Roman" w:eastAsia="Times New Roman" w:hAnsi="Times New Roman"/>
                <w:sz w:val="25"/>
                <w:szCs w:val="25"/>
                <w:color w:val="auto"/>
                <w:vertAlign w:val="superscript"/>
              </w:rPr>
              <w:t>(13)</w:t>
            </w: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Common Shares (35,000 shares)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7/31/2017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
        </w:trPr>
        <w:tc>
          <w:tcPr>
            <w:tcW w:w="2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2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2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266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24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Caris Life Sciences, Inc. </w:t>
            </w:r>
            <w:r>
              <w:rPr>
                <w:rFonts w:ascii="Times New Roman" w:cs="Times New Roman" w:eastAsia="Times New Roman" w:hAnsi="Times New Roman"/>
                <w:sz w:val="25"/>
                <w:szCs w:val="25"/>
                <w:color w:val="auto"/>
                <w:vertAlign w:val="superscript"/>
              </w:rPr>
              <w:t>(13)</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633,376 Warrants</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9/21/2018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6"/>
        </w:trPr>
        <w:tc>
          <w:tcPr>
            <w:tcW w:w="24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5"/>
                <w:szCs w:val="15"/>
                <w:color w:val="auto"/>
              </w:rPr>
              <w:t xml:space="preserve">Quantros, Inc. </w:t>
            </w:r>
            <w:r>
              <w:rPr>
                <w:rFonts w:ascii="Times New Roman" w:cs="Times New Roman" w:eastAsia="Times New Roman" w:hAnsi="Times New Roman"/>
                <w:sz w:val="25"/>
                <w:szCs w:val="25"/>
                <w:color w:val="auto"/>
                <w:vertAlign w:val="superscript"/>
              </w:rPr>
              <w:t>(13)(14)</w:t>
            </w: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4,685,068 Warrants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10/7/2019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1"/>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Valant Medical Solutions,</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954,478 Warrants</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4/8/2019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5"/>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(13)(14)(15)</w:t>
            </w: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40" w:type="dxa"/>
            <w:vAlign w:val="bottom"/>
            <w:shd w:val="clear" w:color="auto" w:fill="CFF0FC"/>
          </w:tcPr>
          <w:p>
            <w:pPr>
              <w:spacing w:after="0" w:line="219" w:lineRule="exact"/>
              <w:rPr>
                <w:sz w:val="20"/>
                <w:szCs w:val="20"/>
                <w:color w:val="auto"/>
              </w:rPr>
            </w:pPr>
            <w:r>
              <w:rPr>
                <w:rFonts w:ascii="Times New Roman" w:cs="Times New Roman" w:eastAsia="Times New Roman" w:hAnsi="Times New Roman"/>
                <w:sz w:val="15"/>
                <w:szCs w:val="15"/>
                <w:color w:val="auto"/>
              </w:rPr>
              <w:t xml:space="preserve">Vita Topco, Inc. </w:t>
            </w:r>
            <w:r>
              <w:rPr>
                <w:rFonts w:ascii="Times New Roman" w:cs="Times New Roman" w:eastAsia="Times New Roman" w:hAnsi="Times New Roman"/>
                <w:sz w:val="25"/>
                <w:szCs w:val="25"/>
                <w:color w:val="auto"/>
                <w:vertAlign w:val="superscript"/>
              </w:rPr>
              <w:t>(13)(14)(15)</w:t>
            </w: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Common Shares (1,000 shares)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2/11/2019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2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7"/>
        </w:trPr>
        <w:tc>
          <w:tcPr>
            <w:tcW w:w="2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2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266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1"/>
        </w:trPr>
        <w:tc>
          <w:tcPr>
            <w:tcW w:w="2440" w:type="dxa"/>
            <w:vAlign w:val="bottom"/>
          </w:tcPr>
          <w:p>
            <w:pPr>
              <w:spacing w:after="0" w:line="201" w:lineRule="exact"/>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23"/>
                <w:szCs w:val="23"/>
                <w:color w:val="auto"/>
                <w:vertAlign w:val="superscript"/>
              </w:rPr>
              <w:t>(7)(13)</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Class A Units (29,440,171 units)</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12/21/2018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21,813</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177"/>
        </w:trPr>
        <w:tc>
          <w:tcPr>
            <w:tcW w:w="2440" w:type="dxa"/>
            <w:vAlign w:val="bottom"/>
          </w:tcPr>
          <w:p>
            <w:pPr>
              <w:spacing w:after="0"/>
              <w:rPr>
                <w:sz w:val="15"/>
                <w:szCs w:val="15"/>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(14)</w:t>
            </w:r>
          </w:p>
        </w:tc>
        <w:tc>
          <w:tcPr>
            <w:tcW w:w="3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3"/>
        </w:trPr>
        <w:tc>
          <w:tcPr>
            <w:tcW w:w="244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Class C-1 Units (8,800,000 units)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12/21/2018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2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196"/>
        </w:trPr>
        <w:tc>
          <w:tcPr>
            <w:tcW w:w="2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Human resource support</w:t>
            </w:r>
          </w:p>
        </w:tc>
        <w:tc>
          <w:tcPr>
            <w:tcW w:w="2660" w:type="dxa"/>
            <w:vAlign w:val="bottom"/>
            <w:tcBorders>
              <w:top w:val="single" w:sz="8" w:color="CFF0FC"/>
            </w:tcBorders>
            <w:shd w:val="clear" w:color="auto" w:fill="CFF0FC"/>
          </w:tcPr>
          <w:p>
            <w:pPr>
              <w:spacing w:after="0"/>
              <w:rPr>
                <w:sz w:val="17"/>
                <w:szCs w:val="17"/>
                <w:color w:val="auto"/>
              </w:rPr>
            </w:pPr>
          </w:p>
        </w:tc>
        <w:tc>
          <w:tcPr>
            <w:tcW w:w="33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8"/>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66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244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 xml:space="preserve">ClearCompany, LLC </w:t>
            </w:r>
            <w:r>
              <w:rPr>
                <w:rFonts w:ascii="Times New Roman" w:cs="Times New Roman" w:eastAsia="Times New Roman" w:hAnsi="Times New Roman"/>
                <w:sz w:val="25"/>
                <w:szCs w:val="25"/>
                <w:color w:val="auto"/>
                <w:vertAlign w:val="superscript"/>
              </w:rPr>
              <w:t>(13)(15)</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Class A Units (44,944 units)</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8/24/2018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1"/>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DaySmart Holdings,</w:t>
            </w: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Class A Units (125,810 units)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10/1/2019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5"/>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13"/>
                <w:szCs w:val="13"/>
                <w:color w:val="auto"/>
              </w:rPr>
              <w:t>(13)(14)(15)</w:t>
            </w:r>
          </w:p>
        </w:tc>
        <w:tc>
          <w:tcPr>
            <w:tcW w:w="266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2"/>
        </w:trPr>
        <w:tc>
          <w:tcPr>
            <w:tcW w:w="2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266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23"/>
                <w:szCs w:val="23"/>
                <w:color w:val="auto"/>
                <w:vertAlign w:val="superscript"/>
              </w:rPr>
              <w:t>(13)</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Shares Class A (1,020</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6/30/2017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244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units)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440" w:type="dxa"/>
            <w:vAlign w:val="bottom"/>
            <w:shd w:val="clear" w:color="auto" w:fill="CFF0FC"/>
          </w:tcPr>
          <w:p>
            <w:pPr>
              <w:spacing w:after="0"/>
              <w:rPr>
                <w:sz w:val="17"/>
                <w:szCs w:val="17"/>
                <w:color w:val="auto"/>
              </w:rPr>
            </w:pP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Common Shares Class B (987,929</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6/30/2017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244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units)</w:t>
            </w: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0"/>
        </w:trPr>
        <w:tc>
          <w:tcPr>
            <w:tcW w:w="2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2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Internet Services</w:t>
            </w:r>
          </w:p>
        </w:tc>
        <w:tc>
          <w:tcPr>
            <w:tcW w:w="2660" w:type="dxa"/>
            <w:vAlign w:val="bottom"/>
            <w:tcBorders>
              <w:top w:val="single" w:sz="8" w:color="CFF0FC"/>
            </w:tcBorders>
            <w:shd w:val="clear" w:color="auto" w:fill="CFF0FC"/>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02"/>
        </w:trPr>
        <w:tc>
          <w:tcPr>
            <w:tcW w:w="244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Lucidworks, Inc. </w:t>
            </w:r>
            <w:r>
              <w:rPr>
                <w:rFonts w:ascii="Times New Roman" w:cs="Times New Roman" w:eastAsia="Times New Roman" w:hAnsi="Times New Roman"/>
                <w:sz w:val="23"/>
                <w:szCs w:val="23"/>
                <w:color w:val="auto"/>
                <w:vertAlign w:val="superscript"/>
              </w:rPr>
              <w:t>(13)(14)</w:t>
            </w: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Series F Preferred Shares (199,054</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8/2/2019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244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244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Marketing services</w:t>
            </w: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2440" w:type="dxa"/>
            <w:vAlign w:val="bottom"/>
            <w:shd w:val="clear" w:color="auto" w:fill="CFF0FC"/>
          </w:tcPr>
          <w:p>
            <w:pPr>
              <w:spacing w:after="0" w:line="204"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23"/>
                <w:szCs w:val="23"/>
                <w:color w:val="auto"/>
                <w:vertAlign w:val="superscript"/>
              </w:rPr>
              <w:t>(13)</w:t>
            </w: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Series A Preferred Shares</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5/31/2018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244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(3,840,000 shares)</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4"/>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Oil, gas and consumable fuels</w:t>
            </w: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Mississippi Resources,</w:t>
            </w: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Class A-0 Member Units (1,000</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12/12/2019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8"/>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13"/>
                <w:szCs w:val="13"/>
                <w:color w:val="auto"/>
              </w:rPr>
              <w:t>(7)(13)</w:t>
            </w:r>
          </w:p>
        </w:tc>
        <w:tc>
          <w:tcPr>
            <w:tcW w:w="2660" w:type="dxa"/>
            <w:vAlign w:val="bottom"/>
            <w:shd w:val="clear" w:color="auto" w:fill="CFF0FC"/>
          </w:tcPr>
          <w:p>
            <w:pPr>
              <w:ind w:left="300"/>
              <w:spacing w:after="0" w:line="217" w:lineRule="exact"/>
              <w:rPr>
                <w:sz w:val="20"/>
                <w:szCs w:val="20"/>
                <w:color w:val="auto"/>
              </w:rPr>
            </w:pPr>
            <w:r>
              <w:rPr>
                <w:rFonts w:ascii="Times New Roman" w:cs="Times New Roman" w:eastAsia="Times New Roman" w:hAnsi="Times New Roman"/>
                <w:sz w:val="15"/>
                <w:szCs w:val="15"/>
                <w:color w:val="auto"/>
              </w:rPr>
              <w:t xml:space="preserve">units) </w:t>
            </w:r>
            <w:r>
              <w:rPr>
                <w:rFonts w:ascii="Times New Roman" w:cs="Times New Roman" w:eastAsia="Times New Roman" w:hAnsi="Times New Roman"/>
                <w:sz w:val="25"/>
                <w:szCs w:val="25"/>
                <w:color w:val="auto"/>
                <w:vertAlign w:val="superscript"/>
              </w:rPr>
              <w:t>(14)</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2"/>
        </w:trPr>
        <w:tc>
          <w:tcPr>
            <w:tcW w:w="2440" w:type="dxa"/>
            <w:vAlign w:val="bottom"/>
          </w:tcPr>
          <w:p>
            <w:pPr>
              <w:spacing w:after="0"/>
              <w:rPr>
                <w:sz w:val="17"/>
                <w:szCs w:val="17"/>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Class A-1 Member Units (1,360</w:t>
            </w: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6"/>
                <w:szCs w:val="16"/>
                <w:color w:val="auto"/>
              </w:rPr>
              <w:t>5/3/2017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10,366</w:t>
            </w:r>
          </w:p>
        </w:tc>
        <w:tc>
          <w:tcPr>
            <w:tcW w:w="2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2440" w:type="dxa"/>
            <w:vAlign w:val="bottom"/>
          </w:tcPr>
          <w:p>
            <w:pPr>
              <w:spacing w:after="0"/>
              <w:rPr>
                <w:sz w:val="18"/>
                <w:szCs w:val="18"/>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units)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2440" w:type="dxa"/>
            <w:vAlign w:val="bottom"/>
            <w:shd w:val="clear" w:color="auto" w:fill="CFF0FC"/>
          </w:tcPr>
          <w:p>
            <w:pPr>
              <w:spacing w:after="0"/>
              <w:rPr>
                <w:sz w:val="17"/>
                <w:szCs w:val="17"/>
                <w:color w:val="auto"/>
              </w:rPr>
            </w:pP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Class A-2 Member Units (933</w:t>
            </w:r>
          </w:p>
        </w:tc>
        <w:tc>
          <w:tcPr>
            <w:tcW w:w="3320" w:type="dxa"/>
            <w:vAlign w:val="bottom"/>
            <w:shd w:val="clear" w:color="auto" w:fill="CFF0FC"/>
          </w:tcPr>
          <w:p>
            <w:pPr>
              <w:jc w:val="right"/>
              <w:ind w:right="2399"/>
              <w:spacing w:after="0"/>
              <w:rPr>
                <w:sz w:val="20"/>
                <w:szCs w:val="20"/>
                <w:color w:val="auto"/>
              </w:rPr>
            </w:pPr>
            <w:r>
              <w:rPr>
                <w:rFonts w:ascii="Times New Roman" w:cs="Times New Roman" w:eastAsia="Times New Roman" w:hAnsi="Times New Roman"/>
                <w:sz w:val="16"/>
                <w:szCs w:val="16"/>
                <w:color w:val="auto"/>
              </w:rPr>
              <w:t>6/4/2014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6"/>
        </w:trPr>
        <w:tc>
          <w:tcPr>
            <w:tcW w:w="2440" w:type="dxa"/>
            <w:vAlign w:val="bottom"/>
            <w:shd w:val="clear" w:color="auto" w:fill="CFF0FC"/>
          </w:tcPr>
          <w:p>
            <w:pPr>
              <w:spacing w:after="0"/>
              <w:rPr>
                <w:sz w:val="18"/>
                <w:szCs w:val="18"/>
                <w:color w:val="auto"/>
              </w:rPr>
            </w:pPr>
          </w:p>
        </w:tc>
        <w:tc>
          <w:tcPr>
            <w:tcW w:w="2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units)</w:t>
            </w: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7"/>
        </w:trPr>
        <w:tc>
          <w:tcPr>
            <w:tcW w:w="2440" w:type="dxa"/>
            <w:vAlign w:val="bottom"/>
            <w:tcBorders>
              <w:bottom w:val="single" w:sz="8" w:color="CFF0FC"/>
            </w:tcBorders>
          </w:tcPr>
          <w:p>
            <w:pPr>
              <w:spacing w:after="0"/>
              <w:rPr>
                <w:sz w:val="17"/>
                <w:szCs w:val="17"/>
                <w:color w:val="auto"/>
              </w:rPr>
            </w:pPr>
          </w:p>
        </w:tc>
        <w:tc>
          <w:tcPr>
            <w:tcW w:w="2660" w:type="dxa"/>
            <w:vAlign w:val="bottom"/>
            <w:tcBorders>
              <w:bottom w:val="single" w:sz="8" w:color="CFF0FC"/>
            </w:tcBorders>
          </w:tcPr>
          <w:p>
            <w:pPr>
              <w:spacing w:after="0"/>
              <w:rPr>
                <w:sz w:val="17"/>
                <w:szCs w:val="17"/>
                <w:color w:val="auto"/>
              </w:rPr>
            </w:pPr>
          </w:p>
        </w:tc>
        <w:tc>
          <w:tcPr>
            <w:tcW w:w="33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25,933</w:t>
            </w:r>
          </w:p>
        </w:tc>
        <w:tc>
          <w:tcPr>
            <w:tcW w:w="2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w:t>
            </w:r>
          </w:p>
        </w:tc>
        <w:tc>
          <w:tcPr>
            <w:tcW w:w="20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Equity and Other</w:t>
            </w:r>
          </w:p>
        </w:tc>
        <w:tc>
          <w:tcPr>
            <w:tcW w:w="2660" w:type="dxa"/>
            <w:vAlign w:val="bottom"/>
            <w:shd w:val="clear" w:color="auto" w:fill="CFF0FC"/>
          </w:tcPr>
          <w:p>
            <w:pPr>
              <w:spacing w:after="0"/>
              <w:rPr>
                <w:sz w:val="17"/>
                <w:szCs w:val="17"/>
                <w:color w:val="auto"/>
              </w:rPr>
            </w:pPr>
          </w:p>
        </w:tc>
        <w:tc>
          <w:tcPr>
            <w:tcW w:w="33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87,559</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63,113</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5"/>
        </w:trPr>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660" w:type="dxa"/>
            <w:vAlign w:val="bottom"/>
            <w:shd w:val="clear" w:color="auto" w:fill="CFF0FC"/>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6"/>
          </w:tcPr>
          <w:p>
            <w:pPr>
              <w:jc w:val="center"/>
              <w:ind w:left="393"/>
              <w:spacing w:after="0"/>
              <w:rPr>
                <w:sz w:val="20"/>
                <w:szCs w:val="20"/>
                <w:color w:val="auto"/>
              </w:rPr>
            </w:pPr>
            <w:r>
              <w:rPr>
                <w:rFonts w:ascii="Times New Roman" w:cs="Times New Roman" w:eastAsia="Times New Roman" w:hAnsi="Times New Roman"/>
                <w:sz w:val="16"/>
                <w:szCs w:val="16"/>
                <w:b w:val="1"/>
                <w:bCs w:val="1"/>
                <w:color w:val="auto"/>
                <w:w w:val="99"/>
              </w:rPr>
              <w:t>$ 2,238,037</w:t>
            </w:r>
          </w:p>
        </w:tc>
        <w:tc>
          <w:tcPr>
            <w:tcW w:w="200" w:type="dxa"/>
            <w:vAlign w:val="bottom"/>
          </w:tcPr>
          <w:p>
            <w:pPr>
              <w:spacing w:after="0"/>
              <w:rPr>
                <w:sz w:val="18"/>
                <w:szCs w:val="18"/>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$ 2,245,928</w:t>
            </w:r>
          </w:p>
        </w:tc>
        <w:tc>
          <w:tcPr>
            <w:tcW w:w="11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200.6%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80" w:type="dxa"/>
            <w:vAlign w:val="bottom"/>
            <w:gridSpan w:val="10"/>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16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4"/>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Upfront</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Pays</w:t>
            </w: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0" w:type="dxa"/>
            <w:vAlign w:val="bottom"/>
          </w:tcPr>
          <w:p>
            <w:pPr>
              <w:spacing w:after="0"/>
              <w:rPr>
                <w:sz w:val="12"/>
                <w:szCs w:val="12"/>
                <w:color w:val="auto"/>
              </w:rPr>
            </w:pPr>
          </w:p>
        </w:tc>
        <w:tc>
          <w:tcPr>
            <w:tcW w:w="138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Receives</w:t>
            </w: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(Losses)</w:t>
            </w: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0"/>
              </w:rPr>
              <w:t>L</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6/25/2020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0"/>
              </w:rPr>
              <w:t>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7/30/2021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60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0"/>
              </w:rPr>
              <w:t>L</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7/29/2022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+ 1.59%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24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+ 1.60%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+ 1.99%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(a)(b)</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0"/>
              </w:rPr>
              <w:t>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3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(a)(b)</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+ 2.86%</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(a)(b)</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0"/>
              </w:rPr>
              <w:t>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2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(a)(c)</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 + 2.25%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collateral</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728,900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hanging="493"/>
        <w:spacing w:after="0"/>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3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was terminated or matured in 2019.</w:t>
      </w:r>
    </w:p>
    <w:p>
      <w:pPr>
        <w:spacing w:after="0" w:line="36"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is used in a hedge accounting relationship. The associated change in fair value is recorded along with the change in fair value of the hedged item within interest expense.</w:t>
      </w:r>
    </w:p>
    <w:p>
      <w:pPr>
        <w:spacing w:after="0" w:line="6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00" w:right="20" w:hanging="492"/>
        <w:spacing w:after="0" w:line="250"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the Toronto-Dominion Bank rate, or the Prime Rate or “P”), at the borrower’s option, which reset periodically based on the terms of the credit agreement. For investments with multiple interest rate contracts, the interest rate shown is the weighted average interest rate in effect at December 31, 2019.</w:t>
      </w:r>
    </w:p>
    <w:p>
      <w:pPr>
        <w:spacing w:after="0" w:line="2"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18.5% of total assets as of December 31, 2019.</w:t>
      </w:r>
    </w:p>
    <w:p>
      <w:pPr>
        <w:spacing w:after="0" w:line="1" w:lineRule="exact"/>
        <w:rPr>
          <w:rFonts w:ascii="Times New Roman" w:cs="Times New Roman" w:eastAsia="Times New Roman" w:hAnsi="Times New Roman"/>
          <w:sz w:val="18"/>
          <w:szCs w:val="18"/>
          <w:color w:val="auto"/>
        </w:rPr>
      </w:pPr>
    </w:p>
    <w:p>
      <w:pPr>
        <w:ind w:left="500" w:right="60" w:hanging="492"/>
        <w:spacing w:after="0" w:line="250"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Times New Roman" w:cs="Times New Roman" w:eastAsia="Times New Roman" w:hAnsi="Times New Roman"/>
          <w:sz w:val="18"/>
          <w:szCs w:val="18"/>
          <w:color w:val="auto"/>
        </w:rPr>
      </w:pPr>
    </w:p>
    <w:p>
      <w:pPr>
        <w:ind w:left="500" w:right="220" w:hanging="492"/>
        <w:spacing w:after="0" w:line="255" w:lineRule="auto"/>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2019 in which the Company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Non-controlled, Affiliated Investments during the year ended December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12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960" w:type="dxa"/>
            <w:vAlign w:val="bottom"/>
            <w:gridSpan w:val="3"/>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3"/>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Transfers</w:t>
            </w:r>
          </w:p>
        </w:tc>
        <w:tc>
          <w:tcPr>
            <w:tcW w:w="900" w:type="dxa"/>
            <w:vAlign w:val="bottom"/>
            <w:gridSpan w:val="3"/>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1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2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9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Validity, Inc.</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(39,993)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83,932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(1,409</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(39,993</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6,370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right="100" w:hanging="493"/>
        <w:spacing w:after="0" w:line="261" w:lineRule="auto"/>
        <w:tabs>
          <w:tab w:leader="none" w:pos="10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00" w:hanging="493"/>
        <w:spacing w:after="0" w:line="255" w:lineRule="auto"/>
        <w:tabs>
          <w:tab w:leader="none" w:pos="10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77" w:lineRule="exact"/>
        <w:rPr>
          <w:rFonts w:ascii="Times New Roman" w:cs="Times New Roman" w:eastAsia="Times New Roman" w:hAnsi="Times New Roman"/>
          <w:sz w:val="18"/>
          <w:szCs w:val="18"/>
          <w:color w:val="auto"/>
        </w:rPr>
      </w:pPr>
    </w:p>
    <w:p>
      <w:pPr>
        <w:ind w:left="500" w:right="200" w:hanging="492"/>
        <w:spacing w:after="0" w:line="261" w:lineRule="auto"/>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2019 in which the issuer was an Affiliated Person of and was deemed to Control a portfolio company are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2019</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Value at</w:t>
            </w:r>
          </w:p>
        </w:tc>
        <w:tc>
          <w:tcPr>
            <w:tcW w:w="16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88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000" w:type="dxa"/>
            <w:vAlign w:val="bottom"/>
            <w:gridSpan w:val="3"/>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0" w:type="dxa"/>
            <w:vAlign w:val="bottom"/>
          </w:tcPr>
          <w:p>
            <w:pPr>
              <w:spacing w:after="0"/>
              <w:rPr>
                <w:sz w:val="12"/>
                <w:szCs w:val="12"/>
                <w:color w:val="auto"/>
              </w:rPr>
            </w:pPr>
          </w:p>
        </w:tc>
        <w:tc>
          <w:tcPr>
            <w:tcW w:w="86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22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Transfers</w:t>
            </w:r>
          </w:p>
        </w:tc>
        <w:tc>
          <w:tcPr>
            <w:tcW w:w="1040" w:type="dxa"/>
            <w:vAlign w:val="bottom"/>
            <w:gridSpan w:val="3"/>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60" w:type="dxa"/>
            <w:vAlign w:val="bottom"/>
          </w:tcPr>
          <w:p>
            <w:pPr>
              <w:spacing w:after="0"/>
              <w:rPr>
                <w:sz w:val="15"/>
                <w:szCs w:val="15"/>
                <w:color w:val="auto"/>
              </w:rPr>
            </w:pPr>
          </w:p>
        </w:tc>
        <w:tc>
          <w:tcPr>
            <w:tcW w:w="1000" w:type="dxa"/>
            <w:vAlign w:val="bottom"/>
            <w:gridSpan w:val="3"/>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(6,244)</w:t>
            </w:r>
          </w:p>
        </w:tc>
        <w:tc>
          <w:tcPr>
            <w:tcW w:w="12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(4,164)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56,505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9,706</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right="100" w:hanging="493"/>
        <w:spacing w:after="0" w:line="261" w:lineRule="auto"/>
        <w:tabs>
          <w:tab w:leader="none" w:pos="10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00" w:hanging="493"/>
        <w:spacing w:after="0" w:line="255" w:lineRule="auto"/>
        <w:tabs>
          <w:tab w:leader="none" w:pos="10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77" w:lineRule="exact"/>
        <w:rPr>
          <w:rFonts w:ascii="Times New Roman" w:cs="Times New Roman" w:eastAsia="Times New Roman" w:hAnsi="Times New Roman"/>
          <w:sz w:val="18"/>
          <w:szCs w:val="18"/>
          <w:color w:val="auto"/>
        </w:rPr>
      </w:pPr>
    </w:p>
    <w:p>
      <w:pPr>
        <w:ind w:left="500" w:right="640" w:hanging="492"/>
        <w:spacing w:after="0" w:line="261"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the estimated cost basis of investments for U.S. federal tax purposes was $2,230,116, resulting in estimated gross unrealized gains and losses of $87,386 and $78,478, respectively.</w:t>
      </w:r>
    </w:p>
    <w:p>
      <w:pPr>
        <w:ind w:left="500" w:right="80" w:hanging="492"/>
        <w:spacing w:after="0" w:line="250"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00" w:right="80" w:hanging="492"/>
        <w:spacing w:after="0" w:line="250"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00" w:right="120" w:hanging="492"/>
        <w:spacing w:after="0" w:line="250"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00" w:right="120" w:hanging="492"/>
        <w:spacing w:after="0" w:line="250"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ind w:left="500" w:hanging="492"/>
        <w:spacing w:after="0"/>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equity investment is non-income producing.</w:t>
      </w:r>
    </w:p>
    <w:p>
      <w:pPr>
        <w:spacing w:after="0" w:line="9" w:lineRule="exact"/>
        <w:rPr>
          <w:rFonts w:ascii="Times New Roman" w:cs="Times New Roman" w:eastAsia="Times New Roman" w:hAnsi="Times New Roman"/>
          <w:sz w:val="18"/>
          <w:szCs w:val="18"/>
          <w:color w:val="auto"/>
        </w:rPr>
      </w:pPr>
    </w:p>
    <w:p>
      <w:pPr>
        <w:ind w:left="500" w:right="360" w:hanging="492"/>
        <w:spacing w:after="0" w:line="250"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 portion of this security was acquired in transaction exempt from registration under the Securities Act of 1933, and may be deemed to be “restricted securities” under the Securities Act. As of December 31, 2019, the aggregate fair value of these securities is $23,986, or 2.1% of the Company’s net assets.</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investments may occur through a holding company or partnership.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8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20" w:type="dxa"/>
            <w:vAlign w:val="bottom"/>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80" w:type="dxa"/>
            <w:vAlign w:val="bottom"/>
          </w:tcPr>
          <w:p>
            <w:pPr>
              <w:spacing w:after="0"/>
              <w:rPr>
                <w:sz w:val="15"/>
                <w:szCs w:val="15"/>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Total Net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6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Excess</w:t>
            </w:r>
          </w:p>
        </w:tc>
        <w:tc>
          <w:tcPr>
            <w:tcW w:w="11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Par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9"/>
        </w:trPr>
        <w:tc>
          <w:tcPr>
            <w:tcW w:w="4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2017</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60,247,201</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89,080</w:t>
            </w:r>
          </w:p>
        </w:tc>
        <w:tc>
          <w:tcPr>
            <w:tcW w:w="2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8"/>
              </w:rPr>
              <w:t>$ (1,359)</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906,521</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63,519</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969,284</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investment income</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143,889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change in unrealized losses on investments and foreign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 translation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(14,151)</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(14,151)</w:t>
            </w: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realized losses on investments and foreign</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currency transactions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(10,721)</w:t>
            </w: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(10,721)</w:t>
            </w: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Net Assets Resulting from Capital Share Transactions: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common shares, net of offering and</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underwriting costs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4,272,224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convertible notes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Dividends to stockholders: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 issued in connection with dividend reinvestment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893,392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Dividends declared from distributable earnings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(113,946)</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(113,946)</w:t>
            </w:r>
          </w:p>
        </w:tc>
        <w:tc>
          <w:tcPr>
            <w:tcW w:w="0" w:type="dxa"/>
            <w:vAlign w:val="bottom"/>
          </w:tcPr>
          <w:p>
            <w:pPr>
              <w:spacing w:after="0"/>
              <w:rPr>
                <w:sz w:val="1"/>
                <w:szCs w:val="1"/>
                <w:color w:val="auto"/>
              </w:rPr>
            </w:pPr>
          </w:p>
        </w:tc>
      </w:tr>
      <w:tr>
        <w:trPr>
          <w:trHeight w:val="201"/>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reclassification of stockholders' equity in accordance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60"/>
              <w:spacing w:after="0" w:line="217" w:lineRule="exact"/>
              <w:rPr>
                <w:sz w:val="20"/>
                <w:szCs w:val="20"/>
                <w:color w:val="auto"/>
              </w:rPr>
            </w:pPr>
            <w:r>
              <w:rPr>
                <w:rFonts w:ascii="Times New Roman" w:cs="Times New Roman" w:eastAsia="Times New Roman" w:hAnsi="Times New Roman"/>
                <w:sz w:val="15"/>
                <w:szCs w:val="15"/>
                <w:color w:val="auto"/>
              </w:rPr>
              <w:t xml:space="preserve">with GAAP </w:t>
            </w:r>
            <w:r>
              <w:rPr>
                <w:rFonts w:ascii="Times New Roman" w:cs="Times New Roman" w:eastAsia="Times New Roman" w:hAnsi="Times New Roman"/>
                <w:sz w:val="25"/>
                <w:szCs w:val="25"/>
                <w:color w:val="auto"/>
                <w:vertAlign w:val="superscript"/>
              </w:rPr>
              <w:t>(1)</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65,412,817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89,080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(1,359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991,919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71,987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1,063,202</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investment income</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128,283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change in unrealized gains on investments and foreign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 translation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realized gain on investments and foreign</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currency transactions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to stockholders: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1,111,774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Dividends declared from distributable earnings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(119,623)</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(119,623)</w:t>
            </w:r>
          </w:p>
        </w:tc>
        <w:tc>
          <w:tcPr>
            <w:tcW w:w="0" w:type="dxa"/>
            <w:vAlign w:val="bottom"/>
          </w:tcPr>
          <w:p>
            <w:pPr>
              <w:spacing w:after="0"/>
              <w:rPr>
                <w:sz w:val="1"/>
                <w:szCs w:val="1"/>
                <w:color w:val="auto"/>
              </w:rPr>
            </w:pPr>
          </w:p>
        </w:tc>
      </w:tr>
      <w:tr>
        <w:trPr>
          <w:trHeight w:val="204"/>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 reclassification of stockholders' equity in accordance</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FF0FC"/>
          </w:tcPr>
          <w:p>
            <w:pPr>
              <w:ind w:left="260"/>
              <w:spacing w:after="0" w:line="217" w:lineRule="exact"/>
              <w:rPr>
                <w:sz w:val="20"/>
                <w:szCs w:val="20"/>
                <w:color w:val="auto"/>
              </w:rPr>
            </w:pPr>
            <w:r>
              <w:rPr>
                <w:rFonts w:ascii="Times New Roman" w:cs="Times New Roman" w:eastAsia="Times New Roman" w:hAnsi="Times New Roman"/>
                <w:sz w:val="15"/>
                <w:szCs w:val="15"/>
                <w:color w:val="auto"/>
              </w:rPr>
              <w:t xml:space="preserve">with GAAP </w:t>
            </w:r>
            <w:r>
              <w:rPr>
                <w:rFonts w:ascii="Times New Roman" w:cs="Times New Roman" w:eastAsia="Times New Roman" w:hAnsi="Times New Roman"/>
                <w:sz w:val="25"/>
                <w:szCs w:val="25"/>
                <w:color w:val="auto"/>
                <w:vertAlign w:val="superscript"/>
              </w:rPr>
              <w:t>(1)</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(3,773)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66,524,591</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666</w:t>
            </w:r>
          </w:p>
        </w:tc>
        <w:tc>
          <w:tcPr>
            <w:tcW w:w="22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89,080</w:t>
            </w:r>
          </w:p>
        </w:tc>
        <w:tc>
          <w:tcPr>
            <w:tcW w:w="220" w:type="dxa"/>
            <w:vAlign w:val="bottom"/>
            <w:tcBorders>
              <w:bottom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(1,359</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1,009,270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110,720</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1,119,297</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investment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change in unrealized gains on investments and foreign</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currency translation</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33,695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33,695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realized loss on investments and foreign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 transactions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(2,591)</w:t>
            </w:r>
          </w:p>
        </w:tc>
        <w:tc>
          <w:tcPr>
            <w:tcW w:w="0" w:type="dxa"/>
            <w:vAlign w:val="bottom"/>
          </w:tcPr>
          <w:p>
            <w:pPr>
              <w:spacing w:after="0"/>
              <w:rPr>
                <w:sz w:val="1"/>
                <w:szCs w:val="1"/>
                <w:color w:val="auto"/>
              </w:rPr>
            </w:pPr>
          </w:p>
        </w:tc>
      </w:tr>
      <w:tr>
        <w:trPr>
          <w:trHeight w:val="205"/>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Decrease in Net Assets Resulting from Capital share</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Transactions: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(206,964)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206,964</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(2,932)</w:t>
            </w: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Repurchase of convertible notes</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1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to stockholders: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 issued in connection with dividend reinvestment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1,366,582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Dividends declared from distributable earnings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(154,554)</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(154,554)</w:t>
            </w:r>
          </w:p>
        </w:tc>
        <w:tc>
          <w:tcPr>
            <w:tcW w:w="0" w:type="dxa"/>
            <w:vAlign w:val="bottom"/>
          </w:tcPr>
          <w:p>
            <w:pPr>
              <w:spacing w:after="0"/>
              <w:rPr>
                <w:sz w:val="1"/>
                <w:szCs w:val="1"/>
                <w:color w:val="auto"/>
              </w:rPr>
            </w:pPr>
          </w:p>
        </w:tc>
      </w:tr>
      <w:tr>
        <w:trPr>
          <w:trHeight w:val="204"/>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 reclassification of stockholders' equity in accordance</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FF0FC"/>
          </w:tcPr>
          <w:p>
            <w:pPr>
              <w:ind w:left="260"/>
              <w:spacing w:after="0" w:line="217" w:lineRule="exact"/>
              <w:rPr>
                <w:sz w:val="20"/>
                <w:szCs w:val="20"/>
                <w:color w:val="auto"/>
              </w:rPr>
            </w:pPr>
            <w:r>
              <w:rPr>
                <w:rFonts w:ascii="Times New Roman" w:cs="Times New Roman" w:eastAsia="Times New Roman" w:hAnsi="Times New Roman"/>
                <w:sz w:val="15"/>
                <w:szCs w:val="15"/>
                <w:color w:val="auto"/>
              </w:rPr>
              <w:t xml:space="preserve">with GAAP </w:t>
            </w:r>
            <w:r>
              <w:rPr>
                <w:rFonts w:ascii="Times New Roman" w:cs="Times New Roman" w:eastAsia="Times New Roman" w:hAnsi="Times New Roman"/>
                <w:sz w:val="25"/>
                <w:szCs w:val="25"/>
                <w:color w:val="auto"/>
                <w:vertAlign w:val="superscript"/>
              </w:rPr>
              <w:t>(1)</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(4,976)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67,684,209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680</w:t>
            </w:r>
          </w:p>
        </w:tc>
        <w:tc>
          <w:tcPr>
            <w:tcW w:w="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296,044</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(4,291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1,025,676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139,250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1,161,315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tax year end is March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6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178,108</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154,583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100" w:type="dxa"/>
            <w:vAlign w:val="bottom"/>
          </w:tcPr>
          <w:p>
            <w:pPr>
              <w:spacing w:after="0"/>
              <w:rPr>
                <w:sz w:val="19"/>
                <w:szCs w:val="19"/>
                <w:color w:val="auto"/>
              </w:rPr>
            </w:pPr>
          </w:p>
        </w:tc>
      </w:tr>
      <w:tr>
        <w:trPr>
          <w:trHeight w:val="211"/>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net cash provided by (used) in operating activities:</w:t>
            </w: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losses on investments</w:t>
            </w:r>
          </w:p>
        </w:tc>
        <w:tc>
          <w:tcPr>
            <w:tcW w:w="1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w:t>
            </w:r>
          </w:p>
        </w:tc>
        <w:tc>
          <w:tcPr>
            <w:tcW w:w="100" w:type="dxa"/>
            <w:vAlign w:val="bottom"/>
          </w:tcPr>
          <w:p>
            <w:pPr>
              <w:spacing w:after="0"/>
              <w:rPr>
                <w:sz w:val="19"/>
                <w:szCs w:val="19"/>
                <w:color w:val="auto"/>
              </w:rPr>
            </w:pPr>
          </w:p>
        </w:tc>
      </w:tr>
      <w:tr>
        <w:trPr>
          <w:trHeight w:val="211"/>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losses on foreign currency</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3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transactions</w:t>
            </w: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(5,455)</w:t>
            </w:r>
          </w:p>
        </w:tc>
      </w:tr>
      <w:tr>
        <w:trPr>
          <w:trHeight w:val="229"/>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losses on interest rate swaps</w:t>
            </w:r>
          </w:p>
        </w:tc>
        <w:tc>
          <w:tcPr>
            <w:tcW w:w="1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(1,888)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realized gains on extinguishment of debt</w:t>
            </w:r>
          </w:p>
        </w:tc>
        <w:tc>
          <w:tcPr>
            <w:tcW w:w="1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interest rate swaps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amortization of discount on investments</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(25,706)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(16,565)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(23,315)</w:t>
            </w:r>
          </w:p>
        </w:tc>
      </w:tr>
      <w:tr>
        <w:trPr>
          <w:trHeight w:val="229"/>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discount on debt</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Purchases and originations of investments, net</w:t>
            </w:r>
          </w:p>
        </w:tc>
        <w:tc>
          <w:tcPr>
            <w:tcW w:w="1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(1,038,885)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(1,118,116)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(838,206)</w:t>
            </w:r>
          </w:p>
        </w:tc>
      </w:tr>
      <w:tr>
        <w:trPr>
          <w:trHeight w:val="229"/>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34,593</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789,384</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Paid-in-kind interest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(8,596)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(7,468)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(6,251)</w:t>
            </w:r>
          </w:p>
        </w:tc>
      </w:tr>
      <w:tr>
        <w:trPr>
          <w:trHeight w:val="230"/>
        </w:trPr>
        <w:tc>
          <w:tcPr>
            <w:tcW w:w="6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receivable</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(4,336)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(1,763)</w:t>
            </w:r>
          </w:p>
        </w:tc>
      </w:tr>
      <w:tr>
        <w:trPr>
          <w:trHeight w:val="230"/>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receivable paid-in-kind</w:t>
            </w:r>
          </w:p>
        </w:tc>
        <w:tc>
          <w:tcPr>
            <w:tcW w:w="1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29"/>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(10,648)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Payable to affiliate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145,066</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(378,041)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119,193</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1,114,226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1,742,585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1,095,561</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on debt</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(1,090,685)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(1,255,169)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(1,178,959)</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debt</w:t>
            </w:r>
          </w:p>
        </w:tc>
        <w:tc>
          <w:tcPr>
            <w:tcW w:w="1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(7,747)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(7,789)</w:t>
            </w:r>
          </w:p>
        </w:tc>
      </w:tr>
      <w:tr>
        <w:trPr>
          <w:trHeight w:val="211"/>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offering and</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underwriting costs</w:t>
            </w:r>
          </w:p>
        </w:tc>
        <w:tc>
          <w:tcPr>
            <w:tcW w:w="1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71,813</w:t>
            </w:r>
          </w:p>
        </w:tc>
        <w:tc>
          <w:tcPr>
            <w:tcW w:w="100" w:type="dxa"/>
            <w:vAlign w:val="bottom"/>
          </w:tcPr>
          <w:p>
            <w:pPr>
              <w:spacing w:after="0"/>
              <w:rPr>
                <w:sz w:val="20"/>
                <w:szCs w:val="20"/>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(2,932)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(130,448)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(95,909)</w:t>
            </w:r>
          </w:p>
        </w:tc>
      </w:tr>
      <w:tr>
        <w:trPr>
          <w:trHeight w:val="223"/>
        </w:trPr>
        <w:tc>
          <w:tcPr>
            <w:tcW w:w="63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(145,935)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381,609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01"/>
        </w:trPr>
        <w:tc>
          <w:tcPr>
            <w:tcW w:w="6300" w:type="dxa"/>
            <w:vAlign w:val="bottom"/>
          </w:tcPr>
          <w:p>
            <w:pPr>
              <w:ind w:left="500"/>
              <w:spacing w:after="0" w:line="201"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and</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63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1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20"/>
                <w:szCs w:val="20"/>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shd w:val="clear" w:color="auto" w:fill="CFF0FC"/>
          </w:tcPr>
          <w:p>
            <w:pPr>
              <w:spacing w:after="0"/>
              <w:rPr>
                <w:sz w:val="19"/>
                <w:szCs w:val="19"/>
                <w:color w:val="auto"/>
              </w:rPr>
            </w:pPr>
          </w:p>
        </w:tc>
      </w:tr>
      <w:tr>
        <w:trPr>
          <w:trHeight w:val="263"/>
        </w:trPr>
        <w:tc>
          <w:tcPr>
            <w:tcW w:w="6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100" w:type="dxa"/>
            <w:vAlign w:val="bottom"/>
            <w:tcBorders>
              <w:bottom w:val="single" w:sz="8" w:color="CFF0FC"/>
            </w:tcBorders>
          </w:tcPr>
          <w:p>
            <w:pPr>
              <w:spacing w:after="0"/>
              <w:rPr>
                <w:sz w:val="22"/>
                <w:szCs w:val="22"/>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34,016</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Excise and other taxes paid during the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154,554</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113,946</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22,306</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Sixth Street Specialty Lending, Inc. (formerly known as TPG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(formerly known as TSL Advisers, LLC) (the “Adviser”). On June 1, 2011, the Company formed a wholly-owned subsidiary, TC Lending, LLC, a Delaware limited liability company. On March 22, 2012, the Company formed a wholly-owned subsidiary, Sixth Street SL SPV, LLC (formerly known as TPG SL SPV, LLC), a Delaware limited liability company. On May 19, 2014, the Company formed a wholly-owned subsidiary, Sixth Street SL Holding, LLC (formerly known as TSL MR, LLC), a Delaware limited liability company. On December 9, 2020, the Company formed a wholly-owned subsidiary, Sixth Street Specialty Lending Sub, LLC, a Cayman Islands limited liability company.</w:t>
      </w:r>
    </w:p>
    <w:p>
      <w:pPr>
        <w:spacing w:after="0" w:line="188" w:lineRule="exact"/>
        <w:rPr>
          <w:sz w:val="20"/>
          <w:szCs w:val="20"/>
          <w:color w:val="auto"/>
        </w:rPr>
      </w:pPr>
    </w:p>
    <w:p>
      <w:pPr>
        <w:ind w:right="600" w:firstLine="255"/>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and the Company’s shares began trading on the New York Stock Exchange (“NYSE”) under the symbol “TSLX.”</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Effective June 15, 2020, the Company changed its name from TPG Specialty Lending, Inc. to Sixth Street Specialty Lending, Inc.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0" w:lineRule="exact"/>
        <w:rPr>
          <w:sz w:val="20"/>
          <w:szCs w:val="20"/>
          <w:color w:val="auto"/>
        </w:rPr>
      </w:pPr>
    </w:p>
    <w:p>
      <w:pPr>
        <w:ind w:right="900" w:firstLine="255"/>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6" w:name="page107"/>
    <w:bookmarkEnd w:id="106"/>
    <w:p>
      <w:pPr>
        <w:ind w:right="380"/>
        <w:spacing w:after="0" w:line="282" w:lineRule="auto"/>
        <w:rPr>
          <w:sz w:val="20"/>
          <w:szCs w:val="20"/>
          <w:color w:val="auto"/>
        </w:rPr>
      </w:pPr>
      <w:r>
        <w:rPr>
          <w:rFonts w:ascii="Times New Roman" w:cs="Times New Roman" w:eastAsia="Times New Roman" w:hAnsi="Times New Roman"/>
          <w:sz w:val="18"/>
          <w:szCs w:val="18"/>
          <w:color w:val="auto"/>
        </w:rPr>
        <w:t>change in unrealized gains or losses primarily reflects the change in investment values and also includes the reversal of previously recorded unrealized gains or losses with respect to investments realized during the period.</w:t>
      </w:r>
    </w:p>
    <w:p>
      <w:pPr>
        <w:spacing w:after="0" w:line="162" w:lineRule="exact"/>
        <w:rPr>
          <w:sz w:val="20"/>
          <w:szCs w:val="20"/>
          <w:color w:val="auto"/>
        </w:rPr>
      </w:pPr>
    </w:p>
    <w:p>
      <w:pPr>
        <w:ind w:right="320" w:firstLine="255"/>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3"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00" w:right="100" w:hanging="249"/>
        <w:spacing w:after="0" w:line="282" w:lineRule="auto"/>
        <w:tabs>
          <w:tab w:leader="none" w:pos="5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00" w:right="440" w:hanging="249"/>
        <w:spacing w:after="0" w:line="282" w:lineRule="auto"/>
        <w:tabs>
          <w:tab w:leader="none" w:pos="5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44" w:lineRule="exact"/>
        <w:rPr>
          <w:rFonts w:ascii="Times New Roman" w:cs="Times New Roman" w:eastAsia="Times New Roman" w:hAnsi="Times New Roman"/>
          <w:sz w:val="18"/>
          <w:szCs w:val="18"/>
          <w:color w:val="auto"/>
        </w:rPr>
      </w:pPr>
    </w:p>
    <w:p>
      <w:pPr>
        <w:ind w:left="500" w:right="120" w:hanging="249"/>
        <w:spacing w:after="0" w:line="266" w:lineRule="auto"/>
        <w:tabs>
          <w:tab w:leader="none" w:pos="5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jc w:val="both"/>
        <w:ind w:right="140" w:firstLine="255"/>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December 31, 2020,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78"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9" w:lineRule="exact"/>
        <w:rPr>
          <w:sz w:val="20"/>
          <w:szCs w:val="20"/>
          <w:color w:val="auto"/>
        </w:rPr>
      </w:pPr>
    </w:p>
    <w:p>
      <w:pPr>
        <w:ind w:left="500" w:hanging="249"/>
        <w:spacing w:after="0"/>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44" w:lineRule="exact"/>
        <w:rPr>
          <w:rFonts w:ascii="Times New Roman" w:cs="Times New Roman" w:eastAsia="Times New Roman" w:hAnsi="Times New Roman"/>
          <w:sz w:val="18"/>
          <w:szCs w:val="18"/>
          <w:color w:val="auto"/>
        </w:rPr>
      </w:pPr>
    </w:p>
    <w:p>
      <w:pPr>
        <w:ind w:left="500" w:right="620" w:hanging="249"/>
        <w:spacing w:after="0" w:line="282" w:lineRule="auto"/>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52" w:lineRule="exact"/>
        <w:rPr>
          <w:sz w:val="20"/>
          <w:szCs w:val="20"/>
          <w:color w:val="auto"/>
        </w:rPr>
      </w:pPr>
    </w:p>
    <w:p>
      <w:pPr>
        <w:ind w:right="400" w:firstLine="255"/>
        <w:spacing w:after="0" w:line="282"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7" w:name="page108"/>
    <w:bookmarkEnd w:id="107"/>
    <w:p>
      <w:pPr>
        <w:ind w:right="20"/>
        <w:spacing w:after="0" w:line="255" w:lineRule="auto"/>
        <w:rPr>
          <w:sz w:val="20"/>
          <w:szCs w:val="20"/>
          <w:color w:val="auto"/>
        </w:rPr>
      </w:pPr>
      <w:r>
        <w:rPr>
          <w:rFonts w:ascii="Times New Roman" w:cs="Times New Roman" w:eastAsia="Times New Roman" w:hAnsi="Times New Roman"/>
          <w:sz w:val="18"/>
          <w:szCs w:val="18"/>
          <w:color w:val="auto"/>
        </w:rPr>
        <w:t>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9"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7" w:lineRule="exact"/>
        <w:rPr>
          <w:sz w:val="20"/>
          <w:szCs w:val="20"/>
          <w:color w:val="auto"/>
        </w:rPr>
      </w:pPr>
    </w:p>
    <w:p>
      <w:pPr>
        <w:ind w:right="120" w:firstLine="255"/>
        <w:spacing w:after="0" w:line="266" w:lineRule="auto"/>
        <w:rPr>
          <w:sz w:val="20"/>
          <w:szCs w:val="20"/>
          <w:color w:val="auto"/>
        </w:rPr>
      </w:pPr>
      <w:r>
        <w:rPr>
          <w:rFonts w:ascii="Times New Roman" w:cs="Times New Roman" w:eastAsia="Times New Roman" w:hAnsi="Times New Roman"/>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recognizes all derivative instruments as assets or liabilities at fair value in its consolidated financial statements, pursuant to ASC Topic 815 </w:t>
      </w:r>
      <w:r>
        <w:rPr>
          <w:rFonts w:ascii="Times New Roman" w:cs="Times New Roman" w:eastAsia="Times New Roman" w:hAnsi="Times New Roman"/>
          <w:sz w:val="18"/>
          <w:szCs w:val="18"/>
          <w:i w:val="1"/>
          <w:iCs w:val="1"/>
          <w:color w:val="auto"/>
        </w:rPr>
        <w:t>Derivatives and Hedgin</w:t>
      </w:r>
      <w:r>
        <w:rPr>
          <w:rFonts w:ascii="Times New Roman" w:cs="Times New Roman" w:eastAsia="Times New Roman" w:hAnsi="Times New Roman"/>
          <w:sz w:val="18"/>
          <w:szCs w:val="18"/>
          <w:color w:val="auto"/>
        </w:rPr>
        <w:t xml:space="preserve">g, further clarified by the FASB’s issuance of the Accounting Standards Update (“ASU”) No. 2017-12,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which was adopted in 2019 by the Company. For all derivative instruments designated in a hedge accounting relationship, the entire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92" w:lineRule="exact"/>
        <w:rPr>
          <w:sz w:val="20"/>
          <w:szCs w:val="20"/>
          <w:color w:val="auto"/>
        </w:rPr>
      </w:pPr>
    </w:p>
    <w:p>
      <w:pPr>
        <w:ind w:right="220" w:firstLine="255"/>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00" w:right="620" w:hanging="249"/>
        <w:spacing w:after="0" w:line="282" w:lineRule="auto"/>
        <w:tabs>
          <w:tab w:leader="none" w:pos="5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00" w:right="40" w:hanging="249"/>
        <w:spacing w:after="0" w:line="282" w:lineRule="auto"/>
        <w:tabs>
          <w:tab w:leader="none" w:pos="5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8" w:name="page109"/>
    <w:bookmarkEnd w:id="108"/>
    <w:p>
      <w:pPr>
        <w:ind w:right="220"/>
        <w:spacing w:after="0" w:line="258" w:lineRule="auto"/>
        <w:rPr>
          <w:sz w:val="20"/>
          <w:szCs w:val="20"/>
          <w:color w:val="auto"/>
        </w:rPr>
      </w:pPr>
      <w:r>
        <w:rPr>
          <w:rFonts w:ascii="Times New Roman" w:cs="Times New Roman" w:eastAsia="Times New Roman" w:hAnsi="Times New Roman"/>
          <w:sz w:val="18"/>
          <w:szCs w:val="18"/>
          <w:color w:val="auto"/>
        </w:rPr>
        <w:t>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3"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19"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100" w:firstLine="255"/>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9" w:name="page110"/>
    <w:bookmarkEnd w:id="109"/>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Including Excise Taxes</w:t>
      </w:r>
    </w:p>
    <w:p>
      <w:pPr>
        <w:spacing w:after="0" w:line="119"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3"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2020, the Company did not have any uncertain tax positions that met the recognition or measurement criteria, nor did the Company have any unrecognized tax benefits. The Company’s 2019, 2018 and 2017 tax year returns remain subject to examination by the relevant federal, state, and local tax authorities.</w:t>
      </w:r>
    </w:p>
    <w:p>
      <w:pPr>
        <w:spacing w:after="0" w:line="189"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80"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2020, 2019 and 2018 we recorded a net expense of $5.8 million, $3.8 million and $3.4 million, respectively, for U.S. federal excise tax.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and Regulatory Updates</w:t>
      </w:r>
    </w:p>
    <w:p>
      <w:pPr>
        <w:spacing w:after="0" w:line="119"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were effective for public companies for interim and annual periods in fiscal years beginning after December 15, 2017. The Company’s adoption of this guidance did not have a material impact on the Company’s financial position, results of operations, cash flows or notes to the consolidated financial statements.</w:t>
      </w:r>
    </w:p>
    <w:p>
      <w:pPr>
        <w:spacing w:after="0" w:line="18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In August 2018, the Securities and Exchange Commission (the “SEC”) adopted the final rule under SEC Release No. 33-10532, Disclosure Update and Simplification amending certain disclosure requirements that were redundant, duplicative, overlapping, outdated or superseded. The amendments are intended to facilitate the disclosure of information to investors and simplify compliance. The SEC Release requires presentation changes to the Company's consolidated balance sheets and consolidated statements of changes in net assets. The final rule is effective for all filings on or after November 5, 2018. The Company adopted the SEC guidance in the 2019 annual period. In accordance with previous SEC rules, the Company had presented distributable earnings on the consolidated balance sheet, as three components: 1) undistributed net investment income; 2) net unrealized gains (losses) on investments and 3) net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p>
      <w:pPr>
        <w:ind w:right="60"/>
        <w:spacing w:after="0" w:line="258" w:lineRule="auto"/>
        <w:rPr>
          <w:sz w:val="20"/>
          <w:szCs w:val="20"/>
          <w:color w:val="auto"/>
        </w:rPr>
      </w:pPr>
      <w:r>
        <w:rPr>
          <w:rFonts w:ascii="Times New Roman" w:cs="Times New Roman" w:eastAsia="Times New Roman" w:hAnsi="Times New Roman"/>
          <w:sz w:val="18"/>
          <w:szCs w:val="18"/>
          <w:color w:val="auto"/>
        </w:rPr>
        <w:t>realized gains (losses) on investments and presented dividends from distributable earnings on the consolidated statements of changes in net assets as two components: 1) dividends declared from net investment income; and 2) dividends declared from realized gains. In accordance with the SEC release, distributable earnings and dividends from distributable earnings are shown in total on the consolidated balance sheets and consolidated statements of changes in net assets, respectively. The Company’s adoption of this guidance did not have a material impact on the Company’s financial position, results of operations, cash flows or notes to the consolidated financial statements.</w:t>
      </w:r>
    </w:p>
    <w:p>
      <w:pPr>
        <w:spacing w:after="0" w:line="183"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August 2017, the Financial Accounting Standards Board issued Accounting Standards Update 2017-12 (“ASU 2017-12”) “Derivatives and Hedging (Topic 815), Targeted Improvements to Accounting for Hedging Activities.” Among other things, the new guidance includes updates to the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2017-12 were effective for fiscal years beginning after December 15, 2018, and interim periods therein. The Company’s adoption of this guidance did not have a material impact on the Company’s financial position, results of operations, cash flows or notes to the consolidated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The Company’s adoption of this guidance did not have a material impact on the Company’s financial position, results of operations, cash flows or notes to the consolidated financial statements.</w:t>
      </w:r>
    </w:p>
    <w:p>
      <w:pPr>
        <w:spacing w:after="0" w:line="187"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In March 2020, the Financial Accounting Standards Board issued Accounting Standards Update 2020-04 (“ASU 2020-04”) “Reference Rate Reform (Topic 848): Facilitation of the Effects of Reference Rate Reform on Financial Reporting.”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is effective for all entities as of March 12, 2020 through December 31, 2022. The Company expects that the adoption of this guidance will not have a material impact on the Company’s financial position, result of operations or cash flows.</w:t>
      </w:r>
    </w:p>
    <w:p>
      <w:pPr>
        <w:spacing w:after="0" w:line="7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The Company is currently evaluating the impact, if any, of adopting this ASU on our financial statements.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87"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In November 2020, the Board renewed the Administration Agreement. Unless earlier terminated as described below, the Administration Agreement will remain in effect until November 2021,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1" w:name="page112"/>
    <w:bookmarkEnd w:id="111"/>
    <w:p>
      <w:pPr>
        <w:ind w:firstLine="255"/>
        <w:spacing w:after="0" w:line="256"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Financial Officer, Chief Compliance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87" w:lineRule="exact"/>
        <w:rPr>
          <w:sz w:val="20"/>
          <w:szCs w:val="20"/>
          <w:color w:val="auto"/>
        </w:rPr>
      </w:pPr>
    </w:p>
    <w:p>
      <w:pPr>
        <w:ind w:right="24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the Company incurred expenses of $3.8 million, $4.2 million and $3.4 million, respectively, for administrative services payable to the Adviser under the terms of the Administration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3"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360" w:firstLine="255"/>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Management Fees (gross of waivers) were $32.1 million, $30.1 million and $28.6 million, respectively.</w:t>
      </w:r>
    </w:p>
    <w:p>
      <w:pPr>
        <w:spacing w:after="0" w:line="162" w:lineRule="exact"/>
        <w:rPr>
          <w:sz w:val="20"/>
          <w:szCs w:val="20"/>
          <w:color w:val="auto"/>
        </w:rPr>
      </w:pPr>
    </w:p>
    <w:p>
      <w:pPr>
        <w:ind w:right="320" w:firstLine="255"/>
        <w:spacing w:after="0" w:line="261" w:lineRule="auto"/>
        <w:rPr>
          <w:sz w:val="20"/>
          <w:szCs w:val="20"/>
          <w:color w:val="auto"/>
        </w:rPr>
      </w:pPr>
      <w:r>
        <w:rPr>
          <w:rFonts w:ascii="Times New Roman" w:cs="Times New Roman" w:eastAsia="Times New Roman" w:hAnsi="Times New Roman"/>
          <w:sz w:val="18"/>
          <w:szCs w:val="18"/>
          <w:color w:val="auto"/>
        </w:rPr>
        <w:t>The Adviser did not waive any Management Fees for the years ended December 31, 2020 and 2019. For the year ended December 31, 2018, Management Fees of less than $0.1 million were waived consisting solely of Management Fees attributable to the Company’s ownership of shares of common stock in Triangle Capital Corp. (the “TCAP Shares”). As of June 30, 2018 the Company had fully exited its position in the TCAP Shares. Any waived Management Fees are not subject to recoupment by the Adviser.</w:t>
      </w:r>
    </w:p>
    <w:p>
      <w:pPr>
        <w:spacing w:after="0" w:line="180"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2020, no Management Fees have been waived pursuant to the Leverage Waiver.</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00" w:right="160" w:hanging="249"/>
        <w:spacing w:after="0" w:line="255" w:lineRule="auto"/>
        <w:tabs>
          <w:tab w:leader="none" w:pos="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1" w:lineRule="exact"/>
        <w:rPr>
          <w:sz w:val="20"/>
          <w:szCs w:val="20"/>
          <w:color w:val="auto"/>
        </w:rPr>
      </w:pPr>
    </w:p>
    <w:p>
      <w:pPr>
        <w:ind w:left="520" w:right="140"/>
        <w:spacing w:after="0" w:line="256" w:lineRule="auto"/>
        <w:rPr>
          <w:sz w:val="20"/>
          <w:szCs w:val="20"/>
          <w:color w:val="auto"/>
        </w:rPr>
      </w:pPr>
      <w:r>
        <w:rPr>
          <w:rFonts w:ascii="Times New Roman" w:cs="Times New Roman" w:eastAsia="Times New Roman" w:hAnsi="Times New Roman"/>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9" w:lineRule="exact"/>
        <w:rPr>
          <w:sz w:val="20"/>
          <w:szCs w:val="20"/>
          <w:color w:val="auto"/>
        </w:rPr>
      </w:pPr>
    </w:p>
    <w:p>
      <w:pPr>
        <w:ind w:left="500" w:right="120" w:hanging="242"/>
        <w:spacing w:after="0" w:line="266" w:lineRule="auto"/>
        <w:rPr>
          <w:sz w:val="20"/>
          <w:szCs w:val="20"/>
          <w:color w:val="auto"/>
        </w:rPr>
      </w:pPr>
      <w:r>
        <w:rPr>
          <w:rFonts w:ascii="Times New Roman" w:cs="Times New Roman" w:eastAsia="Times New Roman" w:hAnsi="Times New Roman"/>
          <w:sz w:val="18"/>
          <w:szCs w:val="18"/>
          <w:color w:val="auto"/>
        </w:rPr>
        <w:t>(ii)The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2" w:name="page113"/>
    <w:bookmarkEnd w:id="112"/>
    <w:p>
      <w:pPr>
        <w:ind w:left="500"/>
        <w:spacing w:after="0" w:line="254" w:lineRule="auto"/>
        <w:rPr>
          <w:sz w:val="20"/>
          <w:szCs w:val="20"/>
          <w:color w:val="auto"/>
        </w:rPr>
      </w:pPr>
      <w:r>
        <w:rPr>
          <w:rFonts w:ascii="Times New Roman" w:cs="Times New Roman" w:eastAsia="Times New Roman" w:hAnsi="Times New Roman"/>
          <w:sz w:val="18"/>
          <w:szCs w:val="18"/>
          <w:color w:val="auto"/>
        </w:rPr>
        <w:t>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192"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62"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2020, 2019 and 2018, Incentive Fees (gross of waivers) were $32.9 million, $27.2 million and $30.5 million, respectively, of which $31.5 million, $27.2 million, and $30.5 million, respectively, were realized and payable to the Adviser. For the year end December 31, 2020 $1.4 million of Incentive Fees was accrued related to cumulative unrealized capital gains in excess of cumulative net realized capital gains less any cumulative unrealized losses and capital gains incentive fees paid inception to date. For the years ended December 31, 2019 and 2018, no Incentive Fees were accrued related to capital gains.</w:t>
      </w:r>
    </w:p>
    <w:p>
      <w:pPr>
        <w:spacing w:after="0" w:line="18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The Adviser voluntarily waived the Incentive Fees attributable to pre-Incentive Fee net investment income accrued by the Company as a result of its ownership of the TCAP Shares. The Adviser did not waive any part of the Capital Gains Fee attributable to the Company’s ownership of the TCAP Shares and, accordingly, any realized capital gains or losses and unrealized capital losses with respect to the TCAP Shares were applied against the Company’s cumulative realized capital gains on which the Capital Gains Fee is calculated.</w:t>
      </w:r>
    </w:p>
    <w:p>
      <w:pPr>
        <w:spacing w:after="0" w:line="180" w:lineRule="exact"/>
        <w:rPr>
          <w:sz w:val="20"/>
          <w:szCs w:val="20"/>
          <w:color w:val="auto"/>
        </w:rPr>
      </w:pPr>
    </w:p>
    <w:p>
      <w:pPr>
        <w:ind w:firstLine="255"/>
        <w:spacing w:after="0" w:line="282" w:lineRule="auto"/>
        <w:rPr>
          <w:sz w:val="20"/>
          <w:szCs w:val="20"/>
          <w:color w:val="auto"/>
        </w:rPr>
      </w:pPr>
      <w:r>
        <w:rPr>
          <w:rFonts w:ascii="Times New Roman" w:cs="Times New Roman" w:eastAsia="Times New Roman" w:hAnsi="Times New Roman"/>
          <w:sz w:val="18"/>
          <w:szCs w:val="18"/>
          <w:color w:val="auto"/>
        </w:rPr>
        <w:t>The Adviser did not waive any Incentive Fees for the years ended December 31, 2020 and 2019. For the year ended December 31, 2018, Incentive Fees of less than $0.1 million were waived, consisting solely of Incentive Fees attributable to the Company’s ownership of the TCAP Shares.</w:t>
      </w:r>
    </w:p>
    <w:p>
      <w:pPr>
        <w:spacing w:after="0" w:line="162"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Since the Company’s IPO, with the exception of its waiver of Management Fees and certain Incentive Fees attributable to the Company’s ownership of certain portfolio companies, including the TCAP Shares, the Adviser has not waived its right to receive any Management Fees or Incentive Fees payable pursuant to the Investment Advisory Agreement.</w:t>
      </w:r>
    </w:p>
    <w:p>
      <w:pPr>
        <w:spacing w:after="0" w:line="176" w:lineRule="exact"/>
        <w:rPr>
          <w:sz w:val="20"/>
          <w:szCs w:val="20"/>
          <w:color w:val="auto"/>
        </w:rPr>
      </w:pPr>
    </w:p>
    <w:p>
      <w:pPr>
        <w:ind w:right="140" w:firstLine="255"/>
        <w:spacing w:after="0" w:line="289" w:lineRule="auto"/>
        <w:rPr>
          <w:sz w:val="20"/>
          <w:szCs w:val="20"/>
          <w:color w:val="auto"/>
        </w:rPr>
      </w:pPr>
      <w:r>
        <w:rPr>
          <w:rFonts w:ascii="Times New Roman" w:cs="Times New Roman" w:eastAsia="Times New Roman" w:hAnsi="Times New Roman"/>
          <w:sz w:val="17"/>
          <w:szCs w:val="17"/>
          <w:color w:val="auto"/>
        </w:rPr>
        <w:t>In November 2020, the Board renewed the Investment Advisory Agreement. Unless earlier terminated as described below, the Investment Advisory Agreement will remain in effect until November 2021,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58"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13" w:name="page114"/>
    <w:bookmarkEnd w:id="113"/>
    <w:p>
      <w:pPr>
        <w:ind w:left="260"/>
        <w:spacing w:after="0"/>
        <w:rPr>
          <w:sz w:val="20"/>
          <w:szCs w:val="20"/>
          <w:color w:val="auto"/>
        </w:rPr>
      </w:pPr>
      <w:r>
        <w:rPr>
          <w:rFonts w:ascii="Times New Roman" w:cs="Times New Roman" w:eastAsia="Times New Roman" w:hAnsi="Times New Roman"/>
          <w:sz w:val="18"/>
          <w:szCs w:val="18"/>
          <w:color w:val="auto"/>
        </w:rPr>
        <w:t>Investments consisted of the following at December 31, 2020 and 2019:</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2,165,100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2,196,910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80,714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2,259,028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2,298,870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2,134,071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2,166,207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(24,446)</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2,238,037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2,245,928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140" w:hanging="492"/>
        <w:spacing w:after="0" w:line="282" w:lineRule="auto"/>
        <w:tabs>
          <w:tab w:leader="none" w:pos="5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2020 and 2019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80" w:type="dxa"/>
            <w:vAlign w:val="bottom"/>
            <w:tcBorders>
              <w:bottom w:val="single" w:sz="8" w:color="CFF0FC"/>
            </w:tcBorders>
          </w:tcPr>
          <w:p>
            <w:pPr>
              <w:spacing w:after="0"/>
              <w:rPr>
                <w:sz w:val="15"/>
                <w:szCs w:val="15"/>
                <w:color w:val="auto"/>
              </w:rPr>
            </w:pPr>
          </w:p>
        </w:tc>
        <w:tc>
          <w:tcPr>
            <w:tcW w:w="20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20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Chemicals</w:t>
            </w:r>
          </w:p>
        </w:tc>
        <w:tc>
          <w:tcPr>
            <w:tcW w:w="20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3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20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3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3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3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3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3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0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6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080" w:type="dxa"/>
            <w:vAlign w:val="bottom"/>
            <w:vMerge w:val="continue"/>
            <w:shd w:val="clear" w:color="auto" w:fill="CFF0FC"/>
          </w:tcPr>
          <w:p>
            <w:pPr>
              <w:spacing w:after="0"/>
              <w:rPr>
                <w:sz w:val="19"/>
                <w:szCs w:val="19"/>
                <w:color w:val="auto"/>
              </w:rPr>
            </w:pPr>
          </w:p>
        </w:tc>
        <w:tc>
          <w:tcPr>
            <w:tcW w:w="206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80" w:type="dxa"/>
            <w:vAlign w:val="bottom"/>
            <w:gridSpan w:val="3"/>
          </w:tcPr>
          <w:p>
            <w:pPr>
              <w:jc w:val="right"/>
              <w:ind w:right="2460"/>
              <w:spacing w:after="0"/>
              <w:rPr>
                <w:sz w:val="20"/>
                <w:szCs w:val="20"/>
                <w:color w:val="auto"/>
              </w:rPr>
            </w:pPr>
            <w:r>
              <w:rPr>
                <w:rFonts w:ascii="Times New Roman" w:cs="Times New Roman" w:eastAsia="Times New Roman" w:hAnsi="Times New Roman"/>
                <w:sz w:val="18"/>
                <w:szCs w:val="18"/>
                <w:color w:val="auto"/>
              </w:rPr>
              <w:t>F-29</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14" w:name="page115"/>
    <w:bookmarkEnd w:id="114"/>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December 31, 2020 and 2019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14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Midwest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Northeast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Bermuda</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27"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 January 2015, in connection with its 2019 Convertible Notes, the Company entered into two interest rate swap transactions, each with a $57.5 million notional amount. The Company received fixed rate interest at 4.50% and paid variable rate interest based on the three-month London Interbank Offered Rate (“LIBOR”) plus 2.86%. The swap transactions matured on December 15, 2019, matching the maturity date of the 2019 Convertible Notes.</w:t>
      </w:r>
    </w:p>
    <w:p>
      <w:pPr>
        <w:spacing w:after="0" w:line="176" w:lineRule="exact"/>
        <w:rPr>
          <w:sz w:val="20"/>
          <w:szCs w:val="20"/>
          <w:color w:val="auto"/>
        </w:rPr>
      </w:pPr>
    </w:p>
    <w:p>
      <w:pPr>
        <w:jc w:val="both"/>
        <w:ind w:right="360" w:firstLine="255"/>
        <w:spacing w:after="0" w:line="266" w:lineRule="auto"/>
        <w:rPr>
          <w:sz w:val="20"/>
          <w:szCs w:val="20"/>
          <w:color w:val="auto"/>
        </w:rPr>
      </w:pPr>
      <w:r>
        <w:rPr>
          <w:rFonts w:ascii="Times New Roman" w:cs="Times New Roman" w:eastAsia="Times New Roman" w:hAnsi="Times New Roman"/>
          <w:sz w:val="18"/>
          <w:szCs w:val="18"/>
          <w:color w:val="auto"/>
        </w:rPr>
        <w:t>In February 2017, in connection with the issuance of the 2022 Convertible Notes, the Company entered into an interest rate swap transaction with a $115 million notional amount. The Company receives fixed rate interest at 4.50% and pays variable rate interest based on the three-month LIBOR plus 2.37%. The swap transaction matures on August 1, 2022, matching the maturity date of the 2022 Convertible Notes.</w:t>
      </w:r>
    </w:p>
    <w:p>
      <w:pPr>
        <w:spacing w:after="0" w:line="176" w:lineRule="exact"/>
        <w:rPr>
          <w:sz w:val="20"/>
          <w:szCs w:val="20"/>
          <w:color w:val="auto"/>
        </w:rPr>
      </w:pPr>
    </w:p>
    <w:p>
      <w:pPr>
        <w:jc w:val="both"/>
        <w:ind w:right="240" w:firstLine="255"/>
        <w:spacing w:after="0" w:line="266" w:lineRule="auto"/>
        <w:rPr>
          <w:sz w:val="20"/>
          <w:szCs w:val="20"/>
          <w:color w:val="auto"/>
        </w:rPr>
      </w:pPr>
      <w:r>
        <w:rPr>
          <w:rFonts w:ascii="Times New Roman" w:cs="Times New Roman" w:eastAsia="Times New Roman" w:hAnsi="Times New Roman"/>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of the 2023 Notes.</w:t>
      </w:r>
    </w:p>
    <w:p>
      <w:pPr>
        <w:spacing w:after="0" w:line="176"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0" w:lineRule="exact"/>
        <w:rPr>
          <w:sz w:val="20"/>
          <w:szCs w:val="20"/>
          <w:color w:val="auto"/>
        </w:rPr>
      </w:pPr>
    </w:p>
    <w:p>
      <w:pPr>
        <w:jc w:val="both"/>
        <w:ind w:right="500" w:firstLine="255"/>
        <w:spacing w:after="0" w:line="266" w:lineRule="auto"/>
        <w:rPr>
          <w:sz w:val="20"/>
          <w:szCs w:val="20"/>
          <w:color w:val="auto"/>
        </w:rPr>
      </w:pPr>
      <w:r>
        <w:rPr>
          <w:rFonts w:ascii="Times New Roman" w:cs="Times New Roman" w:eastAsia="Times New Roman" w:hAnsi="Times New Roman"/>
          <w:sz w:val="18"/>
          <w:szCs w:val="18"/>
          <w:color w:val="auto"/>
        </w:rPr>
        <w:t>In June 2019, upon maturity of the original swap transaction on an existing fixed rate investment, the Company entered into an interest rate swap transaction with a $91.5 million notional amount. The Company received three-month LIBOR and paid fixed rate interest at 1.97%. In April 2020, in connection with the repayment of the underlying investment, the Company terminated this interest rate swap.</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August 2019, in connection with two fixed rate investments, the Company entered into two interest rate swap transactions with notional amounts of $11.7 million and $3.2 million, respectively. The Company receives three-month LIBOR and pays fixed rate interest at 1.47% and 1.36%, respectively. The $11.7 million notional swap transaction matures on July 30, 2021, matching the current expected repayment date of the investment. In December 2020, in connection with the repayment of the underlying investment, the Company terminated the $3.2 million notional interest rate swap resulting in a realized loss of less than $0.1 million.</w:t>
      </w:r>
    </w:p>
    <w:p>
      <w:pPr>
        <w:spacing w:after="0" w:line="183" w:lineRule="exact"/>
        <w:rPr>
          <w:sz w:val="20"/>
          <w:szCs w:val="20"/>
          <w:color w:val="auto"/>
        </w:rPr>
      </w:pPr>
    </w:p>
    <w:p>
      <w:pPr>
        <w:ind w:right="260" w:firstLine="255"/>
        <w:spacing w:after="0" w:line="282" w:lineRule="auto"/>
        <w:rPr>
          <w:sz w:val="20"/>
          <w:szCs w:val="20"/>
          <w:color w:val="auto"/>
        </w:rPr>
      </w:pPr>
      <w:r>
        <w:rPr>
          <w:rFonts w:ascii="Times New Roman" w:cs="Times New Roman" w:eastAsia="Times New Roman" w:hAnsi="Times New Roman"/>
          <w:sz w:val="18"/>
          <w:szCs w:val="18"/>
          <w:color w:val="auto"/>
        </w:rPr>
        <w:t>In September 2019, in connection with the repayment of a fixed rate investment, the Company closed out of a $33.3 million notional amount interest rate swap transaction resulting in a realized gain of less than $0.1 million.</w:t>
      </w:r>
    </w:p>
    <w:p>
      <w:pPr>
        <w:spacing w:after="0" w:line="162"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In November 2019, in connection with the issuance of the 2024 Notes, the Company entered into an interest rate swap transaction with a $300.0 million notional amount. The Company receives fixed rate interest at 3.875% and pays variable rate interest based on three-month LIBOR plus 2.25%. The swap transaction matures on November 1, 2024, matching the maturity date of the 2024 Notes. The Company designated this interest rate swap as the hedging instrument in a hedge accounting relationship with the 2024 Notes.</w:t>
      </w:r>
    </w:p>
    <w:p>
      <w:pPr>
        <w:spacing w:after="0" w:line="180"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In February 2020, in connection with the reopening and issuance of additional 2024 Notes, the Company entered into an interest rate swap transaction with a $50.0 million notional amount. The Company receives fixed rate interest at 3.875% and pays variable rate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ind w:right="160"/>
        <w:spacing w:after="0" w:line="282" w:lineRule="auto"/>
        <w:rPr>
          <w:sz w:val="20"/>
          <w:szCs w:val="20"/>
          <w:color w:val="auto"/>
        </w:rPr>
      </w:pPr>
      <w:r>
        <w:rPr>
          <w:rFonts w:ascii="Times New Roman" w:cs="Times New Roman" w:eastAsia="Times New Roman" w:hAnsi="Times New Roman"/>
          <w:sz w:val="18"/>
          <w:szCs w:val="18"/>
          <w:color w:val="auto"/>
        </w:rPr>
        <w:t>interest based on three-month LIBOR plus 2.46%. The swap transaction matures on November 1, 2024, matching the maturity date of the additional 2024 Notes. The Company designated this interest rate swap as the hedging instrument in a hedge accounting relationship with the additional 2024 Notes.</w:t>
      </w:r>
    </w:p>
    <w:p>
      <w:pPr>
        <w:spacing w:after="0" w:line="162" w:lineRule="exact"/>
        <w:rPr>
          <w:sz w:val="20"/>
          <w:szCs w:val="20"/>
          <w:color w:val="auto"/>
        </w:rPr>
      </w:pPr>
    </w:p>
    <w:p>
      <w:pPr>
        <w:ind w:right="180" w:firstLine="255"/>
        <w:spacing w:after="0" w:line="266" w:lineRule="auto"/>
        <w:rPr>
          <w:sz w:val="20"/>
          <w:szCs w:val="20"/>
          <w:color w:val="auto"/>
        </w:rPr>
      </w:pPr>
      <w:r>
        <w:rPr>
          <w:rFonts w:ascii="Times New Roman" w:cs="Times New Roman" w:eastAsia="Times New Roman" w:hAnsi="Times New Roman"/>
          <w:sz w:val="18"/>
          <w:szCs w:val="18"/>
          <w:color w:val="auto"/>
        </w:rPr>
        <w:t>In May 2020, in connection with the repurchase of $29.7 million of the 2022 Convertible Notes, the Company entered into two interest rate swap transactions with $27.5 million and $2.2 million notional amounts. The Company pays fixed rate interest at 4.5% and receives variable rate interest based on three-month LIBOR plus 2.11%. The swap transactions mature on August 1, 2022, matching the maturity date of the 2022 Convertible Notes.</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May 2020, in connection with the repurchase of $2.5 million of the 2024 Notes, the Company entered into an interest rate swap transaction with $2.5 million notional amount. The Company pays fixed rate interest at 3.875% and receives variable rate interest based on three-month LIBOR plus 2.28%. The swap transaction matures on November 1, 2024, matching the maturity date of the 2024 Notes. At the same time, the Company de-designated $2.5 million notional amount of the existing interest rate swaps related to the 2024 Notes as hedging instruments in a hedge accounting relationship with the 2024 Notes.</w:t>
      </w:r>
    </w:p>
    <w:p>
      <w:pPr>
        <w:spacing w:after="0" w:line="183"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In June 2020, in connection with two fixed rate investments, the Company entered into two interest rate swap transactions with notional amounts of $5.0 million and $2.2 million. The Company receives three-month LIBOR and pays fixed rate interest at 0.33% and 0.26%, respectively. The $5.0 million notional swap transaction matures on June 9, 2023, matching the expected repayment date of the investment. In December 2020, in connection with the repayment of the underlying investment, the Company terminated the $2.2 million notional interest rate swap resulting in a realized loss of less than $0.1 million.</w:t>
      </w:r>
    </w:p>
    <w:p>
      <w:pPr>
        <w:spacing w:after="0" w:line="183" w:lineRule="exact"/>
        <w:rPr>
          <w:sz w:val="20"/>
          <w:szCs w:val="20"/>
          <w:color w:val="auto"/>
        </w:rPr>
      </w:pPr>
    </w:p>
    <w:p>
      <w:pPr>
        <w:ind w:right="2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amounts paid and received on the Company’s interest rate swap transactions for the year ended December 31,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3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6"/>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right"/>
              <w:ind w:right="920"/>
              <w:spacing w:after="0" w:line="155" w:lineRule="exact"/>
              <w:rPr>
                <w:sz w:val="20"/>
                <w:szCs w:val="20"/>
                <w:color w:val="auto"/>
              </w:rPr>
            </w:pPr>
            <w:r>
              <w:rPr>
                <w:rFonts w:ascii="Times New Roman" w:cs="Times New Roman" w:eastAsia="Times New Roman" w:hAnsi="Times New Roman"/>
                <w:sz w:val="14"/>
                <w:szCs w:val="14"/>
                <w:b w:val="1"/>
                <w:bCs w:val="1"/>
                <w:color w:val="auto"/>
              </w:rPr>
              <w:t>Paid</w:t>
            </w:r>
          </w:p>
        </w:tc>
        <w:tc>
          <w:tcPr>
            <w:tcW w:w="300" w:type="dxa"/>
            <w:vAlign w:val="bottom"/>
          </w:tcPr>
          <w:p>
            <w:pPr>
              <w:spacing w:after="0"/>
              <w:rPr>
                <w:sz w:val="13"/>
                <w:szCs w:val="13"/>
                <w:color w:val="auto"/>
              </w:rPr>
            </w:pPr>
          </w:p>
        </w:tc>
        <w:tc>
          <w:tcPr>
            <w:tcW w:w="1540" w:type="dxa"/>
            <w:vAlign w:val="bottom"/>
            <w:gridSpan w:val="2"/>
          </w:tcPr>
          <w:p>
            <w:pPr>
              <w:jc w:val="center"/>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400" w:type="dxa"/>
            <w:vAlign w:val="bottom"/>
          </w:tcPr>
          <w:p>
            <w:pPr>
              <w:spacing w:after="0"/>
              <w:rPr>
                <w:sz w:val="13"/>
                <w:szCs w:val="13"/>
                <w:color w:val="auto"/>
              </w:rPr>
            </w:pPr>
          </w:p>
        </w:tc>
        <w:tc>
          <w:tcPr>
            <w:tcW w:w="1180" w:type="dxa"/>
            <w:vAlign w:val="bottom"/>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(1)(2)</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6/25/2020</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(3,889)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6/9/2023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(1,460)</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818,241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180" w:hanging="492"/>
        <w:spacing w:after="0" w:line="261" w:lineRule="auto"/>
        <w:tabs>
          <w:tab w:leader="none" w:pos="5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ind w:left="500" w:hanging="492"/>
        <w:spacing w:after="0"/>
        <w:tabs>
          <w:tab w:leader="none" w:pos="5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2020, these interest rate swaps had either matured or been terminated due to repayment of the underlying investment or security.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3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6"/>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For the Year Ended December 31, 2019</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right"/>
              <w:ind w:right="920"/>
              <w:spacing w:after="0" w:line="155" w:lineRule="exact"/>
              <w:rPr>
                <w:sz w:val="20"/>
                <w:szCs w:val="20"/>
                <w:color w:val="auto"/>
              </w:rPr>
            </w:pPr>
            <w:r>
              <w:rPr>
                <w:rFonts w:ascii="Times New Roman" w:cs="Times New Roman" w:eastAsia="Times New Roman" w:hAnsi="Times New Roman"/>
                <w:sz w:val="14"/>
                <w:szCs w:val="14"/>
                <w:b w:val="1"/>
                <w:bCs w:val="1"/>
                <w:color w:val="auto"/>
              </w:rPr>
              <w:t>Paid</w:t>
            </w:r>
          </w:p>
        </w:tc>
        <w:tc>
          <w:tcPr>
            <w:tcW w:w="300" w:type="dxa"/>
            <w:vAlign w:val="bottom"/>
          </w:tcPr>
          <w:p>
            <w:pPr>
              <w:spacing w:after="0"/>
              <w:rPr>
                <w:sz w:val="13"/>
                <w:szCs w:val="13"/>
                <w:color w:val="auto"/>
              </w:rPr>
            </w:pPr>
          </w:p>
        </w:tc>
        <w:tc>
          <w:tcPr>
            <w:tcW w:w="1540" w:type="dxa"/>
            <w:vAlign w:val="bottom"/>
            <w:gridSpan w:val="2"/>
          </w:tcPr>
          <w:p>
            <w:pPr>
              <w:jc w:val="center"/>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400" w:type="dxa"/>
            <w:vAlign w:val="bottom"/>
          </w:tcPr>
          <w:p>
            <w:pPr>
              <w:spacing w:after="0"/>
              <w:rPr>
                <w:sz w:val="13"/>
                <w:szCs w:val="13"/>
                <w:color w:val="auto"/>
              </w:rPr>
            </w:pPr>
          </w:p>
        </w:tc>
        <w:tc>
          <w:tcPr>
            <w:tcW w:w="1180" w:type="dxa"/>
            <w:vAlign w:val="bottom"/>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(1)(2)</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6/27/2019</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(6,210)</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(2)</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6/25/2020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7/30/2021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(5,613)</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11/1/2024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(1,876)</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968,733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(27,110)</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26,161</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200" w:hanging="492"/>
        <w:spacing w:after="0" w:line="261" w:lineRule="auto"/>
        <w:tabs>
          <w:tab w:leader="none" w:pos="5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ind w:left="500" w:hanging="492"/>
        <w:spacing w:after="0"/>
        <w:tabs>
          <w:tab w:leader="none" w:pos="5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2019, these interest rate swaps had either matured or been terminated due to repayment of the underlying investment or security.</w:t>
      </w:r>
    </w:p>
    <w:p>
      <w:pPr>
        <w:spacing w:after="0" w:line="207"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2020 and 2019, the Company recognized $6.8 million and $9.2 million in unrealized gains, respectively, in net change in unrealized gains/(losses) on interest rate swaps not designated as hedging instruments in the consolidated statement of operations related to the swap transactions. For the years ended December 31, 2020 and 2019 the Company recognized $18.6 million and ($1.8) million, respectively, in net change in unrealized gains/(losses) on interest rate swaps designated as hedging instruments as a component of interest expense in the consolidated statement of operations. As of December 31, 2020, the swap transactions had a fair value of $28.6 million which is netted against cash collateral on the Company’s consolidated balance sheet. As of December 31, 2019, the swap transactions had a fair value of $4.7 million which is netted against cash collateral on the Company’s consolidated balance sheet.</w:t>
      </w:r>
    </w:p>
    <w:p>
      <w:pPr>
        <w:spacing w:after="0" w:line="189" w:lineRule="exact"/>
        <w:rPr>
          <w:sz w:val="20"/>
          <w:szCs w:val="20"/>
          <w:color w:val="auto"/>
        </w:rPr>
      </w:pPr>
    </w:p>
    <w:p>
      <w:pPr>
        <w:ind w:right="100" w:firstLine="255"/>
        <w:spacing w:after="0" w:line="281" w:lineRule="auto"/>
        <w:rPr>
          <w:sz w:val="20"/>
          <w:szCs w:val="20"/>
          <w:color w:val="auto"/>
        </w:rPr>
      </w:pPr>
      <w:r>
        <w:rPr>
          <w:rFonts w:ascii="Times New Roman" w:cs="Times New Roman" w:eastAsia="Times New Roman" w:hAnsi="Times New Roman"/>
          <w:sz w:val="17"/>
          <w:szCs w:val="17"/>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4" w:lineRule="exact"/>
        <w:rPr>
          <w:sz w:val="20"/>
          <w:szCs w:val="20"/>
          <w:color w:val="auto"/>
        </w:rPr>
      </w:pPr>
    </w:p>
    <w:p>
      <w:pPr>
        <w:ind w:right="820" w:firstLine="255"/>
        <w:spacing w:after="0" w:line="312" w:lineRule="auto"/>
        <w:rPr>
          <w:sz w:val="20"/>
          <w:szCs w:val="20"/>
          <w:color w:val="auto"/>
        </w:rPr>
      </w:pPr>
      <w:r>
        <w:rPr>
          <w:rFonts w:ascii="Times New Roman" w:cs="Times New Roman" w:eastAsia="Times New Roman" w:hAnsi="Times New Roman"/>
          <w:sz w:val="17"/>
          <w:szCs w:val="17"/>
          <w:color w:val="auto"/>
        </w:rPr>
        <w:t>As of December 31, 2020 and 2019, $10.8 million and $9.3 million, respectively, of cash is pledged as collateral under the Company’s derivative instruments and is included in restricted cash as a component of cash and cash equivalents on the Company’s consolidated balance sheet.</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December 31, 2020 and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39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2,158,551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2,196,910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8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8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2,249,720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9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2,249,720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2,327,508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940" w:type="dxa"/>
            <w:vAlign w:val="bottom"/>
          </w:tcPr>
          <w:p>
            <w:pPr>
              <w:spacing w:after="0"/>
              <w:rPr>
                <w:sz w:val="24"/>
                <w:szCs w:val="24"/>
                <w:color w:val="auto"/>
              </w:rPr>
            </w:pPr>
          </w:p>
        </w:tc>
        <w:tc>
          <w:tcPr>
            <w:tcW w:w="2740" w:type="dxa"/>
            <w:vAlign w:val="bottom"/>
            <w:gridSpan w:val="2"/>
          </w:tcPr>
          <w:p>
            <w:pPr>
              <w:jc w:val="right"/>
              <w:ind w:right="795"/>
              <w:spacing w:after="0"/>
              <w:rPr>
                <w:sz w:val="20"/>
                <w:szCs w:val="20"/>
                <w:color w:val="auto"/>
              </w:rPr>
            </w:pPr>
            <w:r>
              <w:rPr>
                <w:rFonts w:ascii="Times New Roman" w:cs="Times New Roman" w:eastAsia="Times New Roman" w:hAnsi="Times New Roman"/>
                <w:sz w:val="18"/>
                <w:szCs w:val="18"/>
                <w:color w:val="auto"/>
              </w:rPr>
              <w:t>F-32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28"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155"/>
        </w:trPr>
        <w:tc>
          <w:tcPr>
            <w:tcW w:w="582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860" w:type="dxa"/>
            <w:vAlign w:val="bottom"/>
            <w:tcBorders>
              <w:top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2,158,927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2,176,118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100" w:type="dxa"/>
            <w:vAlign w:val="bottom"/>
          </w:tcPr>
          <w:p>
            <w:pPr>
              <w:spacing w:after="0"/>
              <w:rPr>
                <w:sz w:val="19"/>
                <w:szCs w:val="19"/>
                <w:color w:val="auto"/>
              </w:rPr>
            </w:pPr>
          </w:p>
        </w:tc>
      </w:tr>
      <w:tr>
        <w:trPr>
          <w:trHeight w:val="223"/>
        </w:trPr>
        <w:tc>
          <w:tcPr>
            <w:tcW w:w="58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860" w:type="dxa"/>
            <w:vAlign w:val="bottom"/>
            <w:tcBorders>
              <w:top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2,228,731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2,245,928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tcPr>
          <w:p>
            <w:pPr>
              <w:spacing w:after="0"/>
              <w:rPr>
                <w:sz w:val="19"/>
                <w:szCs w:val="19"/>
                <w:color w:val="auto"/>
              </w:rPr>
            </w:pPr>
          </w:p>
        </w:tc>
      </w:tr>
      <w:tr>
        <w:trPr>
          <w:trHeight w:val="223"/>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top w:val="single" w:sz="8" w:color="auto"/>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2,228,731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2,250,672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jc w:val="both"/>
        <w:ind w:right="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year ended December 31, 2020 and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0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First-lien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Mezzanine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Equity and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2,158,927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2,228,731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(960,147)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(4,357)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(38,736)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(1,003,240)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2,249,720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1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First-lien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Mezzanine debt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Equity and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1,628,037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1,677,889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1,097,888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(578,764)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(589,798)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2,158,927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2,228,731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F-33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03" w:right="319" w:bottom="1440" w:gutter="0" w:footer="0" w:header="0"/>
        </w:sectPr>
      </w:pPr>
    </w:p>
    <w:bookmarkStart w:id="118" w:name="page119"/>
    <w:bookmarkEnd w:id="118"/>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gains or losses on investments for which Level 3 inputs were used in determining fair value that are still held by the Company at December 31, 2020 and 2019: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Gains or (Losses)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or (Losses)</w:t>
            </w: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2020 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2019 on</w:t>
            </w: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39,342</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and the significant unobservable inputs used in the valuations as of December 31, 2020 and 2019. The tables are not intended to be all-inclusive, but instead capture the significant unobservable inputs relevant to the Company’s determination of fair values.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5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00" w:type="dxa"/>
            <w:vAlign w:val="bottom"/>
          </w:tcPr>
          <w:p>
            <w:pPr>
              <w:spacing w:after="0"/>
              <w:rPr>
                <w:sz w:val="15"/>
                <w:szCs w:val="15"/>
                <w:color w:val="auto"/>
              </w:rPr>
            </w:pPr>
          </w:p>
        </w:tc>
        <w:tc>
          <w:tcPr>
            <w:tcW w:w="14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$ 2,158,551</w:t>
            </w:r>
          </w:p>
        </w:tc>
        <w:tc>
          <w:tcPr>
            <w:tcW w:w="2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35.2% (9.4%)</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approach</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11.8% (11.8%)</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2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(2)</w:t>
            </w:r>
          </w:p>
        </w:tc>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10.1%</w:t>
            </w:r>
          </w:p>
        </w:tc>
        <w:tc>
          <w:tcPr>
            <w:tcW w:w="14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11.9% (10.5%)</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2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Market Multiple </w:t>
            </w:r>
            <w:r>
              <w:rPr>
                <w:rFonts w:ascii="Times New Roman" w:cs="Times New Roman" w:eastAsia="Times New Roman" w:hAnsi="Times New Roman"/>
                <w:sz w:val="15"/>
                <w:szCs w:val="15"/>
                <w:color w:val="auto"/>
              </w:rPr>
              <w:t>(3)</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Comparable multiple</w:t>
            </w:r>
          </w:p>
        </w:tc>
        <w:tc>
          <w:tcPr>
            <w:tcW w:w="1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3.5x — 16.0x (8.7x)</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$ 2,249,720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$21.6 million of first-lien debt investments which were valued using an asset valuation waterfall.</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 million of debt investments valued using a comparable multiple.</w:t>
      </w:r>
    </w:p>
    <w:p>
      <w:pPr>
        <w:spacing w:after="0" w:line="9" w:lineRule="exact"/>
        <w:rPr>
          <w:rFonts w:ascii="Times New Roman" w:cs="Times New Roman" w:eastAsia="Times New Roman" w:hAnsi="Times New Roman"/>
          <w:sz w:val="18"/>
          <w:szCs w:val="18"/>
          <w:color w:val="auto"/>
        </w:rPr>
      </w:pPr>
    </w:p>
    <w:p>
      <w:pPr>
        <w:ind w:left="500" w:right="60" w:hanging="492"/>
        <w:spacing w:after="0" w:line="253" w:lineRule="auto"/>
        <w:tabs>
          <w:tab w:leader="none" w:pos="5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 million of equity investments which were valued using a weighted valuation approach, $3.9 million of equity investments valued using an asset valuation waterfall, $3.0 million of equity investments using a Black-Scholes model, $15.8 million of equity investments using a discounted cash flow model and $8.1 million of equity investments which, due to the proximity of the transactions relative to the measurement date, were valued using the cost of the investments.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19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$ 2,158,927</w:t>
            </w:r>
          </w:p>
        </w:tc>
        <w:tc>
          <w:tcPr>
            <w:tcW w:w="2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top w:val="single" w:sz="8" w:color="CFF0FC"/>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5.5% — 17.9% (10.0%)</w:t>
            </w:r>
          </w:p>
        </w:tc>
        <w:tc>
          <w:tcPr>
            <w:tcW w:w="1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approach</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14.9% — 14.9% (14.9%)</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approach</w:t>
            </w:r>
          </w:p>
        </w:tc>
        <w:tc>
          <w:tcPr>
            <w:tcW w:w="1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9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16.4% — 16.4% (16.4%)</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63,107</w:t>
            </w:r>
          </w:p>
        </w:tc>
        <w:tc>
          <w:tcPr>
            <w:tcW w:w="2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Market Multiple </w:t>
            </w:r>
            <w:r>
              <w:rPr>
                <w:rFonts w:ascii="Times New Roman" w:cs="Times New Roman" w:eastAsia="Times New Roman" w:hAnsi="Times New Roman"/>
                <w:sz w:val="15"/>
                <w:szCs w:val="15"/>
                <w:color w:val="auto"/>
              </w:rPr>
              <w:t>(2)</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Comparable multiple</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3.0x — 14.5x (11.3x)</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23"/>
        </w:trPr>
        <w:tc>
          <w:tcPr>
            <w:tcW w:w="2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$ 2,228,731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8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240" w:hanging="492"/>
        <w:spacing w:after="0" w:line="261" w:lineRule="auto"/>
        <w:tabs>
          <w:tab w:leader="none" w:pos="5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$32.2 million of first-lien debt investments which, due to the proximity of the transactions relative to the measurement date, were valued using the cost of the investments.</w:t>
      </w:r>
    </w:p>
    <w:p>
      <w:pPr>
        <w:ind w:left="500" w:right="80" w:hanging="492"/>
        <w:spacing w:after="0" w:line="260" w:lineRule="auto"/>
        <w:tabs>
          <w:tab w:leader="none" w:pos="5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 million of equity investments which were valued using a weighted valuation approach and $16.6 million of equity investments which, due to the proximity of the transactions relative to the measurement date, were valued using the cost of the investments.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ind w:right="280" w:firstLine="255"/>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3"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The fair value of the Company’s Revolving Credit Facility, which is categorized as Level 3 within the fair value hierarchy, as of December 31, 2020, approximates its carrying value as the outstanding balance is callable at carrying value. The fair value of the Company’s 2022 Convertible Notes, 2023 Notes and 2024 Notes, which are categorized as Level 2 within the fair value hierarchy, as of December 31, 2020 and 2019, was $670.9 million and $640.1 million, respectively, based on broker quotes received by the Company. The aggregate principal amount of the Company’s 2022 Convertible Notes, 2023 Notes and 2024 Notes, as of December 31, 2020 and 2019, was $640.3 million and $622.5 million,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the 2022 Convertible Notes, 2023 Notes and 2024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60" w:firstLine="255"/>
        <w:spacing w:after="0" w:line="312" w:lineRule="auto"/>
        <w:rPr>
          <w:sz w:val="20"/>
          <w:szCs w:val="20"/>
          <w:color w:val="auto"/>
        </w:rPr>
      </w:pPr>
      <w:r>
        <w:rPr>
          <w:rFonts w:ascii="Times New Roman" w:cs="Times New Roman" w:eastAsia="Times New Roman" w:hAnsi="Times New Roman"/>
          <w:sz w:val="17"/>
          <w:szCs w:val="17"/>
          <w:color w:val="auto"/>
        </w:rPr>
        <w:t>In accordance with the 1940 Act, with certain limitations, the Company is allowed to borrow amounts such that its asset coverage, as defined in the 1940 Act, is at least 150% after such borrowing. As of December 31, 2020 and 2019, the Company’s asset coverage was 204.5% and 200.4%, respectively.</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2020 and 2019:</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06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5"/>
                <w:szCs w:val="15"/>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2"/>
                <w:szCs w:val="12"/>
                <w:b w:val="1"/>
                <w:bCs w:val="1"/>
                <w:color w:val="auto"/>
                <w:w w:val="99"/>
              </w:rPr>
              <w:t>(2)(3)</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472,281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862,719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40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1,975,309</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1,112,590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862,719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1,110,363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900" w:hanging="492"/>
        <w:spacing w:after="0" w:line="261" w:lineRule="auto"/>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00" w:right="200" w:hanging="492"/>
        <w:spacing w:after="0" w:line="250" w:lineRule="auto"/>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and 2024 Notes are presented net of deferred financing costs and original issue discounts of $10.8 million, $1.5 million, $1.3 million and $5.3 million, respectively.</w:t>
      </w:r>
    </w:p>
    <w:p>
      <w:pPr>
        <w:ind w:left="500" w:right="60" w:hanging="492"/>
        <w:spacing w:after="0" w:line="260" w:lineRule="auto"/>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2024 Notes is presented inclusive of an incremental $16.8 million, which represents an adjustment in the carrying value of the 2024 Notes resulting from a hedge accounting relationship.</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0" w:name="page121"/>
    <w:bookmarkEnd w:id="120"/>
    <w:tbl>
      <w:tblPr>
        <w:tblLayout w:type="fixed"/>
        <w:tblInd w:w="58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2"/>
                <w:szCs w:val="12"/>
                <w:b w:val="1"/>
                <w:bCs w:val="1"/>
                <w:color w:val="auto"/>
                <w:w w:val="99"/>
              </w:rPr>
              <w:t>(2)(3)</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495,689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749,311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749,311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880" w:hanging="492"/>
        <w:spacing w:after="0" w:line="261"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may be subject to limitations related to the borrowing base under the Revolving Credit Facility and asset coverage requirements.</w:t>
      </w:r>
    </w:p>
    <w:p>
      <w:pPr>
        <w:ind w:left="500" w:right="180" w:hanging="492"/>
        <w:spacing w:after="0" w:line="250"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2022 Convertible Notes, 2023 Notes, and 2024 Notes are presented net of deferred financing costs and original issue discounts of $10.0 million, $3.1 million, $2.0 million and $6.9 million, respectively.</w:t>
      </w:r>
    </w:p>
    <w:p>
      <w:pPr>
        <w:ind w:left="500" w:hanging="492"/>
        <w:spacing w:after="0" w:line="260"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2024 Notes is presented inclusive of an incremental ($1.8) million, which represents an adjustment in the carrying value of the 2024 Notes resulting from a hedge accounting relationship.</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2020, 2019 and 2018, the components of interest expense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 w:type="dxa"/>
            <w:vAlign w:val="bottom"/>
          </w:tcPr>
          <w:p>
            <w:pPr>
              <w:spacing w:after="0"/>
              <w:rPr>
                <w:sz w:val="15"/>
                <w:szCs w:val="15"/>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8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8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settlements</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shd w:val="clear" w:color="auto" w:fill="CFF0FC"/>
          </w:tcPr>
          <w:p>
            <w:pPr>
              <w:spacing w:after="0"/>
              <w:rPr>
                <w:sz w:val="19"/>
                <w:szCs w:val="19"/>
                <w:color w:val="auto"/>
              </w:rPr>
            </w:pPr>
          </w:p>
        </w:tc>
      </w:tr>
      <w:tr>
        <w:trPr>
          <w:trHeight w:val="263"/>
        </w:trPr>
        <w:tc>
          <w:tcPr>
            <w:tcW w:w="50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3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42,761</w:t>
            </w:r>
          </w:p>
        </w:tc>
        <w:tc>
          <w:tcPr>
            <w:tcW w:w="180" w:type="dxa"/>
            <w:vAlign w:val="bottom"/>
            <w:tcBorders>
              <w:bottom w:val="single" w:sz="8" w:color="CFF0FC"/>
            </w:tcBorders>
          </w:tcPr>
          <w:p>
            <w:pPr>
              <w:spacing w:after="0"/>
              <w:rPr>
                <w:sz w:val="22"/>
                <w:szCs w:val="22"/>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80" w:type="dxa"/>
            <w:vAlign w:val="bottom"/>
            <w:shd w:val="clear" w:color="auto" w:fill="CFF0FC"/>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1-month LIBOR rate</w:t>
            </w:r>
          </w:p>
        </w:tc>
        <w:tc>
          <w:tcPr>
            <w:tcW w:w="1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320" w:firstLine="255"/>
        <w:spacing w:after="0" w:line="26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76" w:lineRule="exact"/>
        <w:rPr>
          <w:sz w:val="20"/>
          <w:szCs w:val="20"/>
          <w:color w:val="auto"/>
        </w:rPr>
      </w:pPr>
    </w:p>
    <w:p>
      <w:pPr>
        <w:ind w:right="220" w:firstLine="255"/>
        <w:spacing w:after="0" w:line="266" w:lineRule="auto"/>
        <w:rPr>
          <w:sz w:val="20"/>
          <w:szCs w:val="20"/>
          <w:color w:val="auto"/>
        </w:rPr>
      </w:pPr>
      <w:r>
        <w:rPr>
          <w:rFonts w:ascii="Times New Roman" w:cs="Times New Roman" w:eastAsia="Times New Roman" w:hAnsi="Times New Roman"/>
          <w:sz w:val="18"/>
          <w:szCs w:val="18"/>
          <w:color w:val="auto"/>
        </w:rPr>
        <w:t>As of December 31, 2020, aggregate commitments under the facility were $1.335 billion. Pursuant to an amendment to the Revolving Credit Facility dated as of February 5, 2021 (the “Tenth Amendment”), the aggregate commitments under the facility were increased to $1.485 billion. The facility includes an uncommitted accordion feature that allows us, under certain circumstances, to increase the size of the facility to up to $2.0 billion.</w:t>
      </w:r>
    </w:p>
    <w:p>
      <w:pPr>
        <w:spacing w:after="0" w:line="176"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Pursuant to the Tenth Amendment, with respect to $1.390 billion in commitments, the revolving period, during which period the Company, subject to certain conditions, may make borrowings under the facility, was extended from January 31, 2024 to February 4, 2025 and the stated maturity date was extended from January 31, 2025 to February 4, 2026. For the remaining $95.0 million of commitments, the revolving period ends January 31, 2024 and the stated maturity is January 31, 2025.</w:t>
      </w:r>
    </w:p>
    <w:p>
      <w:pPr>
        <w:spacing w:after="0" w:line="180"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December 31, 2020, the Company had outstanding debt denominated in Australian dollars (AUD) of 51.6 million, Canadian dollars (CAD) of 74.8 million, and Euro (EUR) of 8.4 million on its Revolving Credit Facility, included in the Outstanding Principal amount in the table above.</w:t>
      </w:r>
    </w:p>
    <w:p>
      <w:pPr>
        <w:spacing w:after="0" w:line="176"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December 31, 2020 and December 31, 2019,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21" w:name="page122"/>
    <w:bookmarkEnd w:id="121"/>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7" w:lineRule="exact"/>
        <w:rPr>
          <w:sz w:val="20"/>
          <w:szCs w:val="20"/>
          <w:color w:val="auto"/>
        </w:rPr>
      </w:pPr>
    </w:p>
    <w:p>
      <w:pPr>
        <w:ind w:right="80" w:firstLine="255"/>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76" w:lineRule="exact"/>
        <w:rPr>
          <w:sz w:val="20"/>
          <w:szCs w:val="20"/>
          <w:color w:val="auto"/>
        </w:rPr>
      </w:pPr>
    </w:p>
    <w:p>
      <w:pPr>
        <w:ind w:right="14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54" w:lineRule="exact"/>
        <w:rPr>
          <w:sz w:val="20"/>
          <w:szCs w:val="20"/>
          <w:color w:val="auto"/>
        </w:rPr>
      </w:pPr>
    </w:p>
    <w:p>
      <w:pPr>
        <w:ind w:left="500" w:hanging="249"/>
        <w:spacing w:after="0"/>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1.5 to 1 on the last day of any fiscal quarter;</w:t>
      </w:r>
    </w:p>
    <w:p>
      <w:pPr>
        <w:spacing w:after="0" w:line="144" w:lineRule="exact"/>
        <w:rPr>
          <w:rFonts w:ascii="Times New Roman" w:cs="Times New Roman" w:eastAsia="Times New Roman" w:hAnsi="Times New Roman"/>
          <w:sz w:val="18"/>
          <w:szCs w:val="18"/>
          <w:color w:val="auto"/>
        </w:rPr>
      </w:pPr>
    </w:p>
    <w:p>
      <w:pPr>
        <w:ind w:left="500" w:right="80" w:hanging="249"/>
        <w:spacing w:after="0" w:line="266" w:lineRule="auto"/>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67" w:lineRule="exact"/>
        <w:rPr>
          <w:rFonts w:ascii="Times New Roman" w:cs="Times New Roman" w:eastAsia="Times New Roman" w:hAnsi="Times New Roman"/>
          <w:sz w:val="18"/>
          <w:szCs w:val="18"/>
          <w:color w:val="auto"/>
        </w:rPr>
      </w:pPr>
    </w:p>
    <w:p>
      <w:pPr>
        <w:ind w:left="500" w:hanging="249"/>
        <w:spacing w:after="0"/>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January 31, 2020;</w:t>
      </w:r>
    </w:p>
    <w:p>
      <w:pPr>
        <w:spacing w:after="0" w:line="144" w:lineRule="exact"/>
        <w:rPr>
          <w:rFonts w:ascii="Times New Roman" w:cs="Times New Roman" w:eastAsia="Times New Roman" w:hAnsi="Times New Roman"/>
          <w:sz w:val="18"/>
          <w:szCs w:val="18"/>
          <w:color w:val="auto"/>
        </w:rPr>
      </w:pPr>
    </w:p>
    <w:p>
      <w:pPr>
        <w:ind w:left="500" w:hanging="249"/>
        <w:spacing w:after="0" w:line="261" w:lineRule="auto"/>
        <w:tabs>
          <w:tab w:leader="none" w:pos="5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1" w:lineRule="exact"/>
        <w:rPr>
          <w:rFonts w:ascii="Times New Roman" w:cs="Times New Roman" w:eastAsia="Times New Roman" w:hAnsi="Times New Roman"/>
          <w:sz w:val="18"/>
          <w:szCs w:val="18"/>
          <w:color w:val="auto"/>
        </w:rPr>
      </w:pPr>
    </w:p>
    <w:p>
      <w:pPr>
        <w:ind w:left="500" w:right="100" w:hanging="249"/>
        <w:spacing w:after="0" w:line="312" w:lineRule="auto"/>
        <w:tabs>
          <w:tab w:leader="none" w:pos="5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40"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additional concentration limits in connection with the calculation of the borrowing base, based on the Obligor Asset Coverage Ratio.</w:t>
      </w:r>
    </w:p>
    <w:p>
      <w:pPr>
        <w:spacing w:after="0" w:line="162" w:lineRule="exact"/>
        <w:rPr>
          <w:sz w:val="20"/>
          <w:szCs w:val="20"/>
          <w:color w:val="auto"/>
        </w:rPr>
      </w:pPr>
    </w:p>
    <w:p>
      <w:pPr>
        <w:ind w:right="680" w:firstLine="255"/>
        <w:spacing w:after="0" w:line="282" w:lineRule="auto"/>
        <w:rPr>
          <w:sz w:val="20"/>
          <w:szCs w:val="20"/>
          <w:color w:val="auto"/>
        </w:rPr>
      </w:pPr>
      <w:r>
        <w:rPr>
          <w:rFonts w:ascii="Times New Roman" w:cs="Times New Roman" w:eastAsia="Times New Roman" w:hAnsi="Times New Roman"/>
          <w:sz w:val="18"/>
          <w:szCs w:val="18"/>
          <w:color w:val="auto"/>
        </w:rPr>
        <w:t>Net proceeds received from the issuance of the 2022 Convertible Notes, 2023 Notes and 2024 Notes were used to pay down borrowings on the Revolving Credit Facility.</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December 31, 2020, the Company was in compliance with the terms of the Revolving Credit Facility.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Convertible Notes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were unsecured, and bore interest at a rate of 4.50% per year, payable semiannually. The 2019 Convertible Notes matured on December 15, 2019 and were fully repaid in cash. The swap transaction associated with the issuance of the 2019 Convertible Notes also matured on December 15,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119" w:lineRule="exact"/>
        <w:rPr>
          <w:sz w:val="20"/>
          <w:szCs w:val="20"/>
          <w:color w:val="auto"/>
        </w:rPr>
      </w:pPr>
    </w:p>
    <w:p>
      <w:pPr>
        <w:ind w:right="120" w:firstLine="255"/>
        <w:spacing w:after="0" w:line="253" w:lineRule="auto"/>
        <w:rPr>
          <w:sz w:val="20"/>
          <w:szCs w:val="20"/>
          <w:color w:val="auto"/>
        </w:rPr>
      </w:pPr>
      <w:r>
        <w:rPr>
          <w:rFonts w:ascii="Times New Roman" w:cs="Times New Roman" w:eastAsia="Times New Roman" w:hAnsi="Times New Roman"/>
          <w:sz w:val="18"/>
          <w:szCs w:val="18"/>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December 31, 2020, the estimated adjusted conversion price was approximately $19.80 per share of common stock. The sale of the 2022 Convertible Notes generated net proceeds of approximately $111.2 million. The Company used the net proceeds of the offering to pay down debt under the Revolving Credit Facility. In connection with the offering of 2022 Convertible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2" w:name="page123"/>
    <w:bookmarkEnd w:id="122"/>
    <w:p>
      <w:pPr>
        <w:ind w:right="20"/>
        <w:spacing w:after="0" w:line="266" w:lineRule="auto"/>
        <w:rPr>
          <w:sz w:val="20"/>
          <w:szCs w:val="20"/>
          <w:color w:val="auto"/>
        </w:rPr>
      </w:pPr>
      <w:r>
        <w:rPr>
          <w:rFonts w:ascii="Times New Roman" w:cs="Times New Roman" w:eastAsia="Times New Roman" w:hAnsi="Times New Roman"/>
          <w:sz w:val="18"/>
          <w:szCs w:val="18"/>
          <w:color w:val="auto"/>
        </w:rPr>
        <w:t>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76"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In June 2018, the Company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87"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the Company entered into floating-to-fixed interest rate swaps with an aggregate notional amount equal to the amount of 2022 Convertible Notes repurchased, which has the effect of reducing the notional exposure of the fixed-to-floating interest rate swaps, which were entered into in connection with the issuance of the 2022 Convertible Notes, to match the current principal amount of the 2022 Convertible Notes outstanding. As a result of the swaps, the Company’s effective interest rate on the outstanding 2022 Convertible Notes is three-month LIBOR plus 2.11% (on a weighted-average basis).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Holders may convert their 2022 Convertible Notes at their option at any time prior to February 1, 2022 only under the following circumstances:</w:t>
      </w:r>
    </w:p>
    <w:p>
      <w:pPr>
        <w:spacing w:after="0" w:line="27" w:lineRule="exact"/>
        <w:rPr>
          <w:sz w:val="20"/>
          <w:szCs w:val="20"/>
          <w:color w:val="auto"/>
        </w:rPr>
      </w:pPr>
    </w:p>
    <w:p>
      <w:pPr>
        <w:ind w:right="60" w:firstLine="8"/>
        <w:spacing w:after="0" w:line="250" w:lineRule="auto"/>
        <w:tabs>
          <w:tab w:leader="none" w:pos="2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Times New Roman" w:cs="Times New Roman" w:eastAsia="Times New Roman" w:hAnsi="Times New Roman"/>
          <w:sz w:val="18"/>
          <w:szCs w:val="18"/>
          <w:color w:val="auto"/>
        </w:rPr>
      </w:pPr>
    </w:p>
    <w:p>
      <w:pPr>
        <w:ind w:right="160" w:firstLine="8"/>
        <w:spacing w:after="0" w:line="253" w:lineRule="auto"/>
        <w:tabs>
          <w:tab w:leader="none" w:pos="2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2020, 2019, and 2018 the components of interest expense related to the Convertible Notes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20" w:type="dxa"/>
            <w:vAlign w:val="bottom"/>
            <w:shd w:val="clear" w:color="auto" w:fill="CFF0FC"/>
          </w:tcPr>
          <w:p>
            <w:pPr>
              <w:spacing w:after="0"/>
              <w:rPr>
                <w:sz w:val="19"/>
                <w:szCs w:val="19"/>
                <w:color w:val="auto"/>
              </w:rPr>
            </w:pPr>
          </w:p>
        </w:tc>
      </w:tr>
      <w:tr>
        <w:trPr>
          <w:trHeight w:val="223"/>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15,284</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During the years ended December 31, 2020, 2019 and 2018, the Company received $8.4 million, $12.9 million, and $11.7 million, respectively, and paid $6.4 million, $14.2 million, and $12.4 million, respectively, related to the quarterly settlement of its interest rate swaps. These net amounts are included in interest expense in the Company’s consolidated statements of operations.</w:t>
      </w:r>
    </w:p>
    <w:p>
      <w:pPr>
        <w:spacing w:after="0" w:line="180"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principal amount of the 2022 Convertible Notes was exceeded by the value of the underlying shares multiplied by the per share closing price of the Company’s common stock. However, the conditions required for conversion prior to maturity had not been satisfied.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3" w:name="page124"/>
    <w:bookmarkEnd w:id="123"/>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the components of the carrying value of the 2022 Convertible Notes and the stated interest rate were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142,809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(2,463)</w:t>
            </w:r>
          </w:p>
        </w:tc>
      </w:tr>
      <w:tr>
        <w:trPr>
          <w:trHeight w:val="263"/>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141,297</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169,420</w:t>
            </w:r>
          </w:p>
        </w:tc>
        <w:tc>
          <w:tcPr>
            <w:tcW w:w="180" w:type="dxa"/>
            <w:vAlign w:val="bottom"/>
            <w:tcBorders>
              <w:bottom w:val="single" w:sz="8" w:color="CFF0FC"/>
            </w:tcBorders>
          </w:tcPr>
          <w:p>
            <w:pPr>
              <w:spacing w:after="0"/>
              <w:rPr>
                <w:sz w:val="22"/>
                <w:szCs w:val="22"/>
                <w:color w:val="auto"/>
              </w:rPr>
            </w:pP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bl>
    <w:p>
      <w:pPr>
        <w:spacing w:after="0" w:line="238" w:lineRule="exact"/>
        <w:rPr>
          <w:sz w:val="20"/>
          <w:szCs w:val="20"/>
          <w:color w:val="auto"/>
        </w:rPr>
      </w:pPr>
    </w:p>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is three month LIBOR plus 2.11% (on a weighted average basis) for the 2022 Convertible Notes. Please see Note 5 for further information about the Company’s interest rate swaps.</w:t>
      </w:r>
    </w:p>
    <w:p>
      <w:pPr>
        <w:spacing w:after="0" w:line="176"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December 31, 2020, and 2019 the Company was in compliance with the terms of the indenture governing the 2022 Convertible Notes.</w:t>
      </w:r>
    </w:p>
    <w:p>
      <w:pPr>
        <w:spacing w:after="0" w:line="183"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The 2022 Convertible Notes are accounted for in accordance with Accounting Standards Codification (“ASC”) Topic 470-20. Upon conversion of any of the 2022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 governing the 2022 Convertible Notes. The Company has determined that the embedded conversion options in the 2022 Convertible Notes are not required to be separately accounted for as a derivative under U.S. GAAP. In accounting for the 2022 Convertible Notes, the Company estimated at the time of issuance separate debt and equity components of the 2022 Convertible Notes. An original issue discount equal to the equity components of the 2022 Convertible Notes was recorded in “additional paid-in capital” in the accompanying consolidated balance sheet. Additionally, the issuance costs associated with the 2022 Convertible Notes were allocated to the debt and equity components in proportion to the allocation of the proceeds and accounted for as deferred financing costs and equity issuance costs,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Notes</w:t>
      </w:r>
    </w:p>
    <w:p>
      <w:pPr>
        <w:spacing w:after="0" w:line="119"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3" w:lineRule="exact"/>
        <w:rPr>
          <w:sz w:val="20"/>
          <w:szCs w:val="20"/>
          <w:color w:val="auto"/>
        </w:rPr>
      </w:pPr>
    </w:p>
    <w:p>
      <w:pPr>
        <w:jc w:val="both"/>
        <w:ind w:right="180"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Notes</w:t>
      </w:r>
    </w:p>
    <w:p>
      <w:pPr>
        <w:spacing w:after="0" w:line="11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83"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4" w:name="page125"/>
    <w:bookmarkEnd w:id="124"/>
    <w:p>
      <w:pPr>
        <w:ind w:right="80"/>
        <w:spacing w:after="0" w:line="282" w:lineRule="auto"/>
        <w:rPr>
          <w:sz w:val="20"/>
          <w:szCs w:val="20"/>
          <w:color w:val="auto"/>
        </w:rPr>
      </w:pPr>
      <w:r>
        <w:rPr>
          <w:rFonts w:ascii="Times New Roman" w:cs="Times New Roman" w:eastAsia="Times New Roman" w:hAnsi="Times New Roman"/>
          <w:sz w:val="18"/>
          <w:szCs w:val="18"/>
          <w:color w:val="auto"/>
        </w:rPr>
        <w:t>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62" w:lineRule="exact"/>
        <w:rPr>
          <w:sz w:val="20"/>
          <w:szCs w:val="20"/>
          <w:color w:val="auto"/>
        </w:rPr>
      </w:pPr>
    </w:p>
    <w:p>
      <w:pPr>
        <w:ind w:right="180" w:firstLine="255"/>
        <w:spacing w:after="0" w:line="255" w:lineRule="auto"/>
        <w:rPr>
          <w:sz w:val="20"/>
          <w:szCs w:val="20"/>
          <w:color w:val="auto"/>
        </w:rPr>
      </w:pPr>
      <w:r>
        <w:rPr>
          <w:rFonts w:ascii="Times New Roman" w:cs="Times New Roman" w:eastAsia="Times New Roman" w:hAnsi="Times New Roman"/>
          <w:sz w:val="18"/>
          <w:szCs w:val="18"/>
          <w:color w:val="auto"/>
        </w:rPr>
        <w:t>In connection with the 2024 Notes offering and the reopening of the 2024 Notes, the Company entered into interest rate swaps to continue to align the interest rates of its liabilities with the Company’s investment portfolio, which consists of predominately floating rate loans.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December 31, 2020, and 2019, the effective hedge interest rate swaps had a fair value of $16.8 million and ($1.8) million, respectively, which is offset within interest expense by an equal, but opposite, fair value change for the hedged risk on the 2024 Notes.</w:t>
      </w:r>
    </w:p>
    <w:p>
      <w:pPr>
        <w:spacing w:after="0" w:line="189"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has the effect of reducing the notional exposure of the fixed-to-floating interest rate swaps, which were entered into in connection with the issuance of the 2024 Notes, to match the current principal amount of the 2024 Notes outstanding. As a result of the swap, the Company’s effective interest rate on the outstanding 2024 Notes is three-month LIBOR plus 2.28% (on a weighted average basis).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years ended December 31, 2020, 2019 and 2018, the components of interest expense related to the 2023 Notes and 2024 Notes were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5"/>
                <w:szCs w:val="15"/>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Borders>
              <w:top w:val="single" w:sz="8" w:color="auto"/>
            </w:tcBorders>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w:t>
            </w: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2023 Notes and 2024 Notes. During the years ended December 31, 2020, 2019 and 2018, the Company received $20.2 million, $8.5 million, and $6.3 million, respectively, and paid $15.7 million, $8.6 million and $6.0 million, respectively, related to the settlements of its interest rate swaps related to the 2023 and 2024 Notes. These net amounts are included in interest expense in the Company’s consolidated statements of operations. Please see Note 5 for further information about the Company’s interest rate swaps.</w:t>
      </w:r>
    </w:p>
    <w:p>
      <w:pPr>
        <w:spacing w:after="0" w:line="183" w:lineRule="exact"/>
        <w:rPr>
          <w:sz w:val="20"/>
          <w:szCs w:val="20"/>
          <w:color w:val="auto"/>
        </w:rPr>
      </w:pPr>
    </w:p>
    <w:p>
      <w:pPr>
        <w:ind w:right="56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components of the carrying value of the 2023 Notes and 2024 Notes and the stated interest rates were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4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(1,327)</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(3,903)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an effective hedge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right="100" w:firstLine="255"/>
        <w:spacing w:after="0" w:line="289" w:lineRule="auto"/>
        <w:rPr>
          <w:sz w:val="20"/>
          <w:szCs w:val="20"/>
          <w:color w:val="auto"/>
        </w:rPr>
      </w:pPr>
      <w:r>
        <w:rPr>
          <w:rFonts w:ascii="Times New Roman" w:cs="Times New Roman" w:eastAsia="Times New Roman" w:hAnsi="Times New Roman"/>
          <w:sz w:val="17"/>
          <w:szCs w:val="17"/>
          <w:color w:val="auto"/>
        </w:rPr>
        <w:t>The stated interest rate in the table above does not include the effect of the interest rate swaps. As of December 31, 2020 the Company’s swap-adjusted interest rate on the 2023 Notes and 2024 Notes is three month LIBOR plus 1.99% and 2.28% (on a weighted average basis), respectively. As of December 31, 2019 the Company’s swap-adjusted interest rate on the 2023 Notes and 2024 Notes is three month LIBOR plus 1.99% and 2.25%, respectively.</w:t>
      </w:r>
    </w:p>
    <w:p>
      <w:pPr>
        <w:spacing w:after="0" w:line="158"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the Company was in compliance with the terms of the indentures governing the 2023 Notes and 2024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27"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On February 3,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$294.1 million. The Company used the net proceeds of the 2026 Notes to repay outstanding indebtedness under the Revolving Credit Facility.</w:t>
      </w:r>
    </w:p>
    <w:p>
      <w:pPr>
        <w:spacing w:after="0" w:line="183"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Notes, the Company entered into an interest rate swap to continue to align the interest rates of its liabilities with the Company’s investment portfolio, which consists of predominantly floating rate loans. As a result of the swap, the Company’s effective interest rate on the 2026 Notes is three-month LIBOR plus 1.91%.</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126" w:name="page127"/>
    <w:bookmarkEnd w:id="126"/>
    <w:p>
      <w:pPr>
        <w:ind w:left="252"/>
        <w:spacing w:after="0"/>
        <w:rPr>
          <w:sz w:val="20"/>
          <w:szCs w:val="20"/>
          <w:color w:val="auto"/>
        </w:rPr>
      </w:pPr>
      <w:r>
        <w:rPr>
          <w:rFonts w:ascii="Times New Roman" w:cs="Times New Roman" w:eastAsia="Times New Roman" w:hAnsi="Times New Roman"/>
          <w:sz w:val="18"/>
          <w:szCs w:val="18"/>
          <w:color w:val="auto"/>
        </w:rPr>
        <w:t>As of December 31, 2020 and December 31, 2019, the Company had the following commitments to fund investments in current portfolio companies:</w:t>
      </w:r>
    </w:p>
    <w:p>
      <w:pPr>
        <w:spacing w:after="0" w:line="273" w:lineRule="exact"/>
        <w:rPr>
          <w:sz w:val="20"/>
          <w:szCs w:val="20"/>
          <w:color w:val="auto"/>
        </w:rPr>
      </w:pPr>
    </w:p>
    <w:tbl>
      <w:tblPr>
        <w:tblLayout w:type="fixed"/>
        <w:tblInd w:w="572"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Alpha Midco, Inc. - Delayed Draw</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AppStar Financial, LLC - Revolver</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AvidXchange, Inc.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Biohaven Pharmaceuticals, Inc.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BlueSnap, Inc. - Revolver</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ClearCompany, LLC - Delayed Draw</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Clinicient, Inc.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DaySmart Holdings, LLC - Revolver</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DaySmart Holdings, LLC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Dye &amp; Durham Corp. - Revolver</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Alloys, LLC - Delayed Draw</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Factor Systems, Inc.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Ferrellgas, L.P. - Revolver</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ForeScout Technologies Inc.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 Treasury SS, LLC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Gainsight, Inc. - Delayed Draw</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Integration Appliance, Inc.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IntelePeer Holdings, Inc.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InvMetrics Holdings, Inc.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Kyriba Corp.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Kyriba Corp.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Lexipol, LLC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Lithium Technologies, LLC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Lucidworks, Inc.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Netwrix Corp.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Netwrix Corp.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Nintex Global, Ltd.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PageUp People, Ltd.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PayLease, LLC - Revolver</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PayScale Holdings, Inc.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PrimeRevenue, Inc.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PrimeRevenue, Inc.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ReliaQuest Holdings, LLC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ReliaQuest Holdings, LLC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ResMan, LLC - Delayed Draw</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ResMan, LLC - Revolver</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Sprinklr, Inc. - Delayed Draw Convertible Note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TherapeuticsMD, Inc. - Delayed Draw A1</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TherapeuticsMD, Inc. - Delayed Draw A2</w:t>
            </w:r>
          </w:p>
        </w:tc>
        <w:tc>
          <w:tcPr>
            <w:tcW w:w="14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Valant Medical Solutions, Inc.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Valant Medical Solutions, Inc.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Verdad Resources Intermediate Holdings, LLC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WideOrbit, Inc. - Revolver</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Workwell Acquisition Co. - Delayed Draw</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Total Portfolio Company Commitments </w:t>
            </w:r>
            <w:r>
              <w:rPr>
                <w:rFonts w:ascii="Times New Roman" w:cs="Times New Roman" w:eastAsia="Times New Roman" w:hAnsi="Times New Roman"/>
                <w:sz w:val="15"/>
                <w:szCs w:val="15"/>
                <w:b w:val="1"/>
                <w:bCs w:val="1"/>
                <w:color w:val="auto"/>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192,810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372" w:right="260" w:hanging="372"/>
        <w:spacing w:after="0" w:line="266" w:lineRule="auto"/>
        <w:tabs>
          <w:tab w:leader="none" w:pos="37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76"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12"/>
          </w:cols>
          <w:pgMar w:left="328" w:top="553" w:right="5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4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and 2019, the Company did not have any unfunded commitments to fund investments to new borrowers that were not current portfolio companies as of such date.</w:t>
      </w:r>
    </w:p>
    <w:p>
      <w:pPr>
        <w:spacing w:after="0" w:line="162" w:lineRule="exact"/>
        <w:rPr>
          <w:sz w:val="20"/>
          <w:szCs w:val="20"/>
          <w:color w:val="auto"/>
        </w:rPr>
      </w:pPr>
    </w:p>
    <w:p>
      <w:pPr>
        <w:jc w:val="both"/>
        <w:ind w:right="100" w:firstLine="255"/>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December 31, 2020 and 2019, management is not aware of any material pending or threatened litigation that would require accounting recognition or financial statement disclosure.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8"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year ended December 31, 2020 and 2019. All shares issued to stockholders in the tables below are newly issued shares.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3"/>
          </w:tcPr>
          <w:p>
            <w:pPr>
              <w:jc w:val="center"/>
              <w:ind w:left="19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5"/>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2"/>
                <w:szCs w:val="12"/>
                <w:b w:val="1"/>
                <w:bCs w:val="1"/>
                <w:color w:val="auto"/>
              </w:rPr>
              <w:t>(1)</w:t>
            </w:r>
          </w:p>
        </w:tc>
        <w:tc>
          <w:tcPr>
            <w:tcW w:w="28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5, 2019</w:t>
            </w:r>
          </w:p>
        </w:tc>
        <w:tc>
          <w:tcPr>
            <w:tcW w:w="3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13, 2019</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Supplemental</w:t>
            </w:r>
          </w:p>
        </w:tc>
        <w:tc>
          <w:tcPr>
            <w:tcW w:w="2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February 28, 2020</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March 31, 2020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8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March 13, 2020</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April 15, 2020</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Special</w:t>
            </w:r>
          </w:p>
        </w:tc>
        <w:tc>
          <w:tcPr>
            <w:tcW w:w="2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April 15, 2020</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April 30, 2020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Special</w:t>
            </w:r>
          </w:p>
        </w:tc>
        <w:tc>
          <w:tcPr>
            <w:tcW w:w="28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June 15, 2020</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June 30, 2020</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5, 2020</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June 15, 2020</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July 15, 2020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4, 2020</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8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September 15, 2020</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 xml:space="preserve">October 15, 2020 </w:t>
            </w:r>
            <w:r>
              <w:rPr>
                <w:rFonts w:ascii="Times New Roman" w:cs="Times New Roman" w:eastAsia="Times New Roman" w:hAnsi="Times New Roman"/>
                <w:sz w:val="15"/>
                <w:szCs w:val="15"/>
                <w:color w:val="auto"/>
                <w:w w:val="98"/>
              </w:rPr>
              <w:t>(2)</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November 4, 2020</w:t>
            </w:r>
          </w:p>
        </w:tc>
        <w:tc>
          <w:tcPr>
            <w:tcW w:w="118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Supplemental</w:t>
            </w:r>
          </w:p>
        </w:tc>
        <w:tc>
          <w:tcPr>
            <w:tcW w:w="2840" w:type="dxa"/>
            <w:vAlign w:val="bottom"/>
            <w:tcBorders>
              <w:bottom w:val="single" w:sz="8" w:color="CFF0FC"/>
            </w:tcBorders>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November 30, 2020</w:t>
            </w:r>
          </w:p>
        </w:tc>
        <w:tc>
          <w:tcPr>
            <w:tcW w:w="162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2020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gridSpan w:val="3"/>
            <w:vMerge w:val="restart"/>
          </w:tcPr>
          <w:p>
            <w:pPr>
              <w:jc w:val="center"/>
              <w:ind w:left="19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5"/>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2"/>
                <w:szCs w:val="12"/>
                <w:b w:val="1"/>
                <w:bCs w:val="1"/>
                <w:color w:val="auto"/>
              </w:rPr>
              <w:t>(1)</w:t>
            </w:r>
          </w:p>
        </w:tc>
        <w:tc>
          <w:tcPr>
            <w:tcW w:w="28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3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14, 2018</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January 15, 2019</w:t>
            </w:r>
          </w:p>
        </w:tc>
        <w:tc>
          <w:tcPr>
            <w:tcW w:w="12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 2019</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Supplemental</w:t>
            </w:r>
          </w:p>
        </w:tc>
        <w:tc>
          <w:tcPr>
            <w:tcW w:w="2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February 28, 2019</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March 29, 2019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20, 2019</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8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March 15, 2019</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April 15, 2019</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 2019</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Supplemental</w:t>
            </w:r>
          </w:p>
        </w:tc>
        <w:tc>
          <w:tcPr>
            <w:tcW w:w="2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May 31, 2019</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June 28, 2019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 2019</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8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June 14, 2019</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July 15, 2019</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31, 2019</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Supplemental</w:t>
            </w:r>
          </w:p>
        </w:tc>
        <w:tc>
          <w:tcPr>
            <w:tcW w:w="2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August 30, 2019</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September 30, 2019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31, 2019</w:t>
            </w:r>
          </w:p>
        </w:tc>
        <w:tc>
          <w:tcPr>
            <w:tcW w:w="11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840" w:type="dxa"/>
            <w:vAlign w:val="bottom"/>
            <w:gridSpan w:val="3"/>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September 13, 2019</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October 15, 2019</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November 5, 2019</w:t>
            </w:r>
          </w:p>
        </w:tc>
        <w:tc>
          <w:tcPr>
            <w:tcW w:w="118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Supplemental</w:t>
            </w:r>
          </w:p>
        </w:tc>
        <w:tc>
          <w:tcPr>
            <w:tcW w:w="2840" w:type="dxa"/>
            <w:vAlign w:val="bottom"/>
            <w:tcBorders>
              <w:bottom w:val="single" w:sz="8" w:color="CFF0FC"/>
            </w:tcBorders>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November 29, 2019</w:t>
            </w:r>
          </w:p>
        </w:tc>
        <w:tc>
          <w:tcPr>
            <w:tcW w:w="162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2019</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1,111,774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further information on base, supplemental and special dividends.</w:t>
      </w:r>
    </w:p>
    <w:p>
      <w:pPr>
        <w:spacing w:after="0" w:line="27" w:lineRule="exact"/>
        <w:rPr>
          <w:rFonts w:ascii="Times New Roman" w:cs="Times New Roman" w:eastAsia="Times New Roman" w:hAnsi="Times New Roman"/>
          <w:sz w:val="18"/>
          <w:szCs w:val="18"/>
          <w:color w:val="auto"/>
        </w:rPr>
      </w:pPr>
    </w:p>
    <w:p>
      <w:pPr>
        <w:ind w:left="500" w:right="20" w:hanging="492"/>
        <w:spacing w:after="0" w:line="260" w:lineRule="auto"/>
        <w:tabs>
          <w:tab w:leader="none" w:pos="5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 technical error by the Company’s dividend reinvestment plan administrator, all shareholders received the dividend for the October 15, 2020 payment date in cash.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84" w:right="359" w:bottom="1440" w:gutter="0" w:footer="0" w:header="0"/>
        </w:sectPr>
      </w:pPr>
    </w:p>
    <w:bookmarkStart w:id="128" w:name="page129"/>
    <w:bookmarkEnd w:id="128"/>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4, 2020. The amount and timing of stock repurchases under the program may vary depending on market conditions, and no assurance can be given that any particular amount of common stock will be repurchased.</w:t>
      </w:r>
    </w:p>
    <w:p>
      <w:pPr>
        <w:spacing w:after="0" w:line="183" w:lineRule="exact"/>
        <w:rPr>
          <w:sz w:val="20"/>
          <w:szCs w:val="20"/>
          <w:color w:val="auto"/>
        </w:rPr>
      </w:pPr>
    </w:p>
    <w:p>
      <w:pPr>
        <w:ind w:right="580" w:firstLine="25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Company repurchased 206,964 share at a weighted average price per share of $14.17 inclusive of commissions, for a total cost of $2.9 million. For the year end December 31, 2019, no shares were repurchased.</w:t>
      </w:r>
    </w:p>
    <w:p>
      <w:pPr>
        <w:spacing w:after="0" w:line="347" w:lineRule="exact"/>
        <w:rPr>
          <w:sz w:val="20"/>
          <w:szCs w:val="20"/>
          <w:color w:val="auto"/>
        </w:rPr>
      </w:pPr>
    </w:p>
    <w:p>
      <w:pPr>
        <w:ind w:left="280" w:hanging="272"/>
        <w:spacing w:after="0"/>
        <w:tabs>
          <w:tab w:leader="none" w:pos="2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3"/>
                <w:szCs w:val="13"/>
                <w:color w:val="auto"/>
              </w:rPr>
            </w:pPr>
          </w:p>
        </w:tc>
        <w:tc>
          <w:tcPr>
            <w:tcW w:w="160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rPr>
                <w:sz w:val="13"/>
                <w:szCs w:val="13"/>
                <w:color w:val="auto"/>
              </w:rPr>
            </w:pPr>
          </w:p>
        </w:tc>
        <w:tc>
          <w:tcPr>
            <w:tcW w:w="1360" w:type="dxa"/>
            <w:vAlign w:val="bottom"/>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178,108</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154,583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67,209,078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66,069,305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64,028,137</w:t>
            </w:r>
          </w:p>
        </w:tc>
        <w:tc>
          <w:tcPr>
            <w:tcW w:w="100" w:type="dxa"/>
            <w:vAlign w:val="bottom"/>
          </w:tcPr>
          <w:p>
            <w:pPr>
              <w:spacing w:after="0"/>
              <w:rPr>
                <w:sz w:val="20"/>
                <w:szCs w:val="20"/>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closing price of the Company’s common stock for the years ended December 31, 2020 and 2019 was less than the estimated adjusted conversion price for the 2022 Convertible Notes outstanding as of December 31, 2020, and the average closing price of the Company’s common stock for the year ended December 31, 2018 was less than the conversion price for the Convertible Notes outstanding as of December 31, 2018. Therefore, for all periods presented in the consolidated financial statements, the underlying shares for the intrinsic value of the embedded options in the Convertible Notes have no impact on the computation of diluted earnings per common share.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2020, 2019 and 2018:</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60" w:type="dxa"/>
            <w:vAlign w:val="bottom"/>
            <w:gridSpan w:val="2"/>
          </w:tcPr>
          <w:p>
            <w:pPr>
              <w:jc w:val="right"/>
              <w:ind w:right="16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3"/>
          </w:tcPr>
          <w:p>
            <w:pPr>
              <w:jc w:val="right"/>
              <w:ind w:right="1412"/>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20" w:type="dxa"/>
            <w:vAlign w:val="bottom"/>
            <w:vMerge w:val="continue"/>
          </w:tcPr>
          <w:p>
            <w:pPr>
              <w:spacing w:after="0"/>
              <w:rPr>
                <w:sz w:val="13"/>
                <w:szCs w:val="13"/>
                <w:color w:val="auto"/>
              </w:rPr>
            </w:pPr>
          </w:p>
        </w:tc>
        <w:tc>
          <w:tcPr>
            <w:tcW w:w="114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2180" w:type="dxa"/>
            <w:vAlign w:val="bottom"/>
          </w:tcPr>
          <w:p>
            <w:pPr>
              <w:jc w:val="right"/>
              <w:ind w:right="613"/>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320" w:type="dxa"/>
            <w:vAlign w:val="bottom"/>
          </w:tcPr>
          <w:p>
            <w:pPr>
              <w:jc w:val="right"/>
              <w:ind w:right="652"/>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2020</w:t>
            </w:r>
          </w:p>
        </w:tc>
        <w:tc>
          <w:tcPr>
            <w:tcW w:w="14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2020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13, 2020</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15, 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1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8"/>
              </w:rPr>
              <w:t>Special</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15, 2020</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30, 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February 19, 2020</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Special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2020</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5, 2020</w:t>
            </w:r>
          </w:p>
        </w:tc>
        <w:tc>
          <w:tcPr>
            <w:tcW w:w="11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15, 2020</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15, 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August 4, 2020</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15, 2020</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4, 2020</w:t>
            </w:r>
          </w:p>
        </w:tc>
        <w:tc>
          <w:tcPr>
            <w:tcW w:w="11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Supplemental</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30, 2020</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November 4, 2020</w:t>
            </w:r>
          </w:p>
        </w:tc>
        <w:tc>
          <w:tcPr>
            <w:tcW w:w="1140" w:type="dxa"/>
            <w:vAlign w:val="bottom"/>
            <w:tcBorders>
              <w:bottom w:val="single" w:sz="8" w:color="CFF0FC"/>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Base</w:t>
            </w:r>
          </w:p>
        </w:tc>
        <w:tc>
          <w:tcPr>
            <w:tcW w:w="2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December 15, 2020</w:t>
            </w:r>
          </w:p>
        </w:tc>
        <w:tc>
          <w:tcPr>
            <w:tcW w:w="1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January 15, 2021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vMerge w:val="restart"/>
          </w:tcPr>
          <w:p>
            <w:pPr>
              <w:jc w:val="right"/>
              <w:ind w:right="1153"/>
              <w:spacing w:after="0"/>
              <w:rPr>
                <w:sz w:val="20"/>
                <w:szCs w:val="20"/>
                <w:color w:val="auto"/>
              </w:rPr>
            </w:pPr>
            <w:r>
              <w:rPr>
                <w:rFonts w:ascii="Times New Roman" w:cs="Times New Roman" w:eastAsia="Times New Roman" w:hAnsi="Times New Roman"/>
                <w:sz w:val="18"/>
                <w:szCs w:val="18"/>
                <w:color w:val="auto"/>
              </w:rPr>
              <w:t>F-44</w:t>
            </w: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60" w:type="dxa"/>
            <w:vAlign w:val="bottom"/>
            <w:gridSpan w:val="2"/>
          </w:tcPr>
          <w:p>
            <w:pPr>
              <w:jc w:val="right"/>
              <w:ind w:right="16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20" w:type="dxa"/>
            <w:vAlign w:val="bottom"/>
            <w:tcBorders>
              <w:bottom w:val="single" w:sz="8" w:color="auto"/>
            </w:tcBorders>
            <w:gridSpan w:val="3"/>
          </w:tcPr>
          <w:p>
            <w:pPr>
              <w:jc w:val="right"/>
              <w:ind w:right="141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40" w:type="dxa"/>
            <w:vAlign w:val="bottom"/>
            <w:vMerge w:val="continue"/>
          </w:tcPr>
          <w:p>
            <w:pPr>
              <w:spacing w:after="0"/>
              <w:rPr>
                <w:sz w:val="13"/>
                <w:szCs w:val="13"/>
                <w:color w:val="auto"/>
              </w:rPr>
            </w:pPr>
          </w:p>
        </w:tc>
        <w:tc>
          <w:tcPr>
            <w:tcW w:w="114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2160" w:type="dxa"/>
            <w:vAlign w:val="bottom"/>
          </w:tcPr>
          <w:p>
            <w:pPr>
              <w:jc w:val="right"/>
              <w:ind w:right="613"/>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320" w:type="dxa"/>
            <w:vAlign w:val="bottom"/>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20, 2019</w:t>
            </w:r>
          </w:p>
        </w:tc>
        <w:tc>
          <w:tcPr>
            <w:tcW w:w="1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2019</w:t>
            </w:r>
          </w:p>
        </w:tc>
        <w:tc>
          <w:tcPr>
            <w:tcW w:w="14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29, 2019</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February 20, 2019</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2019</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15, 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 2019</w:t>
            </w:r>
          </w:p>
        </w:tc>
        <w:tc>
          <w:tcPr>
            <w:tcW w:w="11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31, 2019</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28, 2019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May 2, 2019</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14, 2019</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15, 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31, 2019</w:t>
            </w:r>
          </w:p>
        </w:tc>
        <w:tc>
          <w:tcPr>
            <w:tcW w:w="11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30, 2019</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30, 2019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July 31, 2019</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13, 2019</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5, 2019</w:t>
            </w:r>
          </w:p>
        </w:tc>
        <w:tc>
          <w:tcPr>
            <w:tcW w:w="11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29, 2019</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November 5, 2019</w:t>
            </w:r>
          </w:p>
        </w:tc>
        <w:tc>
          <w:tcPr>
            <w:tcW w:w="1140" w:type="dxa"/>
            <w:vAlign w:val="bottom"/>
            <w:tcBorders>
              <w:bottom w:val="single" w:sz="8" w:color="CFF0FC"/>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December 13, 2019</w:t>
            </w:r>
          </w:p>
        </w:tc>
        <w:tc>
          <w:tcPr>
            <w:tcW w:w="1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January 15, 2020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vMerge w:val="restart"/>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3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40" w:type="dxa"/>
            <w:vAlign w:val="bottom"/>
            <w:vMerge w:val="continue"/>
          </w:tcPr>
          <w:p>
            <w:pPr>
              <w:spacing w:after="0"/>
              <w:rPr>
                <w:sz w:val="13"/>
                <w:szCs w:val="13"/>
                <w:color w:val="auto"/>
              </w:rPr>
            </w:pPr>
          </w:p>
        </w:tc>
        <w:tc>
          <w:tcPr>
            <w:tcW w:w="114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2160" w:type="dxa"/>
            <w:vAlign w:val="bottom"/>
          </w:tcPr>
          <w:p>
            <w:pPr>
              <w:jc w:val="right"/>
              <w:ind w:right="613"/>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320" w:type="dxa"/>
            <w:vAlign w:val="bottom"/>
          </w:tcPr>
          <w:p>
            <w:pPr>
              <w:jc w:val="right"/>
              <w:ind w:right="654"/>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21, 2018</w:t>
            </w:r>
          </w:p>
        </w:tc>
        <w:tc>
          <w:tcPr>
            <w:tcW w:w="1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28, 2018</w:t>
            </w:r>
          </w:p>
        </w:tc>
        <w:tc>
          <w:tcPr>
            <w:tcW w:w="14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30, 2018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February 21, 2018</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15, 2018</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13, 2018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2018</w:t>
            </w:r>
          </w:p>
        </w:tc>
        <w:tc>
          <w:tcPr>
            <w:tcW w:w="11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31, 2018</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June 29, 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May 3, 2018</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15, 2018</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13, 2018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1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August 31, 2018</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September 28, 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14, 2018</w:t>
            </w:r>
          </w:p>
        </w:tc>
        <w:tc>
          <w:tcPr>
            <w:tcW w:w="14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15, 2018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1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8"/>
              </w:rPr>
              <w:t>Supplemental</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November 30, 2018</w:t>
            </w:r>
          </w:p>
        </w:tc>
        <w:tc>
          <w:tcPr>
            <w:tcW w:w="14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140" w:type="dxa"/>
            <w:vAlign w:val="bottom"/>
            <w:tcBorders>
              <w:bottom w:val="single" w:sz="8" w:color="CFF0FC"/>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Base</w:t>
            </w:r>
          </w:p>
        </w:tc>
        <w:tc>
          <w:tcPr>
            <w:tcW w:w="2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December 14, 2018</w:t>
            </w:r>
          </w:p>
        </w:tc>
        <w:tc>
          <w:tcPr>
            <w:tcW w:w="1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January 15, 2019</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firstLine="255"/>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2020, 2019 and 2018 were derived from net investment income and long-term capital gains, determined on a tax basis.</w:t>
      </w:r>
    </w:p>
    <w:p>
      <w:pPr>
        <w:spacing w:after="0" w:line="347" w:lineRule="exact"/>
        <w:rPr>
          <w:sz w:val="20"/>
          <w:szCs w:val="20"/>
          <w:color w:val="auto"/>
        </w:rPr>
      </w:pPr>
    </w:p>
    <w:p>
      <w:pPr>
        <w:ind w:left="280" w:hanging="272"/>
        <w:spacing w:after="0"/>
        <w:tabs>
          <w:tab w:leader="none" w:pos="2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character of shareholder distributions attributable to the fiscal years ended December 31, 2020, 2019 and 2018 were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5"/>
        </w:trPr>
        <w:tc>
          <w:tcPr>
            <w:tcW w:w="4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Ordinary Income </w:t>
            </w:r>
            <w:r>
              <w:rPr>
                <w:rFonts w:ascii="Times New Roman" w:cs="Times New Roman" w:eastAsia="Times New Roman" w:hAnsi="Times New Roman"/>
                <w:sz w:val="15"/>
                <w:szCs w:val="15"/>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119,623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113,946</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Long-Term Capital Gains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400" w:hanging="492"/>
        <w:spacing w:after="0" w:line="282" w:lineRule="auto"/>
        <w:tabs>
          <w:tab w:leader="none" w:pos="5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2020, 2019 and 2018, 80.87%, 80.49%, and 87.16% of ordinary income qualified as interest related dividend which is exempt from U.S. withholding tax applicable to non-U.S. shareholders.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tax basis components of distributable earnings for the years ended December 31, 2020, 2019 and 2018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tcPr>
          <w:p>
            <w:pPr>
              <w:spacing w:after="0"/>
              <w:rPr>
                <w:sz w:val="15"/>
                <w:szCs w:val="15"/>
                <w:color w:val="auto"/>
              </w:rPr>
            </w:pPr>
          </w:p>
        </w:tc>
      </w:tr>
      <w:tr>
        <w:trPr>
          <w:trHeight w:val="155"/>
        </w:trPr>
        <w:tc>
          <w:tcPr>
            <w:tcW w:w="1140" w:type="dxa"/>
            <w:vAlign w:val="bottom"/>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net investment income - tax basis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11"/>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realized gains (losses) - tax</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r>
      <w:tr>
        <w:trPr>
          <w:trHeight w:val="229"/>
        </w:trPr>
        <w:tc>
          <w:tcPr>
            <w:tcW w:w="114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(3,598)</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(30,016)</w:t>
            </w: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distributable earnings - book basis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4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color w:val="auto"/>
              </w:rPr>
              <w:t>F-45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844" w:right="319" w:bottom="1440" w:gutter="0" w:footer="0" w:header="0"/>
        </w:sectPr>
      </w:pPr>
    </w:p>
    <w:bookmarkStart w:id="130" w:name="page131"/>
    <w:bookmarkEnd w:id="130"/>
    <w:p>
      <w:pPr>
        <w:ind w:right="460" w:firstLine="255"/>
        <w:spacing w:after="0" w:line="282" w:lineRule="auto"/>
        <w:rPr>
          <w:sz w:val="20"/>
          <w:szCs w:val="20"/>
          <w:color w:val="auto"/>
        </w:rPr>
      </w:pPr>
      <w:r>
        <w:rPr>
          <w:rFonts w:ascii="Times New Roman" w:cs="Times New Roman" w:eastAsia="Times New Roman" w:hAnsi="Times New Roman"/>
          <w:sz w:val="18"/>
          <w:szCs w:val="18"/>
          <w:color w:val="auto"/>
        </w:rPr>
        <w:t>The following reconciles increase in net assets resulting from operations for the fiscal years ended December 31, 2020, 2019 and 2018, to taxable income at December 31, 2020, 2019 and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56"/>
        </w:trPr>
        <w:tc>
          <w:tcPr>
            <w:tcW w:w="4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2019</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119,017</w:t>
            </w:r>
          </w:p>
        </w:tc>
        <w:tc>
          <w:tcPr>
            <w:tcW w:w="10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 loss on investments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(33,695)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(24,262)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shd w:val="clear" w:color="auto" w:fill="CFF0FC"/>
          </w:tcPr>
          <w:p>
            <w:pPr>
              <w:spacing w:after="0"/>
              <w:rPr>
                <w:sz w:val="19"/>
                <w:szCs w:val="19"/>
                <w:color w:val="auto"/>
              </w:rPr>
            </w:pPr>
          </w:p>
        </w:tc>
      </w:tr>
      <w:tr>
        <w:trPr>
          <w:trHeight w:val="211"/>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for tax purposes, not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book</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r>
      <w:tr>
        <w:trPr>
          <w:trHeight w:val="230"/>
        </w:trPr>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organization costs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expenses not currently deductible</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book-tax differences</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Taxable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135,360</w:t>
            </w:r>
          </w:p>
        </w:tc>
        <w:tc>
          <w:tcPr>
            <w:tcW w:w="10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Note: Taxable income is an estimate and is not fully determined until the Company’s tax return is filed. The Company’s tax year end is March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255"/>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83"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During the period April 1, 2020 through December 31, 2020, the Company increased distributable earnings and decreased additional paid in capital by $4.0 million which was primarily attributable to U.S. federal excise taxes.</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During the period April 1, 2019 through December 31, 2019, the Company increased distributable earnings and decreased additional paid in capital by $3.5 million attributable to U.S. federal excise taxes.</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During the period April 1, 2018 through December 31, 2018, the Company increased distributable earnings and decreased additional paid in capital by $2.5 million attributable to U.S. federal excise taxes.</w:t>
      </w:r>
    </w:p>
    <w:p>
      <w:pPr>
        <w:spacing w:after="0" w:line="16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80"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a deferred tax asset of $0.4 million pertaining to operating losses, related to one of its investments. Given the losses generated by the entity, the deferred tax asset has been offset by a valuation allowance of $0.4 million.</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2019, the Company had a deferred tax asset of $5.9 million pertaining to operating losses, related to one of its investments. Given the losses generated by the entity, the deferred tax asset has been offset by a valuation allowance of $5.9 million.</w:t>
      </w:r>
    </w:p>
    <w:p>
      <w:pPr>
        <w:spacing w:after="0" w:line="162" w:lineRule="exact"/>
        <w:rPr>
          <w:sz w:val="20"/>
          <w:szCs w:val="20"/>
          <w:color w:val="auto"/>
        </w:rPr>
      </w:pPr>
    </w:p>
    <w:p>
      <w:pPr>
        <w:ind w:right="100" w:firstLine="255"/>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a deferred tax asset of $4.4 million pertaining to operating losses, related to one of its investments. Given the losses generated by the entity, the deferred tax asset has been offset by a valuation allowance of $4.4 million.</w:t>
      </w:r>
    </w:p>
    <w:p>
      <w:pPr>
        <w:spacing w:after="0" w:line="162" w:lineRule="exact"/>
        <w:rPr>
          <w:sz w:val="20"/>
          <w:szCs w:val="20"/>
          <w:color w:val="auto"/>
        </w:rPr>
      </w:pPr>
    </w:p>
    <w:p>
      <w:pPr>
        <w:ind w:right="100" w:firstLine="255"/>
        <w:spacing w:after="0" w:line="261" w:lineRule="auto"/>
        <w:rPr>
          <w:sz w:val="20"/>
          <w:szCs w:val="20"/>
          <w:color w:val="auto"/>
        </w:rPr>
      </w:pPr>
      <w:r>
        <w:rPr>
          <w:rFonts w:ascii="Times New Roman" w:cs="Times New Roman" w:eastAsia="Times New Roman" w:hAnsi="Times New Roman"/>
          <w:sz w:val="18"/>
          <w:szCs w:val="18"/>
          <w:color w:val="auto"/>
        </w:rPr>
        <w:t>The tax cost of the Company’s investments as of December 31, 2020 was $2,285,393, resulting in estimated gross unrealized gains and losses of $125,374 and $101,215, respectively. The tax cost of the Company’s investments as of December 31, 2019 was $2,230,116, resulting in estimated gross unrealized gains and losses of $87,386 and $78,478, respectively. The tax cost of the Company’s investments as of December 31, 2018 approximates their amortized cost.</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2020, 2019, 2018, 2017 and 2016.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5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Pr>
          <w:p>
            <w:pPr>
              <w:spacing w:after="0"/>
              <w:rPr>
                <w:sz w:val="15"/>
                <w:szCs w:val="15"/>
                <w:color w:val="auto"/>
              </w:rPr>
            </w:pP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3"/>
        </w:trPr>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15"/>
                <w:szCs w:val="15"/>
                <w:b w:val="1"/>
                <w:bCs w:val="1"/>
                <w:color w:val="auto"/>
              </w:rPr>
              <w:t>(6)</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3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4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40" w:type="dxa"/>
            <w:vAlign w:val="bottom"/>
          </w:tcPr>
          <w:p>
            <w:pPr>
              <w:spacing w:after="0"/>
              <w:rPr>
                <w:sz w:val="19"/>
                <w:szCs w:val="19"/>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tcPr>
          <w:p>
            <w:pPr>
              <w:spacing w:after="0"/>
              <w:rPr>
                <w:sz w:val="19"/>
                <w:szCs w:val="19"/>
                <w:color w:val="auto"/>
              </w:rPr>
            </w:pPr>
          </w:p>
        </w:tc>
      </w:tr>
      <w:tr>
        <w:trPr>
          <w:trHeight w:val="230"/>
        </w:trPr>
        <w:tc>
          <w:tcPr>
            <w:tcW w:w="3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15"/>
                <w:szCs w:val="15"/>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and unrealized</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gain (loss) </w:t>
            </w:r>
            <w:r>
              <w:rPr>
                <w:rFonts w:ascii="Times New Roman" w:cs="Times New Roman" w:eastAsia="Times New Roman" w:hAnsi="Times New Roman"/>
                <w:sz w:val="15"/>
                <w:szCs w:val="15"/>
                <w:color w:val="auto"/>
              </w:rPr>
              <w:t>(1)</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shd w:val="clear" w:color="auto" w:fill="CFF0FC"/>
          </w:tcPr>
          <w:p>
            <w:pPr>
              <w:spacing w:after="0"/>
              <w:rPr>
                <w:sz w:val="20"/>
                <w:szCs w:val="20"/>
                <w:color w:val="auto"/>
              </w:rPr>
            </w:pPr>
          </w:p>
        </w:tc>
      </w:tr>
      <w:tr>
        <w:trPr>
          <w:trHeight w:val="223"/>
        </w:trPr>
        <w:tc>
          <w:tcPr>
            <w:tcW w:w="3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from operations</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net of</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offering costs </w:t>
            </w: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FF0FC"/>
          </w:tcPr>
          <w:p>
            <w:pPr>
              <w:spacing w:after="0"/>
              <w:rPr>
                <w:sz w:val="20"/>
                <w:szCs w:val="20"/>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Repurchase of common stock </w:t>
            </w:r>
            <w:r>
              <w:rPr>
                <w:rFonts w:ascii="Times New Roman" w:cs="Times New Roman" w:eastAsia="Times New Roman" w:hAnsi="Times New Roman"/>
                <w:sz w:val="15"/>
                <w:szCs w:val="15"/>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Repurchase of debt </w:t>
            </w: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net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15"/>
                <w:szCs w:val="15"/>
                <w:color w:val="auto"/>
              </w:rPr>
              <w:t>(2)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from realized</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gains </w:t>
            </w: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r>
      <w:tr>
        <w:trPr>
          <w:trHeight w:val="205"/>
        </w:trPr>
        <w:tc>
          <w:tcPr>
            <w:tcW w:w="3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Total increase in net</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80" w:type="dxa"/>
            <w:vAlign w:val="bottom"/>
            <w:tcBorders>
              <w:bottom w:val="single" w:sz="8" w:color="CFF0FC"/>
            </w:tcBorders>
          </w:tcPr>
          <w:p>
            <w:pPr>
              <w:spacing w:after="0"/>
              <w:rPr>
                <w:sz w:val="20"/>
                <w:szCs w:val="20"/>
                <w:color w:val="auto"/>
              </w:rPr>
            </w:pPr>
          </w:p>
        </w:tc>
      </w:tr>
      <w:tr>
        <w:trPr>
          <w:trHeight w:val="223"/>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80" w:type="dxa"/>
            <w:vAlign w:val="bottom"/>
            <w:shd w:val="clear" w:color="auto" w:fill="CFF0FC"/>
          </w:tcPr>
          <w:p>
            <w:pPr>
              <w:spacing w:after="0"/>
              <w:rPr>
                <w:sz w:val="19"/>
                <w:szCs w:val="19"/>
                <w:color w:val="auto"/>
              </w:rPr>
            </w:pPr>
          </w:p>
        </w:tc>
      </w:tr>
      <w:tr>
        <w:trPr>
          <w:trHeight w:val="205"/>
        </w:trPr>
        <w:tc>
          <w:tcPr>
            <w:tcW w:w="3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share market value at end of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3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4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Pr>
          <w:p>
            <w:pPr>
              <w:spacing w:after="0"/>
              <w:rPr>
                <w:sz w:val="20"/>
                <w:szCs w:val="20"/>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80" w:type="dxa"/>
            <w:vAlign w:val="bottom"/>
          </w:tcPr>
          <w:p>
            <w:pPr>
              <w:spacing w:after="0"/>
              <w:rPr>
                <w:sz w:val="20"/>
                <w:szCs w:val="20"/>
                <w:color w:val="auto"/>
              </w:rPr>
            </w:pPr>
          </w:p>
        </w:tc>
      </w:tr>
      <w:tr>
        <w:trPr>
          <w:trHeight w:val="22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15"/>
                <w:szCs w:val="15"/>
                <w:color w:val="auto"/>
              </w:rPr>
              <w:t>(3)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28.69%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15.36%</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24.78%</w:t>
            </w:r>
          </w:p>
        </w:tc>
      </w:tr>
      <w:tr>
        <w:trPr>
          <w:trHeight w:val="21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based on net asset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value </w:t>
            </w:r>
            <w:r>
              <w:rPr>
                <w:rFonts w:ascii="Times New Roman" w:cs="Times New Roman" w:eastAsia="Times New Roman" w:hAnsi="Times New Roman"/>
                <w:sz w:val="15"/>
                <w:szCs w:val="15"/>
                <w:color w:val="auto"/>
              </w:rPr>
              <w:t>(4)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15.63%</w:t>
            </w: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67,684,209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66,524,591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65,412,817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60,247,201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59,716,205</w:t>
            </w:r>
          </w:p>
        </w:tc>
        <w:tc>
          <w:tcPr>
            <w:tcW w:w="18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15"/>
                <w:szCs w:val="15"/>
                <w:b w:val="1"/>
                <w:bCs w:val="1"/>
                <w:color w:val="auto"/>
              </w:rPr>
              <w:t>(5)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net expenses to average</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assets</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11.10%</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9.39%</w:t>
            </w:r>
          </w:p>
        </w:tc>
      </w:tr>
      <w:tr>
        <w:trPr>
          <w:trHeight w:val="21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 average net assets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13.26%</w:t>
            </w: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11.84%</w:t>
            </w:r>
          </w:p>
        </w:tc>
      </w:tr>
      <w:tr>
        <w:trPr>
          <w:trHeight w:val="23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41.88%</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58.08%</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37.40%</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1,161,315</w:t>
            </w:r>
          </w:p>
        </w:tc>
        <w:tc>
          <w:tcPr>
            <w:tcW w:w="3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1,119,297</w:t>
            </w:r>
          </w:p>
        </w:tc>
        <w:tc>
          <w:tcPr>
            <w:tcW w:w="24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1,063,202</w:t>
            </w:r>
          </w:p>
        </w:tc>
        <w:tc>
          <w:tcPr>
            <w:tcW w:w="240" w:type="dxa"/>
            <w:vAlign w:val="bottom"/>
          </w:tcPr>
          <w:p>
            <w:pPr>
              <w:spacing w:after="0"/>
              <w:rPr>
                <w:sz w:val="20"/>
                <w:szCs w:val="20"/>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969,284</w:t>
            </w:r>
          </w:p>
        </w:tc>
        <w:tc>
          <w:tcPr>
            <w:tcW w:w="3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180" w:type="dxa"/>
            <w:vAlign w:val="bottom"/>
          </w:tcPr>
          <w:p>
            <w:pPr>
              <w:spacing w:after="0"/>
              <w:rPr>
                <w:sz w:val="20"/>
                <w:szCs w:val="20"/>
                <w:color w:val="auto"/>
              </w:rPr>
            </w:pPr>
          </w:p>
        </w:tc>
      </w:tr>
    </w:tbl>
    <w:p>
      <w:pPr>
        <w:spacing w:after="0" w:line="193" w:lineRule="exact"/>
        <w:rPr>
          <w:sz w:val="20"/>
          <w:szCs w:val="20"/>
          <w:color w:val="auto"/>
        </w:rPr>
      </w:pPr>
    </w:p>
    <w:p>
      <w:pPr>
        <w:ind w:left="500" w:hanging="492"/>
        <w:spacing w:after="0"/>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00" w:right="60" w:hanging="492"/>
        <w:spacing w:after="0" w:line="250" w:lineRule="auto"/>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w:t>
      </w:r>
    </w:p>
    <w:p>
      <w:pPr>
        <w:ind w:left="500" w:right="420" w:hanging="492"/>
        <w:spacing w:after="0" w:line="250" w:lineRule="auto"/>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w:t>
      </w:r>
    </w:p>
    <w:p>
      <w:pPr>
        <w:ind w:left="500" w:right="80" w:hanging="492"/>
        <w:spacing w:after="0" w:line="250" w:lineRule="auto"/>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Oxford Square Capital Corp. and Triangle Capital Corp. Excluding the effects of the waivers, the ratio of net expenses to average net assets would have been 11.33%, 9.42%, and 9.43% for the years ended December 31, 2018, 2017, and 2016, respectively. The Adviser did not waive any Management Fees or Incentive Fees for the years ended December 31, 2020 and 2019.</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62,217</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71,316</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70,234</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(86,761)</w:t>
            </w: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53,480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95,870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(53,099)</w:t>
            </w: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66,531</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70,050</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62,427</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52,487</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(6,402)</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5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jc w:val="right"/>
              <w:ind w:right="64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74,741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63,004</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66,401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57,768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Expenses </w:t>
            </w:r>
            <w:r>
              <w:rPr>
                <w:rFonts w:ascii="Times New Roman" w:cs="Times New Roman" w:eastAsia="Times New Roman" w:hAnsi="Times New Roman"/>
                <w:sz w:val="15"/>
                <w:szCs w:val="15"/>
                <w:color w:val="auto"/>
              </w:rPr>
              <w:t>(1)</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30,634</w:t>
            </w: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30,711</w:t>
            </w:r>
          </w:p>
        </w:tc>
        <w:tc>
          <w:tcPr>
            <w:tcW w:w="220" w:type="dxa"/>
            <w:vAlign w:val="bottom"/>
          </w:tcPr>
          <w:p>
            <w:pPr>
              <w:spacing w:after="0"/>
              <w:rPr>
                <w:sz w:val="19"/>
                <w:szCs w:val="19"/>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30,099</w:t>
            </w:r>
          </w:p>
        </w:tc>
        <w:tc>
          <w:tcPr>
            <w:tcW w:w="220" w:type="dxa"/>
            <w:vAlign w:val="bottom"/>
          </w:tcPr>
          <w:p>
            <w:pPr>
              <w:spacing w:after="0"/>
              <w:rPr>
                <w:sz w:val="19"/>
                <w:szCs w:val="19"/>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26,581</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44,107</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32,293</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36,302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31,187</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losses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(29,875)</w:t>
            </w:r>
          </w:p>
        </w:tc>
        <w:tc>
          <w:tcPr>
            <w:tcW w:w="22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5,087</w:t>
            </w:r>
          </w:p>
        </w:tc>
        <w:tc>
          <w:tcPr>
            <w:tcW w:w="220" w:type="dxa"/>
            <w:vAlign w:val="bottom"/>
          </w:tcPr>
          <w:p>
            <w:pPr>
              <w:spacing w:after="0"/>
              <w:rPr>
                <w:sz w:val="19"/>
                <w:szCs w:val="19"/>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(2,733)</w:t>
            </w:r>
          </w:p>
        </w:tc>
        <w:tc>
          <w:tcPr>
            <w:tcW w:w="220" w:type="dxa"/>
            <w:vAlign w:val="bottom"/>
          </w:tcPr>
          <w:p>
            <w:pPr>
              <w:spacing w:after="0"/>
              <w:rPr>
                <w:sz w:val="19"/>
                <w:szCs w:val="19"/>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14,232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37,380</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33,569</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33,836</w:t>
            </w:r>
          </w:p>
        </w:tc>
        <w:tc>
          <w:tcPr>
            <w:tcW w:w="100" w:type="dxa"/>
            <w:vAlign w:val="bottom"/>
            <w:shd w:val="clear" w:color="auto" w:fill="CFF0FC"/>
          </w:tcPr>
          <w:p>
            <w:pPr>
              <w:spacing w:after="0"/>
              <w:rPr>
                <w:sz w:val="19"/>
                <w:szCs w:val="19"/>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c>
          <w:tcPr>
            <w:tcW w:w="220" w:type="dxa"/>
            <w:vAlign w:val="bottom"/>
          </w:tcPr>
          <w:p>
            <w:pPr>
              <w:spacing w:after="0"/>
              <w:rPr>
                <w:sz w:val="20"/>
                <w:szCs w:val="20"/>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tcPr>
          <w:p>
            <w:pPr>
              <w:spacing w:after="0"/>
              <w:rPr>
                <w:sz w:val="20"/>
                <w:szCs w:val="20"/>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16.36</w:t>
            </w:r>
          </w:p>
        </w:tc>
        <w:tc>
          <w:tcPr>
            <w:tcW w:w="220" w:type="dxa"/>
            <w:vAlign w:val="bottom"/>
          </w:tcPr>
          <w:p>
            <w:pPr>
              <w:spacing w:after="0"/>
              <w:rPr>
                <w:sz w:val="20"/>
                <w:szCs w:val="20"/>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left="500" w:hanging="492"/>
        <w:spacing w:after="0"/>
        <w:tabs>
          <w:tab w:leader="none" w:pos="50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expenses include income taxes, including excise taxes.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right="240" w:firstLine="25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9" w:lineRule="exact"/>
        <w:rPr>
          <w:sz w:val="20"/>
          <w:szCs w:val="20"/>
          <w:color w:val="auto"/>
        </w:rPr>
      </w:pPr>
    </w:p>
    <w:p>
      <w:pPr>
        <w:ind w:right="280" w:firstLine="25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adequate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management concluded that our internal control over financial reporting was effective as of December 31, 2020.</w:t>
      </w:r>
    </w:p>
    <w:p>
      <w:pPr>
        <w:spacing w:after="0" w:line="18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jc w:val="both"/>
        <w:ind w:right="42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Attestation Report of the Independent Registered Public Accounting Firm. </w:t>
      </w:r>
      <w:r>
        <w:rPr>
          <w:rFonts w:ascii="Times New Roman" w:cs="Times New Roman" w:eastAsia="Times New Roman" w:hAnsi="Times New Roman"/>
          <w:sz w:val="18"/>
          <w:szCs w:val="18"/>
          <w:color w:val="auto"/>
        </w:rPr>
        <w:t>Our independent registered public accounting firm, KPMG LLP,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issued an audit report on the effectiveness of our internal control over financial reporting, which is set forth under the heading “Report of Independent Registered Public Accounting Firm” on page F-2.</w:t>
      </w:r>
    </w:p>
    <w:p>
      <w:pPr>
        <w:spacing w:after="0" w:line="171" w:lineRule="exact"/>
        <w:rPr>
          <w:sz w:val="20"/>
          <w:szCs w:val="20"/>
          <w:color w:val="auto"/>
        </w:rPr>
      </w:pPr>
    </w:p>
    <w:p>
      <w:pPr>
        <w:jc w:val="both"/>
        <w:ind w:right="440" w:firstLine="25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our most recently completed fiscal quarter that have materially affected, or are reasonably likely to materially affect, our internal control over financial reporting.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34" w:name="page135"/>
    <w:bookmarkEnd w:id="13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60" w:firstLine="255"/>
        <w:spacing w:after="0" w:line="266" w:lineRule="auto"/>
        <w:rPr>
          <w:sz w:val="20"/>
          <w:szCs w:val="20"/>
          <w:color w:val="auto"/>
        </w:rPr>
      </w:pPr>
      <w:r>
        <w:rPr>
          <w:rFonts w:ascii="Times New Roman" w:cs="Times New Roman" w:eastAsia="Times New Roman" w:hAnsi="Times New Roman"/>
          <w:sz w:val="18"/>
          <w:szCs w:val="18"/>
          <w:color w:val="auto"/>
        </w:rPr>
        <w:t>Except for the information regarding the SOX Code of Business Conduct and Ethics (which is set forth below), information in response to this item is incorporated by reference from our Proxy Statement relating to our 2021 annual meeting of stockholders. The Proxy Statement will be filed with the SEC within 120 days after the end of the fiscal year covered by this Form 10-K pursuant to Regulation 14A under the Exchange Act.</w:t>
      </w:r>
    </w:p>
    <w:p>
      <w:pPr>
        <w:spacing w:after="0" w:line="176"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2021 annual meeting of stockholders.</w:t>
      </w:r>
    </w:p>
    <w:p>
      <w:pPr>
        <w:spacing w:after="0" w:line="200" w:lineRule="exact"/>
        <w:rPr>
          <w:sz w:val="20"/>
          <w:szCs w:val="20"/>
          <w:color w:val="auto"/>
        </w:rPr>
      </w:pPr>
    </w:p>
    <w:p>
      <w:pPr>
        <w:spacing w:after="0" w:line="21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2021 annual meeting of stockholders.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 AND RELATED TRANSACTION, AND DIRECTOR INDEPENDENCE</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2021 annual meeting of stockholders.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Information in response to this item is incorporated by reference from our Proxy Statement relating to our 2021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135" w:name="page136"/>
    <w:bookmarkEnd w:id="135"/>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117" w:lineRule="exact"/>
        <w:rPr>
          <w:sz w:val="20"/>
          <w:szCs w:val="20"/>
          <w:color w:val="auto"/>
        </w:rPr>
      </w:pPr>
    </w:p>
    <w:p>
      <w:pPr>
        <w:ind w:left="260" w:right="340" w:hanging="252"/>
        <w:spacing w:after="0" w:line="282" w:lineRule="auto"/>
        <w:tabs>
          <w:tab w:leader="none" w:pos="2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Statements—Financial statements are included in Item 8. See the Index to the consolidated financial statements on page F-1 of this annual report on Form 10-K.</w:t>
      </w:r>
    </w:p>
    <w:p>
      <w:pPr>
        <w:spacing w:after="0" w:line="53" w:lineRule="exact"/>
        <w:rPr>
          <w:rFonts w:ascii="Times New Roman" w:cs="Times New Roman" w:eastAsia="Times New Roman" w:hAnsi="Times New Roman"/>
          <w:sz w:val="18"/>
          <w:szCs w:val="18"/>
          <w:color w:val="auto"/>
        </w:rPr>
      </w:pPr>
    </w:p>
    <w:p>
      <w:pPr>
        <w:ind w:left="260" w:right="80" w:hanging="252"/>
        <w:spacing w:after="0" w:line="266" w:lineRule="auto"/>
        <w:tabs>
          <w:tab w:leader="none" w:pos="2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Exhibits—The following is a list of all exhibits filed as a part of this annual report on Form 10-K, including those incorporated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16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Description of Exhibits</w:t>
            </w:r>
          </w:p>
        </w:tc>
        <w:tc>
          <w:tcPr>
            <w:tcW w:w="20" w:type="dxa"/>
            <w:vAlign w:val="bottom"/>
          </w:tcPr>
          <w:p>
            <w:pPr>
              <w:spacing w:after="0"/>
              <w:rPr>
                <w:sz w:val="14"/>
                <w:szCs w:val="14"/>
                <w:color w:val="auto"/>
              </w:rPr>
            </w:pPr>
          </w:p>
        </w:tc>
      </w:tr>
      <w:tr>
        <w:trPr>
          <w:trHeight w:val="290"/>
        </w:trPr>
        <w:tc>
          <w:tcPr>
            <w:tcW w:w="8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9860" w:type="dxa"/>
            <w:vAlign w:val="bottom"/>
            <w:tcBorders>
              <w:top w:val="single" w:sz="8" w:color="auto"/>
              <w:bottom w:val="single" w:sz="8" w:color="0000EE"/>
            </w:tcBorders>
            <w:gridSpan w:val="10"/>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Restated Certificate of Incorporation (incorporated by reference to Exhibit 3.2 to Amendment No. 1 to the Company’s Current Report on</w:t>
              </w:r>
            </w:hyperlink>
          </w:p>
        </w:tc>
        <w:tc>
          <w:tcPr>
            <w:tcW w:w="300" w:type="dxa"/>
            <w:vAlign w:val="bottom"/>
            <w:tcBorders>
              <w:top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5"/>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8-K filed on June 19, 2020).</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160" w:type="dxa"/>
            <w:vAlign w:val="bottom"/>
            <w:gridSpan w:val="15"/>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Amended and Restated Bylaws of Sixth Street Specialty Lending, Inc., effective as of June 15, 2020 (incorporated by reference to Exhibit</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Company’s Current Report on Form 8-K filed on June 19, 2020).</w:t>
              </w:r>
            </w:hyperlink>
          </w:p>
        </w:tc>
        <w:tc>
          <w:tcPr>
            <w:tcW w:w="2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101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Form of Common Stock Certificate (incorporated by reference to Exhibit 4.2 to the Company’s Annual Report on Form 10-K filed on March</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68">
              <w:r>
                <w:rPr>
                  <w:rFonts w:ascii="Times New Roman" w:cs="Times New Roman" w:eastAsia="Times New Roman" w:hAnsi="Times New Roman"/>
                  <w:sz w:val="18"/>
                  <w:szCs w:val="18"/>
                  <w:color w:val="0000EE"/>
                  <w:w w:val="95"/>
                </w:rPr>
                <w:t>22, 2012).</w:t>
              </w:r>
            </w:hyperlink>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9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Indenture, dated as of February 1, 2017, between TPG Specialty Lending, Inc. and Wells Fargo Bank, National Association, as Trustee</w:t>
              </w:r>
            </w:hyperlink>
          </w:p>
        </w:tc>
        <w:tc>
          <w:tcPr>
            <w:tcW w:w="4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60" w:type="dxa"/>
            <w:vAlign w:val="bottom"/>
            <w:gridSpan w:val="15"/>
          </w:tcPr>
          <w:p>
            <w:pPr>
              <w:spacing w:after="0"/>
              <w:rPr>
                <w:rFonts w:ascii="Times New Roman" w:cs="Times New Roman" w:eastAsia="Times New Roman" w:hAnsi="Times New Roman"/>
                <w:sz w:val="18"/>
                <w:szCs w:val="18"/>
                <w:u w:val="single" w:color="auto"/>
                <w:color w:val="0000EE"/>
              </w:rPr>
            </w:pPr>
            <w:hyperlink r:id="rId169">
              <w:r>
                <w:rPr>
                  <w:rFonts w:ascii="Times New Roman" w:cs="Times New Roman" w:eastAsia="Times New Roman" w:hAnsi="Times New Roman"/>
                  <w:sz w:val="18"/>
                  <w:szCs w:val="18"/>
                  <w:u w:val="single" w:color="auto"/>
                  <w:color w:val="0000EE"/>
                </w:rPr>
                <w:t>(incorporated by reference to Exhibit 4.1 to the Company’s Current Report on Form 8-K filed on February 1, 2017).</w:t>
              </w:r>
            </w:hyperlink>
          </w:p>
        </w:tc>
        <w:tc>
          <w:tcPr>
            <w:tcW w:w="20" w:type="dxa"/>
            <w:vAlign w:val="bottom"/>
          </w:tcPr>
          <w:p>
            <w:pPr>
              <w:spacing w:after="0"/>
              <w:rPr>
                <w:sz w:val="20"/>
                <w:szCs w:val="20"/>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Form of 4.50% Convertible Note Due 2022 (incorporated by reference to Exhibit 4.2 to the Company’s Current Report on Form 8-K filed on</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69">
              <w:r>
                <w:rPr>
                  <w:rFonts w:ascii="Times New Roman" w:cs="Times New Roman" w:eastAsia="Times New Roman" w:hAnsi="Times New Roman"/>
                  <w:sz w:val="18"/>
                  <w:szCs w:val="18"/>
                  <w:color w:val="0000EE"/>
                  <w:w w:val="98"/>
                </w:rPr>
                <w:t>February 1, 2017).</w:t>
              </w:r>
            </w:hyperlink>
          </w:p>
        </w:tc>
        <w:tc>
          <w:tcPr>
            <w:tcW w:w="88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9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Indenture, dated as of January 22, 2018, between TPG Specialty Lending, Inc. and Wells Fargo Bank, National Association, as Trustee</w:t>
              </w:r>
            </w:hyperlink>
          </w:p>
        </w:tc>
        <w:tc>
          <w:tcPr>
            <w:tcW w:w="4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60" w:type="dxa"/>
            <w:vAlign w:val="bottom"/>
            <w:gridSpan w:val="15"/>
          </w:tcPr>
          <w:p>
            <w:pPr>
              <w:spacing w:after="0"/>
              <w:rPr>
                <w:rFonts w:ascii="Times New Roman" w:cs="Times New Roman" w:eastAsia="Times New Roman" w:hAnsi="Times New Roman"/>
                <w:sz w:val="18"/>
                <w:szCs w:val="18"/>
                <w:u w:val="single" w:color="auto"/>
                <w:color w:val="0000EE"/>
              </w:rPr>
            </w:pPr>
            <w:hyperlink r:id="rId170">
              <w:r>
                <w:rPr>
                  <w:rFonts w:ascii="Times New Roman" w:cs="Times New Roman" w:eastAsia="Times New Roman" w:hAnsi="Times New Roman"/>
                  <w:sz w:val="18"/>
                  <w:szCs w:val="18"/>
                  <w:u w:val="single" w:color="auto"/>
                  <w:color w:val="0000EE"/>
                </w:rPr>
                <w:t>(incorporated by reference to Exhibit 4.1 to the Company’s Current Report on Form 8-K filed on January 22, 2018).</w:t>
              </w:r>
            </w:hyperlink>
          </w:p>
        </w:tc>
        <w:tc>
          <w:tcPr>
            <w:tcW w:w="20" w:type="dxa"/>
            <w:vAlign w:val="bottom"/>
          </w:tcPr>
          <w:p>
            <w:pPr>
              <w:spacing w:after="0"/>
              <w:rPr>
                <w:sz w:val="20"/>
                <w:szCs w:val="20"/>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94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First Supplemental Indenture, dated as of January 22, 2018, between TPG Specialty Lending, Inc. and Wells Fargo Bank, National</w:t>
              </w:r>
            </w:hyperlink>
          </w:p>
        </w:tc>
        <w:tc>
          <w:tcPr>
            <w:tcW w:w="7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60" w:type="dxa"/>
            <w:vAlign w:val="bottom"/>
            <w:gridSpan w:val="15"/>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u w:val="single" w:color="auto"/>
                  <w:color w:val="0000EE"/>
                </w:rPr>
                <w:t>Association, as Trustee (incorporated by reference to Exhibit 4.2 to the Company’s Current Report on Form 8-K filed on January 22, 2018)</w:t>
              </w:r>
              <w:r>
                <w:rPr>
                  <w:rFonts w:ascii="Times New Roman" w:cs="Times New Roman" w:eastAsia="Times New Roman" w:hAnsi="Times New Roman"/>
                  <w:sz w:val="18"/>
                  <w:szCs w:val="18"/>
                  <w:color w:val="0000EE"/>
                </w:rPr>
                <w:t>.</w:t>
              </w:r>
            </w:hyperlink>
          </w:p>
        </w:tc>
        <w:tc>
          <w:tcPr>
            <w:tcW w:w="20" w:type="dxa"/>
            <w:vAlign w:val="bottom"/>
          </w:tcPr>
          <w:p>
            <w:pPr>
              <w:spacing w:after="0"/>
              <w:rPr>
                <w:sz w:val="20"/>
                <w:szCs w:val="20"/>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10160" w:type="dxa"/>
            <w:vAlign w:val="bottom"/>
            <w:gridSpan w:val="15"/>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Form of 4.500% Note Due 2023 (incorporated by reference to Exhibit 4.3 to the Company’s Current Report on Form 8-K filed on January</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71">
              <w:r>
                <w:rPr>
                  <w:rFonts w:ascii="Times New Roman" w:cs="Times New Roman" w:eastAsia="Times New Roman" w:hAnsi="Times New Roman"/>
                  <w:sz w:val="18"/>
                  <w:szCs w:val="18"/>
                  <w:color w:val="0000EE"/>
                  <w:w w:val="95"/>
                </w:rPr>
                <w:t>22, 2018).</w:t>
              </w:r>
            </w:hyperlink>
          </w:p>
        </w:tc>
        <w:tc>
          <w:tcPr>
            <w:tcW w:w="6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10160" w:type="dxa"/>
            <w:vAlign w:val="bottom"/>
            <w:gridSpan w:val="15"/>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First Supplemental Indenture, dated as of June 19, 2018, between TPG Specialty Lending, Inc. and Wells Fargo Bank, National Association,</w:t>
              </w:r>
            </w:hyperlink>
          </w:p>
        </w:tc>
        <w:tc>
          <w:tcPr>
            <w:tcW w:w="20" w:type="dxa"/>
            <w:vAlign w:val="bottom"/>
          </w:tcPr>
          <w:p>
            <w:pPr>
              <w:spacing w:after="0"/>
              <w:rPr>
                <w:sz w:val="24"/>
                <w:szCs w:val="24"/>
                <w:color w:val="auto"/>
              </w:rPr>
            </w:pPr>
          </w:p>
        </w:tc>
      </w:tr>
      <w:tr>
        <w:trPr>
          <w:trHeight w:val="237"/>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tcBorders>
              <w:top w:val="single" w:sz="8" w:color="0000EE"/>
            </w:tcBorders>
            <w:gridSpan w:val="13"/>
          </w:tcPr>
          <w:p>
            <w:pPr>
              <w:spacing w:after="0"/>
              <w:rPr>
                <w:rFonts w:ascii="Times New Roman" w:cs="Times New Roman" w:eastAsia="Times New Roman" w:hAnsi="Times New Roman"/>
                <w:sz w:val="18"/>
                <w:szCs w:val="18"/>
                <w:u w:val="single" w:color="auto"/>
                <w:color w:val="0000EE"/>
              </w:rPr>
            </w:pPr>
            <w:hyperlink r:id="rId172">
              <w:r>
                <w:rPr>
                  <w:rFonts w:ascii="Times New Roman" w:cs="Times New Roman" w:eastAsia="Times New Roman" w:hAnsi="Times New Roman"/>
                  <w:sz w:val="18"/>
                  <w:szCs w:val="18"/>
                  <w:u w:val="single" w:color="auto"/>
                  <w:color w:val="0000EE"/>
                </w:rPr>
                <w:t>as Trustee (incorporated by reference to Exhibit 4.1 to the Company’s Current Report on Form 8-K filed on June 19, 2018).</w:t>
              </w:r>
            </w:hyperlink>
          </w:p>
        </w:tc>
        <w:tc>
          <w:tcPr>
            <w:tcW w:w="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4"/>
                <w:szCs w:val="24"/>
                <w:color w:val="auto"/>
              </w:rPr>
            </w:pPr>
          </w:p>
        </w:tc>
        <w:tc>
          <w:tcPr>
            <w:tcW w:w="10160" w:type="dxa"/>
            <w:vAlign w:val="bottom"/>
            <w:gridSpan w:val="15"/>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Second Supplemental Indenture, dated as of November 1, 2019, between TPG Specialty Lending, Inc. and Wells Fargo Bank, National</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Association, as Trustee (incorporated by reference to Exhibit 4.2 to the Company’s Current Report on Form 8-K filed on November 1,</w:t>
              </w:r>
            </w:hyperlink>
          </w:p>
        </w:tc>
        <w:tc>
          <w:tcPr>
            <w:tcW w:w="4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73">
              <w:r>
                <w:rPr>
                  <w:rFonts w:ascii="Times New Roman" w:cs="Times New Roman" w:eastAsia="Times New Roman" w:hAnsi="Times New Roman"/>
                  <w:sz w:val="18"/>
                  <w:szCs w:val="18"/>
                  <w:color w:val="0000EE"/>
                  <w:w w:val="94"/>
                </w:rPr>
                <w:t>2019).</w:t>
              </w:r>
            </w:hyperlink>
          </w:p>
        </w:tc>
        <w:tc>
          <w:tcPr>
            <w:tcW w:w="2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5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10160" w:type="dxa"/>
            <w:vAlign w:val="bottom"/>
            <w:gridSpan w:val="15"/>
          </w:tcPr>
          <w:p>
            <w:pPr>
              <w:spacing w:after="0"/>
              <w:rPr>
                <w:rFonts w:ascii="Times New Roman" w:cs="Times New Roman" w:eastAsia="Times New Roman" w:hAnsi="Times New Roman"/>
                <w:sz w:val="18"/>
                <w:szCs w:val="18"/>
                <w:u w:val="single" w:color="auto"/>
                <w:color w:val="0000EE"/>
              </w:rPr>
            </w:pPr>
            <w:hyperlink r:id="rId173">
              <w:r>
                <w:rPr>
                  <w:rFonts w:ascii="Times New Roman" w:cs="Times New Roman" w:eastAsia="Times New Roman" w:hAnsi="Times New Roman"/>
                  <w:sz w:val="18"/>
                  <w:szCs w:val="18"/>
                  <w:u w:val="single" w:color="auto"/>
                  <w:color w:val="0000EE"/>
                </w:rPr>
                <w:t>Form of 3.875% Note (incorporated by reference to Exhibit 4.2 to the Company’s Current Report on Form 8-K filed on November 1, 2019).</w:t>
              </w:r>
            </w:hyperlink>
          </w:p>
        </w:tc>
        <w:tc>
          <w:tcPr>
            <w:tcW w:w="2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10160" w:type="dxa"/>
            <w:vAlign w:val="bottom"/>
            <w:gridSpan w:val="15"/>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Third Supplemental Indenture, dated as of February 3, 2021, between Sixth Street Specialty Lending, Inc. and Wells Fargo Bank, National</w:t>
              </w:r>
            </w:hyperlink>
          </w:p>
        </w:tc>
        <w:tc>
          <w:tcPr>
            <w:tcW w:w="2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100" w:type="dxa"/>
            <w:vAlign w:val="bottom"/>
            <w:gridSpan w:val="6"/>
            <w:shd w:val="clear" w:color="auto" w:fill="0000EE"/>
          </w:tcPr>
          <w:p>
            <w:pPr>
              <w:spacing w:after="0" w:line="20" w:lineRule="exact"/>
              <w:rPr>
                <w:sz w:val="1"/>
                <w:szCs w:val="1"/>
                <w:color w:val="auto"/>
              </w:rPr>
            </w:pPr>
          </w:p>
        </w:tc>
        <w:tc>
          <w:tcPr>
            <w:tcW w:w="286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60" w:type="dxa"/>
            <w:vAlign w:val="bottom"/>
            <w:gridSpan w:val="15"/>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u w:val="single" w:color="auto"/>
                  <w:color w:val="0000EE"/>
                </w:rPr>
                <w:t>Association, as Trustee (incorporated by reference to Exhibit 4.2 to the Company’s Current Report on Form 8-K filed on February 3, 2021)</w:t>
              </w:r>
              <w:r>
                <w:rPr>
                  <w:rFonts w:ascii="Times New Roman" w:cs="Times New Roman" w:eastAsia="Times New Roman" w:hAnsi="Times New Roman"/>
                  <w:sz w:val="18"/>
                  <w:szCs w:val="18"/>
                  <w:color w:val="0000EE"/>
                </w:rPr>
                <w:t>.</w:t>
              </w:r>
            </w:hyperlink>
          </w:p>
        </w:tc>
        <w:tc>
          <w:tcPr>
            <w:tcW w:w="20" w:type="dxa"/>
            <w:vAlign w:val="bottom"/>
          </w:tcPr>
          <w:p>
            <w:pPr>
              <w:spacing w:after="0"/>
              <w:rPr>
                <w:sz w:val="20"/>
                <w:szCs w:val="20"/>
                <w:color w:val="auto"/>
              </w:rPr>
            </w:pPr>
          </w:p>
        </w:tc>
      </w:tr>
      <w:tr>
        <w:trPr>
          <w:trHeight w:val="33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4"/>
                <w:szCs w:val="24"/>
                <w:color w:val="auto"/>
              </w:rPr>
            </w:pPr>
          </w:p>
        </w:tc>
        <w:tc>
          <w:tcPr>
            <w:tcW w:w="10160" w:type="dxa"/>
            <w:vAlign w:val="bottom"/>
            <w:gridSpan w:val="15"/>
          </w:tcPr>
          <w:p>
            <w:pPr>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Form of 2.500% Note (incorporated by reference to Exhibit 4.2 to the Company’s Current Report on Form 8-K filed on February 3, 2021).</w:t>
              </w:r>
            </w:hyperlink>
          </w:p>
        </w:tc>
        <w:tc>
          <w:tcPr>
            <w:tcW w:w="20" w:type="dxa"/>
            <w:vAlign w:val="bottom"/>
          </w:tcPr>
          <w:p>
            <w:pPr>
              <w:spacing w:after="0"/>
              <w:rPr>
                <w:sz w:val="24"/>
                <w:szCs w:val="24"/>
                <w:color w:val="auto"/>
              </w:rPr>
            </w:pPr>
          </w:p>
        </w:tc>
      </w:tr>
      <w:tr>
        <w:trPr>
          <w:trHeight w:val="338"/>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10160" w:type="dxa"/>
            <w:vAlign w:val="bottom"/>
            <w:gridSpan w:val="15"/>
          </w:tcPr>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Description of Securities</w:t>
              </w:r>
            </w:hyperlink>
          </w:p>
        </w:tc>
        <w:tc>
          <w:tcPr>
            <w:tcW w:w="20" w:type="dxa"/>
            <w:vAlign w:val="bottom"/>
          </w:tcPr>
          <w:p>
            <w:pPr>
              <w:spacing w:after="0"/>
              <w:rPr>
                <w:sz w:val="24"/>
                <w:szCs w:val="24"/>
                <w:color w:val="auto"/>
              </w:rPr>
            </w:pPr>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Form of Indemnification Agreement between the Company and certain officers and directors (incorporated by reference to Exhibit 10.3 to</w:t>
              </w:r>
            </w:hyperlink>
          </w:p>
        </w:tc>
        <w:tc>
          <w:tcPr>
            <w:tcW w:w="2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5"/>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Amendment No. 1 to the Company’s Registration Statement on Form 10 filed on March 14, 2011).</w:t>
              </w:r>
            </w:hyperlink>
          </w:p>
        </w:tc>
        <w:tc>
          <w:tcPr>
            <w:tcW w:w="20" w:type="dxa"/>
            <w:vAlign w:val="bottom"/>
          </w:tcPr>
          <w:p>
            <w:pPr>
              <w:spacing w:after="0"/>
              <w:rPr>
                <w:sz w:val="17"/>
                <w:szCs w:val="17"/>
                <w:color w:val="auto"/>
              </w:rPr>
            </w:pPr>
          </w:p>
        </w:tc>
      </w:tr>
      <w:tr>
        <w:trPr>
          <w:trHeight w:val="574"/>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tcBorders>
              <w:top w:val="single" w:sz="8" w:color="0000EE"/>
            </w:tcBorders>
            <w:gridSpan w:val="5"/>
          </w:tcPr>
          <w:p>
            <w:pPr>
              <w:ind w:left="4460"/>
              <w:spacing w:after="0"/>
              <w:rPr>
                <w:sz w:val="20"/>
                <w:szCs w:val="20"/>
                <w:color w:val="auto"/>
              </w:rPr>
            </w:pPr>
            <w:r>
              <w:rPr>
                <w:rFonts w:ascii="Times New Roman" w:cs="Times New Roman" w:eastAsia="Times New Roman" w:hAnsi="Times New Roman"/>
                <w:sz w:val="18"/>
                <w:szCs w:val="18"/>
                <w:color w:val="auto"/>
              </w:rPr>
              <w:t>88</w:t>
            </w:r>
          </w:p>
        </w:tc>
        <w:tc>
          <w:tcPr>
            <w:tcW w:w="170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36" w:name="page137"/>
    <w:bookmarkEnd w:id="136"/>
    <w:p>
      <w:pPr>
        <w:spacing w:after="0"/>
        <w:tabs>
          <w:tab w:leader="none" w:pos="1060" w:val="left"/>
        </w:tabs>
        <w:rPr>
          <w:sz w:val="20"/>
          <w:szCs w:val="20"/>
          <w:color w:val="auto"/>
        </w:rPr>
      </w:pPr>
      <w:r>
        <w:rPr>
          <w:rFonts w:ascii="Times New Roman" w:cs="Times New Roman" w:eastAsia="Times New Roman" w:hAnsi="Times New Roman"/>
          <w:sz w:val="14"/>
          <w:szCs w:val="14"/>
          <w:color w:val="auto"/>
        </w:rPr>
        <w:t>Exhibit No</w:t>
      </w:r>
      <w:r>
        <w:rPr>
          <w:sz w:val="20"/>
          <w:szCs w:val="20"/>
          <w:color w:val="auto"/>
        </w:rPr>
        <w:tab/>
      </w:r>
      <w:r>
        <w:rPr>
          <w:rFonts w:ascii="Times New Roman" w:cs="Times New Roman" w:eastAsia="Times New Roman" w:hAnsi="Times New Roman"/>
          <w:sz w:val="14"/>
          <w:szCs w:val="14"/>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5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Amended and Restated Investment Advisory and Management Agreement, dated December 12, 2011, between the Company and the</w:t>
              </w:r>
            </w:hyperlink>
          </w:p>
        </w:tc>
        <w:tc>
          <w:tcPr>
            <w:tcW w:w="560" w:type="dxa"/>
            <w:vAlign w:val="bottom"/>
            <w:gridSpan w:val="15"/>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10120" w:type="dxa"/>
            <w:vAlign w:val="bottom"/>
            <w:gridSpan w:val="25"/>
          </w:tcPr>
          <w:p>
            <w:pPr>
              <w:spacing w:after="0"/>
              <w:rPr>
                <w:rFonts w:ascii="Times New Roman" w:cs="Times New Roman" w:eastAsia="Times New Roman" w:hAnsi="Times New Roman"/>
                <w:sz w:val="18"/>
                <w:szCs w:val="18"/>
                <w:u w:val="single" w:color="auto"/>
                <w:color w:val="0000EE"/>
              </w:rPr>
            </w:pPr>
            <w:hyperlink r:id="rId179">
              <w:r>
                <w:rPr>
                  <w:rFonts w:ascii="Times New Roman" w:cs="Times New Roman" w:eastAsia="Times New Roman" w:hAnsi="Times New Roman"/>
                  <w:sz w:val="18"/>
                  <w:szCs w:val="18"/>
                  <w:u w:val="single" w:color="auto"/>
                  <w:color w:val="0000EE"/>
                </w:rPr>
                <w:t>Adviser (incorporated by reference to Exhibit 10.1 to the Company’s Current Report on Form 8-K filed on December 13, 2011).</w:t>
              </w:r>
            </w:hyperlink>
          </w:p>
        </w:tc>
      </w:tr>
      <w:tr>
        <w:trPr>
          <w:trHeight w:val="29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Custodian Agreement dated November 29, 2012 (incorporated by reference to Exhibit 10.1 to the Company’s Current Report on Form 8-K</w:t>
              </w:r>
            </w:hyperlink>
          </w:p>
        </w:tc>
        <w:tc>
          <w:tcPr>
            <w:tcW w:w="12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filed on December 4, 2012).</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Second Amended and Restated Senior Secured Credit Agreement, dated February 27, 2014, among TPG Specialty Lending, Inc., as</w:t>
              </w:r>
            </w:hyperlink>
          </w:p>
        </w:tc>
        <w:tc>
          <w:tcPr>
            <w:tcW w:w="600" w:type="dxa"/>
            <w:vAlign w:val="bottom"/>
            <w:gridSpan w:val="16"/>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Borrower, the Lenders Party Hereto and Truist Bank (as successor by merger to SunTrust Bank), as Administrative Agent, and JPMorgan</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9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Chase Bank, N.A., as Syndication Agent (incorporated by reference to Exhibit 10.20 to the Company’s Annual Report on Form 10-K filed</w:t>
              </w:r>
            </w:hyperlink>
          </w:p>
        </w:tc>
        <w:tc>
          <w:tcPr>
            <w:tcW w:w="14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on March 4, 2014).</w:t>
              </w:r>
            </w:hyperlink>
          </w:p>
        </w:tc>
        <w:tc>
          <w:tcPr>
            <w:tcW w:w="8740" w:type="dxa"/>
            <w:vAlign w:val="bottom"/>
            <w:gridSpan w:val="23"/>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Dividend Reinvestment Plan of TPG Specialty Lending, Inc. (incorporated by reference to Exhibit (e) to Pre-Effective Amendment No. 4 to</w:t>
              </w:r>
            </w:hyperlink>
          </w:p>
        </w:tc>
        <w:tc>
          <w:tcPr>
            <w:tcW w:w="4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the Company’s Registration Statement on Form N-2 filed on March 17, 2014).</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Form of Increase Letter pursuant to the Second Amended and Restated Senior Secured Credit Agreement, dated February 27, 2014, among</w:t>
              </w:r>
            </w:hyperlink>
          </w:p>
        </w:tc>
        <w:tc>
          <w:tcPr>
            <w:tcW w:w="100" w:type="dxa"/>
            <w:vAlign w:val="bottom"/>
            <w:gridSpan w:val="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5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TPG Specialty Lending, Inc., as Borrower, the Lenders Party Hereto and Truist Bank (as successor by merger to SunTrust Bank), as</w:t>
              </w:r>
            </w:hyperlink>
          </w:p>
        </w:tc>
        <w:tc>
          <w:tcPr>
            <w:tcW w:w="62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Administrative Agent, and JPMorgan Chase Bank, N.A., as Syndication Agent (incorporated by reference to Exhibit 10.3 to the Company’s</w:t>
              </w:r>
            </w:hyperlink>
          </w:p>
        </w:tc>
        <w:tc>
          <w:tcPr>
            <w:tcW w:w="6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Quarterly Annual Report on Form 10-Q filed on August 4, 2014).</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First Amendment to Second Amended and Restated Senior Secured Revolving Credit Agreement, dated June 3, 2014, among TPG Specialty</w:t>
              </w:r>
            </w:hyperlink>
          </w:p>
        </w:tc>
      </w:tr>
      <w:tr>
        <w:trPr>
          <w:trHeight w:val="196"/>
        </w:trPr>
        <w:tc>
          <w:tcPr>
            <w:tcW w:w="1080" w:type="dxa"/>
            <w:vAlign w:val="bottom"/>
          </w:tcPr>
          <w:p>
            <w:pPr>
              <w:spacing w:after="0"/>
              <w:rPr>
                <w:sz w:val="17"/>
                <w:szCs w:val="17"/>
                <w:color w:val="auto"/>
              </w:rPr>
            </w:pPr>
          </w:p>
        </w:tc>
        <w:tc>
          <w:tcPr>
            <w:tcW w:w="100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Lending, Inc., as Borrower, the Lenders party thereto and Truist Bank (as successor by merger to SunTrust Bank), as Administrative Agent</w:t>
              </w:r>
            </w:hyperlink>
          </w:p>
        </w:tc>
        <w:tc>
          <w:tcPr>
            <w:tcW w:w="120" w:type="dxa"/>
            <w:vAlign w:val="bottom"/>
            <w:gridSpan w:val="5"/>
          </w:tcPr>
          <w:p>
            <w:pPr>
              <w:spacing w:after="0"/>
              <w:rPr>
                <w:sz w:val="17"/>
                <w:szCs w:val="17"/>
                <w:color w:val="auto"/>
              </w:rPr>
            </w:pPr>
          </w:p>
        </w:tc>
      </w:tr>
      <w:tr>
        <w:trPr>
          <w:trHeight w:val="237"/>
        </w:trPr>
        <w:tc>
          <w:tcPr>
            <w:tcW w:w="1080" w:type="dxa"/>
            <w:vAlign w:val="bottom"/>
          </w:tcPr>
          <w:p>
            <w:pPr>
              <w:spacing w:after="0"/>
              <w:rPr>
                <w:sz w:val="20"/>
                <w:szCs w:val="20"/>
                <w:color w:val="auto"/>
              </w:rPr>
            </w:pPr>
          </w:p>
        </w:tc>
        <w:tc>
          <w:tcPr>
            <w:tcW w:w="10120" w:type="dxa"/>
            <w:vAlign w:val="bottom"/>
            <w:gridSpan w:val="25"/>
          </w:tcPr>
          <w:p>
            <w:pPr>
              <w:spacing w:after="0"/>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and Collateral Agent (incorporated by reference to Exhibit 10.4 to the Company’s Quarterly Report on Form 10-Q filed on August 4, 2014).</w:t>
              </w:r>
            </w:hyperlink>
          </w:p>
        </w:tc>
      </w:tr>
      <w:tr>
        <w:trPr>
          <w:trHeight w:val="29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7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Second Amendment to Second Amended and Restated Senior Secured Revolving Credit Agreement, dated June 27, 2014, among TPG</w:t>
              </w:r>
            </w:hyperlink>
          </w:p>
        </w:tc>
        <w:tc>
          <w:tcPr>
            <w:tcW w:w="420" w:type="dxa"/>
            <w:vAlign w:val="bottom"/>
            <w:gridSpan w:val="1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Specialty Lending, Inc., as Borrower, Morgan Stanley Bank, N.A., as a Lender, and Truist Bank (as successor by merger to SunTrust Bank),</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as Administrative Agent (incorporated by reference to Exhibit 10.5 to the Company’s Quarterly Report on Form 10-Q filed on August 4,</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85">
              <w:r>
                <w:rPr>
                  <w:rFonts w:ascii="Times New Roman" w:cs="Times New Roman" w:eastAsia="Times New Roman" w:hAnsi="Times New Roman"/>
                  <w:sz w:val="18"/>
                  <w:szCs w:val="18"/>
                  <w:color w:val="0000EE"/>
                  <w:w w:val="94"/>
                </w:rPr>
                <w:t>2014).</w:t>
              </w:r>
            </w:hyperlink>
          </w:p>
        </w:tc>
        <w:tc>
          <w:tcPr>
            <w:tcW w:w="9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Third Amendment to Second Amended and Restated Senior Secured Revolving Credit Agreement, dated October 17, 2014, among TPG</w:t>
              </w:r>
            </w:hyperlink>
          </w:p>
        </w:tc>
        <w:tc>
          <w:tcPr>
            <w:tcW w:w="300" w:type="dxa"/>
            <w:vAlign w:val="bottom"/>
            <w:gridSpan w:val="11"/>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Specialty Lending, Inc., as Borrower, the Lenders party thereto and Truist Bank (as successor by merger to SunTrust Bank), as</w:t>
              </w:r>
            </w:hyperlink>
          </w:p>
        </w:tc>
      </w:tr>
      <w:tr>
        <w:trPr>
          <w:trHeight w:val="20"/>
        </w:trPr>
        <w:tc>
          <w:tcPr>
            <w:tcW w:w="1080" w:type="dxa"/>
            <w:vAlign w:val="bottom"/>
          </w:tcPr>
          <w:p>
            <w:pPr>
              <w:spacing w:after="0" w:line="20" w:lineRule="exact"/>
              <w:rPr>
                <w:sz w:val="1"/>
                <w:szCs w:val="1"/>
                <w:color w:val="auto"/>
              </w:rPr>
            </w:pPr>
          </w:p>
        </w:tc>
        <w:tc>
          <w:tcPr>
            <w:tcW w:w="7440" w:type="dxa"/>
            <w:vAlign w:val="bottom"/>
            <w:gridSpan w:val="6"/>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Administrative Agent (incorporated by reference to Exhibit 10.1 to the Company’s Quarterly Report on Form 10-Q filed on November 3,</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86">
              <w:r>
                <w:rPr>
                  <w:rFonts w:ascii="Times New Roman" w:cs="Times New Roman" w:eastAsia="Times New Roman" w:hAnsi="Times New Roman"/>
                  <w:sz w:val="18"/>
                  <w:szCs w:val="18"/>
                  <w:color w:val="0000EE"/>
                  <w:w w:val="94"/>
                </w:rPr>
                <w:t>2014).</w:t>
              </w:r>
            </w:hyperlink>
          </w:p>
        </w:tc>
        <w:tc>
          <w:tcPr>
            <w:tcW w:w="9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20" w:type="dxa"/>
            <w:vAlign w:val="bottom"/>
            <w:gridSpan w:val="25"/>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Second Amended and Restated Credit and Security Agreement, dated as of March 27, 2015, among TPG SL SPV, LLC, as Borrower, the</w:t>
              </w:r>
            </w:hyperlink>
          </w:p>
        </w:tc>
      </w:tr>
      <w:tr>
        <w:trPr>
          <w:trHeight w:val="196"/>
        </w:trPr>
        <w:tc>
          <w:tcPr>
            <w:tcW w:w="1080" w:type="dxa"/>
            <w:vAlign w:val="bottom"/>
          </w:tcPr>
          <w:p>
            <w:pPr>
              <w:spacing w:after="0"/>
              <w:rPr>
                <w:sz w:val="17"/>
                <w:szCs w:val="17"/>
                <w:color w:val="auto"/>
              </w:rPr>
            </w:pPr>
          </w:p>
        </w:tc>
        <w:tc>
          <w:tcPr>
            <w:tcW w:w="98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Lenders from time to time parties thereto, Natixis, New York Branch, as Facility Agent and State Street Bank and Trust Company, as</w:t>
              </w:r>
            </w:hyperlink>
          </w:p>
        </w:tc>
        <w:tc>
          <w:tcPr>
            <w:tcW w:w="240" w:type="dxa"/>
            <w:vAlign w:val="bottom"/>
            <w:gridSpan w:val="9"/>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7440" w:type="dxa"/>
            <w:vAlign w:val="bottom"/>
            <w:gridSpan w:val="6"/>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0120" w:type="dxa"/>
            <w:vAlign w:val="bottom"/>
            <w:gridSpan w:val="25"/>
          </w:tcPr>
          <w:p>
            <w:pPr>
              <w:spacing w:after="0"/>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Collateral Agent (incorporated by reference to Exhibit 10.1 to the Company’s Current Report on Form 8-K filed on March 30, 2015).</w:t>
              </w:r>
            </w:hyperlink>
          </w:p>
        </w:tc>
      </w:tr>
      <w:tr>
        <w:trPr>
          <w:trHeight w:val="29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20" w:type="dxa"/>
            <w:vAlign w:val="bottom"/>
            <w:gridSpan w:val="25"/>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Fourth Amendment to Second Amended and Restated Senior Secured Revolving Credit Agreement, dated October 2, 2015, among TPG</w:t>
              </w:r>
            </w:hyperlink>
          </w:p>
        </w:tc>
      </w:tr>
      <w:tr>
        <w:trPr>
          <w:trHeight w:val="196"/>
        </w:trPr>
        <w:tc>
          <w:tcPr>
            <w:tcW w:w="1080" w:type="dxa"/>
            <w:vAlign w:val="bottom"/>
          </w:tcPr>
          <w:p>
            <w:pPr>
              <w:spacing w:after="0"/>
              <w:rPr>
                <w:sz w:val="17"/>
                <w:szCs w:val="17"/>
                <w:color w:val="auto"/>
              </w:rPr>
            </w:pPr>
          </w:p>
        </w:tc>
        <w:tc>
          <w:tcPr>
            <w:tcW w:w="98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Specialty Lending, Inc., as Borrower, the Lenders party thereto and Truist Bank (as successor by merger to SunTrust Bank), as</w:t>
              </w:r>
            </w:hyperlink>
          </w:p>
        </w:tc>
        <w:tc>
          <w:tcPr>
            <w:tcW w:w="320" w:type="dxa"/>
            <w:vAlign w:val="bottom"/>
            <w:gridSpan w:val="1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7440" w:type="dxa"/>
            <w:vAlign w:val="bottom"/>
            <w:gridSpan w:val="6"/>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Administrative Agent (incorporated by reference to Exhibit 10.1 to the Company’s Quarterly Report on Form 10-Q filed on November 3,</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88">
              <w:r>
                <w:rPr>
                  <w:rFonts w:ascii="Times New Roman" w:cs="Times New Roman" w:eastAsia="Times New Roman" w:hAnsi="Times New Roman"/>
                  <w:sz w:val="18"/>
                  <w:szCs w:val="18"/>
                  <w:color w:val="0000EE"/>
                  <w:w w:val="94"/>
                </w:rPr>
                <w:t>2015).</w:t>
              </w:r>
            </w:hyperlink>
          </w:p>
        </w:tc>
        <w:tc>
          <w:tcPr>
            <w:tcW w:w="9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20" w:type="dxa"/>
            <w:vAlign w:val="bottom"/>
            <w:gridSpan w:val="25"/>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Fifth Amendment to Second Amended and Restated Senior Secured Revolving Credit Agreement, dated December 22, 2016, among TPG</w:t>
              </w:r>
            </w:hyperlink>
          </w:p>
        </w:tc>
      </w:tr>
      <w:tr>
        <w:trPr>
          <w:trHeight w:val="196"/>
        </w:trPr>
        <w:tc>
          <w:tcPr>
            <w:tcW w:w="1080" w:type="dxa"/>
            <w:vAlign w:val="bottom"/>
          </w:tcPr>
          <w:p>
            <w:pPr>
              <w:spacing w:after="0"/>
              <w:rPr>
                <w:sz w:val="17"/>
                <w:szCs w:val="17"/>
                <w:color w:val="auto"/>
              </w:rPr>
            </w:pPr>
          </w:p>
        </w:tc>
        <w:tc>
          <w:tcPr>
            <w:tcW w:w="99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Specialty Lending, Inc., as Borrower, the Lenders party thereto and Truist Bank (as successor by merger to SunTrust Bank), as</w:t>
              </w:r>
            </w:hyperlink>
          </w:p>
        </w:tc>
        <w:tc>
          <w:tcPr>
            <w:tcW w:w="200" w:type="dxa"/>
            <w:vAlign w:val="bottom"/>
            <w:gridSpan w:val="8"/>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7440" w:type="dxa"/>
            <w:vAlign w:val="bottom"/>
            <w:gridSpan w:val="6"/>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Administrative Agent (incorporated by reference to Exhibit 10.15 to the Company’s Annual Report on Form 10-K filed on February 22,</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89">
              <w:r>
                <w:rPr>
                  <w:rFonts w:ascii="Times New Roman" w:cs="Times New Roman" w:eastAsia="Times New Roman" w:hAnsi="Times New Roman"/>
                  <w:sz w:val="18"/>
                  <w:szCs w:val="18"/>
                  <w:color w:val="0000EE"/>
                  <w:w w:val="94"/>
                </w:rPr>
                <w:t>2017).</w:t>
              </w:r>
            </w:hyperlink>
          </w:p>
        </w:tc>
        <w:tc>
          <w:tcPr>
            <w:tcW w:w="9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Amended and Restated Administration Agreement, dated as of February 22, 2017 between the Company and the Adviser (incorporated by</w:t>
              </w:r>
            </w:hyperlink>
          </w:p>
        </w:tc>
        <w:tc>
          <w:tcPr>
            <w:tcW w:w="160" w:type="dxa"/>
            <w:vAlign w:val="bottom"/>
            <w:gridSpan w:val="7"/>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reference to Exhibit 10.16 to the Company’s Annual Report on Form 10-K filed on February 22, 2017).</w:t>
              </w:r>
            </w:hyperlink>
          </w:p>
        </w:tc>
      </w:tr>
      <w:tr>
        <w:trPr>
          <w:trHeight w:val="20"/>
        </w:trPr>
        <w:tc>
          <w:tcPr>
            <w:tcW w:w="1080" w:type="dxa"/>
            <w:vAlign w:val="bottom"/>
          </w:tcPr>
          <w:p>
            <w:pPr>
              <w:spacing w:after="0" w:line="20" w:lineRule="exact"/>
              <w:rPr>
                <w:sz w:val="1"/>
                <w:szCs w:val="1"/>
                <w:color w:val="auto"/>
              </w:rPr>
            </w:pPr>
          </w:p>
        </w:tc>
        <w:tc>
          <w:tcPr>
            <w:tcW w:w="7440" w:type="dxa"/>
            <w:vAlign w:val="bottom"/>
            <w:gridSpan w:val="6"/>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20" w:type="dxa"/>
            <w:vAlign w:val="bottom"/>
            <w:gridSpan w:val="25"/>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Sixth Amendment to Second Amended and Restated Senior Secured Revolving Credit Agreement, dated February 20, 2018, among TPG</w:t>
              </w:r>
            </w:hyperlink>
          </w:p>
        </w:tc>
      </w:tr>
      <w:tr>
        <w:trPr>
          <w:trHeight w:val="196"/>
        </w:trPr>
        <w:tc>
          <w:tcPr>
            <w:tcW w:w="1080" w:type="dxa"/>
            <w:vAlign w:val="bottom"/>
          </w:tcPr>
          <w:p>
            <w:pPr>
              <w:spacing w:after="0"/>
              <w:rPr>
                <w:sz w:val="17"/>
                <w:szCs w:val="17"/>
                <w:color w:val="auto"/>
              </w:rPr>
            </w:pPr>
          </w:p>
        </w:tc>
        <w:tc>
          <w:tcPr>
            <w:tcW w:w="98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Specialty Lending, Inc., as Borrower, the Lenders party thereto and Truist Bank (as successor by merger to SunTrust Bank), as</w:t>
              </w:r>
            </w:hyperlink>
          </w:p>
        </w:tc>
        <w:tc>
          <w:tcPr>
            <w:tcW w:w="240" w:type="dxa"/>
            <w:vAlign w:val="bottom"/>
            <w:gridSpan w:val="9"/>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100" w:type="dxa"/>
            <w:vAlign w:val="bottom"/>
            <w:gridSpan w:val="7"/>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120" w:type="dxa"/>
            <w:vAlign w:val="bottom"/>
            <w:gridSpan w:val="25"/>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Administrative Agent (incorporated by reference to Exhibit 10.16 to the Company’s Annual Report on Form 10-K filed on February 21,</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1">
              <w:r>
                <w:rPr>
                  <w:rFonts w:ascii="Times New Roman" w:cs="Times New Roman" w:eastAsia="Times New Roman" w:hAnsi="Times New Roman"/>
                  <w:sz w:val="18"/>
                  <w:szCs w:val="18"/>
                  <w:color w:val="0000EE"/>
                  <w:w w:val="94"/>
                </w:rPr>
                <w:t>2018).</w:t>
              </w:r>
            </w:hyperlink>
          </w:p>
        </w:tc>
        <w:tc>
          <w:tcPr>
            <w:tcW w:w="9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Seventh Amendment to Second Amended and Restated Senior Secured Revolving Credit Agreement, dated as of November 5, 2018, among</w:t>
              </w:r>
            </w:hyperlink>
          </w:p>
        </w:tc>
        <w:tc>
          <w:tcPr>
            <w:tcW w:w="2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5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TPG Specialty Lending, Inc., as Borrower, the Lenders party thereto and Truist Bank (as successor by merger to SunTrust Bank), as</w:t>
              </w:r>
            </w:hyperlink>
          </w:p>
        </w:tc>
        <w:tc>
          <w:tcPr>
            <w:tcW w:w="620" w:type="dxa"/>
            <w:vAlign w:val="bottom"/>
            <w:gridSpan w:val="17"/>
          </w:tcPr>
          <w:p>
            <w:pPr>
              <w:spacing w:after="0"/>
              <w:rPr>
                <w:sz w:val="17"/>
                <w:szCs w:val="17"/>
                <w:color w:val="auto"/>
              </w:rPr>
            </w:pPr>
          </w:p>
        </w:tc>
      </w:tr>
    </w:tbl>
    <w:p>
      <w:pPr>
        <w:spacing w:after="0" w:line="9" w:lineRule="exact"/>
        <w:rPr>
          <w:sz w:val="20"/>
          <w:szCs w:val="20"/>
          <w:color w:val="auto"/>
        </w:rPr>
      </w:pPr>
    </w:p>
    <w:p>
      <w:pPr>
        <w:ind w:left="1080" w:right="260"/>
        <w:spacing w:after="0" w:line="282" w:lineRule="auto"/>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Administrative Agent (incorporated by reference to Exhibit 10.1 to the Company's Quarterly Report on Form 10-Q filed on November 6,</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2018).</w:t>
        </w:r>
      </w:hyperlink>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137" w:name="page138"/>
    <w:bookmarkEnd w:id="137"/>
    <w:tbl>
      <w:tblPr>
        <w:tblLayout w:type="fixed"/>
        <w:tblInd w:w="0" w:type="dxa"/>
        <w:tblCellMar>
          <w:top w:w="0" w:type="dxa"/>
          <w:left w:w="0" w:type="dxa"/>
          <w:bottom w:w="0" w:type="dxa"/>
          <w:right w:w="0" w:type="dxa"/>
        </w:tblCellMar>
      </w:tblPr>
      <w:tr>
        <w:trPr>
          <w:trHeight w:val="171"/>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16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Description of Exhibits</w:t>
            </w:r>
          </w:p>
        </w:tc>
      </w:tr>
      <w:tr>
        <w:trPr>
          <w:trHeight w:val="290"/>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9980" w:type="dxa"/>
            <w:vAlign w:val="bottom"/>
            <w:tcBorders>
              <w:top w:val="single" w:sz="8" w:color="auto"/>
              <w:bottom w:val="single" w:sz="8" w:color="0000EE"/>
            </w:tcBorders>
            <w:gridSpan w:val="8"/>
          </w:tcPr>
          <w:p>
            <w:pPr>
              <w:spacing w:after="0"/>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Eighth Amendment to Second Amended and Restated Senior Secured Revolving Credit Agreement, dated as of February 14, 2019, among</w:t>
              </w:r>
            </w:hyperlink>
          </w:p>
        </w:tc>
        <w:tc>
          <w:tcPr>
            <w:tcW w:w="180" w:type="dxa"/>
            <w:vAlign w:val="bottom"/>
            <w:tcBorders>
              <w:top w:val="single" w:sz="8" w:color="auto"/>
            </w:tcBorders>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TPG Specialty Lending, Inc., as Borrower, the Lenders party thereto and Truist Bank (as successor by merger to SunTrust Bank), as</w:t>
              </w:r>
            </w:hyperlink>
          </w:p>
        </w:tc>
        <w:tc>
          <w:tcPr>
            <w:tcW w:w="66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2"/>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Administrative Agent. (incorporated by reference to Exhibit 10.16 to the Company’s Annual Report on Form 10-K filed on February 20,</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4">
              <w:r>
                <w:rPr>
                  <w:rFonts w:ascii="Times New Roman" w:cs="Times New Roman" w:eastAsia="Times New Roman" w:hAnsi="Times New Roman"/>
                  <w:sz w:val="18"/>
                  <w:szCs w:val="18"/>
                  <w:color w:val="0000EE"/>
                  <w:w w:val="94"/>
                </w:rPr>
                <w:t>2019).</w:t>
              </w:r>
            </w:hyperlink>
          </w:p>
        </w:tc>
        <w:tc>
          <w:tcPr>
            <w:tcW w:w="1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79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24"/>
                <w:szCs w:val="24"/>
                <w:color w:val="auto"/>
              </w:rPr>
            </w:pPr>
          </w:p>
        </w:tc>
        <w:tc>
          <w:tcPr>
            <w:tcW w:w="98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Ninth Amendment to Second Amended and Restated Senior Secured Revolving Credit Agreement, dated as of January 31, 2020, among</w:t>
              </w:r>
            </w:hyperlink>
          </w:p>
        </w:tc>
        <w:tc>
          <w:tcPr>
            <w:tcW w:w="32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TPG Specialty Lending, Inc., as Borrower, the Lenders party thereto and Truist Bank (as successor by merger to SunTrust Bank), as</w:t>
              </w:r>
            </w:hyperlink>
          </w:p>
        </w:tc>
        <w:tc>
          <w:tcPr>
            <w:tcW w:w="66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2"/>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Administrative Agent. (incorporated by reference to Exhibit 10.17 to the Company’s Annual Report on Form 10-K filed on February 19,</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5">
              <w:r>
                <w:rPr>
                  <w:rFonts w:ascii="Times New Roman" w:cs="Times New Roman" w:eastAsia="Times New Roman" w:hAnsi="Times New Roman"/>
                  <w:sz w:val="18"/>
                  <w:szCs w:val="18"/>
                  <w:color w:val="0000EE"/>
                  <w:w w:val="94"/>
                </w:rPr>
                <w:t>2020).</w:t>
              </w:r>
            </w:hyperlink>
          </w:p>
        </w:tc>
        <w:tc>
          <w:tcPr>
            <w:tcW w:w="1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79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4"/>
                <w:szCs w:val="24"/>
                <w:color w:val="auto"/>
              </w:rPr>
            </w:pPr>
          </w:p>
        </w:tc>
        <w:tc>
          <w:tcPr>
            <w:tcW w:w="98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44">
              <w:r>
                <w:rPr>
                  <w:rFonts w:ascii="Times New Roman" w:cs="Times New Roman" w:eastAsia="Times New Roman" w:hAnsi="Times New Roman"/>
                  <w:sz w:val="18"/>
                  <w:szCs w:val="18"/>
                  <w:color w:val="0000EE"/>
                  <w:w w:val="99"/>
                </w:rPr>
                <w:t>Tenth Amendment to Second Amended and Restated Senior Secured Revolving Credit Agreement, dated as of February 5, 2021, among</w:t>
              </w:r>
            </w:hyperlink>
          </w:p>
        </w:tc>
        <w:tc>
          <w:tcPr>
            <w:tcW w:w="34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44">
              <w:r>
                <w:rPr>
                  <w:rFonts w:ascii="Times New Roman" w:cs="Times New Roman" w:eastAsia="Times New Roman" w:hAnsi="Times New Roman"/>
                  <w:sz w:val="18"/>
                  <w:szCs w:val="18"/>
                  <w:color w:val="0000EE"/>
                  <w:w w:val="99"/>
                </w:rPr>
                <w:t>Sixth Street Specialty Lending, Inc., as Borrower, the Lenders party thereto and Truist Bank (as successor by merger to SunTrust Bank), as</w:t>
              </w:r>
            </w:hyperlink>
          </w:p>
        </w:tc>
        <w:tc>
          <w:tcPr>
            <w:tcW w:w="16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gridSpan w:val="12"/>
          </w:tcPr>
          <w:p>
            <w:pPr>
              <w:spacing w:after="0" w:line="196" w:lineRule="exact"/>
              <w:rPr>
                <w:rFonts w:ascii="Times New Roman" w:cs="Times New Roman" w:eastAsia="Times New Roman" w:hAnsi="Times New Roman"/>
                <w:sz w:val="18"/>
                <w:szCs w:val="18"/>
                <w:color w:val="0000EE"/>
              </w:rPr>
            </w:pPr>
            <w:hyperlink w:anchor="page144">
              <w:r>
                <w:rPr>
                  <w:rFonts w:ascii="Times New Roman" w:cs="Times New Roman" w:eastAsia="Times New Roman" w:hAnsi="Times New Roman"/>
                  <w:sz w:val="18"/>
                  <w:szCs w:val="18"/>
                  <w:color w:val="0000EE"/>
                </w:rPr>
                <w:t>Administrative Agent.</w:t>
              </w:r>
            </w:hyperlink>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4"/>
                <w:szCs w:val="24"/>
                <w:color w:val="auto"/>
              </w:rPr>
            </w:pPr>
          </w:p>
        </w:tc>
        <w:tc>
          <w:tcPr>
            <w:tcW w:w="10160" w:type="dxa"/>
            <w:vAlign w:val="bottom"/>
            <w:gridSpan w:val="12"/>
          </w:tcPr>
          <w:p>
            <w:pPr>
              <w:spacing w:after="0"/>
              <w:rPr>
                <w:rFonts w:ascii="Times New Roman" w:cs="Times New Roman" w:eastAsia="Times New Roman" w:hAnsi="Times New Roman"/>
                <w:sz w:val="18"/>
                <w:szCs w:val="18"/>
                <w:u w:val="single" w:color="auto"/>
                <w:color w:val="0000EE"/>
              </w:rPr>
            </w:pPr>
            <w:hyperlink w:anchor="page309">
              <w:r>
                <w:rPr>
                  <w:rFonts w:ascii="Times New Roman" w:cs="Times New Roman" w:eastAsia="Times New Roman" w:hAnsi="Times New Roman"/>
                  <w:sz w:val="18"/>
                  <w:szCs w:val="18"/>
                  <w:u w:val="single" w:color="auto"/>
                  <w:color w:val="0000EE"/>
                </w:rPr>
                <w:t>Subsidiaries of Sixth Street Specialty Lending, Inc.</w:t>
              </w:r>
            </w:hyperlink>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10160" w:type="dxa"/>
            <w:vAlign w:val="bottom"/>
            <w:gridSpan w:val="12"/>
          </w:tcPr>
          <w:p>
            <w:pPr>
              <w:spacing w:after="0"/>
              <w:rPr>
                <w:rFonts w:ascii="Times New Roman" w:cs="Times New Roman" w:eastAsia="Times New Roman" w:hAnsi="Times New Roman"/>
                <w:sz w:val="18"/>
                <w:szCs w:val="18"/>
                <w:u w:val="single" w:color="auto"/>
                <w:color w:val="0000EE"/>
              </w:rPr>
            </w:pPr>
            <w:hyperlink w:anchor="page310">
              <w:r>
                <w:rPr>
                  <w:rFonts w:ascii="Times New Roman" w:cs="Times New Roman" w:eastAsia="Times New Roman" w:hAnsi="Times New Roman"/>
                  <w:sz w:val="18"/>
                  <w:szCs w:val="18"/>
                  <w:u w:val="single" w:color="auto"/>
                  <w:color w:val="0000EE"/>
                </w:rPr>
                <w:t>Consent of Independent Registered Public Accounting Firm</w:t>
              </w:r>
            </w:hyperlink>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1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11">
              <w:r>
                <w:rPr>
                  <w:rFonts w:ascii="Times New Roman" w:cs="Times New Roman" w:eastAsia="Times New Roman" w:hAnsi="Times New Roman"/>
                  <w:sz w:val="18"/>
                  <w:szCs w:val="18"/>
                  <w:color w:val="0000EE"/>
                  <w:w w:val="99"/>
                </w:rPr>
                <w:t>Certification of Chief Executive Officer Pursuant to 18 U.S.C. Section 1350, as Adopted Pursuant to Section 302 of the Sarbanes-Oxley Act</w:t>
              </w:r>
            </w:hyperlink>
          </w:p>
        </w:tc>
        <w:tc>
          <w:tcPr>
            <w:tcW w:w="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311">
              <w:r>
                <w:rPr>
                  <w:rFonts w:ascii="Times New Roman" w:cs="Times New Roman" w:eastAsia="Times New Roman" w:hAnsi="Times New Roman"/>
                  <w:sz w:val="18"/>
                  <w:szCs w:val="18"/>
                  <w:color w:val="0000EE"/>
                  <w:w w:val="96"/>
                </w:rPr>
                <w:t>of 2002.</w:t>
              </w:r>
            </w:hyperlink>
          </w:p>
        </w:tc>
        <w:tc>
          <w:tcPr>
            <w:tcW w:w="9560" w:type="dxa"/>
            <w:vAlign w:val="bottom"/>
            <w:gridSpan w:val="10"/>
          </w:tcPr>
          <w:p>
            <w:pPr>
              <w:spacing w:after="0"/>
              <w:rPr>
                <w:sz w:val="17"/>
                <w:szCs w:val="17"/>
                <w:color w:val="auto"/>
              </w:rPr>
            </w:pPr>
          </w:p>
        </w:tc>
      </w:tr>
      <w:tr>
        <w:trPr>
          <w:trHeight w:val="31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160" w:type="dxa"/>
            <w:vAlign w:val="bottom"/>
            <w:gridSpan w:val="12"/>
          </w:tcPr>
          <w:p>
            <w:pPr>
              <w:spacing w:after="0"/>
              <w:rPr>
                <w:rFonts w:ascii="Times New Roman" w:cs="Times New Roman" w:eastAsia="Times New Roman" w:hAnsi="Times New Roman"/>
                <w:sz w:val="18"/>
                <w:szCs w:val="18"/>
                <w:color w:val="0000EE"/>
              </w:rPr>
            </w:pPr>
            <w:hyperlink w:anchor="page312">
              <w:r>
                <w:rPr>
                  <w:rFonts w:ascii="Times New Roman" w:cs="Times New Roman" w:eastAsia="Times New Roman" w:hAnsi="Times New Roman"/>
                  <w:sz w:val="18"/>
                  <w:szCs w:val="18"/>
                  <w:color w:val="0000EE"/>
                </w:rPr>
                <w:t>Certification of Chief Financial Officer Pursuant to 18 U.S.C. Section 1350, as Adopted Pursuant to Section 302 of the Sarbanes-Oxley Act</w:t>
              </w:r>
            </w:hyperlink>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312">
              <w:r>
                <w:rPr>
                  <w:rFonts w:ascii="Times New Roman" w:cs="Times New Roman" w:eastAsia="Times New Roman" w:hAnsi="Times New Roman"/>
                  <w:sz w:val="18"/>
                  <w:szCs w:val="18"/>
                  <w:color w:val="0000EE"/>
                  <w:w w:val="96"/>
                </w:rPr>
                <w:t>of 2002.</w:t>
              </w:r>
            </w:hyperlink>
          </w:p>
        </w:tc>
        <w:tc>
          <w:tcPr>
            <w:tcW w:w="9440" w:type="dxa"/>
            <w:vAlign w:val="bottom"/>
            <w:tcBorders>
              <w:top w:val="single" w:sz="8" w:color="0000EE"/>
            </w:tcBorders>
            <w:gridSpan w:val="8"/>
          </w:tcPr>
          <w:p>
            <w:pPr>
              <w:spacing w:after="0"/>
              <w:rPr>
                <w:sz w:val="17"/>
                <w:szCs w:val="17"/>
                <w:color w:val="auto"/>
              </w:rPr>
            </w:pPr>
          </w:p>
        </w:tc>
        <w:tc>
          <w:tcPr>
            <w:tcW w:w="120" w:type="dxa"/>
            <w:vAlign w:val="bottom"/>
            <w:gridSpan w:val="2"/>
          </w:tcPr>
          <w:p>
            <w:pPr>
              <w:spacing w:after="0"/>
              <w:rPr>
                <w:sz w:val="17"/>
                <w:szCs w:val="17"/>
                <w:color w:val="auto"/>
              </w:rPr>
            </w:pPr>
          </w:p>
        </w:tc>
      </w:tr>
    </w:tbl>
    <w:p>
      <w:pPr>
        <w:spacing w:after="0" w:line="130" w:lineRule="exact"/>
        <w:rPr>
          <w:sz w:val="20"/>
          <w:szCs w:val="20"/>
          <w:color w:val="auto"/>
        </w:rPr>
      </w:pPr>
    </w:p>
    <w:p>
      <w:pPr>
        <w:ind w:left="1080" w:hanging="1072"/>
        <w:spacing w:after="0"/>
        <w:tabs>
          <w:tab w:leader="none" w:pos="1080" w:val="left"/>
        </w:tabs>
        <w:numPr>
          <w:ilvl w:val="0"/>
          <w:numId w:val="119"/>
        </w:numPr>
        <w:rPr>
          <w:rFonts w:ascii="Times New Roman" w:cs="Times New Roman" w:eastAsia="Times New Roman" w:hAnsi="Times New Roman"/>
          <w:sz w:val="18"/>
          <w:szCs w:val="18"/>
          <w:u w:val="single" w:color="auto"/>
          <w:color w:val="0000EE"/>
        </w:rPr>
      </w:pPr>
      <w:hyperlink w:anchor="page313">
        <w:r>
          <w:rPr>
            <w:rFonts w:ascii="Times New Roman" w:cs="Times New Roman" w:eastAsia="Times New Roman" w:hAnsi="Times New Roman"/>
            <w:sz w:val="18"/>
            <w:szCs w:val="18"/>
            <w:u w:val="single" w:color="auto"/>
            <w:color w:val="0000EE"/>
          </w:rPr>
          <w:t>Certification of CEO and CFO Pursuant to 18 U.S.C. Section 1350, as Adopted Pursuant to Section 906 of the Sarbanes-Oxley Act of 2002.</w:t>
        </w:r>
      </w:hyperlink>
    </w:p>
    <w:p>
      <w:pPr>
        <w:spacing w:after="0" w:line="131" w:lineRule="exact"/>
        <w:rPr>
          <w:sz w:val="20"/>
          <w:szCs w:val="20"/>
          <w:color w:val="auto"/>
        </w:rPr>
      </w:pPr>
    </w:p>
    <w:p>
      <w:pPr>
        <w:spacing w:after="0"/>
        <w:tabs>
          <w:tab w:leader="none" w:pos="10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314">
        <w:r>
          <w:rPr>
            <w:rFonts w:ascii="Times New Roman" w:cs="Times New Roman" w:eastAsia="Times New Roman" w:hAnsi="Times New Roman"/>
            <w:sz w:val="17"/>
            <w:szCs w:val="17"/>
            <w:u w:val="single" w:color="auto"/>
            <w:color w:val="0000EE"/>
          </w:rPr>
          <w:t>Report of Independent Registered Public Accounting Firm on Supplemental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9512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 February 17, 2021</w:t>
      </w:r>
      <w:r>
        <w:rPr>
          <w:sz w:val="20"/>
          <w:szCs w:val="20"/>
          <w:color w:val="auto"/>
        </w:rPr>
        <w:tab/>
      </w:r>
      <w:r>
        <w:rPr>
          <w:rFonts w:ascii="Times New Roman" w:cs="Times New Roman" w:eastAsia="Times New Roman" w:hAnsi="Times New Roman"/>
          <w:sz w:val="17"/>
          <w:szCs w:val="17"/>
          <w:b w:val="1"/>
          <w:bCs w:val="1"/>
          <w:color w:val="auto"/>
        </w:rPr>
        <w:t>SIXTH STREET SPECIALTY LENDING, INC.</w:t>
      </w:r>
    </w:p>
    <w:p>
      <w:pPr>
        <w:spacing w:after="0" w:line="2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Michael Fishman, Joshua Easterly, Ian Simmonds, David Stiepleman and Jennifer Gordon, and each of them, such person’s true and lawful attorney-in-fact and agent, with full power of substitution and revocation, for such person and in such person’s name, place and stead, in any and all capacities, to sign one or more Annual Reports on Form 10-K for the fiscal year ended December 31, 2020,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spacing w:after="0" w:line="192" w:lineRule="exact"/>
        <w:rPr>
          <w:sz w:val="20"/>
          <w:szCs w:val="20"/>
          <w:color w:val="auto"/>
        </w:rPr>
      </w:pPr>
    </w:p>
    <w:p>
      <w:pPr>
        <w:ind w:right="5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17,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64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98"/>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Joshua Easterly</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and Chairman of the Board of Directors</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Ian Simmonds</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Graf</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(Principal Accounting Officer)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Ross</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 of the Audit Committee</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John A. Ross</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Hurley Doddy</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Fishman</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Gordon</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 Higginbotham</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Richard A. Higginbotham</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Judy Slotkin</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Stiepleman</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K. Tanemura</w:t>
            </w:r>
          </w:p>
        </w:tc>
        <w:tc>
          <w:tcPr>
            <w:tcW w:w="10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Ronald K. Tanemura</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41"/>
        </w:trPr>
        <w:tc>
          <w:tcPr>
            <w:tcW w:w="4740" w:type="dxa"/>
            <w:vAlign w:val="bottom"/>
          </w:tcPr>
          <w:p>
            <w:pPr>
              <w:spacing w:after="0"/>
              <w:rPr>
                <w:sz w:val="24"/>
                <w:szCs w:val="24"/>
                <w:color w:val="auto"/>
              </w:rPr>
            </w:pPr>
          </w:p>
        </w:tc>
        <w:tc>
          <w:tcPr>
            <w:tcW w:w="6500" w:type="dxa"/>
            <w:vAlign w:val="bottom"/>
            <w:gridSpan w:val="2"/>
          </w:tcPr>
          <w:p>
            <w:pPr>
              <w:jc w:val="right"/>
              <w:ind w:right="5432"/>
              <w:spacing w:after="0"/>
              <w:rPr>
                <w:sz w:val="20"/>
                <w:szCs w:val="20"/>
                <w:color w:val="auto"/>
              </w:rPr>
            </w:pPr>
            <w:r>
              <w:rPr>
                <w:rFonts w:ascii="Times New Roman" w:cs="Times New Roman" w:eastAsia="Times New Roman" w:hAnsi="Times New Roman"/>
                <w:sz w:val="18"/>
                <w:szCs w:val="18"/>
                <w:color w:val="auto"/>
              </w:rPr>
              <w:t>91</w:t>
            </w:r>
          </w:p>
        </w:tc>
      </w:tr>
    </w:tbl>
    <w:p>
      <w:pPr>
        <w:sectPr>
          <w:pgSz w:w="11900" w:h="16838" w:orient="portrait"/>
          <w:cols w:equalWidth="0" w:num="1">
            <w:col w:w="11240"/>
          </w:cols>
          <w:pgMar w:left="320" w:top="549"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4.12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right="80" w:firstLine="589"/>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February 17,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140" w:type="dxa"/>
            <w:vAlign w:val="bottom"/>
          </w:tcPr>
          <w:p>
            <w:pPr>
              <w:spacing w:after="0"/>
              <w:rPr>
                <w:sz w:val="13"/>
                <w:szCs w:val="13"/>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Outstanding Exclusive of</w:t>
            </w:r>
          </w:p>
        </w:tc>
        <w:tc>
          <w:tcPr>
            <w:tcW w:w="0" w:type="dxa"/>
            <w:vAlign w:val="bottom"/>
          </w:tcPr>
          <w:p>
            <w:pPr>
              <w:spacing w:after="0"/>
              <w:rPr>
                <w:sz w:val="1"/>
                <w:szCs w:val="1"/>
                <w:color w:val="auto"/>
              </w:rPr>
            </w:pPr>
          </w:p>
        </w:tc>
      </w:tr>
      <w:tr>
        <w:trPr>
          <w:trHeight w:val="149"/>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4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40" w:type="dxa"/>
            <w:vAlign w:val="bottom"/>
          </w:tcPr>
          <w:p>
            <w:pPr>
              <w:spacing w:after="0"/>
              <w:rPr>
                <w:sz w:val="12"/>
                <w:szCs w:val="12"/>
                <w:color w:val="auto"/>
              </w:rPr>
            </w:pPr>
          </w:p>
        </w:tc>
        <w:tc>
          <w:tcPr>
            <w:tcW w:w="2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0" w:type="dxa"/>
            <w:vAlign w:val="bottom"/>
          </w:tcPr>
          <w:p>
            <w:pPr>
              <w:spacing w:after="0"/>
              <w:rPr>
                <w:sz w:val="1"/>
                <w:szCs w:val="1"/>
                <w:color w:val="auto"/>
              </w:rPr>
            </w:pPr>
          </w:p>
        </w:tc>
      </w:tr>
      <w:tr>
        <w:trPr>
          <w:trHeight w:val="173"/>
        </w:trPr>
        <w:tc>
          <w:tcPr>
            <w:tcW w:w="33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40" w:type="dxa"/>
            <w:vAlign w:val="bottom"/>
          </w:tcPr>
          <w:p>
            <w:pPr>
              <w:spacing w:after="0"/>
              <w:rPr>
                <w:sz w:val="15"/>
                <w:szCs w:val="15"/>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90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400,000,000</w:t>
            </w:r>
          </w:p>
        </w:tc>
        <w:tc>
          <w:tcPr>
            <w:tcW w:w="3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296,044</w:t>
            </w:r>
          </w:p>
        </w:tc>
        <w:tc>
          <w:tcPr>
            <w:tcW w:w="302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w w:val="99"/>
              </w:rPr>
              <w:t>67,896,113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firstLine="589"/>
        <w:spacing w:after="0" w:line="281" w:lineRule="auto"/>
        <w:rPr>
          <w:sz w:val="20"/>
          <w:szCs w:val="20"/>
          <w:color w:val="auto"/>
        </w:rPr>
      </w:pPr>
      <w:r>
        <w:rPr>
          <w:rFonts w:ascii="Times New Roman" w:cs="Times New Roman" w:eastAsia="Times New Roman" w:hAnsi="Times New Roman"/>
          <w:sz w:val="17"/>
          <w:szCs w:val="17"/>
          <w:color w:val="auto"/>
        </w:rPr>
        <w:t>The following description is based on relevant portions of the Delaware General Corporate Law, or the DGCL, and on our Amended and Restated Certificate of Incorporation (the “certificate of incorporation”) and our Amended and Restated Bylaws (the “bylaws”), both incorporated by reference to our Annual Report on Form 10-K. This summary is not necessarily complete, and we refer you to the DGCL and our certificate of incorporation and bylaws for a more detailed description of the provisions summarized below. As of February 17, 2021, there are no outstanding shares of preferred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Common Stock</w:t>
      </w:r>
    </w:p>
    <w:p>
      <w:pPr>
        <w:spacing w:after="0" w:line="121" w:lineRule="exact"/>
        <w:rPr>
          <w:sz w:val="20"/>
          <w:szCs w:val="20"/>
          <w:color w:val="auto"/>
        </w:rPr>
      </w:pPr>
    </w:p>
    <w:p>
      <w:pPr>
        <w:ind w:right="60" w:firstLine="589"/>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of directors (the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120" w:firstLine="589"/>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ind w:firstLine="589"/>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17" w:lineRule="exact"/>
        <w:rPr>
          <w:sz w:val="20"/>
          <w:szCs w:val="20"/>
          <w:color w:val="auto"/>
        </w:rPr>
      </w:pPr>
    </w:p>
    <w:p>
      <w:pPr>
        <w:ind w:left="1160" w:right="300" w:hanging="423"/>
        <w:spacing w:after="0" w:line="282" w:lineRule="auto"/>
        <w:tabs>
          <w:tab w:leader="none" w:pos="11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53" w:lineRule="exact"/>
        <w:rPr>
          <w:rFonts w:ascii="Times New Roman" w:cs="Times New Roman" w:eastAsia="Times New Roman" w:hAnsi="Times New Roman"/>
          <w:sz w:val="18"/>
          <w:szCs w:val="18"/>
          <w:color w:val="auto"/>
        </w:rPr>
      </w:pPr>
    </w:p>
    <w:p>
      <w:pPr>
        <w:ind w:left="1160" w:right="80" w:hanging="423"/>
        <w:spacing w:after="0" w:line="282" w:lineRule="auto"/>
        <w:tabs>
          <w:tab w:leader="none" w:pos="11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1160" w:right="140" w:hanging="423"/>
        <w:spacing w:after="0" w:line="282" w:lineRule="auto"/>
        <w:tabs>
          <w:tab w:leader="none" w:pos="11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jc w:val="both"/>
        <w:ind w:right="40" w:firstLine="589"/>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17" w:lineRule="exact"/>
        <w:rPr>
          <w:sz w:val="20"/>
          <w:szCs w:val="20"/>
          <w:color w:val="auto"/>
        </w:rPr>
      </w:pPr>
    </w:p>
    <w:p>
      <w:pPr>
        <w:ind w:left="1160" w:right="40" w:hanging="423"/>
        <w:spacing w:after="0" w:line="282" w:lineRule="auto"/>
        <w:tabs>
          <w:tab w:leader="none" w:pos="11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53" w:lineRule="exact"/>
        <w:rPr>
          <w:rFonts w:ascii="Times New Roman" w:cs="Times New Roman" w:eastAsia="Times New Roman" w:hAnsi="Times New Roman"/>
          <w:sz w:val="18"/>
          <w:szCs w:val="18"/>
          <w:color w:val="auto"/>
        </w:rPr>
      </w:pPr>
    </w:p>
    <w:p>
      <w:pPr>
        <w:ind w:left="1160" w:hanging="423"/>
        <w:spacing w:after="0"/>
        <w:tabs>
          <w:tab w:leader="none" w:pos="11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right="220" w:firstLine="589"/>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jc w:val="both"/>
        <w:ind w:firstLine="58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41" w:name="page142"/>
    <w:bookmarkEnd w:id="141"/>
    <w:p>
      <w:pPr>
        <w:ind w:firstLine="589"/>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right="80" w:firstLine="589"/>
        <w:spacing w:after="0" w:line="255"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Investment Company Act of 1940, as amended, or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17" w:lineRule="exact"/>
        <w:rPr>
          <w:sz w:val="20"/>
          <w:szCs w:val="20"/>
          <w:color w:val="auto"/>
        </w:rPr>
      </w:pPr>
    </w:p>
    <w:p>
      <w:pPr>
        <w:ind w:left="1160" w:hanging="423"/>
        <w:spacing w:after="0"/>
        <w:tabs>
          <w:tab w:leader="none" w:pos="11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17" w:lineRule="exact"/>
        <w:rPr>
          <w:rFonts w:ascii="Times New Roman" w:cs="Times New Roman" w:eastAsia="Times New Roman" w:hAnsi="Times New Roman"/>
          <w:sz w:val="18"/>
          <w:szCs w:val="18"/>
          <w:color w:val="auto"/>
        </w:rPr>
      </w:pPr>
    </w:p>
    <w:p>
      <w:pPr>
        <w:ind w:left="1160" w:right="140" w:hanging="423"/>
        <w:spacing w:after="0" w:line="266" w:lineRule="auto"/>
        <w:tabs>
          <w:tab w:leader="none" w:pos="11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67" w:lineRule="exact"/>
        <w:rPr>
          <w:rFonts w:ascii="Times New Roman" w:cs="Times New Roman" w:eastAsia="Times New Roman" w:hAnsi="Times New Roman"/>
          <w:sz w:val="18"/>
          <w:szCs w:val="18"/>
          <w:color w:val="auto"/>
        </w:rPr>
      </w:pPr>
    </w:p>
    <w:p>
      <w:pPr>
        <w:ind w:left="1160" w:right="80" w:hanging="423"/>
        <w:spacing w:after="0" w:line="266" w:lineRule="auto"/>
        <w:tabs>
          <w:tab w:leader="none" w:pos="11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67" w:lineRule="exact"/>
        <w:rPr>
          <w:rFonts w:ascii="Times New Roman" w:cs="Times New Roman" w:eastAsia="Times New Roman" w:hAnsi="Times New Roman"/>
          <w:sz w:val="18"/>
          <w:szCs w:val="18"/>
          <w:color w:val="auto"/>
        </w:rPr>
      </w:pPr>
    </w:p>
    <w:p>
      <w:pPr>
        <w:jc w:val="both"/>
        <w:ind w:left="1160" w:right="20" w:hanging="423"/>
        <w:spacing w:after="0" w:line="266" w:lineRule="auto"/>
        <w:tabs>
          <w:tab w:leader="none" w:pos="11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right="40" w:firstLine="589"/>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17" w:lineRule="exact"/>
        <w:rPr>
          <w:sz w:val="20"/>
          <w:szCs w:val="20"/>
          <w:color w:val="auto"/>
        </w:rPr>
      </w:pPr>
    </w:p>
    <w:p>
      <w:pPr>
        <w:ind w:left="1160" w:right="120" w:hanging="423"/>
        <w:spacing w:after="0" w:line="282" w:lineRule="auto"/>
        <w:tabs>
          <w:tab w:leader="none" w:pos="11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53" w:lineRule="exact"/>
        <w:rPr>
          <w:rFonts w:ascii="Times New Roman" w:cs="Times New Roman" w:eastAsia="Times New Roman" w:hAnsi="Times New Roman"/>
          <w:sz w:val="18"/>
          <w:szCs w:val="18"/>
          <w:color w:val="auto"/>
        </w:rPr>
      </w:pPr>
    </w:p>
    <w:p>
      <w:pPr>
        <w:ind w:left="1160" w:hanging="423"/>
        <w:spacing w:after="0"/>
        <w:tabs>
          <w:tab w:leader="none" w:pos="11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2" w:name="page143"/>
    <w:bookmarkEnd w:id="142"/>
    <w:p>
      <w:pPr>
        <w:ind w:firstLine="589"/>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right="540" w:firstLine="589"/>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ectPr>
          <w:pgSz w:w="11900" w:h="16838" w:orient="portrait"/>
          <w:cols w:equalWidth="0" w:num="1">
            <w:col w:w="11200"/>
          </w:cols>
          <w:pgMar w:left="320" w:top="877" w:right="37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TENTH AMENDMENT</w:t>
      </w:r>
    </w:p>
    <w:p>
      <w:pPr>
        <w:jc w:val="center"/>
        <w:spacing w:after="0"/>
        <w:rPr>
          <w:sz w:val="20"/>
          <w:szCs w:val="20"/>
          <w:color w:val="auto"/>
        </w:rPr>
      </w:pPr>
      <w:r>
        <w:rPr>
          <w:rFonts w:ascii="Times New Roman" w:cs="Times New Roman" w:eastAsia="Times New Roman" w:hAnsi="Times New Roman"/>
          <w:sz w:val="22"/>
          <w:szCs w:val="22"/>
          <w:color w:val="auto"/>
        </w:rPr>
        <w:t>TO SECOND AMENDED AND RESTATED SENIOR SECURED REVOLVING CREDIT AGREEMENT</w:t>
      </w:r>
    </w:p>
    <w:p>
      <w:pPr>
        <w:spacing w:after="0" w:line="182"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THIS TENTH AMENDMENT TO SECOND AMENDED AND RESTATED SENIOR SECURED REVOLVING CREDIT AGREEMENT, dated as of February 5, 2021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to the Existing Credit Agreement (capitalized terms used herein and not otherwise defined shall have the meanings given to such terms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is among SIXTH STREET SPECIALTY LENDING, INC. (F/K/A TPG Specialty Lending,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TRUIST BANK, as Administrative Agent.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1"/>
          <w:szCs w:val="21"/>
          <w:color w:val="auto"/>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and the Ninth Amendment to Second Amended and Restated Senior Secured Revolving Credit Agreement, dated as of January 31, 2020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and by this Amendment and as the same may be further amended, supplemented, amended and restated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and</w:t>
      </w:r>
    </w:p>
    <w:p>
      <w:pPr>
        <w:spacing w:after="0" w:line="183" w:lineRule="exact"/>
        <w:rPr>
          <w:sz w:val="20"/>
          <w:szCs w:val="20"/>
          <w:color w:val="auto"/>
        </w:rPr>
      </w:pPr>
    </w:p>
    <w:p>
      <w:pPr>
        <w:jc w:val="both"/>
        <w:ind w:right="20" w:firstLine="864"/>
        <w:spacing w:after="0" w:line="244" w:lineRule="auto"/>
        <w:rPr>
          <w:sz w:val="20"/>
          <w:szCs w:val="20"/>
          <w:color w:val="auto"/>
        </w:rPr>
      </w:pPr>
      <w:r>
        <w:rPr>
          <w:rFonts w:ascii="Times New Roman" w:cs="Times New Roman" w:eastAsia="Times New Roman" w:hAnsi="Times New Roman"/>
          <w:sz w:val="22"/>
          <w:szCs w:val="22"/>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NOW, THEREFORE, the parties hereto hereby covenant and agree as follows:</w:t>
      </w:r>
    </w:p>
    <w:p>
      <w:pPr>
        <w:spacing w:after="0" w:line="2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The following terms when used in this Amendment shall have the following meanings (such meanings to be equally applicable to the singular and plural forms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4" w:name="page145"/>
    <w:bookmarkEnd w:id="144"/>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first recital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Tenth Amendment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864"/>
        <w:spacing w:after="0" w:line="282"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Other Definitions</w:t>
      </w:r>
      <w:r>
        <w:rPr>
          <w:rFonts w:ascii="Times New Roman" w:cs="Times New Roman" w:eastAsia="Times New Roman" w:hAnsi="Times New Roman"/>
          <w:sz w:val="21"/>
          <w:szCs w:val="21"/>
          <w:color w:val="auto"/>
        </w:rPr>
        <w:t>. Capitalized terms for which meanings are provided in the Existing Credit Agreement are, unless otherwise defined herein or the context otherwise requires, used in this Amendment with such meanings.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TO EXISTING CREDIT AGREEMENT</w:t>
      </w:r>
    </w:p>
    <w:p>
      <w:pPr>
        <w:spacing w:after="0" w:line="206"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Subject to the occurrence of the Tenth Amendment Effective Date, the Existing Credit Agreement is amended in accordance with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Amendments to Credit Agreement</w:t>
      </w:r>
      <w:r>
        <w:rPr>
          <w:rFonts w:ascii="Times New Roman" w:cs="Times New Roman" w:eastAsia="Times New Roman" w:hAnsi="Times New Roman"/>
          <w:sz w:val="22"/>
          <w:szCs w:val="22"/>
          <w:color w:val="auto"/>
        </w:rPr>
        <w:t xml:space="preserve">. The Existing Credit Agreement is hereby amended in its entirety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Amendments to Schedule 1.01(b)</w:t>
      </w:r>
      <w:r>
        <w:rPr>
          <w:rFonts w:ascii="Times New Roman" w:cs="Times New Roman" w:eastAsia="Times New Roman" w:hAnsi="Times New Roman"/>
          <w:sz w:val="22"/>
          <w:szCs w:val="22"/>
          <w:color w:val="auto"/>
        </w:rPr>
        <w:t xml:space="preserve">. Schedule 1.01(b) of the Existing Credit Agreement is hereby amended in its entirety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w:t>
      </w:r>
    </w:p>
    <w:p>
      <w:pPr>
        <w:spacing w:after="0" w:line="1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CONDITIONS TO EFFECTIVENESS</w:t>
      </w:r>
    </w:p>
    <w:p>
      <w:pPr>
        <w:spacing w:after="0" w:line="20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Amendment shall become effective on the date (the “</w:t>
      </w:r>
      <w:r>
        <w:rPr>
          <w:rFonts w:ascii="Times New Roman" w:cs="Times New Roman" w:eastAsia="Times New Roman" w:hAnsi="Times New Roman"/>
          <w:sz w:val="22"/>
          <w:szCs w:val="22"/>
          <w:u w:val="single" w:color="auto"/>
          <w:color w:val="auto"/>
        </w:rPr>
        <w:t>Tenth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when the Administrative Agent shall have received (a) counterparts of this Amendment duly executed and delivered on behalf of the Borrower and each of the Lenders party hereto and (b) for the benefit of Administrative Agent and each of the Lenders party hereto, as applicable, fees and expenses owing by the Borrower in connection with this Amendment as of the date hereof.</w:t>
      </w:r>
    </w:p>
    <w:p>
      <w:pPr>
        <w:spacing w:after="0" w:line="17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MISCELLANEOUS</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5" w:name="page146"/>
    <w:bookmarkEnd w:id="145"/>
    <w:p>
      <w:pPr>
        <w:jc w:val="both"/>
        <w:spacing w:after="0" w:line="251" w:lineRule="auto"/>
        <w:rPr>
          <w:sz w:val="20"/>
          <w:szCs w:val="20"/>
          <w:color w:val="auto"/>
        </w:rPr>
      </w:pPr>
      <w:r>
        <w:rPr>
          <w:rFonts w:ascii="Times New Roman" w:cs="Times New Roman" w:eastAsia="Times New Roman" w:hAnsi="Times New Roman"/>
          <w:sz w:val="21"/>
          <w:szCs w:val="21"/>
          <w:color w:val="auto"/>
        </w:rPr>
        <w:t>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68"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Cross-References</w:t>
      </w:r>
      <w:r>
        <w:rPr>
          <w:rFonts w:ascii="Times New Roman" w:cs="Times New Roman" w:eastAsia="Times New Roman" w:hAnsi="Times New Roman"/>
          <w:sz w:val="22"/>
          <w:szCs w:val="22"/>
          <w:color w:val="auto"/>
        </w:rPr>
        <w:t>. References in this Amendment to any Article or Section are, unless otherwise specified, to such Article or Section of this Amendment.</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Loan Document Pursuant to Existing Credit Agreement</w:t>
      </w:r>
      <w:r>
        <w:rPr>
          <w:rFonts w:ascii="Times New Roman" w:cs="Times New Roman" w:eastAsia="Times New Roman" w:hAnsi="Times New Roman"/>
          <w:sz w:val="22"/>
          <w:szCs w:val="22"/>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0" w:lineRule="exact"/>
        <w:rPr>
          <w:sz w:val="20"/>
          <w:szCs w:val="20"/>
          <w:color w:val="auto"/>
        </w:rPr>
      </w:pPr>
    </w:p>
    <w:p>
      <w:pPr>
        <w:jc w:val="both"/>
        <w:ind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Amendment shall be binding upon and inure to the benefit of the parties hereto and their respective successors and assigns.</w:t>
      </w:r>
    </w:p>
    <w:p>
      <w:pPr>
        <w:spacing w:after="0" w:line="158"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80"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in accordance with the laws of the State of New York.</w:t>
      </w:r>
    </w:p>
    <w:p>
      <w:pPr>
        <w:spacing w:after="0" w:line="158"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Full Force and Effect; Limited Amendment</w:t>
      </w:r>
      <w:r>
        <w:rPr>
          <w:rFonts w:ascii="Times New Roman" w:cs="Times New Roman" w:eastAsia="Times New Roman" w:hAnsi="Times New Roman"/>
          <w:sz w:val="22"/>
          <w:szCs w:val="22"/>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79"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Each of Sixth Street SL Holding, LLC, TC Lending, LLC and Sixth Street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6" w:name="page147"/>
    <w:bookmarkEnd w:id="146"/>
    <w:p>
      <w:pPr>
        <w:ind w:left="1740"/>
        <w:spacing w:after="0"/>
        <w:rPr>
          <w:sz w:val="20"/>
          <w:szCs w:val="20"/>
          <w:color w:val="auto"/>
        </w:rPr>
      </w:pPr>
      <w:r>
        <w:rPr>
          <w:rFonts w:ascii="Times New Roman" w:cs="Times New Roman" w:eastAsia="Times New Roman" w:hAnsi="Times New Roman"/>
          <w:sz w:val="21"/>
          <w:szCs w:val="21"/>
          <w:color w:val="auto"/>
        </w:rPr>
        <w:t>IN WITNESS WHEREOF, the parties hereto have executed and delivered this Amendment as of the date first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 written.</w:t>
      </w:r>
    </w:p>
    <w:p>
      <w:pPr>
        <w:spacing w:after="0" w:line="178" w:lineRule="exact"/>
        <w:rPr>
          <w:sz w:val="20"/>
          <w:szCs w:val="20"/>
          <w:color w:val="auto"/>
        </w:rPr>
      </w:pPr>
    </w:p>
    <w:p>
      <w:pPr>
        <w:spacing w:after="0"/>
        <w:tabs>
          <w:tab w:leader="none" w:pos="5220" w:val="left"/>
        </w:tabs>
        <w:rPr>
          <w:sz w:val="20"/>
          <w:szCs w:val="20"/>
          <w:color w:val="auto"/>
        </w:rPr>
      </w:pP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SIXTH STREET SPECIALTY LENDING, INC.</w:t>
      </w:r>
    </w:p>
    <w:p>
      <w:pPr>
        <w:spacing w:after="0" w:line="210" w:lineRule="exact"/>
        <w:rPr>
          <w:sz w:val="20"/>
          <w:szCs w:val="20"/>
          <w:color w:val="auto"/>
        </w:rPr>
      </w:pPr>
    </w:p>
    <w:p>
      <w:pPr>
        <w:ind w:left="5240"/>
        <w:spacing w:after="0"/>
        <w:tabs>
          <w:tab w:leader="none" w:pos="59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Ian Simmonds</w:t>
      </w:r>
    </w:p>
    <w:p>
      <w:pPr>
        <w:spacing w:after="0" w:line="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-158750</wp:posOffset>
            </wp:positionV>
            <wp:extent cx="33775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ind w:left="5240"/>
        <w:spacing w:after="0"/>
        <w:tabs>
          <w:tab w:leader="none" w:pos="590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TENTH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53"/>
        </w:trPr>
        <w:tc>
          <w:tcPr>
            <w:tcW w:w="3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LENDERS:</w:t>
            </w:r>
          </w:p>
        </w:tc>
        <w:tc>
          <w:tcPr>
            <w:tcW w:w="8120" w:type="dxa"/>
            <w:vAlign w:val="bottom"/>
            <w:gridSpan w:val="2"/>
          </w:tcPr>
          <w:p>
            <w:pPr>
              <w:ind w:left="2100"/>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w:t>
            </w:r>
          </w:p>
        </w:tc>
      </w:tr>
      <w:tr>
        <w:trPr>
          <w:trHeight w:val="236"/>
        </w:trPr>
        <w:tc>
          <w:tcPr>
            <w:tcW w:w="980" w:type="dxa"/>
            <w:vAlign w:val="bottom"/>
            <w:tcBorders>
              <w:top w:val="single" w:sz="8" w:color="auto"/>
            </w:tcBorders>
          </w:tcPr>
          <w:p>
            <w:pPr>
              <w:spacing w:after="0"/>
              <w:rPr>
                <w:sz w:val="20"/>
                <w:szCs w:val="20"/>
                <w:color w:val="auto"/>
              </w:rPr>
            </w:pPr>
          </w:p>
        </w:tc>
        <w:tc>
          <w:tcPr>
            <w:tcW w:w="2140" w:type="dxa"/>
            <w:vAlign w:val="bottom"/>
          </w:tcPr>
          <w:p>
            <w:pPr>
              <w:spacing w:after="0"/>
              <w:rPr>
                <w:sz w:val="20"/>
                <w:szCs w:val="20"/>
                <w:color w:val="auto"/>
              </w:rPr>
            </w:pPr>
          </w:p>
        </w:tc>
        <w:tc>
          <w:tcPr>
            <w:tcW w:w="8120" w:type="dxa"/>
            <w:vAlign w:val="bottom"/>
            <w:gridSpan w:val="2"/>
          </w:tcPr>
          <w:p>
            <w:pPr>
              <w:ind w:left="2100"/>
              <w:spacing w:after="0" w:line="236" w:lineRule="exact"/>
              <w:rPr>
                <w:sz w:val="20"/>
                <w:szCs w:val="20"/>
                <w:color w:val="auto"/>
              </w:rPr>
            </w:pPr>
            <w:r>
              <w:rPr>
                <w:rFonts w:ascii="Times New Roman" w:cs="Times New Roman" w:eastAsia="Times New Roman" w:hAnsi="Times New Roman"/>
                <w:sz w:val="22"/>
                <w:szCs w:val="22"/>
                <w:color w:val="auto"/>
              </w:rPr>
              <w:t>as Administrative Agent, Swingline Lender, Issuing Bank and as a</w:t>
            </w:r>
          </w:p>
        </w:tc>
      </w:tr>
      <w:tr>
        <w:trPr>
          <w:trHeight w:val="282"/>
        </w:trPr>
        <w:tc>
          <w:tcPr>
            <w:tcW w:w="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8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Lender</w:t>
            </w:r>
          </w:p>
        </w:tc>
        <w:tc>
          <w:tcPr>
            <w:tcW w:w="5340" w:type="dxa"/>
            <w:vAlign w:val="bottom"/>
          </w:tcPr>
          <w:p>
            <w:pPr>
              <w:spacing w:after="0"/>
              <w:rPr>
                <w:sz w:val="24"/>
                <w:szCs w:val="24"/>
                <w:color w:val="auto"/>
              </w:rPr>
            </w:pPr>
          </w:p>
        </w:tc>
      </w:tr>
      <w:tr>
        <w:trPr>
          <w:trHeight w:val="459"/>
        </w:trPr>
        <w:tc>
          <w:tcPr>
            <w:tcW w:w="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8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By:</w:t>
            </w:r>
          </w:p>
        </w:tc>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Hays Wood</w:t>
            </w:r>
          </w:p>
        </w:tc>
      </w:tr>
      <w:tr>
        <w:trPr>
          <w:trHeight w:val="211"/>
        </w:trPr>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780" w:type="dxa"/>
            <w:vAlign w:val="bottom"/>
          </w:tcPr>
          <w:p>
            <w:pPr>
              <w:ind w:left="2100"/>
              <w:spacing w:after="0" w:line="210" w:lineRule="exact"/>
              <w:rPr>
                <w:sz w:val="20"/>
                <w:szCs w:val="20"/>
                <w:color w:val="auto"/>
              </w:rPr>
            </w:pPr>
            <w:r>
              <w:rPr>
                <w:rFonts w:ascii="Times New Roman" w:cs="Times New Roman" w:eastAsia="Times New Roman" w:hAnsi="Times New Roman"/>
                <w:sz w:val="22"/>
                <w:szCs w:val="22"/>
                <w:color w:val="auto"/>
              </w:rPr>
              <w:t>Name:</w:t>
            </w:r>
          </w:p>
        </w:tc>
        <w:tc>
          <w:tcPr>
            <w:tcW w:w="5340" w:type="dxa"/>
            <w:vAlign w:val="bottom"/>
          </w:tcPr>
          <w:p>
            <w:pPr>
              <w:spacing w:after="0" w:line="210" w:lineRule="exact"/>
              <w:rPr>
                <w:sz w:val="20"/>
                <w:szCs w:val="20"/>
                <w:color w:val="auto"/>
              </w:rPr>
            </w:pPr>
            <w:r>
              <w:rPr>
                <w:rFonts w:ascii="Times New Roman" w:cs="Times New Roman" w:eastAsia="Times New Roman" w:hAnsi="Times New Roman"/>
                <w:sz w:val="22"/>
                <w:szCs w:val="22"/>
                <w:color w:val="auto"/>
              </w:rPr>
              <w:t>Hays Wood</w:t>
            </w:r>
          </w:p>
        </w:tc>
      </w:tr>
      <w:tr>
        <w:trPr>
          <w:trHeight w:val="282"/>
        </w:trPr>
        <w:tc>
          <w:tcPr>
            <w:tcW w:w="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8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Title:</w:t>
            </w:r>
          </w:p>
        </w:tc>
        <w:tc>
          <w:tcPr>
            <w:tcW w:w="5340" w:type="dxa"/>
            <w:vAlign w:val="bottom"/>
          </w:tcPr>
          <w:p>
            <w:pPr>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TENTH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48" w:name="page149"/>
    <w:bookmarkEnd w:id="148"/>
    <w:p>
      <w:pPr>
        <w:ind w:left="40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as a Lender</w:t>
      </w:r>
    </w:p>
    <w:p>
      <w:pPr>
        <w:spacing w:after="0" w:line="182"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Diego E Nunes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Diego E Nunes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line="232" w:lineRule="auto"/>
        <w:tabs>
          <w:tab w:leader="none" w:pos="4760" w:val="left"/>
        </w:tabs>
        <w:rPr>
          <w:sz w:val="20"/>
          <w:szCs w:val="20"/>
          <w:color w:val="auto"/>
        </w:rPr>
      </w:pPr>
      <w:r>
        <w:rPr>
          <w:rFonts w:ascii="Times New Roman" w:cs="Times New Roman" w:eastAsia="Times New Roman" w:hAnsi="Times New Roman"/>
          <w:sz w:val="22"/>
          <w:szCs w:val="22"/>
          <w:color w:val="auto"/>
        </w:rPr>
        <w:t>Title:</w:t>
        <w:tab/>
        <w:t>Executive Director</w:t>
      </w:r>
    </w:p>
    <w:p>
      <w:pPr>
        <w:ind w:left="5040"/>
        <w:spacing w:after="0"/>
        <w:rPr>
          <w:sz w:val="20"/>
          <w:szCs w:val="20"/>
          <w:color w:val="auto"/>
        </w:rPr>
      </w:pPr>
      <w:r>
        <w:rPr>
          <w:rFonts w:ascii="Times New Roman" w:cs="Times New Roman" w:eastAsia="Times New Roman" w:hAnsi="Times New Roman"/>
          <w:sz w:val="22"/>
          <w:szCs w:val="22"/>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SIGNATURE PAGE TO TENTH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90170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71" w:right="339" w:bottom="1440" w:gutter="0" w:footer="0" w:header="0"/>
        </w:sectPr>
      </w:pPr>
    </w:p>
    <w:bookmarkStart w:id="149" w:name="page150"/>
    <w:bookmarkEnd w:id="149"/>
    <w:p>
      <w:pPr>
        <w:ind w:left="4080"/>
        <w:spacing w:after="0"/>
        <w:rPr>
          <w:sz w:val="20"/>
          <w:szCs w:val="20"/>
          <w:color w:val="auto"/>
        </w:rPr>
      </w:pPr>
      <w:r>
        <w:rPr>
          <w:rFonts w:ascii="Times New Roman" w:cs="Times New Roman" w:eastAsia="Times New Roman" w:hAnsi="Times New Roman"/>
          <w:sz w:val="21"/>
          <w:szCs w:val="21"/>
          <w:color w:val="auto"/>
        </w:rPr>
        <w:t>MUFG UNION BANK N.A.,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Sam Azizo</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Sam Azizo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150" w:name="page151"/>
    <w:bookmarkEnd w:id="150"/>
    <w:p>
      <w:pPr>
        <w:ind w:left="4080"/>
        <w:spacing w:after="0"/>
        <w:rPr>
          <w:sz w:val="20"/>
          <w:szCs w:val="20"/>
          <w:color w:val="auto"/>
        </w:rPr>
      </w:pPr>
      <w:r>
        <w:rPr>
          <w:rFonts w:ascii="Times New Roman" w:cs="Times New Roman" w:eastAsia="Times New Roman" w:hAnsi="Times New Roman"/>
          <w:sz w:val="21"/>
          <w:szCs w:val="21"/>
          <w:color w:val="auto"/>
        </w:rPr>
        <w:t>STATE STREET BANK AND TRUST COMPANY,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John Doherty</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John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680"/>
          </w:cols>
          <w:pgMar w:left="1440" w:top="571" w:right="779" w:bottom="1440" w:gutter="0" w:footer="0" w:header="0"/>
        </w:sectPr>
      </w:pPr>
    </w:p>
    <w:bookmarkStart w:id="151" w:name="page152"/>
    <w:bookmarkEnd w:id="151"/>
    <w:p>
      <w:pPr>
        <w:ind w:left="4080"/>
        <w:spacing w:after="0"/>
        <w:rPr>
          <w:sz w:val="20"/>
          <w:szCs w:val="20"/>
          <w:color w:val="auto"/>
        </w:rPr>
      </w:pPr>
      <w:r>
        <w:rPr>
          <w:rFonts w:ascii="Times New Roman" w:cs="Times New Roman" w:eastAsia="Times New Roman" w:hAnsi="Times New Roman"/>
          <w:sz w:val="21"/>
          <w:szCs w:val="21"/>
          <w:color w:val="auto"/>
        </w:rPr>
        <w:t>SUMITOMO MITSUI BANKING CORPORATION, as a Lender</w:t>
      </w:r>
    </w:p>
    <w:p>
      <w:pPr>
        <w:spacing w:after="0" w:line="218" w:lineRule="exact"/>
        <w:rPr>
          <w:sz w:val="20"/>
          <w:szCs w:val="20"/>
          <w:color w:val="auto"/>
        </w:rPr>
      </w:pPr>
    </w:p>
    <w:p>
      <w:pPr>
        <w:ind w:left="4080"/>
        <w:spacing w:after="0"/>
        <w:tabs>
          <w:tab w:leader="none" w:pos="4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Shane Klein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Shane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-158750</wp:posOffset>
            </wp:positionV>
            <wp:extent cx="34029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4080"/>
        <w:spacing w:after="0"/>
        <w:tabs>
          <w:tab w:leader="none" w:pos="474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760"/>
          </w:cols>
          <w:pgMar w:left="1440" w:top="571" w:right="699" w:bottom="1440" w:gutter="0" w:footer="0" w:header="0"/>
        </w:sectPr>
      </w:pPr>
    </w:p>
    <w:bookmarkStart w:id="152" w:name="page153"/>
    <w:bookmarkEnd w:id="152"/>
    <w:p>
      <w:pPr>
        <w:ind w:left="4080"/>
        <w:spacing w:after="0"/>
        <w:rPr>
          <w:sz w:val="20"/>
          <w:szCs w:val="20"/>
          <w:color w:val="auto"/>
        </w:rPr>
      </w:pPr>
      <w:r>
        <w:rPr>
          <w:rFonts w:ascii="Times New Roman" w:cs="Times New Roman" w:eastAsia="Times New Roman" w:hAnsi="Times New Roman"/>
          <w:sz w:val="21"/>
          <w:szCs w:val="21"/>
          <w:color w:val="auto"/>
        </w:rPr>
        <w:t>Bank of America N.A.,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Chris Choi</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Chris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53" w:name="page154"/>
    <w:bookmarkEnd w:id="153"/>
    <w:p>
      <w:pPr>
        <w:ind w:left="4080"/>
        <w:spacing w:after="0" w:line="258" w:lineRule="auto"/>
        <w:rPr>
          <w:sz w:val="20"/>
          <w:szCs w:val="20"/>
          <w:color w:val="auto"/>
        </w:rPr>
      </w:pPr>
      <w:r>
        <w:rPr>
          <w:rFonts w:ascii="Times New Roman" w:cs="Times New Roman" w:eastAsia="Times New Roman" w:hAnsi="Times New Roman"/>
          <w:sz w:val="22"/>
          <w:szCs w:val="22"/>
          <w:color w:val="auto"/>
        </w:rPr>
        <w:t>Industrial and Commercial Bank of China Limited, New York Branch, as a Lender</w:t>
      </w:r>
    </w:p>
    <w:p>
      <w:pPr>
        <w:spacing w:after="0" w:line="15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Weiming Zhou</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Weiming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39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Charles Inkeles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Charles Inkeles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440" w:top="571" w:right="1019" w:bottom="1440" w:gutter="0" w:footer="0" w:header="0"/>
        </w:sectPr>
      </w:pPr>
    </w:p>
    <w:bookmarkStart w:id="154" w:name="page155"/>
    <w:bookmarkEnd w:id="154"/>
    <w:p>
      <w:pPr>
        <w:ind w:left="4080"/>
        <w:spacing w:after="0"/>
        <w:rPr>
          <w:sz w:val="20"/>
          <w:szCs w:val="20"/>
          <w:color w:val="auto"/>
        </w:rPr>
      </w:pPr>
      <w:r>
        <w:rPr>
          <w:rFonts w:ascii="Times New Roman" w:cs="Times New Roman" w:eastAsia="Times New Roman" w:hAnsi="Times New Roman"/>
          <w:sz w:val="21"/>
          <w:szCs w:val="21"/>
          <w:color w:val="auto"/>
        </w:rPr>
        <w:t>MIZUHO BANK, LTD.,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Donna DeMagistris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55" w:name="page156"/>
    <w:bookmarkEnd w:id="155"/>
    <w:p>
      <w:pPr>
        <w:ind w:left="4080"/>
        <w:spacing w:after="0"/>
        <w:rPr>
          <w:sz w:val="20"/>
          <w:szCs w:val="20"/>
          <w:color w:val="auto"/>
        </w:rPr>
      </w:pPr>
      <w:r>
        <w:rPr>
          <w:rFonts w:ascii="Times New Roman" w:cs="Times New Roman" w:eastAsia="Times New Roman" w:hAnsi="Times New Roman"/>
          <w:sz w:val="21"/>
          <w:szCs w:val="21"/>
          <w:color w:val="auto"/>
        </w:rPr>
        <w:t>Santander Bank, NA,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Pierre Desbiens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Pierre Desbiens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18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Santander Bank, NA,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Keith Holler</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Keith Holler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56" w:name="page157"/>
    <w:bookmarkEnd w:id="156"/>
    <w:p>
      <w:pPr>
        <w:ind w:left="4080"/>
        <w:spacing w:after="0"/>
        <w:rPr>
          <w:sz w:val="20"/>
          <w:szCs w:val="20"/>
          <w:color w:val="auto"/>
        </w:rPr>
      </w:pPr>
      <w:r>
        <w:rPr>
          <w:rFonts w:ascii="Times New Roman" w:cs="Times New Roman" w:eastAsia="Times New Roman" w:hAnsi="Times New Roman"/>
          <w:sz w:val="21"/>
          <w:szCs w:val="21"/>
          <w:color w:val="auto"/>
        </w:rPr>
        <w:t>Citibank, N.A.,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Eros Marshall</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Eros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57" w:name="page158"/>
    <w:bookmarkEnd w:id="157"/>
    <w:p>
      <w:pPr>
        <w:ind w:left="4080"/>
        <w:spacing w:after="0"/>
        <w:rPr>
          <w:sz w:val="20"/>
          <w:szCs w:val="20"/>
          <w:color w:val="auto"/>
        </w:rPr>
      </w:pPr>
      <w:r>
        <w:rPr>
          <w:rFonts w:ascii="Times New Roman" w:cs="Times New Roman" w:eastAsia="Times New Roman" w:hAnsi="Times New Roman"/>
          <w:sz w:val="21"/>
          <w:szCs w:val="21"/>
          <w:color w:val="auto"/>
        </w:rPr>
        <w:t>CIT Finance LLC,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Robert L. Klein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Robert 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58" w:name="page159"/>
    <w:bookmarkEnd w:id="158"/>
    <w:p>
      <w:pPr>
        <w:ind w:left="4080"/>
        <w:spacing w:after="0"/>
        <w:rPr>
          <w:sz w:val="20"/>
          <w:szCs w:val="20"/>
          <w:color w:val="auto"/>
        </w:rPr>
      </w:pPr>
      <w:r>
        <w:rPr>
          <w:rFonts w:ascii="Times New Roman" w:cs="Times New Roman" w:eastAsia="Times New Roman" w:hAnsi="Times New Roman"/>
          <w:sz w:val="21"/>
          <w:szCs w:val="21"/>
          <w:color w:val="auto"/>
        </w:rPr>
        <w:t>GOLDMAN SACHS BANK USA,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Ryan Durkin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59" w:name="page160"/>
    <w:bookmarkEnd w:id="159"/>
    <w:p>
      <w:pPr>
        <w:ind w:left="4080"/>
        <w:spacing w:after="0"/>
        <w:rPr>
          <w:sz w:val="20"/>
          <w:szCs w:val="20"/>
          <w:color w:val="auto"/>
        </w:rPr>
      </w:pPr>
      <w:r>
        <w:rPr>
          <w:rFonts w:ascii="Times New Roman" w:cs="Times New Roman" w:eastAsia="Times New Roman" w:hAnsi="Times New Roman"/>
          <w:sz w:val="21"/>
          <w:szCs w:val="21"/>
          <w:color w:val="auto"/>
        </w:rPr>
        <w:t>Morgan Stanley Bank N.A.,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Michael King</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60" w:name="page161"/>
    <w:bookmarkEnd w:id="160"/>
    <w:p>
      <w:pPr>
        <w:ind w:left="4080"/>
        <w:spacing w:after="0"/>
        <w:rPr>
          <w:sz w:val="20"/>
          <w:szCs w:val="20"/>
          <w:color w:val="auto"/>
        </w:rPr>
      </w:pPr>
      <w:r>
        <w:rPr>
          <w:rFonts w:ascii="Times New Roman" w:cs="Times New Roman" w:eastAsia="Times New Roman" w:hAnsi="Times New Roman"/>
          <w:sz w:val="21"/>
          <w:szCs w:val="21"/>
          <w:color w:val="auto"/>
        </w:rPr>
        <w:t>Royal Bank of Canada,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Glenn Van Allen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Glenn Van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61" w:name="page162"/>
    <w:bookmarkEnd w:id="161"/>
    <w:p>
      <w:pPr>
        <w:ind w:left="4080"/>
        <w:spacing w:after="0"/>
        <w:rPr>
          <w:sz w:val="20"/>
          <w:szCs w:val="20"/>
          <w:color w:val="auto"/>
        </w:rPr>
      </w:pPr>
      <w:r>
        <w:rPr>
          <w:rFonts w:ascii="Times New Roman" w:cs="Times New Roman" w:eastAsia="Times New Roman" w:hAnsi="Times New Roman"/>
          <w:sz w:val="21"/>
          <w:szCs w:val="21"/>
          <w:color w:val="auto"/>
        </w:rPr>
        <w:t>SIGNATURE BANK,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Charles Owens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Charles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Managing Director</w:t>
      </w:r>
    </w:p>
    <w:p>
      <w:pPr>
        <w:spacing w:after="0" w:line="39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Kaylin Searles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Kaylin Searles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767080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62" w:name="page163"/>
    <w:bookmarkEnd w:id="162"/>
    <w:p>
      <w:pPr>
        <w:ind w:left="4080"/>
        <w:spacing w:after="0"/>
        <w:rPr>
          <w:sz w:val="20"/>
          <w:szCs w:val="20"/>
          <w:color w:val="auto"/>
        </w:rPr>
      </w:pPr>
      <w:r>
        <w:rPr>
          <w:rFonts w:ascii="Times New Roman" w:cs="Times New Roman" w:eastAsia="Times New Roman" w:hAnsi="Times New Roman"/>
          <w:sz w:val="22"/>
          <w:szCs w:val="22"/>
          <w:color w:val="auto"/>
        </w:rPr>
        <w:t>Comerica Bank, as a Lender</w:t>
      </w:r>
    </w:p>
    <w:p>
      <w:pPr>
        <w:spacing w:after="0" w:line="206"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Robert Wilson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Robert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1"/>
          <w:szCs w:val="21"/>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637540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63" w:name="page164"/>
    <w:bookmarkEnd w:id="163"/>
    <w:p>
      <w:pPr>
        <w:ind w:left="4080"/>
        <w:spacing w:after="0"/>
        <w:rPr>
          <w:sz w:val="20"/>
          <w:szCs w:val="20"/>
          <w:color w:val="auto"/>
        </w:rPr>
      </w:pPr>
      <w:r>
        <w:rPr>
          <w:rFonts w:ascii="Times New Roman" w:cs="Times New Roman" w:eastAsia="Times New Roman" w:hAnsi="Times New Roman"/>
          <w:sz w:val="21"/>
          <w:szCs w:val="21"/>
          <w:color w:val="auto"/>
        </w:rPr>
        <w:t>Stifel Bank &amp; Trust,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Joseph L. Scooter, Jr.</w:t>
      </w:r>
    </w:p>
    <w:p>
      <w:pPr>
        <w:spacing w:after="0" w:line="4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Joseph L. Scooter,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629920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64" w:name="page165"/>
    <w:bookmarkEnd w:id="164"/>
    <w:p>
      <w:pPr>
        <w:ind w:left="4080"/>
        <w:spacing w:after="0"/>
        <w:rPr>
          <w:sz w:val="20"/>
          <w:szCs w:val="20"/>
          <w:color w:val="auto"/>
        </w:rPr>
      </w:pPr>
      <w:r>
        <w:rPr>
          <w:rFonts w:ascii="Times New Roman" w:cs="Times New Roman" w:eastAsia="Times New Roman" w:hAnsi="Times New Roman"/>
          <w:sz w:val="21"/>
          <w:szCs w:val="21"/>
          <w:color w:val="auto"/>
        </w:rPr>
        <w:t>CITY NATIONAL BANK, as a Lender</w:t>
      </w:r>
    </w:p>
    <w:p>
      <w:pPr>
        <w:spacing w:after="0" w:line="218"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Brandon Feitelson</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Brandon Feitelson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887095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71" w:right="1440" w:bottom="1440" w:gutter="0" w:footer="0" w:header="0"/>
        </w:sectPr>
      </w:pPr>
    </w:p>
    <w:bookmarkStart w:id="165" w:name="page166"/>
    <w:bookmarkEnd w:id="165"/>
    <w:p>
      <w:pPr>
        <w:ind w:left="4080"/>
        <w:spacing w:after="0"/>
        <w:rPr>
          <w:sz w:val="20"/>
          <w:szCs w:val="20"/>
          <w:color w:val="auto"/>
        </w:rPr>
      </w:pPr>
      <w:r>
        <w:rPr>
          <w:rFonts w:ascii="Times New Roman" w:cs="Times New Roman" w:eastAsia="Times New Roman" w:hAnsi="Times New Roman"/>
          <w:sz w:val="21"/>
          <w:szCs w:val="21"/>
          <w:color w:val="auto"/>
        </w:rPr>
        <w:t xml:space="preserve">Agreed and acknowledged solely with respect to </w:t>
      </w:r>
      <w:r>
        <w:rPr>
          <w:rFonts w:ascii="Times New Roman" w:cs="Times New Roman" w:eastAsia="Times New Roman" w:hAnsi="Times New Roman"/>
          <w:sz w:val="21"/>
          <w:szCs w:val="21"/>
          <w:u w:val="single" w:color="auto"/>
          <w:color w:val="auto"/>
        </w:rPr>
        <w:t>Section 5.8</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TC LENDING, LLC</w:t>
      </w:r>
    </w:p>
    <w:p>
      <w:pPr>
        <w:spacing w:after="0" w:line="210"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Ian Simmonds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17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SIXTH STREET SL HOLDING, LLC</w:t>
      </w:r>
    </w:p>
    <w:p>
      <w:pPr>
        <w:spacing w:after="0" w:line="210"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Ian Simmonds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17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SIXTH STREET SL SPV, LLC</w:t>
      </w:r>
    </w:p>
    <w:p>
      <w:pPr>
        <w:spacing w:after="0" w:line="210" w:lineRule="exact"/>
        <w:rPr>
          <w:sz w:val="20"/>
          <w:szCs w:val="20"/>
          <w:color w:val="auto"/>
        </w:rPr>
      </w:pP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Ian Simmonds</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-158750</wp:posOffset>
            </wp:positionV>
            <wp:extent cx="33947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408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749935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20"/>
          </w:cols>
          <w:pgMar w:left="1440" w:top="787" w:right="10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ectPr>
          <w:pgSz w:w="11900" w:h="16838" w:orient="portrait"/>
          <w:cols w:equalWidth="0" w:num="1">
            <w:col w:w="9019"/>
          </w:cols>
          <w:pgMar w:left="1440" w:top="567" w:right="1440"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6396355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type w:val="continuous"/>
        </w:sectPr>
      </w:pPr>
    </w:p>
    <w:bookmarkStart w:id="167" w:name="page168"/>
    <w:bookmarkEnd w:id="167"/>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151130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168275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SECOND AMENDED AND RESTATED</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SENIOR SECURED</w:t>
      </w:r>
    </w:p>
    <w:p>
      <w:pPr>
        <w:jc w:val="center"/>
        <w:ind w:right="40"/>
        <w:spacing w:after="0" w:line="230" w:lineRule="auto"/>
        <w:rPr>
          <w:sz w:val="20"/>
          <w:szCs w:val="20"/>
          <w:color w:val="auto"/>
        </w:rPr>
      </w:pPr>
      <w:r>
        <w:rPr>
          <w:rFonts w:ascii="Times New Roman" w:cs="Times New Roman" w:eastAsia="Times New Roman" w:hAnsi="Times New Roman"/>
          <w:sz w:val="22"/>
          <w:szCs w:val="22"/>
          <w:color w:val="auto"/>
        </w:rPr>
        <w:t>REVOLVING CREDIT AGREEMENT</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dated as of</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February 27, 2014</w:t>
      </w:r>
    </w:p>
    <w:p>
      <w:pPr>
        <w:spacing w:after="0" w:line="206" w:lineRule="exact"/>
        <w:rPr>
          <w:sz w:val="20"/>
          <w:szCs w:val="20"/>
          <w:color w:val="auto"/>
        </w:rPr>
      </w:pPr>
    </w:p>
    <w:p>
      <w:pPr>
        <w:jc w:val="center"/>
        <w:ind w:right="40"/>
        <w:spacing w:after="0" w:line="233" w:lineRule="auto"/>
        <w:rPr>
          <w:sz w:val="20"/>
          <w:szCs w:val="20"/>
          <w:color w:val="auto"/>
        </w:rPr>
      </w:pPr>
      <w:r>
        <w:rPr>
          <w:rFonts w:ascii="Times New Roman" w:cs="Times New Roman" w:eastAsia="Times New Roman" w:hAnsi="Times New Roman"/>
          <w:sz w:val="22"/>
          <w:szCs w:val="22"/>
          <w:color w:val="auto"/>
        </w:rPr>
        <w:t>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and the Tenth Amendment to Second Amended and Restated Senior Secured Revolving Credit Agreement dated as of February 5, 2021</w:t>
      </w:r>
    </w:p>
    <w:p>
      <w:pPr>
        <w:spacing w:after="0" w:line="1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SIXTH STREET SPECIALTY LENDING, INC. (F/K/A TPG Specialty Lending, Inc.)</w:t>
      </w:r>
    </w:p>
    <w:p>
      <w:pPr>
        <w:spacing w:after="0" w:line="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as Borrower</w:t>
      </w:r>
    </w:p>
    <w:p>
      <w:pPr>
        <w:spacing w:after="0" w:line="1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TRUIST BANK</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8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as Syndication Agent</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$1,485,000,000</w:t>
      </w:r>
    </w:p>
    <w:p>
      <w:pPr>
        <w:spacing w:after="0" w:line="1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TRUIST SECURITIES, INC.</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JPMORGAN CHASE BANK, N.A.</w:t>
      </w:r>
    </w:p>
    <w:p>
      <w:pPr>
        <w:jc w:val="center"/>
        <w:ind w:right="40"/>
        <w:spacing w:after="0"/>
        <w:rPr>
          <w:sz w:val="20"/>
          <w:szCs w:val="20"/>
          <w:color w:val="auto"/>
        </w:rPr>
      </w:pPr>
      <w:r>
        <w:rPr>
          <w:rFonts w:ascii="Times New Roman" w:cs="Times New Roman" w:eastAsia="Times New Roman" w:hAnsi="Times New Roman"/>
          <w:sz w:val="22"/>
          <w:szCs w:val="22"/>
          <w:color w:val="auto"/>
        </w:rPr>
        <w:t>as Joint Lead Arrangers and Joint Book Runners</w:t>
      </w: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MUFG UNION BANK, N.A.</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as a Joint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149860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167005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793115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60" w:top="108"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87"/>
        </w:trPr>
        <w:tc>
          <w:tcPr>
            <w:tcW w:w="2000" w:type="dxa"/>
            <w:vAlign w:val="bottom"/>
          </w:tcPr>
          <w:p>
            <w:pPr>
              <w:spacing w:after="0"/>
              <w:rPr>
                <w:sz w:val="24"/>
                <w:szCs w:val="24"/>
                <w:color w:val="auto"/>
              </w:rPr>
            </w:pPr>
          </w:p>
        </w:tc>
        <w:tc>
          <w:tcPr>
            <w:tcW w:w="7920" w:type="dxa"/>
            <w:vAlign w:val="bottom"/>
          </w:tcPr>
          <w:p>
            <w:pPr>
              <w:ind w:left="24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8"/>
        </w:trPr>
        <w:tc>
          <w:tcPr>
            <w:tcW w:w="200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22"/>
                <w:szCs w:val="22"/>
                <w:b w:val="1"/>
                <w:bCs w:val="1"/>
                <w:color w:val="auto"/>
                <w:w w:val="97"/>
              </w:rPr>
              <w:t>Page</w:t>
            </w:r>
          </w:p>
        </w:tc>
      </w:tr>
      <w:tr>
        <w:trPr>
          <w:trHeight w:val="364"/>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7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DEFINITIONS</w:t>
            </w:r>
          </w:p>
        </w:tc>
        <w:tc>
          <w:tcPr>
            <w:tcW w:w="1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4"/>
                <w:szCs w:val="24"/>
                <w:color w:val="auto"/>
              </w:rPr>
            </w:pPr>
          </w:p>
        </w:tc>
      </w:tr>
      <w:tr>
        <w:trPr>
          <w:trHeight w:val="325"/>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1.01.</w:t>
            </w:r>
          </w:p>
        </w:tc>
        <w:tc>
          <w:tcPr>
            <w:tcW w:w="79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Defined Terms</w:t>
            </w:r>
          </w:p>
        </w:tc>
        <w:tc>
          <w:tcPr>
            <w:tcW w:w="1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4"/>
                <w:szCs w:val="24"/>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1.02.</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Classification of Loans and Borrowings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1.03.</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Terms Generally</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Accounting Terms; GAAP</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20" w:type="dxa"/>
            <w:vAlign w:val="bottom"/>
          </w:tcPr>
          <w:p>
            <w:pPr>
              <w:spacing w:after="0"/>
              <w:rPr>
                <w:sz w:val="21"/>
                <w:szCs w:val="21"/>
                <w:color w:val="auto"/>
              </w:rPr>
            </w:pPr>
          </w:p>
        </w:tc>
      </w:tr>
      <w:tr>
        <w:trPr>
          <w:trHeight w:val="282"/>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1.05.</w:t>
            </w:r>
          </w:p>
        </w:tc>
        <w:tc>
          <w:tcPr>
            <w:tcW w:w="79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Currencies; Currency Equivalents</w:t>
            </w:r>
          </w:p>
        </w:tc>
        <w:tc>
          <w:tcPr>
            <w:tcW w:w="1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41</w:t>
            </w:r>
          </w:p>
        </w:tc>
        <w:tc>
          <w:tcPr>
            <w:tcW w:w="20" w:type="dxa"/>
            <w:vAlign w:val="bottom"/>
          </w:tcPr>
          <w:p>
            <w:pPr>
              <w:spacing w:after="0"/>
              <w:rPr>
                <w:sz w:val="24"/>
                <w:szCs w:val="24"/>
                <w:color w:val="auto"/>
              </w:rPr>
            </w:pPr>
          </w:p>
        </w:tc>
      </w:tr>
      <w:tr>
        <w:trPr>
          <w:trHeight w:val="364"/>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7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CREDITS</w:t>
            </w:r>
          </w:p>
        </w:tc>
        <w:tc>
          <w:tcPr>
            <w:tcW w:w="1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42</w:t>
            </w:r>
          </w:p>
        </w:tc>
        <w:tc>
          <w:tcPr>
            <w:tcW w:w="20" w:type="dxa"/>
            <w:vAlign w:val="bottom"/>
          </w:tcPr>
          <w:p>
            <w:pPr>
              <w:spacing w:after="0"/>
              <w:rPr>
                <w:sz w:val="24"/>
                <w:szCs w:val="24"/>
                <w:color w:val="auto"/>
              </w:rPr>
            </w:pPr>
          </w:p>
        </w:tc>
      </w:tr>
      <w:tr>
        <w:trPr>
          <w:trHeight w:val="325"/>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2.01.</w:t>
            </w:r>
          </w:p>
        </w:tc>
        <w:tc>
          <w:tcPr>
            <w:tcW w:w="79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The Commitments</w:t>
            </w:r>
          </w:p>
        </w:tc>
        <w:tc>
          <w:tcPr>
            <w:tcW w:w="1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42</w:t>
            </w:r>
          </w:p>
        </w:tc>
        <w:tc>
          <w:tcPr>
            <w:tcW w:w="20" w:type="dxa"/>
            <w:vAlign w:val="bottom"/>
          </w:tcPr>
          <w:p>
            <w:pPr>
              <w:spacing w:after="0"/>
              <w:rPr>
                <w:sz w:val="24"/>
                <w:szCs w:val="24"/>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2.02.</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Loans and Borrowings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2.03.</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Requests for Syndicated Borrowings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2.04.</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Swingline Loans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2.05.</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Letters of Credit</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2.06.</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Funding of Borrowings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2.07.</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Interest Elections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2.08.</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Termination, Reduction or Increase of the Commitments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2.09.</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Repayment of Loans; Evidence of Debt</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2.10.</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Prepayment of Loans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2.11.</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2.12.</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Interest</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2.13.</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Inability to Determine Interest Rates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2.14.</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Increased Costs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2.15.</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Break Funding Payments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2.16.</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2.17.</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Payments Generally; Pro Rata Treatment: Sharing of Set-offs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2.18.</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2.19.</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Defaulting Lenders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2.20.</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Reallocation Following a Non-Extended Commitment Termination Date</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2.21.</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Assignment and Reallocation of Existing Commitments and Existing Loans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20" w:type="dxa"/>
            <w:vAlign w:val="bottom"/>
          </w:tcPr>
          <w:p>
            <w:pPr>
              <w:spacing w:after="0"/>
              <w:rPr>
                <w:sz w:val="21"/>
                <w:szCs w:val="21"/>
                <w:color w:val="auto"/>
              </w:rPr>
            </w:pPr>
          </w:p>
        </w:tc>
      </w:tr>
      <w:tr>
        <w:trPr>
          <w:trHeight w:val="282"/>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2.22.</w:t>
            </w:r>
          </w:p>
        </w:tc>
        <w:tc>
          <w:tcPr>
            <w:tcW w:w="79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Effect of Benchmark Transition Event</w:t>
            </w:r>
          </w:p>
        </w:tc>
        <w:tc>
          <w:tcPr>
            <w:tcW w:w="1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79</w:t>
            </w:r>
          </w:p>
        </w:tc>
        <w:tc>
          <w:tcPr>
            <w:tcW w:w="20" w:type="dxa"/>
            <w:vAlign w:val="bottom"/>
          </w:tcPr>
          <w:p>
            <w:pPr>
              <w:spacing w:after="0"/>
              <w:rPr>
                <w:sz w:val="24"/>
                <w:szCs w:val="24"/>
                <w:color w:val="auto"/>
              </w:rPr>
            </w:pPr>
          </w:p>
        </w:tc>
      </w:tr>
      <w:tr>
        <w:trPr>
          <w:trHeight w:val="365"/>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7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80</w:t>
            </w:r>
          </w:p>
        </w:tc>
        <w:tc>
          <w:tcPr>
            <w:tcW w:w="20" w:type="dxa"/>
            <w:vAlign w:val="bottom"/>
          </w:tcPr>
          <w:p>
            <w:pPr>
              <w:spacing w:after="0"/>
              <w:rPr>
                <w:sz w:val="24"/>
                <w:szCs w:val="24"/>
                <w:color w:val="auto"/>
              </w:rPr>
            </w:pPr>
          </w:p>
        </w:tc>
      </w:tr>
      <w:tr>
        <w:trPr>
          <w:trHeight w:val="325"/>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3.01.</w:t>
            </w:r>
          </w:p>
        </w:tc>
        <w:tc>
          <w:tcPr>
            <w:tcW w:w="79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Organization; Powers</w:t>
            </w:r>
          </w:p>
        </w:tc>
        <w:tc>
          <w:tcPr>
            <w:tcW w:w="1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80</w:t>
            </w:r>
          </w:p>
        </w:tc>
        <w:tc>
          <w:tcPr>
            <w:tcW w:w="20" w:type="dxa"/>
            <w:vAlign w:val="bottom"/>
          </w:tcPr>
          <w:p>
            <w:pPr>
              <w:spacing w:after="0"/>
              <w:rPr>
                <w:sz w:val="24"/>
                <w:szCs w:val="24"/>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3.02.</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Authorization; Enforceability</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3.03.</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Governmental Approvals; No Conflicts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3.04.</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Financial Condition; No Material Adverse Change</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81</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3.05.</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3.06.</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Compliance with Laws and Agreements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3.07.</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3.08.</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ERISA</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3.09.</w:t>
            </w:r>
          </w:p>
        </w:tc>
        <w:tc>
          <w:tcPr>
            <w:tcW w:w="79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Disclosure</w:t>
            </w:r>
          </w:p>
        </w:tc>
        <w:tc>
          <w:tcPr>
            <w:tcW w:w="1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20" w:type="dxa"/>
            <w:vAlign w:val="bottom"/>
          </w:tcPr>
          <w:p>
            <w:pPr>
              <w:spacing w:after="0"/>
              <w:rPr>
                <w:sz w:val="21"/>
                <w:szCs w:val="21"/>
                <w:color w:val="auto"/>
              </w:rPr>
            </w:pPr>
          </w:p>
        </w:tc>
      </w:tr>
      <w:tr>
        <w:trPr>
          <w:trHeight w:val="282"/>
        </w:trPr>
        <w:tc>
          <w:tcPr>
            <w:tcW w:w="2000" w:type="dxa"/>
            <w:vAlign w:val="bottom"/>
          </w:tcPr>
          <w:p>
            <w:pPr>
              <w:spacing w:after="0"/>
              <w:rPr>
                <w:sz w:val="24"/>
                <w:szCs w:val="24"/>
                <w:color w:val="auto"/>
              </w:rPr>
            </w:pPr>
          </w:p>
        </w:tc>
        <w:tc>
          <w:tcPr>
            <w:tcW w:w="7920" w:type="dxa"/>
            <w:vAlign w:val="bottom"/>
          </w:tcPr>
          <w:p>
            <w:pPr>
              <w:ind w:left="3520"/>
              <w:spacing w:after="0"/>
              <w:rPr>
                <w:sz w:val="20"/>
                <w:szCs w:val="20"/>
                <w:color w:val="auto"/>
              </w:rPr>
            </w:pPr>
            <w:r>
              <w:rPr>
                <w:rFonts w:ascii="Times New Roman" w:cs="Times New Roman" w:eastAsia="Times New Roman" w:hAnsi="Times New Roman"/>
                <w:sz w:val="22"/>
                <w:szCs w:val="22"/>
                <w:color w:val="auto"/>
              </w:rPr>
              <w:t>-i-</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7"/>
        </w:trPr>
        <w:tc>
          <w:tcPr>
            <w:tcW w:w="2000" w:type="dxa"/>
            <w:vAlign w:val="bottom"/>
            <w:tcBorders>
              <w:bottom w:val="single" w:sz="8" w:color="auto"/>
            </w:tcBorders>
          </w:tcPr>
          <w:p>
            <w:pPr>
              <w:spacing w:after="0"/>
              <w:rPr>
                <w:sz w:val="15"/>
                <w:szCs w:val="15"/>
                <w:color w:val="auto"/>
              </w:rPr>
            </w:pPr>
          </w:p>
        </w:tc>
        <w:tc>
          <w:tcPr>
            <w:tcW w:w="79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7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2000" w:type="dxa"/>
            <w:vAlign w:val="bottom"/>
            <w:tcBorders>
              <w:bottom w:val="single" w:sz="8" w:color="9A9A9A"/>
            </w:tcBorders>
          </w:tcPr>
          <w:p>
            <w:pPr>
              <w:spacing w:after="0"/>
              <w:rPr>
                <w:sz w:val="22"/>
                <w:szCs w:val="22"/>
                <w:color w:val="auto"/>
              </w:rPr>
            </w:pPr>
          </w:p>
        </w:tc>
        <w:tc>
          <w:tcPr>
            <w:tcW w:w="792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169" w:name="page170"/>
    <w:bookmarkEnd w:id="16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86"/>
        </w:trPr>
        <w:tc>
          <w:tcPr>
            <w:tcW w:w="20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Page</w:t>
            </w:r>
          </w:p>
        </w:tc>
        <w:tc>
          <w:tcPr>
            <w:tcW w:w="20" w:type="dxa"/>
            <w:vAlign w:val="bottom"/>
          </w:tcPr>
          <w:p>
            <w:pPr>
              <w:spacing w:after="0"/>
              <w:rPr>
                <w:sz w:val="24"/>
                <w:szCs w:val="24"/>
                <w:color w:val="auto"/>
              </w:rPr>
            </w:pPr>
          </w:p>
        </w:tc>
      </w:tr>
      <w:tr>
        <w:trPr>
          <w:trHeight w:val="594"/>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3.10.</w:t>
            </w:r>
          </w:p>
        </w:tc>
        <w:tc>
          <w:tcPr>
            <w:tcW w:w="85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Investment Company Act; Margin Regulations</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82</w:t>
            </w:r>
          </w:p>
        </w:tc>
        <w:tc>
          <w:tcPr>
            <w:tcW w:w="20" w:type="dxa"/>
            <w:vAlign w:val="bottom"/>
          </w:tcPr>
          <w:p>
            <w:pPr>
              <w:spacing w:after="0"/>
              <w:rPr>
                <w:sz w:val="24"/>
                <w:szCs w:val="24"/>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3.11.</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Material Agreements and Liens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3.12.</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Subsidiaries and Investments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3.13.</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Properties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3.14.</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Affiliate Agreements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3.15.</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Sanctions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3.16.</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Patriot Act</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3.17.</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Collateral Documents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20" w:type="dxa"/>
            <w:vAlign w:val="bottom"/>
          </w:tcPr>
          <w:p>
            <w:pPr>
              <w:spacing w:after="0"/>
              <w:rPr>
                <w:sz w:val="21"/>
                <w:szCs w:val="21"/>
                <w:color w:val="auto"/>
              </w:rPr>
            </w:pPr>
          </w:p>
        </w:tc>
      </w:tr>
      <w:tr>
        <w:trPr>
          <w:trHeight w:val="282"/>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3.18.</w:t>
            </w:r>
          </w:p>
        </w:tc>
        <w:tc>
          <w:tcPr>
            <w:tcW w:w="85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EEA Financial Institutions</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85</w:t>
            </w:r>
          </w:p>
        </w:tc>
        <w:tc>
          <w:tcPr>
            <w:tcW w:w="20" w:type="dxa"/>
            <w:vAlign w:val="bottom"/>
          </w:tcPr>
          <w:p>
            <w:pPr>
              <w:spacing w:after="0"/>
              <w:rPr>
                <w:sz w:val="24"/>
                <w:szCs w:val="24"/>
                <w:color w:val="auto"/>
              </w:rPr>
            </w:pPr>
          </w:p>
        </w:tc>
      </w:tr>
      <w:tr>
        <w:trPr>
          <w:trHeight w:val="364"/>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CONDITIONS</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85</w:t>
            </w:r>
          </w:p>
        </w:tc>
        <w:tc>
          <w:tcPr>
            <w:tcW w:w="20" w:type="dxa"/>
            <w:vAlign w:val="bottom"/>
          </w:tcPr>
          <w:p>
            <w:pPr>
              <w:spacing w:after="0"/>
              <w:rPr>
                <w:sz w:val="24"/>
                <w:szCs w:val="24"/>
                <w:color w:val="auto"/>
              </w:rPr>
            </w:pPr>
          </w:p>
        </w:tc>
      </w:tr>
      <w:tr>
        <w:trPr>
          <w:trHeight w:val="325"/>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4.01.</w:t>
            </w:r>
          </w:p>
        </w:tc>
        <w:tc>
          <w:tcPr>
            <w:tcW w:w="85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Effective Date</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85</w:t>
            </w:r>
          </w:p>
        </w:tc>
        <w:tc>
          <w:tcPr>
            <w:tcW w:w="20" w:type="dxa"/>
            <w:vAlign w:val="bottom"/>
          </w:tcPr>
          <w:p>
            <w:pPr>
              <w:spacing w:after="0"/>
              <w:rPr>
                <w:sz w:val="24"/>
                <w:szCs w:val="24"/>
                <w:color w:val="auto"/>
              </w:rPr>
            </w:pPr>
          </w:p>
        </w:tc>
      </w:tr>
      <w:tr>
        <w:trPr>
          <w:trHeight w:val="282"/>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4.02.</w:t>
            </w:r>
          </w:p>
        </w:tc>
        <w:tc>
          <w:tcPr>
            <w:tcW w:w="85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Each Credit Event</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86</w:t>
            </w:r>
          </w:p>
        </w:tc>
        <w:tc>
          <w:tcPr>
            <w:tcW w:w="20" w:type="dxa"/>
            <w:vAlign w:val="bottom"/>
          </w:tcPr>
          <w:p>
            <w:pPr>
              <w:spacing w:after="0"/>
              <w:rPr>
                <w:sz w:val="24"/>
                <w:szCs w:val="24"/>
                <w:color w:val="auto"/>
              </w:rPr>
            </w:pPr>
          </w:p>
        </w:tc>
      </w:tr>
      <w:tr>
        <w:trPr>
          <w:trHeight w:val="364"/>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AFFIRMATIVE COVENANTS</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86</w:t>
            </w:r>
          </w:p>
        </w:tc>
        <w:tc>
          <w:tcPr>
            <w:tcW w:w="20" w:type="dxa"/>
            <w:vAlign w:val="bottom"/>
          </w:tcPr>
          <w:p>
            <w:pPr>
              <w:spacing w:after="0"/>
              <w:rPr>
                <w:sz w:val="24"/>
                <w:szCs w:val="24"/>
                <w:color w:val="auto"/>
              </w:rPr>
            </w:pPr>
          </w:p>
        </w:tc>
      </w:tr>
      <w:tr>
        <w:trPr>
          <w:trHeight w:val="325"/>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5.01.</w:t>
            </w:r>
          </w:p>
        </w:tc>
        <w:tc>
          <w:tcPr>
            <w:tcW w:w="85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Financial Statements and Other Information</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87</w:t>
            </w:r>
          </w:p>
        </w:tc>
        <w:tc>
          <w:tcPr>
            <w:tcW w:w="20" w:type="dxa"/>
            <w:vAlign w:val="bottom"/>
          </w:tcPr>
          <w:p>
            <w:pPr>
              <w:spacing w:after="0"/>
              <w:rPr>
                <w:sz w:val="24"/>
                <w:szCs w:val="24"/>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5.02.</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Notices of Material Events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5.03.</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Existence: Conduct of Business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5.04.</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Payment of Obligations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5.05.</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Maintenance of Properties; Insurance</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5.06.</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Books and Records; Inspection and Audit Rights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5.07.</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5.08.</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Certain Obligations Respecting Subsidiaries; Further Assurances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90</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5.09.</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Use of Proceeds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5.10.</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Status of RIC and BDC</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5.11.</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Investment Policies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5.12.</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Portfolio Valuation and Diversification Etc</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20" w:type="dxa"/>
            <w:vAlign w:val="bottom"/>
          </w:tcPr>
          <w:p>
            <w:pPr>
              <w:spacing w:after="0"/>
              <w:rPr>
                <w:sz w:val="21"/>
                <w:szCs w:val="21"/>
                <w:color w:val="auto"/>
              </w:rPr>
            </w:pPr>
          </w:p>
        </w:tc>
      </w:tr>
      <w:tr>
        <w:trPr>
          <w:trHeight w:val="282"/>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5.13.</w:t>
            </w:r>
          </w:p>
        </w:tc>
        <w:tc>
          <w:tcPr>
            <w:tcW w:w="85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Calculation of Borrowing Base</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95</w:t>
            </w:r>
          </w:p>
        </w:tc>
        <w:tc>
          <w:tcPr>
            <w:tcW w:w="20" w:type="dxa"/>
            <w:vAlign w:val="bottom"/>
          </w:tcPr>
          <w:p>
            <w:pPr>
              <w:spacing w:after="0"/>
              <w:rPr>
                <w:sz w:val="24"/>
                <w:szCs w:val="24"/>
                <w:color w:val="auto"/>
              </w:rPr>
            </w:pPr>
          </w:p>
        </w:tc>
      </w:tr>
      <w:tr>
        <w:trPr>
          <w:trHeight w:val="364"/>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85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NEGATIVE COVENANTS</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w:t>
            </w:r>
          </w:p>
        </w:tc>
        <w:tc>
          <w:tcPr>
            <w:tcW w:w="20" w:type="dxa"/>
            <w:vAlign w:val="bottom"/>
          </w:tcPr>
          <w:p>
            <w:pPr>
              <w:spacing w:after="0"/>
              <w:rPr>
                <w:sz w:val="24"/>
                <w:szCs w:val="24"/>
                <w:color w:val="auto"/>
              </w:rPr>
            </w:pPr>
          </w:p>
        </w:tc>
      </w:tr>
      <w:tr>
        <w:trPr>
          <w:trHeight w:val="325"/>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6.01.</w:t>
            </w:r>
          </w:p>
        </w:tc>
        <w:tc>
          <w:tcPr>
            <w:tcW w:w="850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Indebtedness</w:t>
            </w:r>
          </w:p>
        </w:tc>
        <w:tc>
          <w:tcPr>
            <w:tcW w:w="7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w:t>
            </w:r>
          </w:p>
        </w:tc>
        <w:tc>
          <w:tcPr>
            <w:tcW w:w="20" w:type="dxa"/>
            <w:vAlign w:val="bottom"/>
          </w:tcPr>
          <w:p>
            <w:pPr>
              <w:spacing w:after="0"/>
              <w:rPr>
                <w:sz w:val="24"/>
                <w:szCs w:val="24"/>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6.02.</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Liens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6.03.</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Fundamental Changes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6.04.</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Investments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6.05.</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Restricted Payments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6.06.</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Certain Restrictions on Subsidiaries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6.07.</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Certain Financial Covenants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6.08.</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6.09.</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Lines of Business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6.10.</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No Further Negative Pledge</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6.11.</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Modifications of Longer-Term Indebtedness Documents</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20" w:type="dxa"/>
            <w:vAlign w:val="bottom"/>
          </w:tcPr>
          <w:p>
            <w:pPr>
              <w:spacing w:after="0"/>
              <w:rPr>
                <w:sz w:val="21"/>
                <w:szCs w:val="21"/>
                <w:color w:val="auto"/>
              </w:rPr>
            </w:pP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6.12.</w:t>
            </w: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9"/>
              </w:rPr>
              <w:t>Payments of Longer-Term Indebtedness, the 2022 Convertible Notes, the 2023 Notes, the</w:t>
            </w:r>
          </w:p>
        </w:tc>
        <w:tc>
          <w:tcPr>
            <w:tcW w:w="7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108</w:t>
            </w:r>
          </w:p>
        </w:tc>
        <w:tc>
          <w:tcPr>
            <w:tcW w:w="20" w:type="dxa"/>
            <w:vAlign w:val="bottom"/>
          </w:tcPr>
          <w:p>
            <w:pPr>
              <w:spacing w:after="0"/>
              <w:rPr>
                <w:sz w:val="21"/>
                <w:szCs w:val="21"/>
                <w:color w:val="auto"/>
              </w:rPr>
            </w:pPr>
          </w:p>
        </w:tc>
      </w:tr>
      <w:tr>
        <w:trPr>
          <w:trHeight w:val="243"/>
        </w:trPr>
        <w:tc>
          <w:tcPr>
            <w:tcW w:w="2000" w:type="dxa"/>
            <w:vAlign w:val="bottom"/>
          </w:tcPr>
          <w:p>
            <w:pPr>
              <w:spacing w:after="0"/>
              <w:rPr>
                <w:sz w:val="21"/>
                <w:szCs w:val="21"/>
                <w:color w:val="auto"/>
              </w:rPr>
            </w:pPr>
          </w:p>
        </w:tc>
        <w:tc>
          <w:tcPr>
            <w:tcW w:w="850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2024 Notes and the 2026 Notes</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2"/>
        </w:trPr>
        <w:tc>
          <w:tcPr>
            <w:tcW w:w="2000" w:type="dxa"/>
            <w:vAlign w:val="bottom"/>
          </w:tcPr>
          <w:p>
            <w:pPr>
              <w:spacing w:after="0"/>
              <w:rPr>
                <w:sz w:val="24"/>
                <w:szCs w:val="24"/>
                <w:color w:val="auto"/>
              </w:rPr>
            </w:pPr>
          </w:p>
        </w:tc>
        <w:tc>
          <w:tcPr>
            <w:tcW w:w="8500" w:type="dxa"/>
            <w:vAlign w:val="bottom"/>
          </w:tcPr>
          <w:p>
            <w:pPr>
              <w:ind w:left="3480"/>
              <w:spacing w:after="0"/>
              <w:rPr>
                <w:sz w:val="20"/>
                <w:szCs w:val="20"/>
                <w:color w:val="auto"/>
              </w:rPr>
            </w:pPr>
            <w:r>
              <w:rPr>
                <w:rFonts w:ascii="Times New Roman" w:cs="Times New Roman" w:eastAsia="Times New Roman" w:hAnsi="Times New Roman"/>
                <w:sz w:val="22"/>
                <w:szCs w:val="22"/>
                <w:color w:val="auto"/>
              </w:rPr>
              <w:t>-ii-</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7"/>
        </w:trPr>
        <w:tc>
          <w:tcPr>
            <w:tcW w:w="2000" w:type="dxa"/>
            <w:vAlign w:val="bottom"/>
            <w:tcBorders>
              <w:bottom w:val="single" w:sz="8" w:color="auto"/>
            </w:tcBorders>
          </w:tcPr>
          <w:p>
            <w:pPr>
              <w:spacing w:after="0"/>
              <w:rPr>
                <w:sz w:val="15"/>
                <w:szCs w:val="15"/>
                <w:color w:val="auto"/>
              </w:rPr>
            </w:pPr>
          </w:p>
        </w:tc>
        <w:tc>
          <w:tcPr>
            <w:tcW w:w="8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8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1"/>
        </w:trPr>
        <w:tc>
          <w:tcPr>
            <w:tcW w:w="2000" w:type="dxa"/>
            <w:vAlign w:val="bottom"/>
            <w:tcBorders>
              <w:bottom w:val="single" w:sz="8" w:color="9A9A9A"/>
            </w:tcBorders>
          </w:tcPr>
          <w:p>
            <w:pPr>
              <w:spacing w:after="0"/>
              <w:rPr>
                <w:sz w:val="23"/>
                <w:szCs w:val="23"/>
                <w:color w:val="auto"/>
              </w:rPr>
            </w:pPr>
          </w:p>
        </w:tc>
        <w:tc>
          <w:tcPr>
            <w:tcW w:w="850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170" w:name="page171"/>
    <w:bookmarkEnd w:id="17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86"/>
        </w:trPr>
        <w:tc>
          <w:tcPr>
            <w:tcW w:w="20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340" w:type="dxa"/>
            <w:vAlign w:val="bottom"/>
          </w:tcPr>
          <w:p>
            <w:pPr>
              <w:ind w:left="90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594"/>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6.13.</w:t>
            </w:r>
          </w:p>
        </w:tc>
        <w:tc>
          <w:tcPr>
            <w:tcW w:w="77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Accounting Changes</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109</w:t>
            </w:r>
          </w:p>
        </w:tc>
      </w:tr>
      <w:tr>
        <w:trPr>
          <w:trHeight w:val="282"/>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6.14.</w:t>
            </w:r>
          </w:p>
        </w:tc>
        <w:tc>
          <w:tcPr>
            <w:tcW w:w="77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SBIC Guarantee</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109</w:t>
            </w:r>
          </w:p>
        </w:tc>
      </w:tr>
      <w:tr>
        <w:trPr>
          <w:trHeight w:val="364"/>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7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EVENTS OF DEFAULT</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109</w:t>
            </w:r>
          </w:p>
        </w:tc>
      </w:tr>
      <w:tr>
        <w:trPr>
          <w:trHeight w:val="365"/>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7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THE ADMINISTRATIVE AGENT</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113</w:t>
            </w:r>
          </w:p>
        </w:tc>
      </w:tr>
      <w:tr>
        <w:trPr>
          <w:trHeight w:val="325"/>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8.01.</w:t>
            </w:r>
          </w:p>
        </w:tc>
        <w:tc>
          <w:tcPr>
            <w:tcW w:w="77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Appointment of the Administrative Agent</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113</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8.02.</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Capacity as Lender</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8.03.</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Limitation of Duties; Exculpation</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113</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8.04.</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Reliance</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8.05.</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Sub-Agents</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8.06.</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Resignation; Successor Administrative Agent</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114</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8.07.</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Reliance by Lenders</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115</w:t>
            </w:r>
          </w:p>
        </w:tc>
      </w:tr>
      <w:tr>
        <w:trPr>
          <w:trHeight w:val="282"/>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8.08.</w:t>
            </w:r>
          </w:p>
        </w:tc>
        <w:tc>
          <w:tcPr>
            <w:tcW w:w="77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Modifications to Loan Documents</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115</w:t>
            </w:r>
          </w:p>
        </w:tc>
      </w:tr>
      <w:tr>
        <w:trPr>
          <w:trHeight w:val="364"/>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7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MISCELLANEOUS</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116</w:t>
            </w:r>
          </w:p>
        </w:tc>
      </w:tr>
      <w:tr>
        <w:trPr>
          <w:trHeight w:val="325"/>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9.01.</w:t>
            </w:r>
          </w:p>
        </w:tc>
        <w:tc>
          <w:tcPr>
            <w:tcW w:w="77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Notices; Electronic Communications</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116</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9.02.</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Waivers; Amendments</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118</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9.03.</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Expenses; Indemnity; Damage Waiver</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121</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9.04.</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Successors and Assigns</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123</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9.05.</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Survival</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128</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9.06.</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Counterparts; Integration; Effectiveness; Electronic Execution</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128</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9.07.</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128</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9.08.</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Right of Setoff</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129</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9.09.</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Governing Law; Jurisdiction; Etc</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129</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9.10.</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WAIVER OF JURY TRIAL</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130</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9.11.</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Judgment Currency</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130</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9.12.</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131</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9.13.</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Treatment of Certain Information; No Fiduciary Duty; Confidentiality</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131</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9.14.</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USA PATRIOT Act</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132</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9.15.</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Effect of Amendment and Restatement of the Existing Credit Agreement</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9.16.</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Reaffirmation of Guarantee and Security Agreement</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9.17.</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Acknowledgement and Consent to Bail-In of EEA Financial Institutions</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43"/>
        </w:trPr>
        <w:tc>
          <w:tcPr>
            <w:tcW w:w="20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SECTION 9.18.</w:t>
            </w:r>
          </w:p>
        </w:tc>
        <w:tc>
          <w:tcPr>
            <w:tcW w:w="778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Certain ERISA Matters</w:t>
            </w:r>
          </w:p>
        </w:tc>
        <w:tc>
          <w:tcPr>
            <w:tcW w:w="134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133</w:t>
            </w:r>
          </w:p>
        </w:tc>
      </w:tr>
      <w:tr>
        <w:trPr>
          <w:trHeight w:val="282"/>
        </w:trPr>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SECTION 9.19.</w:t>
            </w:r>
          </w:p>
        </w:tc>
        <w:tc>
          <w:tcPr>
            <w:tcW w:w="77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13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53"/>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74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w:t>
            </w:r>
          </w:p>
        </w:tc>
        <w:tc>
          <w:tcPr>
            <w:tcW w:w="7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IISCHEDULE 1.01(a)</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Approved Dealers and Approved Pricing Services</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IIISCHEDULE 1.01(b)</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Commitments</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IVSCHEDULE 1.01(c)</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Industry Classification Group List</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VSCHEDULE 2.05</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Issuing Bank LC Exposure</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VISCHEDULE 3.11</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Material Agreements and Liens</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VIISCHEDULE 3.12(a)</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Subsidiaries</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VIIISCHEDULE 3.12(b)</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Investments</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IXSCHEDULE 6.08</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Transactions with Affiliates</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X</w:t>
            </w:r>
          </w:p>
        </w:tc>
        <w:tc>
          <w:tcPr>
            <w:tcW w:w="7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XI</w:t>
            </w:r>
          </w:p>
        </w:tc>
        <w:tc>
          <w:tcPr>
            <w:tcW w:w="7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XII</w:t>
            </w:r>
          </w:p>
        </w:tc>
        <w:tc>
          <w:tcPr>
            <w:tcW w:w="7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XIIIEXHIBIT A</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Form of Assignment and Assumption</w:t>
            </w:r>
          </w:p>
        </w:tc>
        <w:tc>
          <w:tcPr>
            <w:tcW w:w="20" w:type="dxa"/>
            <w:vAlign w:val="bottom"/>
          </w:tcPr>
          <w:p>
            <w:pPr>
              <w:spacing w:after="0"/>
              <w:rPr>
                <w:sz w:val="21"/>
                <w:szCs w:val="21"/>
                <w:color w:val="auto"/>
              </w:rPr>
            </w:pPr>
          </w:p>
        </w:tc>
      </w:tr>
      <w:tr>
        <w:trPr>
          <w:trHeight w:val="243"/>
        </w:trPr>
        <w:tc>
          <w:tcPr>
            <w:tcW w:w="3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ARTICLE XIVEXHIBIT B</w:t>
            </w:r>
          </w:p>
        </w:tc>
        <w:tc>
          <w:tcPr>
            <w:tcW w:w="74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 Form of Borrowing Base Certificate</w:t>
            </w:r>
          </w:p>
        </w:tc>
        <w:tc>
          <w:tcPr>
            <w:tcW w:w="20" w:type="dxa"/>
            <w:vAlign w:val="bottom"/>
          </w:tcPr>
          <w:p>
            <w:pPr>
              <w:spacing w:after="0"/>
              <w:rPr>
                <w:sz w:val="21"/>
                <w:szCs w:val="21"/>
                <w:color w:val="auto"/>
              </w:rPr>
            </w:pPr>
          </w:p>
        </w:tc>
      </w:tr>
      <w:tr>
        <w:trPr>
          <w:trHeight w:val="282"/>
        </w:trPr>
        <w:tc>
          <w:tcPr>
            <w:tcW w:w="3760" w:type="dxa"/>
            <w:vAlign w:val="bottom"/>
          </w:tcPr>
          <w:p>
            <w:pPr>
              <w:spacing w:after="0"/>
              <w:rPr>
                <w:sz w:val="20"/>
                <w:szCs w:val="20"/>
                <w:color w:val="auto"/>
              </w:rPr>
            </w:pPr>
            <w:r>
              <w:rPr>
                <w:rFonts w:ascii="Times New Roman" w:cs="Times New Roman" w:eastAsia="Times New Roman" w:hAnsi="Times New Roman"/>
                <w:sz w:val="22"/>
                <w:szCs w:val="22"/>
                <w:color w:val="auto"/>
              </w:rPr>
              <w:t>ARTICLE XVEXHIBIT C</w:t>
            </w:r>
          </w:p>
        </w:tc>
        <w:tc>
          <w:tcPr>
            <w:tcW w:w="74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 Form of Borrowing Request</w:t>
            </w:r>
          </w:p>
        </w:tc>
        <w:tc>
          <w:tcPr>
            <w:tcW w:w="20" w:type="dxa"/>
            <w:vAlign w:val="bottom"/>
          </w:tcPr>
          <w:p>
            <w:pPr>
              <w:spacing w:after="0"/>
              <w:rPr>
                <w:sz w:val="24"/>
                <w:szCs w:val="24"/>
                <w:color w:val="auto"/>
              </w:rPr>
            </w:pPr>
          </w:p>
        </w:tc>
      </w:tr>
      <w:tr>
        <w:trPr>
          <w:trHeight w:val="636"/>
        </w:trPr>
        <w:tc>
          <w:tcPr>
            <w:tcW w:w="37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8"/>
        </w:trPr>
        <w:tc>
          <w:tcPr>
            <w:tcW w:w="3760" w:type="dxa"/>
            <w:vAlign w:val="bottom"/>
            <w:tcBorders>
              <w:bottom w:val="single" w:sz="8" w:color="9A9A9A"/>
            </w:tcBorders>
          </w:tcPr>
          <w:p>
            <w:pPr>
              <w:spacing w:after="0"/>
              <w:rPr>
                <w:sz w:val="22"/>
                <w:szCs w:val="22"/>
                <w:color w:val="auto"/>
              </w:rPr>
            </w:pPr>
          </w:p>
        </w:tc>
        <w:tc>
          <w:tcPr>
            <w:tcW w:w="74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77" w:right="319" w:bottom="1440" w:gutter="0" w:footer="0" w:header="0"/>
        </w:sectPr>
      </w:pPr>
    </w:p>
    <w:bookmarkStart w:id="172" w:name="page173"/>
    <w:bookmarkEnd w:id="172"/>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SECOND AMENDED AND RESTATED SENIOR SECURED REVOLVING CREDIT AGREEMENT dated as of February 27, 2014, as amended as of June 3, 2014, as of June 27, 2014, as of October 17, 2014, as of October 2, 2015, as of December 22, 2016, as of February 20, 2018, as of November 5, 2018, as of February 14, 2019 and as of January 31, 2020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SIXTH STREET SPECIALTY LENDING, INC. (F/K/A TPG Specialty Lending, Inc.),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TRUIST BANK, as Administrative Agent.</w:t>
      </w:r>
    </w:p>
    <w:p>
      <w:pPr>
        <w:spacing w:after="0" w:line="17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among the Borrower, the lenders party thereto (collectively,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and the Administrative Agent, the Existing Lenders agreed to make extensions of credit to the Borrower on the terms and conditions set forth therein, including making loans (the “</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to the Borrower.</w:t>
      </w:r>
    </w:p>
    <w:p>
      <w:pPr>
        <w:spacing w:after="0" w:line="181"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85"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The parties hereto hereby agree to amend and restate the Existing Credit Agreement, and the Existing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have the meanings specified below:</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2022 Convertible Notes</w:t>
      </w:r>
      <w:r>
        <w:rPr>
          <w:rFonts w:ascii="Times New Roman" w:cs="Times New Roman" w:eastAsia="Times New Roman" w:hAnsi="Times New Roman"/>
          <w:sz w:val="21"/>
          <w:szCs w:val="21"/>
          <w:color w:val="auto"/>
        </w:rPr>
        <w:t>” means the Borrower’s $172,500,000 aggregate principal amount convertible notes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due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3" w:name="page174"/>
    <w:bookmarkEnd w:id="173"/>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2023 Notes</w:t>
      </w:r>
      <w:r>
        <w:rPr>
          <w:rFonts w:ascii="Times New Roman" w:cs="Times New Roman" w:eastAsia="Times New Roman" w:hAnsi="Times New Roman"/>
          <w:sz w:val="21"/>
          <w:szCs w:val="21"/>
          <w:color w:val="auto"/>
        </w:rPr>
        <w:t>” means the Borrower’s $150,000,000 aggregate principal amount notes due January 2023 issued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January 2018.</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2024 Notes</w:t>
      </w:r>
      <w:r>
        <w:rPr>
          <w:rFonts w:ascii="Times New Roman" w:cs="Times New Roman" w:eastAsia="Times New Roman" w:hAnsi="Times New Roman"/>
          <w:sz w:val="22"/>
          <w:szCs w:val="22"/>
          <w:color w:val="auto"/>
        </w:rPr>
        <w:t>” means the Borrower’s $350,000,000 aggregate principal amount notes due November 2024.</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2026 Notes</w:t>
      </w:r>
      <w:r>
        <w:rPr>
          <w:rFonts w:ascii="Times New Roman" w:cs="Times New Roman" w:eastAsia="Times New Roman" w:hAnsi="Times New Roman"/>
          <w:sz w:val="22"/>
          <w:szCs w:val="22"/>
          <w:color w:val="auto"/>
        </w:rPr>
        <w:t>” means the Borrower’s $300,000,000 aggregate principal amount notes due August 2026.</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Borrowing Base</w:t>
      </w:r>
      <w:r>
        <w:rPr>
          <w:rFonts w:ascii="Times New Roman" w:cs="Times New Roman" w:eastAsia="Times New Roman" w:hAnsi="Times New Roman"/>
          <w:sz w:val="22"/>
          <w:szCs w:val="22"/>
          <w:color w:val="auto"/>
        </w:rPr>
        <w:t xml:space="preserve">” means the Borrowing Base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Covered Debt Balance</w:t>
      </w:r>
      <w:r>
        <w:rPr>
          <w:rFonts w:ascii="Times New Roman" w:cs="Times New Roman" w:eastAsia="Times New Roman" w:hAnsi="Times New Roman"/>
          <w:sz w:val="22"/>
          <w:szCs w:val="22"/>
          <w:color w:val="auto"/>
        </w:rPr>
        <w:t xml:space="preserve">” means, on any date, the aggregate Covered Debt Amount on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LIBO Rate</w:t>
      </w:r>
      <w:r>
        <w:rPr>
          <w:rFonts w:ascii="Times New Roman" w:cs="Times New Roman" w:eastAsia="Times New Roman" w:hAnsi="Times New Roman"/>
          <w:sz w:val="22"/>
          <w:szCs w:val="22"/>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Truist, in its capacity as administrative agent for the Lenders hereunder.</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 Appraisal Testing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(ii)(E)(y)</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Account</w:t>
      </w:r>
      <w:r>
        <w:rPr>
          <w:rFonts w:ascii="Times New Roman" w:cs="Times New Roman" w:eastAsia="Times New Roman" w:hAnsi="Times New Roman"/>
          <w:sz w:val="22"/>
          <w:szCs w:val="22"/>
          <w:color w:val="auto"/>
        </w:rPr>
        <w:t>” means, for each Currency, an account in respect of such Currency designated by the Administrative Agent in a notice to the Borrower and the Lenders.</w:t>
      </w:r>
    </w:p>
    <w:p>
      <w:pPr>
        <w:spacing w:after="0" w:line="15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 Rate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Currency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4" w:name="page175"/>
    <w:bookmarkEnd w:id="174"/>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7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180"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Agreed Foreign Currency</w:t>
      </w:r>
      <w:r>
        <w:rPr>
          <w:rFonts w:ascii="Times New Roman" w:cs="Times New Roman" w:eastAsia="Times New Roman" w:hAnsi="Times New Roman"/>
          <w:sz w:val="21"/>
          <w:szCs w:val="21"/>
          <w:color w:val="auto"/>
        </w:rPr>
        <w:t>” means, at any time, (i) any of Canadian Dollars, English Pounds Sterling, Euros, Japanese Yen, Australian Dollars, Swiss Franc,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or the relevant local market, if applicable,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7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means, for any day, a rate per annum equal to the greatest of (a) zero, (b) the Prime Rate in effect on such day, (c) the Federal Funds Effective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1/2 of 1% and (d) the rate per annum equal to 1%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5" w:name="page176"/>
    <w:bookmarkEnd w:id="175"/>
    <w:p>
      <w:pPr>
        <w:jc w:val="both"/>
        <w:ind w:firstLine="172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Dollar Percentage</w:t>
      </w:r>
      <w:r>
        <w:rPr>
          <w:rFonts w:ascii="Times New Roman" w:cs="Times New Roman" w:eastAsia="Times New Roman" w:hAnsi="Times New Roman"/>
          <w:sz w:val="21"/>
          <w:szCs w:val="21"/>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16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Financial Statements</w:t>
      </w:r>
      <w:r>
        <w:rPr>
          <w:rFonts w:ascii="Times New Roman" w:cs="Times New Roman" w:eastAsia="Times New Roman" w:hAnsi="Times New Roman"/>
          <w:sz w:val="22"/>
          <w:szCs w:val="22"/>
          <w:color w:val="auto"/>
        </w:rPr>
        <w:t xml:space="preserve">” means, as at any date, the most-recent audited financial statements of the Borrower delivered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immediately prior to the delivery to the Lenders of new audited financial statements of the Borrower a Material Adverse Change (the “</w:t>
      </w:r>
      <w:r>
        <w:rPr>
          <w:rFonts w:ascii="Times New Roman" w:cs="Times New Roman" w:eastAsia="Times New Roman" w:hAnsi="Times New Roman"/>
          <w:sz w:val="22"/>
          <w:szCs w:val="22"/>
          <w:u w:val="single" w:color="auto"/>
          <w:color w:val="auto"/>
        </w:rPr>
        <w:t>Pre-existing MAC</w:t>
      </w:r>
      <w:r>
        <w:rPr>
          <w:rFonts w:ascii="Times New Roman" w:cs="Times New Roman" w:eastAsia="Times New Roman" w:hAnsi="Times New Roman"/>
          <w:sz w:val="22"/>
          <w:szCs w:val="22"/>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Multicurrency Percentage</w:t>
      </w:r>
      <w:r>
        <w:rPr>
          <w:rFonts w:ascii="Times New Roman" w:cs="Times New Roman" w:eastAsia="Times New Roman" w:hAnsi="Times New Roman"/>
          <w:sz w:val="22"/>
          <w:szCs w:val="22"/>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81"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 and after the Non-Extended Commitment Termination Date for any Non-Extending Lender, the Applicable Percentage of such Non-Extending Lender shall be 0%.</w:t>
      </w:r>
    </w:p>
    <w:p>
      <w:pPr>
        <w:spacing w:after="0" w:line="17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Dealer</w:t>
      </w:r>
      <w:r>
        <w:rPr>
          <w:rFonts w:ascii="Times New Roman" w:cs="Times New Roman" w:eastAsia="Times New Roman" w:hAnsi="Times New Roman"/>
          <w:sz w:val="22"/>
          <w:szCs w:val="22"/>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as set forth on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or any other bank or broker-dealer acceptable to the Administrative Agent in its reasonable determination.</w:t>
      </w:r>
    </w:p>
    <w:p>
      <w:pPr>
        <w:spacing w:after="0" w:line="181"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Pricing Service</w:t>
      </w:r>
      <w:r>
        <w:rPr>
          <w:rFonts w:ascii="Times New Roman" w:cs="Times New Roman" w:eastAsia="Times New Roman" w:hAnsi="Times New Roman"/>
          <w:sz w:val="22"/>
          <w:szCs w:val="22"/>
          <w:color w:val="auto"/>
        </w:rPr>
        <w:t xml:space="preserve">” means a pricing or quotation service as set forth in </w:t>
      </w:r>
      <w:r>
        <w:rPr>
          <w:rFonts w:ascii="Times New Roman" w:cs="Times New Roman" w:eastAsia="Times New Roman" w:hAnsi="Times New Roman"/>
          <w:sz w:val="22"/>
          <w:szCs w:val="22"/>
          <w:u w:val="single" w:color="auto"/>
          <w:color w:val="auto"/>
        </w:rPr>
        <w:t>Schedule 1.01(a)</w:t>
      </w:r>
      <w:r>
        <w:rPr>
          <w:rFonts w:ascii="Times New Roman" w:cs="Times New Roman" w:eastAsia="Times New Roman" w:hAnsi="Times New Roman"/>
          <w:sz w:val="22"/>
          <w:szCs w:val="22"/>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6" w:name="page177"/>
    <w:bookmarkEnd w:id="176"/>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Third-Party Appraiser</w:t>
      </w:r>
      <w:r>
        <w:rPr>
          <w:rFonts w:ascii="Times New Roman" w:cs="Times New Roman" w:eastAsia="Times New Roman" w:hAnsi="Times New Roman"/>
          <w:sz w:val="22"/>
          <w:szCs w:val="22"/>
          <w:color w:val="auto"/>
        </w:rPr>
        <w:t>” means any Independent nationally recognized third-party appraisal firm</w:t>
      </w:r>
    </w:p>
    <w:p>
      <w:pPr>
        <w:spacing w:after="0" w:line="14" w:lineRule="exact"/>
        <w:rPr>
          <w:sz w:val="20"/>
          <w:szCs w:val="20"/>
          <w:color w:val="auto"/>
        </w:rPr>
      </w:pPr>
    </w:p>
    <w:p>
      <w:pPr>
        <w:jc w:val="both"/>
        <w:ind w:firstLine="8"/>
        <w:spacing w:after="0" w:line="232" w:lineRule="auto"/>
        <w:tabs>
          <w:tab w:leader="none" w:pos="30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7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accepted by the Administrative Agent,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 Period</w:t>
      </w:r>
      <w:r>
        <w:rPr>
          <w:rFonts w:ascii="Times New Roman" w:cs="Times New Roman" w:eastAsia="Times New Roman" w:hAnsi="Times New Roman"/>
          <w:sz w:val="21"/>
          <w:szCs w:val="21"/>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spacing w:after="0" w:line="15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LIBO Rate for Dollar-denominated syndicated credit facilities and (b) the Benchmark Replacement Adjustment; provided that, if the Benchmark Replacement as so determined would be less than zero, the Benchmark Replacement will be deemed to be zero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7" w:name="page178"/>
    <w:bookmarkEnd w:id="177"/>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LIBO Rate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LIBO Rate with the applicable Unadjusted Benchmark Replacement by the Relevant Governmental Body or (ii) any evolving or then-prevailing market convention for determining a spread adjustment, or method for calculating or determining such spread adjustment, for the replacement of the LIBO Rate with the applicable Unadjusted Benchmark Replacement for Dollar-denominated syndicated credit facilities at such time.</w:t>
      </w:r>
    </w:p>
    <w:p>
      <w:pPr>
        <w:spacing w:after="0" w:line="183"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means, with respect to any Benchmark Replacement, any technical, administrative or operational changes (including changes to the definition of “ABR,” the definition of “Interest Period,” timing and frequency of determining rates and making payments of interest and other administrative matters) that the Administrative Agent (after consultation with the Borrower)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(after consultation with the Borrower) decides is reasonably necessary in connection with the administration of this Agreement).</w:t>
      </w:r>
    </w:p>
    <w:p>
      <w:pPr>
        <w:spacing w:after="0" w:line="175"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earlier to occur of the following events with respect to the LIBO Rate: (1) in the case of clause (1) or (2) of the definition of “Benchmark Transition Event,” the later of (a) the date of the public statement or publication of information referenced therein and (b) the date on which the administrator of the LIBO Rate permanently or indefinitely ceases to provide the LIBO Rate; or (2) in the case of clause (3) of the definition of “Benchmark Transition Event,” the date of the public statement or publication of information referenced therein.</w:t>
      </w:r>
    </w:p>
    <w:p>
      <w:pPr>
        <w:spacing w:after="0" w:line="177"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LIBO Rate: (1) a public statement or publication of information by or on behalf of the administrator of the LIBO Rate announcing that such administrator has ceased or will cease to provide the LIBO Rate, permanently or indefinitely, provided that, at the time of such statement or publication, there is no successor administrator that will continue to provide the LIBO Rate; (2) a public statement or publication of information by the regulatory supervisor for the administrator of the LIBO Rate, the U.S. Federal Reserve System, an insolvency official with jurisdiction over the administrator for the LIBO Rate, a resolution authority with jurisdiction over the administrator for the LIBO Rate or a court or an entity with similar insolvency or resolution authority over the administrator for the LIBO Rate, which states that the administrator of the LIBO Rate has ceased or will cease to provide the LIBO Rate permanently or indefinitely, provided that, at the time of such statement or publication, there is no successor administrator that will continue to provide the LIBO Rate; or (3) a public statement or publication of information by the regulatory supervisor for the administrator of the LIBO Rate announcing that the LIBO Rate is no longer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8" w:name="page179"/>
    <w:bookmarkEnd w:id="178"/>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Borrower, the Administrative Agent (in the case of such notice by the Required Lenders) and the Lenders.</w:t>
      </w:r>
    </w:p>
    <w:p>
      <w:pPr>
        <w:spacing w:after="0" w:line="183"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means, if a Benchmark Transition Event and its related Benchmark Replacement Date have occurred with respect to the LIBO Rate and solely to the extent that the LIBO Rate has not been replaced with a Benchmark Replacement, the period (x) beginning at the time that such Benchmark Replacement Date has occurred if, at such time, no Benchmark Replacement has replaced the LIBO Rate for all purposes hereunder in accordance with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and (y) ending at the time that a Benchmark Replacement has replaced the LIBO Rate for all purposes hereunder pursuant to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has the meaning assigned to such term in the preamble to this Agreement.</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Asset Coverage Ratio</w:t>
      </w:r>
      <w:r>
        <w:rPr>
          <w:rFonts w:ascii="Times New Roman" w:cs="Times New Roman" w:eastAsia="Times New Roman" w:hAnsi="Times New Roman"/>
          <w:sz w:val="22"/>
          <w:szCs w:val="22"/>
          <w:color w:val="auto"/>
        </w:rPr>
        <w:t>” means the ratio, determined on a consolidated basis for the Obligors, without duplication, of (a) (i) Total Assets minus (ii) Total Assets Concentration Limitation to (b) (i) Total Secured Debt plus (ii) the aggregate amount of senior securities representing unsecured indebtedness of the Obligors as of such date of determination with a maturity date that is within 90 days of such date of determination.</w:t>
      </w:r>
    </w:p>
    <w:p>
      <w:pPr>
        <w:spacing w:after="0" w:line="176" w:lineRule="exact"/>
        <w:rPr>
          <w:sz w:val="20"/>
          <w:szCs w:val="20"/>
          <w:color w:val="auto"/>
        </w:rPr>
      </w:pPr>
    </w:p>
    <w:p>
      <w:pPr>
        <w:jc w:val="both"/>
        <w:ind w:firstLine="1727"/>
        <w:spacing w:after="0" w:line="262" w:lineRule="auto"/>
        <w:rPr>
          <w:sz w:val="20"/>
          <w:szCs w:val="20"/>
          <w:color w:val="auto"/>
        </w:rPr>
      </w:pPr>
      <w:r>
        <w:rPr>
          <w:rFonts w:ascii="Times New Roman" w:cs="Times New Roman" w:eastAsia="Times New Roman" w:hAnsi="Times New Roman"/>
          <w:sz w:val="22"/>
          <w:szCs w:val="22"/>
          <w:u w:val="single" w:color="auto"/>
          <w:color w:val="auto"/>
        </w:rPr>
        <w:t>“Borrower Net Worth</w:t>
      </w:r>
      <w:r>
        <w:rPr>
          <w:rFonts w:ascii="Times New Roman" w:cs="Times New Roman" w:eastAsia="Times New Roman" w:hAnsi="Times New Roman"/>
          <w:sz w:val="22"/>
          <w:szCs w:val="22"/>
          <w:color w:val="auto"/>
        </w:rPr>
        <w:t xml:space="preserve">” means, as of any date of determination, (a) Total Assets as of such date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(i) Total Assets Concentration Limitation as of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Total Secured Debt as of such date.</w:t>
      </w:r>
    </w:p>
    <w:p>
      <w:pPr>
        <w:spacing w:after="0" w:line="154"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 means (a) all Syndicated ABR Loans of the same Class made, converted or continued on the same date, (b) all Eurocurrency Loans of the same Class denominated in the same Currency that have the same Interest Period or (c) a Swingline Loan.</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means a certificate of a Financial Officer of the Borrower,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appropriately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9" w:name="page180"/>
    <w:bookmarkEnd w:id="179"/>
    <w:p>
      <w:pPr>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Deficiency</w:t>
      </w:r>
      <w:r>
        <w:rPr>
          <w:rFonts w:ascii="Times New Roman" w:cs="Times New Roman" w:eastAsia="Times New Roman" w:hAnsi="Times New Roman"/>
          <w:sz w:val="22"/>
          <w:szCs w:val="22"/>
          <w:color w:val="auto"/>
        </w:rPr>
        <w:t>” means, at any date on which the same is determined, the amount, if any, that (a) the aggregate Covered Debt Amount as of such date exceeds (b) the Borrowing Base as of such date.</w:t>
      </w:r>
    </w:p>
    <w:p>
      <w:pPr>
        <w:spacing w:after="0" w:line="158"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xml:space="preserve">” means a request by the Borrower for a Syndicated Borrowing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 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Calculation Amount</w:t>
      </w:r>
      <w:r>
        <w:rPr>
          <w:rFonts w:ascii="Times New Roman" w:cs="Times New Roman" w:eastAsia="Times New Roman" w:hAnsi="Times New Roman"/>
          <w:sz w:val="21"/>
          <w:szCs w:val="21"/>
          <w:color w:val="auto"/>
        </w:rPr>
        <w:t>” shall mean, as of the end of any Testing Period, an amount equal to the greater of: (a)</w:t>
      </w:r>
    </w:p>
    <w:p>
      <w:pPr>
        <w:spacing w:after="0" w:line="26" w:lineRule="exact"/>
        <w:rPr>
          <w:sz w:val="20"/>
          <w:szCs w:val="20"/>
          <w:color w:val="auto"/>
        </w:rPr>
      </w:pPr>
    </w:p>
    <w:p>
      <w:pPr>
        <w:jc w:val="both"/>
        <w:ind w:firstLine="8"/>
        <w:spacing w:after="0" w:line="233" w:lineRule="auto"/>
        <w:tabs>
          <w:tab w:leader="none" w:pos="28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125% of the Adjusted Covered Debt Balance (as of the end of such Testing Period)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more than 25% (or, if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applies, 10%, or as near thereto as reasonably practicable) of the aggregate Value of the Unquoted Investments in the Borrowing Base be tested in respect of any applicable Testing Period.</w:t>
      </w:r>
    </w:p>
    <w:p>
      <w:pPr>
        <w:spacing w:after="0" w:line="1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w:t>
      </w:r>
      <w:r>
        <w:rPr>
          <w:rFonts w:ascii="Times New Roman" w:cs="Times New Roman" w:eastAsia="Times New Roman" w:hAnsi="Times New Roman"/>
          <w:sz w:val="22"/>
          <w:szCs w:val="22"/>
          <w:color w:val="auto"/>
        </w:rPr>
        <w:t xml:space="preserve">” means the exchange of the Lenders’ interests provided for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 Date</w:t>
      </w:r>
      <w:r>
        <w:rPr>
          <w:rFonts w:ascii="Times New Roman" w:cs="Times New Roman" w:eastAsia="Times New Roman" w:hAnsi="Times New Roman"/>
          <w:sz w:val="22"/>
          <w:szCs w:val="22"/>
          <w:color w:val="auto"/>
        </w:rPr>
        <w:t xml:space="preserve">” means the date on which any Event of Default referred to in </w:t>
      </w:r>
      <w:r>
        <w:rPr>
          <w:rFonts w:ascii="Times New Roman" w:cs="Times New Roman" w:eastAsia="Times New Roman" w:hAnsi="Times New Roman"/>
          <w:sz w:val="22"/>
          <w:szCs w:val="22"/>
          <w:u w:val="single" w:color="auto"/>
          <w:color w:val="auto"/>
        </w:rPr>
        <w:t>clause (j)</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occur or the date on which the Borrower receives written notice from the Administrative Agent that any Event of Default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has occurred.</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Percentage</w:t>
      </w:r>
      <w:r>
        <w:rPr>
          <w:rFonts w:ascii="Times New Roman" w:cs="Times New Roman" w:eastAsia="Times New Roman" w:hAnsi="Times New Roman"/>
          <w:sz w:val="22"/>
          <w:szCs w:val="22"/>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0" w:name="page181"/>
    <w:bookmarkEnd w:id="180"/>
    <w:p>
      <w:pPr>
        <w:jc w:val="both"/>
        <w:ind w:firstLine="172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Lease Obligations</w:t>
      </w:r>
      <w:r>
        <w:rPr>
          <w:rFonts w:ascii="Times New Roman" w:cs="Times New Roman" w:eastAsia="Times New Roman" w:hAnsi="Times New Roman"/>
          <w:sz w:val="21"/>
          <w:szCs w:val="21"/>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62"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means any immediately available funds in Dollars or in any currency other than Dollars (measured in terms of the Dollar Equivalent thereof) which is a freely convertible currency.</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xml:space="preserve">” means, in respect of a Letter of Credit or any obligation hereunder, to provide and pledge cash collateral pursuant to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at a location and pursuant to documentation in form and substance reasonably satisfactory to Administrative Agent and each Issuing Bank.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investments (other than Cash) that are one or more of the following obligations:</w:t>
      </w:r>
    </w:p>
    <w:p>
      <w:pPr>
        <w:spacing w:after="0" w:line="206" w:lineRule="exact"/>
        <w:rPr>
          <w:sz w:val="20"/>
          <w:szCs w:val="20"/>
          <w:color w:val="auto"/>
        </w:rPr>
      </w:pPr>
    </w:p>
    <w:p>
      <w:pPr>
        <w:ind w:left="2560" w:hanging="891"/>
        <w:spacing w:after="0"/>
        <w:tabs>
          <w:tab w:leader="none" w:pos="256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Government Securities, in each case maturing within one year from the date of acquisition</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thereof;</w:t>
      </w:r>
    </w:p>
    <w:p>
      <w:pPr>
        <w:spacing w:after="0" w:line="182" w:lineRule="exact"/>
        <w:rPr>
          <w:sz w:val="20"/>
          <w:szCs w:val="20"/>
          <w:color w:val="auto"/>
        </w:rPr>
      </w:pPr>
    </w:p>
    <w:p>
      <w:pPr>
        <w:jc w:val="both"/>
        <w:ind w:left="880" w:firstLine="789"/>
        <w:spacing w:after="0" w:line="257" w:lineRule="exact"/>
        <w:tabs>
          <w:tab w:leader="none" w:pos="257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if only one of S&amp;P or Moody’s provides such rating, such investment shall also have an equivalent credit rating from any other rating agency);</w:t>
      </w:r>
    </w:p>
    <w:p>
      <w:pPr>
        <w:spacing w:after="0" w:line="176" w:lineRule="exact"/>
        <w:rPr>
          <w:rFonts w:ascii="Times New Roman" w:cs="Times New Roman" w:eastAsia="Times New Roman" w:hAnsi="Times New Roman"/>
          <w:sz w:val="22"/>
          <w:szCs w:val="22"/>
          <w:color w:val="auto"/>
        </w:rPr>
      </w:pPr>
    </w:p>
    <w:p>
      <w:pPr>
        <w:jc w:val="both"/>
        <w:ind w:left="880" w:firstLine="789"/>
        <w:spacing w:after="0" w:line="250" w:lineRule="exact"/>
        <w:tabs>
          <w:tab w:leader="none" w:pos="256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if only one of S&amp;P or Moody’s provides such rating, such investment shall also have an equivalent credit rating from any other rating agency);</w:t>
      </w:r>
    </w:p>
    <w:p>
      <w:pPr>
        <w:spacing w:after="0" w:line="181" w:lineRule="exact"/>
        <w:rPr>
          <w:rFonts w:ascii="Times New Roman" w:cs="Times New Roman" w:eastAsia="Times New Roman" w:hAnsi="Times New Roman"/>
          <w:sz w:val="22"/>
          <w:szCs w:val="22"/>
          <w:color w:val="auto"/>
        </w:rPr>
      </w:pPr>
    </w:p>
    <w:p>
      <w:pPr>
        <w:jc w:val="both"/>
        <w:ind w:left="880" w:firstLine="789"/>
        <w:spacing w:after="0" w:line="251" w:lineRule="exact"/>
        <w:tabs>
          <w:tab w:leader="none" w:pos="257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S&amp;P and at least P</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from Moody’s (or if only one of S&amp;P or Moody’s provides such rating, such investment shall also have an equivalent credit rating from any other rating agency);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1" w:name="page182"/>
    <w:bookmarkEnd w:id="181"/>
    <w:p>
      <w:pPr>
        <w:jc w:val="both"/>
        <w:ind w:left="880" w:firstLine="789"/>
        <w:spacing w:after="0" w:line="244" w:lineRule="auto"/>
        <w:tabs>
          <w:tab w:leader="none" w:pos="2565"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money market funds that invest solely, and which are restricted by their respective charters to invest solely, in investments of the type described in the immediately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(including as to credit quality and maturity).</w:t>
      </w:r>
    </w:p>
    <w:p>
      <w:pPr>
        <w:spacing w:after="0" w:line="17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ARTICLE VI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8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CDOR Rate</w:t>
      </w:r>
      <w:r>
        <w:rPr>
          <w:rFonts w:ascii="Times New Roman" w:cs="Times New Roman" w:eastAsia="Times New Roman" w:hAnsi="Times New Roman"/>
          <w:sz w:val="22"/>
          <w:szCs w:val="22"/>
          <w:color w:val="auto"/>
        </w:rPr>
        <w:t>” means, the rate per annum, equal to the average of the annual yield rates applicable to Canadian Dollar banker’s acceptances at or about 10:00a.m. (Toronto, Ontario time) on the first day of such Interest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8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w:t>
      </w:r>
    </w:p>
    <w:p>
      <w:pPr>
        <w:spacing w:after="0" w:line="179"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2" w:name="page183"/>
    <w:bookmarkEnd w:id="182"/>
    <w:p>
      <w:pPr>
        <w:jc w:val="both"/>
        <w:spacing w:after="0" w:line="234" w:lineRule="auto"/>
        <w:rPr>
          <w:sz w:val="20"/>
          <w:szCs w:val="20"/>
          <w:color w:val="auto"/>
        </w:rPr>
      </w:pPr>
      <w:r>
        <w:rPr>
          <w:rFonts w:ascii="Times New Roman" w:cs="Times New Roman" w:eastAsia="Times New Roman" w:hAnsi="Times New Roman"/>
          <w:sz w:val="22"/>
          <w:szCs w:val="22"/>
          <w:color w:val="auto"/>
        </w:rPr>
        <w:t>date 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8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any Loan or Borrowing, refers to whether such Loan,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of a Letter of Credit refers to whether such Letter of Credit is a Dollar Letter of Credit or a Multicurrency Letter of Credit.</w:t>
      </w:r>
    </w:p>
    <w:p>
      <w:pPr>
        <w:spacing w:after="0" w:line="18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assigned to such term in the Guarantee and Security Agreement.</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Truist in its capacity as Collateral Agent under the Guarantee and Security Agreement, and includes any successor Collateral Agent thereunder.</w:t>
      </w:r>
    </w:p>
    <w:p>
      <w:pPr>
        <w:spacing w:after="0" w:line="158"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Pool</w:t>
      </w:r>
      <w:r>
        <w:rPr>
          <w:rFonts w:ascii="Times New Roman" w:cs="Times New Roman" w:eastAsia="Times New Roman" w:hAnsi="Times New Roman"/>
          <w:sz w:val="22"/>
          <w:szCs w:val="22"/>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8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Combined Debt Amount</w:t>
      </w:r>
      <w:r>
        <w:rPr>
          <w:rFonts w:ascii="Times New Roman" w:cs="Times New Roman" w:eastAsia="Times New Roman" w:hAnsi="Times New Roman"/>
          <w:sz w:val="22"/>
          <w:szCs w:val="22"/>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3" w:name="page184"/>
    <w:bookmarkEnd w:id="183"/>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collectively, the Dollar Commitments and the Multicurrency Commitments.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 Date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Termination Date</w:t>
      </w:r>
      <w:r>
        <w:rPr>
          <w:rFonts w:ascii="Times New Roman" w:cs="Times New Roman" w:eastAsia="Times New Roman" w:hAnsi="Times New Roman"/>
          <w:sz w:val="22"/>
          <w:szCs w:val="22"/>
          <w:color w:val="auto"/>
        </w:rPr>
        <w:t>” means the Extended Commitment Termination Date or the relevant Non-Extended Commitment Termination Date, as applicable.</w:t>
      </w:r>
    </w:p>
    <w:p>
      <w:pPr>
        <w:spacing w:after="0" w:line="15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 Coverage Ratio</w:t>
      </w:r>
      <w:r>
        <w:rPr>
          <w:rFonts w:ascii="Times New Roman" w:cs="Times New Roman" w:eastAsia="Times New Roman" w:hAnsi="Times New Roman"/>
          <w:sz w:val="22"/>
          <w:szCs w:val="22"/>
          <w:color w:val="auto"/>
        </w:rPr>
        <w:t>” means the ratio, determined on a consolidated basis for Borrower and its Subsidiaries, without duplication,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Group</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xml:space="preserve">” have meanings correlative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“Control” shall not include “negative” control or “blocking” rights whereby action cannot be taken without the vote or consent of any Person.</w:t>
      </w:r>
    </w:p>
    <w:p>
      <w:pPr>
        <w:spacing w:after="0" w:line="180" w:lineRule="exact"/>
        <w:rPr>
          <w:sz w:val="20"/>
          <w:szCs w:val="20"/>
          <w:color w:val="auto"/>
        </w:rPr>
      </w:pPr>
    </w:p>
    <w:p>
      <w:pPr>
        <w:jc w:val="both"/>
        <w:ind w:firstLine="1727"/>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Debt Amount</w:t>
      </w:r>
      <w:r>
        <w:rPr>
          <w:rFonts w:ascii="Times New Roman" w:cs="Times New Roman" w:eastAsia="Times New Roman" w:hAnsi="Times New Roman"/>
          <w:sz w:val="21"/>
          <w:szCs w:val="21"/>
          <w:color w:val="auto"/>
        </w:rPr>
        <w:t xml:space="preserve">” means, on any date, the sum of (x) all of the Revolving Credit Exposures of all Lenders on such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(y) the aggregate amount of Other Covered Indebtedness, the 2022 Convertible Notes, the 2023 Notes, the 2024 Notes, the 2026 Notes, Special Unsecured Indebtedness and Unsecured Longer Term Indebtedness on such date </w:t>
      </w:r>
      <w:r>
        <w:rPr>
          <w:rFonts w:ascii="Times New Roman" w:cs="Times New Roman" w:eastAsia="Times New Roman" w:hAnsi="Times New Roman"/>
          <w:sz w:val="21"/>
          <w:szCs w:val="21"/>
          <w:u w:val="single" w:color="auto"/>
          <w:color w:val="auto"/>
        </w:rPr>
        <w:t>minus</w:t>
      </w:r>
    </w:p>
    <w:p>
      <w:pPr>
        <w:spacing w:after="0" w:line="1" w:lineRule="exact"/>
        <w:rPr>
          <w:sz w:val="20"/>
          <w:szCs w:val="20"/>
          <w:color w:val="auto"/>
        </w:rPr>
      </w:pPr>
    </w:p>
    <w:p>
      <w:pPr>
        <w:jc w:val="both"/>
        <w:ind w:firstLine="8"/>
        <w:spacing w:after="0" w:line="243" w:lineRule="auto"/>
        <w:tabs>
          <w:tab w:leader="none" w:pos="294"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LC Exposures fully Cash Collateralized on such date pursuant to </w:t>
      </w:r>
      <w:r>
        <w:rPr>
          <w:rFonts w:ascii="Times New Roman" w:cs="Times New Roman" w:eastAsia="Times New Roman" w:hAnsi="Times New Roman"/>
          <w:sz w:val="21"/>
          <w:szCs w:val="21"/>
          <w:u w:val="single" w:color="auto"/>
          <w:color w:val="auto"/>
        </w:rPr>
        <w:t>Section 2.05(k)</w:t>
      </w:r>
      <w:r>
        <w:rPr>
          <w:rFonts w:ascii="Times New Roman" w:cs="Times New Roman" w:eastAsia="Times New Roman" w:hAnsi="Times New Roman"/>
          <w:sz w:val="21"/>
          <w:szCs w:val="21"/>
          <w:color w:val="auto"/>
        </w:rPr>
        <w:t xml:space="preserve"> and the last paragraph of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2022 Convertible Notes, the 2023 Notes, the 2024 Notes, the 2026 Notes, Special Unsecured Indebtedness and Unsecured Longer-Term Indebtedness shall be excluded from the calculation of the Covered Debt Amount, in each case, until the date that is nine (9) months prior to the scheduled maturity date of the 2022 Convertible Notes, the 2023 Notes, the 2024 Notes, the 2026 Notes, Special Unsecured Indebtedness or such Unsecured Longer-Term Indebtedness, as applicable (provided that, to the extent, but only to the extent, any portion of the 2022 Convertible Notes, the 2023 Notes, the 2024 Notes, the 2026 Notes, Special Unsecured Indebtedness or Unsecured Longer-Term Indebtedness is subject to a contractually scheduled amortization payment or other principal payment or mandatory redemption (other than in common stock of the Borrower) earlier than six (6) months after the Final Maturity Date (in the case of the 2022 Convertible Notes, the 2023 Notes, the 2024 Notes, the 2026 Notes and Unsecured Longer-Term Indebtedness) or earlier than the original final maturity date of such Indebtedness (in the case of Special Unsecured Indebtedness), such portion of such Indebtedness, to the extent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1"/>
          <w:szCs w:val="21"/>
          <w:color w:val="auto"/>
        </w:rPr>
        <w:t>outstanding, shall be included in the calculation of the Covered Debt Amount beginning upon the date that is the later of (i) nine</w:t>
      </w:r>
    </w:p>
    <w:p>
      <w:pPr>
        <w:spacing w:after="0" w:line="26" w:lineRule="exact"/>
        <w:rPr>
          <w:sz w:val="20"/>
          <w:szCs w:val="20"/>
          <w:color w:val="auto"/>
        </w:rPr>
      </w:pPr>
    </w:p>
    <w:p>
      <w:pPr>
        <w:jc w:val="both"/>
        <w:ind w:firstLine="8"/>
        <w:spacing w:after="0" w:line="234" w:lineRule="auto"/>
        <w:tabs>
          <w:tab w:leader="none" w:pos="32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means Dollars or any Foreign Currency.</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58" w:lineRule="exact"/>
        <w:rPr>
          <w:sz w:val="20"/>
          <w:szCs w:val="20"/>
          <w:color w:val="auto"/>
        </w:rPr>
      </w:pPr>
    </w:p>
    <w:p>
      <w:pPr>
        <w:jc w:val="both"/>
        <w:ind w:firstLine="1727"/>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 xml:space="preserve">,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any Issuing Bank, any Swingline Lender or any Lender any other amount required to be paid by it hereunder (including in respect of its participation in Letters of Credit or Swingline Loans) within two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5" w:name="page186"/>
    <w:bookmarkEnd w:id="185"/>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2.19(b)</w:t>
      </w:r>
      <w:r>
        <w:rPr>
          <w:rFonts w:ascii="Times New Roman" w:cs="Times New Roman" w:eastAsia="Times New Roman" w:hAnsi="Times New Roman"/>
          <w:sz w:val="22"/>
          <w:szCs w:val="22"/>
          <w:color w:val="auto"/>
        </w:rPr>
        <w:t>) upon such determination (and the Administrative Agent shall deliver written notice of such determination to the Borrower, each Issuing Bank and each Lender and each Swingline Lender).</w:t>
      </w:r>
    </w:p>
    <w:p>
      <w:pPr>
        <w:spacing w:after="0" w:line="181"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Obligations</w:t>
      </w:r>
      <w:r>
        <w:rPr>
          <w:rFonts w:ascii="Times New Roman" w:cs="Times New Roman" w:eastAsia="Times New Roman" w:hAnsi="Times New Roman"/>
          <w:sz w:val="22"/>
          <w:szCs w:val="22"/>
          <w:color w:val="auto"/>
        </w:rPr>
        <w:t>” means all obligations of the Borrower with respect to (a) principal of and interest on the Loans and (b) accrued and unpaid fees under the Loan Documents.</w:t>
      </w:r>
    </w:p>
    <w:p>
      <w:pPr>
        <w:spacing w:after="0" w:line="15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81"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Commitment</w:t>
      </w:r>
      <w:r>
        <w:rPr>
          <w:rFonts w:ascii="Times New Roman" w:cs="Times New Roman" w:eastAsia="Times New Roman" w:hAnsi="Times New Roman"/>
          <w:sz w:val="22"/>
          <w:szCs w:val="22"/>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(b)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amount of each Lender’s Dollar Commitment as of the Tenth Amendment Effective Date is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or in the Assignment and Assumption pursuant to which such Lender shall have assumed its Dollar Commitment, as applicable. The aggregate amount of the Lenders’ Dollar Commitments as of the Tenth Amendment Effective Date is $395,000,000.</w:t>
      </w:r>
    </w:p>
    <w:p>
      <w:pPr>
        <w:spacing w:after="0" w:line="18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7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LC Exposure</w:t>
      </w:r>
      <w:r>
        <w:rPr>
          <w:rFonts w:ascii="Times New Roman" w:cs="Times New Roman" w:eastAsia="Times New Roman" w:hAnsi="Times New Roman"/>
          <w:sz w:val="22"/>
          <w:szCs w:val="22"/>
          <w:color w:val="auto"/>
        </w:rPr>
        <w:t xml:space="preserve">” means, at any time, the sum of (a) the aggregate undrawn amount of all outstanding Dollar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6" w:name="page187"/>
    <w:bookmarkEnd w:id="186"/>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Letters of Credit</w:t>
      </w:r>
      <w:r>
        <w:rPr>
          <w:rFonts w:ascii="Times New Roman" w:cs="Times New Roman" w:eastAsia="Times New Roman" w:hAnsi="Times New Roman"/>
          <w:sz w:val="22"/>
          <w:szCs w:val="22"/>
          <w:color w:val="auto"/>
        </w:rPr>
        <w:t>” means Letters of Credit that utilize the Dollar Commitments.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Loan</w:t>
      </w:r>
      <w:r>
        <w:rPr>
          <w:rFonts w:ascii="Times New Roman" w:cs="Times New Roman" w:eastAsia="Times New Roman" w:hAnsi="Times New Roman"/>
          <w:sz w:val="22"/>
          <w:szCs w:val="22"/>
          <w:color w:val="auto"/>
        </w:rPr>
        <w:t>” means a Loan denominated in Dollars.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refers to lawful money of the United States of America.</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Early Opt-in Election</w:t>
      </w:r>
      <w:r>
        <w:rPr>
          <w:rFonts w:ascii="Times New Roman" w:cs="Times New Roman" w:eastAsia="Times New Roman" w:hAnsi="Times New Roman"/>
          <w:sz w:val="22"/>
          <w:szCs w:val="22"/>
          <w:color w:val="auto"/>
        </w:rPr>
        <w:t xml:space="preserve">” means the occurrence of: (a) (i) a determination by the Administrative Agent or (ii) a notification by the Required Lenders to the Administrative Agent (with a copy to the Borrower) that the Required Lenders have determined that Dollar-denominated syndicated credit facilities being executed at such time, or that include language similar to that contained in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are being executed or amended, as applicable, to incorporate or adopt a new benchmark interest rate to replace the LIBO Rate, and (b) (i) the election by the Administrative Agent or (ii) the election by the Required Lenders to declare that an Early Opt-in Election has occurred and the provision, as applicable, by the Administrative Agent of written notice of such election to the Borrower and the Lenders or by the Required Lenders of written notice of such election to the Administrative Agent.</w:t>
      </w:r>
    </w:p>
    <w:p>
      <w:pPr>
        <w:spacing w:after="0" w:line="17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182"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means the date on which the conditions specified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are satisfied (or waived in accordance with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which date is February 27, 2014.</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7" w:name="page188"/>
    <w:bookmarkEnd w:id="187"/>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85"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means a single currency of the Participating Member States.</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w:t>
      </w:r>
      <w:r>
        <w:rPr>
          <w:rFonts w:ascii="Times New Roman" w:cs="Times New Roman" w:eastAsia="Times New Roman" w:hAnsi="Times New Roman"/>
          <w:sz w:val="22"/>
          <w:szCs w:val="22"/>
          <w:color w:val="auto"/>
        </w:rPr>
        <w:t>”, when used in reference to any Loan or Borrowing, refers to whether such Loan, or the Loans constituting such Borrowing, are bearing interest at a rate determined by reference to the Adjusted LIBO Rate.</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at the time of such assignment or designation (other than to the extent such withholding is as a result of a CAM Exchange), or (ii) that is attributable to such Lender’s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8" w:name="page189"/>
    <w:bookmarkEnd w:id="18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or inability (other than as a result of a Change in Law occurring after the date such Lender becomes a party to this Agreement) to comply with </w:t>
      </w:r>
      <w:r>
        <w:rPr>
          <w:rFonts w:ascii="Times New Roman" w:cs="Times New Roman" w:eastAsia="Times New Roman" w:hAnsi="Times New Roman"/>
          <w:sz w:val="22"/>
          <w:szCs w:val="22"/>
          <w:u w:val="single" w:color="auto"/>
          <w:color w:val="auto"/>
        </w:rPr>
        <w:t>Section 2.16(f)</w:t>
      </w:r>
      <w:r>
        <w:rPr>
          <w:rFonts w:ascii="Times New Roman" w:cs="Times New Roman" w:eastAsia="Times New Roman" w:hAnsi="Times New Roman"/>
          <w:sz w:val="22"/>
          <w:szCs w:val="22"/>
          <w:color w:val="auto"/>
        </w:rPr>
        <w:t>, (d) any U.S. federal, state or local backup withholding Taxes imposed on payments made under any Loan Document, and (e) any Taxes that are imposed under FATCA.</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xml:space="preserve">” has the meaning assigned to such term in the </w:t>
      </w: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xml:space="preserve"> to this Agreement.</w:t>
      </w:r>
    </w:p>
    <w:p>
      <w:pPr>
        <w:spacing w:after="0" w:line="206"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Applicable Margin</w:t>
      </w:r>
      <w:r>
        <w:rPr>
          <w:rFonts w:ascii="Times New Roman" w:cs="Times New Roman" w:eastAsia="Times New Roman" w:hAnsi="Times New Roman"/>
          <w:sz w:val="22"/>
          <w:szCs w:val="22"/>
          <w:color w:val="auto"/>
        </w:rPr>
        <w:t>” means, with respect to any Extending Lender: (a) if the Borrowing Base (as of the most recently delivered Borrowing Base Certificate) is equal to or greater than 1.85 times the Combined Debt Amount,</w:t>
      </w:r>
    </w:p>
    <w:p>
      <w:pPr>
        <w:spacing w:after="0" w:line="2" w:lineRule="exact"/>
        <w:rPr>
          <w:sz w:val="20"/>
          <w:szCs w:val="20"/>
          <w:color w:val="auto"/>
        </w:rPr>
      </w:pPr>
    </w:p>
    <w:p>
      <w:pPr>
        <w:jc w:val="both"/>
        <w:ind w:firstLine="8"/>
        <w:spacing w:after="0" w:line="243" w:lineRule="auto"/>
        <w:tabs>
          <w:tab w:leader="none" w:pos="26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ABR Loan, 0.75% per annum; and (ii) with respect to any Eurocurrency Loan, 1.75% per annum and (b) if the Borrowing Base (as of the most recently delivered Borrowing Base Certificate) is less than 1.85 times the Combined Debt Amount (i) with respect to any ABR Loan, 0.875% per annum; and (ii) with respect to any Eurocurrency Loan, 1.875%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any Borrowing Base Certificate has not been delivered in accordance with </w:t>
      </w:r>
      <w:r>
        <w:rPr>
          <w:rFonts w:ascii="Times New Roman" w:cs="Times New Roman" w:eastAsia="Times New Roman" w:hAnsi="Times New Roman"/>
          <w:sz w:val="21"/>
          <w:szCs w:val="21"/>
          <w:u w:val="single" w:color="auto"/>
          <w:color w:val="auto"/>
        </w:rPr>
        <w:t>Section 5.01(d)</w:t>
      </w:r>
      <w:r>
        <w:rPr>
          <w:rFonts w:ascii="Times New Roman" w:cs="Times New Roman" w:eastAsia="Times New Roman" w:hAnsi="Times New Roman"/>
          <w:sz w:val="21"/>
          <w:szCs w:val="21"/>
          <w:color w:val="auto"/>
        </w:rPr>
        <w:t xml:space="preserve">, then from and including the day immediately succeeding the date on which such Borrowing Base Certificate was required to be delivered, the Extended Applicable Margin shall be the Extended Applicable Margin set forth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to and including the date on which the required Borrowing Base Certificate is delivered.</w:t>
      </w:r>
    </w:p>
    <w:p>
      <w:pPr>
        <w:spacing w:after="0" w:line="17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Availability Period</w:t>
      </w:r>
      <w:r>
        <w:rPr>
          <w:rFonts w:ascii="Times New Roman" w:cs="Times New Roman" w:eastAsia="Times New Roman" w:hAnsi="Times New Roman"/>
          <w:sz w:val="22"/>
          <w:szCs w:val="22"/>
          <w:color w:val="auto"/>
        </w:rPr>
        <w:t>” means, with respect to any Extending Lender, the period from and including the Effective Date to but excluding the earlier of the Extended Commitment Termination Date and the date of termination of the Commitments.</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Extended Commitment Termination Date</w:t>
      </w:r>
      <w:r>
        <w:rPr>
          <w:rFonts w:ascii="Times New Roman" w:cs="Times New Roman" w:eastAsia="Times New Roman" w:hAnsi="Times New Roman"/>
          <w:sz w:val="21"/>
          <w:szCs w:val="21"/>
          <w:color w:val="auto"/>
        </w:rPr>
        <w:t>” means, with respect to each Extending Lender, February 4, 2025.</w:t>
      </w:r>
    </w:p>
    <w:p>
      <w:pPr>
        <w:spacing w:after="0" w:line="2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Final Maturity Date</w:t>
      </w:r>
      <w:r>
        <w:rPr>
          <w:rFonts w:ascii="Times New Roman" w:cs="Times New Roman" w:eastAsia="Times New Roman" w:hAnsi="Times New Roman"/>
          <w:sz w:val="22"/>
          <w:szCs w:val="22"/>
          <w:color w:val="auto"/>
        </w:rPr>
        <w:t>” means, with respect to each Extending Lender, February 4, 2026.</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Loans</w:t>
      </w:r>
      <w:r>
        <w:rPr>
          <w:rFonts w:ascii="Times New Roman" w:cs="Times New Roman" w:eastAsia="Times New Roman" w:hAnsi="Times New Roman"/>
          <w:sz w:val="22"/>
          <w:szCs w:val="22"/>
          <w:color w:val="auto"/>
        </w:rPr>
        <w:t>” means Loans or Borrowings of any Extending Lender maturing on the Extended Final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Maturity Date.</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xml:space="preserve">” means each Lender designated as an “Extending Lender”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External Manager</w:t>
      </w:r>
      <w:r>
        <w:rPr>
          <w:rFonts w:ascii="Times New Roman" w:cs="Times New Roman" w:eastAsia="Times New Roman" w:hAnsi="Times New Roman"/>
          <w:sz w:val="22"/>
          <w:szCs w:val="22"/>
          <w:color w:val="auto"/>
        </w:rPr>
        <w:t>” means TSL Advisers,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9" w:name="page190"/>
    <w:bookmarkEnd w:id="189"/>
    <w:p>
      <w:pPr>
        <w:jc w:val="both"/>
        <w:ind w:firstLine="172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Extraordinary Receipts</w:t>
      </w:r>
      <w:r>
        <w:rPr>
          <w:rFonts w:ascii="Times New Roman" w:cs="Times New Roman" w:eastAsia="Times New Roman" w:hAnsi="Times New Roman"/>
          <w:sz w:val="21"/>
          <w:szCs w:val="21"/>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Extraordinary Receipts shall not include any (x) amounts that the Borrower receives from the Administrative Agent or any Lender pursuant to </w:t>
      </w:r>
      <w:r>
        <w:rPr>
          <w:rFonts w:ascii="Times New Roman" w:cs="Times New Roman" w:eastAsia="Times New Roman" w:hAnsi="Times New Roman"/>
          <w:sz w:val="21"/>
          <w:szCs w:val="21"/>
          <w:u w:val="single" w:color="auto"/>
          <w:color w:val="auto"/>
        </w:rPr>
        <w:t>Section 2.16(f)</w:t>
      </w:r>
      <w:r>
        <w:rPr>
          <w:rFonts w:ascii="Times New Roman" w:cs="Times New Roman" w:eastAsia="Times New Roman" w:hAnsi="Times New Roman"/>
          <w:sz w:val="21"/>
          <w:szCs w:val="21"/>
          <w:color w:val="auto"/>
        </w:rPr>
        <w:t>, or</w:t>
      </w:r>
    </w:p>
    <w:p>
      <w:pPr>
        <w:spacing w:after="0" w:line="6" w:lineRule="exact"/>
        <w:rPr>
          <w:sz w:val="20"/>
          <w:szCs w:val="20"/>
          <w:color w:val="auto"/>
        </w:rPr>
      </w:pPr>
    </w:p>
    <w:p>
      <w:pPr>
        <w:jc w:val="both"/>
        <w:ind w:firstLine="8"/>
        <w:spacing w:after="0" w:line="233" w:lineRule="auto"/>
        <w:tabs>
          <w:tab w:leader="none" w:pos="3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79"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7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1"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Bank of New York’s Website</w:t>
      </w:r>
      <w:r>
        <w:rPr>
          <w:rFonts w:ascii="Times New Roman" w:cs="Times New Roman" w:eastAsia="Times New Roman" w:hAnsi="Times New Roman"/>
          <w:sz w:val="22"/>
          <w:szCs w:val="22"/>
          <w:color w:val="auto"/>
        </w:rPr>
        <w:t>” means the website of the Federal Reserve Bank of New York at http://www.newyorkfed.org, or any successor source.</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Maturity Date</w:t>
      </w:r>
      <w:r>
        <w:rPr>
          <w:rFonts w:ascii="Times New Roman" w:cs="Times New Roman" w:eastAsia="Times New Roman" w:hAnsi="Times New Roman"/>
          <w:sz w:val="22"/>
          <w:szCs w:val="22"/>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the chief financial officer, principal accounting officer, treasurer or controller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Borrower.</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Financing Subsidiary</w:t>
      </w:r>
      <w:r>
        <w:rPr>
          <w:rFonts w:ascii="Times New Roman" w:cs="Times New Roman" w:eastAsia="Times New Roman" w:hAnsi="Times New Roman"/>
          <w:sz w:val="22"/>
          <w:szCs w:val="22"/>
          <w:color w:val="auto"/>
        </w:rPr>
        <w:t>” means an SPE Subsidiary or an SBIC Subsidiary.</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w:t>
      </w:r>
      <w:r>
        <w:rPr>
          <w:rFonts w:ascii="Times New Roman" w:cs="Times New Roman" w:eastAsia="Times New Roman" w:hAnsi="Times New Roman"/>
          <w:sz w:val="22"/>
          <w:szCs w:val="22"/>
          <w:color w:val="auto"/>
        </w:rPr>
        <w:t>” means at any time any Currency other than Dollars.</w:t>
      </w:r>
    </w:p>
    <w:p>
      <w:pPr>
        <w:spacing w:after="0" w:line="206"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Equivalent</w:t>
      </w:r>
      <w:r>
        <w:rPr>
          <w:rFonts w:ascii="Times New Roman" w:cs="Times New Roman" w:eastAsia="Times New Roman" w:hAnsi="Times New Roman"/>
          <w:sz w:val="22"/>
          <w:szCs w:val="22"/>
          <w:color w:val="auto"/>
        </w:rPr>
        <w:t>” means, with respect to any amount in Dollars, the amount of any Foreign Currency that could be purchased with such amount of Dollars using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0" w:name="page191"/>
    <w:bookmarkEnd w:id="190"/>
    <w:p>
      <w:pPr>
        <w:jc w:val="both"/>
        <w:spacing w:after="0" w:line="258" w:lineRule="auto"/>
        <w:rPr>
          <w:sz w:val="20"/>
          <w:szCs w:val="20"/>
          <w:color w:val="auto"/>
        </w:rPr>
      </w:pPr>
      <w:r>
        <w:rPr>
          <w:rFonts w:ascii="Times New Roman" w:cs="Times New Roman" w:eastAsia="Times New Roman" w:hAnsi="Times New Roman"/>
          <w:sz w:val="22"/>
          <w:szCs w:val="22"/>
          <w:color w:val="auto"/>
        </w:rPr>
        <w:t>reciprocal of the foreign exchange rate(s) specified in the definition of the term “Dollar Equivalent”, as determined by the Administrative Agent.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not a “United States person” as defined under Section 7701(a)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of the Code.</w:t>
      </w:r>
    </w:p>
    <w:p>
      <w:pPr>
        <w:spacing w:after="0" w:line="182"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1" w:lineRule="exact"/>
        <w:rPr>
          <w:sz w:val="20"/>
          <w:szCs w:val="20"/>
          <w:color w:val="auto"/>
        </w:rPr>
      </w:pPr>
    </w:p>
    <w:p>
      <w:pPr>
        <w:jc w:val="both"/>
        <w:ind w:firstLine="1727"/>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Fronting Exposure</w:t>
      </w:r>
      <w:r>
        <w:rPr>
          <w:rFonts w:ascii="Times New Roman" w:cs="Times New Roman" w:eastAsia="Times New Roman" w:hAnsi="Times New Roman"/>
          <w:sz w:val="21"/>
          <w:szCs w:val="21"/>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6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80"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1" w:name="page192"/>
    <w:bookmarkEnd w:id="191"/>
    <w:p>
      <w:pPr>
        <w:jc w:val="both"/>
        <w:spacing w:after="0" w:line="258" w:lineRule="auto"/>
        <w:rPr>
          <w:sz w:val="20"/>
          <w:szCs w:val="20"/>
          <w:color w:val="auto"/>
        </w:rPr>
      </w:pPr>
      <w:r>
        <w:rPr>
          <w:rFonts w:ascii="Times New Roman" w:cs="Times New Roman" w:eastAsia="Times New Roman" w:hAnsi="Times New Roman"/>
          <w:sz w:val="22"/>
          <w:szCs w:val="22"/>
          <w:color w:val="auto"/>
        </w:rPr>
        <w:t>thereunder is remote and such indemnification obligations are not the functional equivalent of the guaranty of a payment obligation of the primary obligor.</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and Security Agreement</w:t>
      </w:r>
      <w:r>
        <w:rPr>
          <w:rFonts w:ascii="Times New Roman" w:cs="Times New Roman" w:eastAsia="Times New Roman" w:hAnsi="Times New Roman"/>
          <w:sz w:val="22"/>
          <w:szCs w:val="22"/>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7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 Assumption Agreement</w:t>
      </w:r>
      <w:r>
        <w:rPr>
          <w:rFonts w:ascii="Times New Roman" w:cs="Times New Roman" w:eastAsia="Times New Roman" w:hAnsi="Times New Roman"/>
          <w:sz w:val="22"/>
          <w:szCs w:val="22"/>
          <w:color w:val="auto"/>
        </w:rPr>
        <w:t xml:space="preserve">” means a Guarantee Assumption Agreement substantially in the form of Exhibit B to the Guarantee and Security Agreement between the Collateral Agent and an entity that pursuant to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xml:space="preserve"> is required to become a “Subsidiary Guarantor” under the Guarantee and Security Agreement (with such changes as the Administrative Agent shall request consistent with the requirements of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 means any interest rate protection agreement, foreign currency exchange protection agreement, commodity price protection agreement or other interest or currency exchange rate or commodity price hedging arrangement.</w:t>
      </w:r>
    </w:p>
    <w:p>
      <w:pPr>
        <w:spacing w:after="0" w:line="17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Subsidiaries</w:t>
      </w:r>
      <w:r>
        <w:rPr>
          <w:rFonts w:ascii="Times New Roman" w:cs="Times New Roman" w:eastAsia="Times New Roman" w:hAnsi="Times New Roman"/>
          <w:sz w:val="22"/>
          <w:szCs w:val="22"/>
          <w:color w:val="auto"/>
        </w:rPr>
        <w:t xml:space="preserve">” means those Subsidiaries of the Borrower that are “designated” as Immaterial Subsidiaries by the Borrower from time to time (it being understood that the Borrower may at any time change any such designation);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designated Immaterial Subsidiaries shall collectively meet all of the following criteria as of the date of the most recent balance sheet required to be delivered pursuant to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2.08(e)(i)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2" w:name="page193"/>
    <w:bookmarkEnd w:id="192"/>
    <w:p>
      <w:pPr>
        <w:jc w:val="both"/>
        <w:spacing w:after="0" w:line="236" w:lineRule="auto"/>
        <w:rPr>
          <w:sz w:val="20"/>
          <w:szCs w:val="20"/>
          <w:color w:val="auto"/>
        </w:rPr>
      </w:pPr>
      <w:r>
        <w:rPr>
          <w:rFonts w:ascii="Times New Roman" w:cs="Times New Roman" w:eastAsia="Times New Roman" w:hAnsi="Times New Roman"/>
          <w:sz w:val="22"/>
          <w:szCs w:val="22"/>
          <w:color w:val="auto"/>
        </w:rPr>
        <w:t>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81"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Taxes, other than Excluded Taxes, imposed on or with respect to any payment made by or on account of any obligation of the Borrower under this Agreement.</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w:t>
      </w:r>
      <w:r>
        <w:rPr>
          <w:rFonts w:ascii="Times New Roman" w:cs="Times New Roman" w:eastAsia="Times New Roman" w:hAnsi="Times New Roman"/>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7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Industry Classification Group</w:t>
      </w:r>
      <w:r>
        <w:rPr>
          <w:rFonts w:ascii="Times New Roman" w:cs="Times New Roman" w:eastAsia="Times New Roman" w:hAnsi="Times New Roman"/>
          <w:sz w:val="22"/>
          <w:szCs w:val="22"/>
          <w:color w:val="auto"/>
        </w:rPr>
        <w:t xml:space="preserve">” means (a) any of the classification groups set forth in </w:t>
      </w:r>
      <w:r>
        <w:rPr>
          <w:rFonts w:ascii="Times New Roman" w:cs="Times New Roman" w:eastAsia="Times New Roman" w:hAnsi="Times New Roman"/>
          <w:sz w:val="22"/>
          <w:szCs w:val="22"/>
          <w:u w:val="single" w:color="auto"/>
          <w:color w:val="auto"/>
        </w:rPr>
        <w:t>Schedule 1.01(c)</w:t>
      </w:r>
      <w:r>
        <w:rPr>
          <w:rFonts w:ascii="Times New Roman" w:cs="Times New Roman" w:eastAsia="Times New Roman" w:hAnsi="Times New Roman"/>
          <w:sz w:val="22"/>
          <w:szCs w:val="22"/>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Election Request</w:t>
      </w:r>
      <w:r>
        <w:rPr>
          <w:rFonts w:ascii="Times New Roman" w:cs="Times New Roman" w:eastAsia="Times New Roman" w:hAnsi="Times New Roman"/>
          <w:sz w:val="22"/>
          <w:szCs w:val="22"/>
          <w:color w:val="auto"/>
        </w:rPr>
        <w:t xml:space="preserve">” means a request by the Borrower to convert or continue a Syndicated Borrowing in accordance with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2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62"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3" w:name="page194"/>
    <w:bookmarkEnd w:id="193"/>
    <w:p>
      <w:pPr>
        <w:jc w:val="both"/>
        <w:spacing w:after="0" w:line="235" w:lineRule="auto"/>
        <w:rPr>
          <w:sz w:val="20"/>
          <w:szCs w:val="20"/>
          <w:color w:val="auto"/>
        </w:rPr>
      </w:pPr>
      <w:r>
        <w:rPr>
          <w:rFonts w:ascii="Times New Roman" w:cs="Times New Roman" w:eastAsia="Times New Roman" w:hAnsi="Times New Roman"/>
          <w:sz w:val="22"/>
          <w:szCs w:val="22"/>
          <w:color w:val="auto"/>
        </w:rPr>
        <w:t>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83"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means the Investment Company Act of 1940, as amended from time to time.</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xml:space="preserve">” means Truist, JPMorgan Chase Bank, N.A., and any other Issuing Bank designated pursuant to </w:t>
      </w:r>
      <w:r>
        <w:rPr>
          <w:rFonts w:ascii="Times New Roman" w:cs="Times New Roman" w:eastAsia="Times New Roman" w:hAnsi="Times New Roman"/>
          <w:sz w:val="22"/>
          <w:szCs w:val="22"/>
          <w:u w:val="single" w:color="auto"/>
          <w:color w:val="auto"/>
        </w:rPr>
        <w:t>Section 2.05(l)</w:t>
      </w:r>
      <w:r>
        <w:rPr>
          <w:rFonts w:ascii="Times New Roman" w:cs="Times New Roman" w:eastAsia="Times New Roman" w:hAnsi="Times New Roman"/>
          <w:sz w:val="22"/>
          <w:szCs w:val="22"/>
          <w:color w:val="auto"/>
        </w:rPr>
        <w:t xml:space="preserve">, in their capacity as the issuers of Letters of Credit hereunder, and their respective successors in such capacity as provided in </w:t>
      </w:r>
      <w:r>
        <w:rPr>
          <w:rFonts w:ascii="Times New Roman" w:cs="Times New Roman" w:eastAsia="Times New Roman" w:hAnsi="Times New Roman"/>
          <w:sz w:val="22"/>
          <w:szCs w:val="22"/>
          <w:u w:val="single" w:color="auto"/>
          <w:color w:val="auto"/>
        </w:rPr>
        <w:t>Section 2.05(j)</w:t>
      </w:r>
      <w:r>
        <w:rPr>
          <w:rFonts w:ascii="Times New Roman" w:cs="Times New Roman" w:eastAsia="Times New Roman" w:hAnsi="Times New Roman"/>
          <w:sz w:val="22"/>
          <w:szCs w:val="22"/>
          <w:color w:val="auto"/>
        </w:rPr>
        <w:t>. In the case of any Letter of Credit to be issued in an Agreed Foreign Currency, Truist and JPMorgan Chase Bank, N.A., respectively, may designate any of their respective affiliates as the “Issuing Bank” for purposes of such Letter of Credit.</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Lead Arrangers</w:t>
      </w:r>
      <w:r>
        <w:rPr>
          <w:rFonts w:ascii="Times New Roman" w:cs="Times New Roman" w:eastAsia="Times New Roman" w:hAnsi="Times New Roman"/>
          <w:sz w:val="21"/>
          <w:szCs w:val="21"/>
          <w:color w:val="auto"/>
        </w:rPr>
        <w:t>” means Truist Securities, Inc., JPMorgan Chase Bank, N.A. and MUFG Union Bank,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any Issuing Bank pursuant to a Letter of Credit.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Exposure</w:t>
      </w:r>
      <w:r>
        <w:rPr>
          <w:rFonts w:ascii="Times New Roman" w:cs="Times New Roman" w:eastAsia="Times New Roman" w:hAnsi="Times New Roman"/>
          <w:sz w:val="21"/>
          <w:szCs w:val="21"/>
          <w:color w:val="auto"/>
        </w:rPr>
        <w:t>” means, at any time, the sum of the Dollar LC Exposure and the Multicurrency LC Exposure.</w:t>
      </w:r>
    </w:p>
    <w:p>
      <w:pPr>
        <w:spacing w:after="0" w:line="21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collectively, the Dollar Lenders and the Multicurrency Lenders. Unless the context otherwise requires, the term “Lenders” includes each Swingline Lender.</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4" w:name="page195"/>
    <w:bookmarkEnd w:id="194"/>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Collateral Account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Documents</w:t>
      </w:r>
      <w:r>
        <w:rPr>
          <w:rFonts w:ascii="Times New Roman" w:cs="Times New Roman" w:eastAsia="Times New Roman" w:hAnsi="Times New Roman"/>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7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Quoted Currency</w:t>
      </w:r>
      <w:r>
        <w:rPr>
          <w:rFonts w:ascii="Times New Roman" w:cs="Times New Roman" w:eastAsia="Times New Roman" w:hAnsi="Times New Roman"/>
          <w:sz w:val="22"/>
          <w:szCs w:val="22"/>
          <w:color w:val="auto"/>
        </w:rPr>
        <w:t>” means each of the following currencies: Dollars; Euro; English Pounds Sterling; Japanese Yen; and Swiss Franc; in each case as long as there is a published LIBO rate with respect thereto.</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LIBO Rate</w:t>
      </w:r>
      <w:r>
        <w:rPr>
          <w:rFonts w:ascii="Times New Roman" w:cs="Times New Roman" w:eastAsia="Times New Roman" w:hAnsi="Times New Roman"/>
          <w:sz w:val="22"/>
          <w:szCs w:val="22"/>
          <w:color w:val="auto"/>
        </w:rPr>
        <w:t>” means, for any Interest Period:</w:t>
      </w:r>
    </w:p>
    <w:p>
      <w:pPr>
        <w:spacing w:after="0" w:line="206" w:lineRule="exact"/>
        <w:rPr>
          <w:sz w:val="20"/>
          <w:szCs w:val="20"/>
          <w:color w:val="auto"/>
        </w:rPr>
      </w:pPr>
    </w:p>
    <w:p>
      <w:pPr>
        <w:jc w:val="both"/>
        <w:ind w:firstLine="1735"/>
        <w:spacing w:after="0" w:line="244" w:lineRule="auto"/>
        <w:tabs>
          <w:tab w:leader="none" w:pos="261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(the “</w:t>
      </w:r>
      <w:r>
        <w:rPr>
          <w:rFonts w:ascii="Times New Roman" w:cs="Times New Roman" w:eastAsia="Times New Roman" w:hAnsi="Times New Roman"/>
          <w:sz w:val="21"/>
          <w:szCs w:val="21"/>
          <w:u w:val="single" w:color="auto"/>
          <w:color w:val="auto"/>
        </w:rPr>
        <w:t>Screen Rate</w:t>
      </w:r>
      <w:r>
        <w:rPr>
          <w:rFonts w:ascii="Times New Roman" w:cs="Times New Roman" w:eastAsia="Times New Roman" w:hAnsi="Times New Roman"/>
          <w:sz w:val="21"/>
          <w:szCs w:val="21"/>
          <w:color w:val="auto"/>
        </w:rPr>
        <w:t>”); provided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180" w:lineRule="exact"/>
        <w:rPr>
          <w:rFonts w:ascii="Times New Roman" w:cs="Times New Roman" w:eastAsia="Times New Roman" w:hAnsi="Times New Roman"/>
          <w:sz w:val="21"/>
          <w:szCs w:val="21"/>
          <w:color w:val="auto"/>
        </w:rPr>
      </w:pPr>
    </w:p>
    <w:p>
      <w:pPr>
        <w:ind w:left="2640" w:hanging="905"/>
        <w:spacing w:after="0"/>
        <w:tabs>
          <w:tab w:leader="none" w:pos="26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Canadian Dollars, the CDOR Rate per</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annum;</w:t>
      </w:r>
    </w:p>
    <w:p>
      <w:pPr>
        <w:spacing w:after="0" w:line="182"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1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5" w:name="page196"/>
    <w:bookmarkEnd w:id="195"/>
    <w:p>
      <w:pPr>
        <w:jc w:val="both"/>
        <w:ind w:firstLine="1735"/>
        <w:spacing w:after="0" w:line="236" w:lineRule="auto"/>
        <w:tabs>
          <w:tab w:leader="none" w:pos="2627"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time to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181" w:lineRule="exact"/>
        <w:rPr>
          <w:rFonts w:ascii="Times New Roman" w:cs="Times New Roman" w:eastAsia="Times New Roman" w:hAnsi="Times New Roman"/>
          <w:sz w:val="22"/>
          <w:szCs w:val="22"/>
          <w:color w:val="auto"/>
        </w:rPr>
      </w:pPr>
    </w:p>
    <w:p>
      <w:pPr>
        <w:jc w:val="both"/>
        <w:ind w:firstLine="1735"/>
        <w:spacing w:after="0" w:line="236" w:lineRule="auto"/>
        <w:tabs>
          <w:tab w:leader="none" w:pos="2615"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and</w:t>
      </w:r>
    </w:p>
    <w:p>
      <w:pPr>
        <w:spacing w:after="0" w:line="181" w:lineRule="exact"/>
        <w:rPr>
          <w:rFonts w:ascii="Times New Roman" w:cs="Times New Roman" w:eastAsia="Times New Roman" w:hAnsi="Times New Roman"/>
          <w:sz w:val="22"/>
          <w:szCs w:val="22"/>
          <w:color w:val="auto"/>
        </w:rPr>
      </w:pPr>
    </w:p>
    <w:p>
      <w:pPr>
        <w:jc w:val="both"/>
        <w:ind w:firstLine="1735"/>
        <w:spacing w:after="0" w:line="244" w:lineRule="auto"/>
        <w:tabs>
          <w:tab w:leader="none" w:pos="25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in each case, if such rate is less than zero, such rate shall be deemed to be zero for purposes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firstLine="1727"/>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71"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the Sixth Amendment to this Agreement dated as of February 20, 2018, the Seventh Amendment to this Agreement dated as of November 5, 2018, the Eighth Amendment to this Agreement dated as of February 14, 2019, the Ninth Amendment to this Agreement dated as of January 31, 2020 and the Tenth Amendment to this Agreement dated as of February 5, 2021.</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made by the Lenders to the Borrower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6" w:name="page197"/>
    <w:bookmarkEnd w:id="196"/>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means “margin stock” within the meaning of Regulations T, U and X.</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3.04(b)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77"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(a) Indebtedness (other than the Loans, Letters of Credit and Hedging Agreements), of any one or more of the Borrower and its Subsidiaries in an aggregate principal amount exceeding $25,000,000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$25,000,000.</w:t>
      </w:r>
    </w:p>
    <w:p>
      <w:pPr>
        <w:spacing w:after="0" w:line="177"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thereto.</w:t>
      </w:r>
    </w:p>
    <w:p>
      <w:pPr>
        <w:spacing w:after="0" w:line="206"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Commitment</w:t>
      </w:r>
      <w:r>
        <w:rPr>
          <w:rFonts w:ascii="Times New Roman" w:cs="Times New Roman" w:eastAsia="Times New Roman" w:hAnsi="Times New Roman"/>
          <w:sz w:val="22"/>
          <w:szCs w:val="22"/>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from time to time pursuant to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(b) reduced or increased from time to time pursuant to assignments by or to such Lender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The amount of each Lender’s Multicurrency Commitment as of the Tenth Amendment Effective Date is set forth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or in the Assignment and Assumption pursuant to which such Lender shall have assumed its Multicurrency commitment, as applicable. The aggregate amount of the Lenders’ Multicurrency Commitments as of the Tenth Amendment Effective Date is $1,090,000,000.</w:t>
      </w:r>
    </w:p>
    <w:p>
      <w:pPr>
        <w:spacing w:after="0" w:line="179"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LC Exposure</w:t>
      </w:r>
      <w:r>
        <w:rPr>
          <w:rFonts w:ascii="Times New Roman" w:cs="Times New Roman" w:eastAsia="Times New Roman" w:hAnsi="Times New Roman"/>
          <w:sz w:val="22"/>
          <w:szCs w:val="22"/>
          <w:color w:val="auto"/>
        </w:rPr>
        <w:t xml:space="preserve">” means, at any time, the sum of (a) the aggregate undrawn amount of all outstanding Multicurrency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7" w:name="page198"/>
    <w:bookmarkEnd w:id="197"/>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Lender</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80" w:lineRule="exact"/>
        <w:rPr>
          <w:sz w:val="20"/>
          <w:szCs w:val="20"/>
          <w:color w:val="auto"/>
        </w:rPr>
      </w:pPr>
    </w:p>
    <w:p>
      <w:pPr>
        <w:ind w:left="1740" w:right="600"/>
        <w:spacing w:after="0" w:line="4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Multicurrency Letters of Credit</w:t>
      </w:r>
      <w:r>
        <w:rPr>
          <w:rFonts w:ascii="Times New Roman" w:cs="Times New Roman" w:eastAsia="Times New Roman" w:hAnsi="Times New Roman"/>
          <w:sz w:val="22"/>
          <w:szCs w:val="22"/>
          <w:color w:val="auto"/>
        </w:rPr>
        <w:t>” means Letters of Credit that utilize the Multicurrency Commitments. “</w:t>
      </w:r>
      <w:r>
        <w:rPr>
          <w:rFonts w:ascii="Times New Roman" w:cs="Times New Roman" w:eastAsia="Times New Roman" w:hAnsi="Times New Roman"/>
          <w:sz w:val="22"/>
          <w:szCs w:val="22"/>
          <w:u w:val="single" w:color="auto"/>
          <w:color w:val="auto"/>
        </w:rPr>
        <w:t>Multicurrency Loan</w:t>
      </w:r>
      <w:r>
        <w:rPr>
          <w:rFonts w:ascii="Times New Roman" w:cs="Times New Roman" w:eastAsia="Times New Roman" w:hAnsi="Times New Roman"/>
          <w:sz w:val="22"/>
          <w:szCs w:val="22"/>
          <w:color w:val="auto"/>
        </w:rPr>
        <w:t>” means a Loan denominated in Dollars or an Agreed Foreign Currency. “</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w:t>
      </w:r>
      <w:r>
        <w:rPr>
          <w:rFonts w:ascii="Times New Roman" w:cs="Times New Roman" w:eastAsia="Times New Roman" w:hAnsi="Times New Roman"/>
          <w:sz w:val="22"/>
          <w:szCs w:val="22"/>
          <w:u w:val="single" w:color="auto"/>
          <w:color w:val="auto"/>
        </w:rPr>
        <w:t>National Currency</w:t>
      </w:r>
      <w:r>
        <w:rPr>
          <w:rFonts w:ascii="Times New Roman" w:cs="Times New Roman" w:eastAsia="Times New Roman" w:hAnsi="Times New Roman"/>
          <w:sz w:val="22"/>
          <w:szCs w:val="22"/>
          <w:color w:val="auto"/>
        </w:rPr>
        <w:t>” means the currency, other than the Euro, of a Participating Member State. “</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means:</w:t>
      </w:r>
    </w:p>
    <w:p>
      <w:pPr>
        <w:spacing w:after="0" w:line="2" w:lineRule="exact"/>
        <w:rPr>
          <w:sz w:val="20"/>
          <w:szCs w:val="20"/>
          <w:color w:val="auto"/>
        </w:rPr>
      </w:pPr>
    </w:p>
    <w:p>
      <w:pPr>
        <w:jc w:val="both"/>
        <w:ind w:firstLine="1735"/>
        <w:spacing w:after="0" w:line="244" w:lineRule="auto"/>
        <w:tabs>
          <w:tab w:leader="none" w:pos="261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amount of any estimated taxes pursuant to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83" w:lineRule="exact"/>
        <w:rPr>
          <w:rFonts w:ascii="Times New Roman" w:cs="Times New Roman" w:eastAsia="Times New Roman" w:hAnsi="Times New Roman"/>
          <w:sz w:val="21"/>
          <w:szCs w:val="21"/>
          <w:color w:val="auto"/>
        </w:rPr>
      </w:pPr>
    </w:p>
    <w:p>
      <w:pPr>
        <w:jc w:val="both"/>
        <w:ind w:firstLine="1735"/>
        <w:spacing w:after="0" w:line="248" w:lineRule="auto"/>
        <w:tabs>
          <w:tab w:leader="none" w:pos="262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an amount equal to (i) the sum of the cash and Cash Equivalents received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8" w:name="page199"/>
    <w:bookmarkEnd w:id="19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with such transaction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the sum of (1) reasonable out-of-pocket fees, costs and expenses, incurred by the Borrower or such Subsidiary in connection therewith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any reasonable costs, fees, commissions, premiums, expenses, or underwriting discounts or commissions incurred by the Borrower or any of its Subsidiaries in connection with such sale or issuance.</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Ninth Amendment Effective Date</w:t>
      </w:r>
      <w:r>
        <w:rPr>
          <w:rFonts w:ascii="Times New Roman" w:cs="Times New Roman" w:eastAsia="Times New Roman" w:hAnsi="Times New Roman"/>
          <w:sz w:val="22"/>
          <w:szCs w:val="22"/>
          <w:color w:val="auto"/>
        </w:rPr>
        <w:t>” means January 31, 2020.</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 Lender that is not a Defaulting Lender at such time.</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Applicable Margin</w:t>
      </w:r>
      <w:r>
        <w:rPr>
          <w:rFonts w:ascii="Times New Roman" w:cs="Times New Roman" w:eastAsia="Times New Roman" w:hAnsi="Times New Roman"/>
          <w:sz w:val="22"/>
          <w:szCs w:val="22"/>
          <w:color w:val="auto"/>
        </w:rPr>
        <w:t xml:space="preserve">” means, with respect to any Non-Extending Lender: (a) if the Borrowing Base (as of the most recently delivered Borrowing Base Certificate) is equal to or greater than 1.85 times the Combined Debt Amount, (i) with respect to any ABR Loan, 0.75% per annum; and (ii) with respect to any Eurocurrency Loan, 1.75% per annum and (b) if the Borrowing Base (as of the most recently delivered Borrowing Base Certificate) is less than 1.85 times the Combined Debt Amount (i) with respect to any ABR Loan, 1.00% per annum; and (ii) with respect to any Eurocurrency Loan, 2.00% per annum. Any change in the Non-Extended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Borrowing Base Certificate has not been delivered in accordance with </w:t>
      </w:r>
      <w:r>
        <w:rPr>
          <w:rFonts w:ascii="Times New Roman" w:cs="Times New Roman" w:eastAsia="Times New Roman" w:hAnsi="Times New Roman"/>
          <w:sz w:val="22"/>
          <w:szCs w:val="22"/>
          <w:u w:val="single" w:color="auto"/>
          <w:color w:val="auto"/>
        </w:rPr>
        <w:t>Section 5.01(d)</w:t>
      </w:r>
      <w:r>
        <w:rPr>
          <w:rFonts w:ascii="Times New Roman" w:cs="Times New Roman" w:eastAsia="Times New Roman" w:hAnsi="Times New Roman"/>
          <w:sz w:val="22"/>
          <w:szCs w:val="22"/>
          <w:color w:val="auto"/>
        </w:rPr>
        <w:t xml:space="preserve">, then from and including the day immediately succeeding the date on which such Borrowing Base Certificate was required to be delivered, the Non-Extended Applicable Margin shall be the Non-Extended Applicable Margin set forth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to and including the date on which the required Borrowing Base Certificate is delivered.</w:t>
      </w:r>
    </w:p>
    <w:p>
      <w:pPr>
        <w:spacing w:after="0" w:line="185"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Availability Period</w:t>
      </w:r>
      <w:r>
        <w:rPr>
          <w:rFonts w:ascii="Times New Roman" w:cs="Times New Roman" w:eastAsia="Times New Roman" w:hAnsi="Times New Roman"/>
          <w:sz w:val="22"/>
          <w:szCs w:val="22"/>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Commitment Termination Date</w:t>
      </w:r>
      <w:r>
        <w:rPr>
          <w:rFonts w:ascii="Times New Roman" w:cs="Times New Roman" w:eastAsia="Times New Roman" w:hAnsi="Times New Roman"/>
          <w:sz w:val="22"/>
          <w:szCs w:val="22"/>
          <w:color w:val="auto"/>
        </w:rPr>
        <w:t xml:space="preserve">” means, with respect to each Non-Extending Lender, the “Non-Extended Commitment Termination Date” set forth next to such Non-Extending Lender’s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Final Maturity Date</w:t>
      </w:r>
      <w:r>
        <w:rPr>
          <w:rFonts w:ascii="Times New Roman" w:cs="Times New Roman" w:eastAsia="Times New Roman" w:hAnsi="Times New Roman"/>
          <w:sz w:val="22"/>
          <w:szCs w:val="22"/>
          <w:color w:val="auto"/>
        </w:rPr>
        <w:t xml:space="preserve">” means, with respect to each Non-Extending Lender, the “Non-Extended Final Maturity Date” set forth next to such Non-Extending Lender’s name on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Non-Extended Loans</w:t>
      </w:r>
      <w:r>
        <w:rPr>
          <w:rFonts w:ascii="Times New Roman" w:cs="Times New Roman" w:eastAsia="Times New Roman" w:hAnsi="Times New Roman"/>
          <w:sz w:val="22"/>
          <w:szCs w:val="22"/>
          <w:color w:val="auto"/>
        </w:rPr>
        <w:t>” means Loans or Borrowings of any Non-Extending Lender maturing on the Non-Extended Final Maturity Date for such Non-Extending Lender.</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Non-Extending Lender</w:t>
      </w:r>
      <w:r>
        <w:rPr>
          <w:rFonts w:ascii="Times New Roman" w:cs="Times New Roman" w:eastAsia="Times New Roman" w:hAnsi="Times New Roman"/>
          <w:sz w:val="21"/>
          <w:szCs w:val="21"/>
          <w:color w:val="auto"/>
        </w:rPr>
        <w:t xml:space="preserve">” means each Lender designated as a “Non-Extending Lender” on </w:t>
      </w:r>
      <w:r>
        <w:rPr>
          <w:rFonts w:ascii="Times New Roman" w:cs="Times New Roman" w:eastAsia="Times New Roman" w:hAnsi="Times New Roman"/>
          <w:sz w:val="21"/>
          <w:szCs w:val="21"/>
          <w:u w:val="single" w:color="auto"/>
          <w:color w:val="auto"/>
        </w:rPr>
        <w:t>Schedule 1.01(b)</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Non-LIBO Quoted Currency</w:t>
      </w:r>
      <w:r>
        <w:rPr>
          <w:rFonts w:ascii="Times New Roman" w:cs="Times New Roman" w:eastAsia="Times New Roman" w:hAnsi="Times New Roman"/>
          <w:sz w:val="22"/>
          <w:szCs w:val="22"/>
          <w:color w:val="auto"/>
        </w:rPr>
        <w:t>” means any currency other than a LIBO Quoted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9" w:name="page200"/>
    <w:bookmarkEnd w:id="199"/>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means material non-public information (within the meaning of United States federal, state or other applicable securities laws) with respect to Borrower or its Affiliates or their Securities.</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collectively, the Borrower and the Subsidiary Guarantors.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Effective Date</w:t>
      </w:r>
      <w:r>
        <w:rPr>
          <w:rFonts w:ascii="Times New Roman" w:cs="Times New Roman" w:eastAsia="Times New Roman" w:hAnsi="Times New Roman"/>
          <w:sz w:val="22"/>
          <w:szCs w:val="22"/>
          <w:color w:val="auto"/>
        </w:rPr>
        <w:t>” means July 3, 2013.</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Covered Indebtedness</w:t>
      </w:r>
      <w:r>
        <w:rPr>
          <w:rFonts w:ascii="Times New Roman" w:cs="Times New Roman" w:eastAsia="Times New Roman" w:hAnsi="Times New Roman"/>
          <w:sz w:val="22"/>
          <w:szCs w:val="22"/>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 w:cs="Times New Roman" w:eastAsia="Times New Roman" w:hAnsi="Times New Roman"/>
          <w:sz w:val="22"/>
          <w:szCs w:val="22"/>
          <w:u w:val="single" w:color="auto"/>
          <w:color w:val="auto"/>
        </w:rPr>
        <w:t>Section 6.02(e)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Permitted Indebtedness</w:t>
      </w:r>
      <w:r>
        <w:rPr>
          <w:rFonts w:ascii="Times New Roman" w:cs="Times New Roman" w:eastAsia="Times New Roman" w:hAnsi="Times New Roman"/>
          <w:sz w:val="22"/>
          <w:szCs w:val="22"/>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72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hereof (unless such assignment is made pursuant to </w:t>
      </w:r>
      <w:r>
        <w:rPr>
          <w:rFonts w:ascii="Times New Roman" w:cs="Times New Roman" w:eastAsia="Times New Roman" w:hAnsi="Times New Roman"/>
          <w:sz w:val="21"/>
          <w:szCs w:val="21"/>
          <w:u w:val="single" w:color="auto"/>
          <w:color w:val="auto"/>
        </w:rPr>
        <w:t>Section 2.18(b)</w:t>
      </w:r>
      <w:r>
        <w:rPr>
          <w:rFonts w:ascii="Times New Roman" w:cs="Times New Roman" w:eastAsia="Times New Roman" w:hAnsi="Times New Roman"/>
          <w:sz w:val="21"/>
          <w:szCs w:val="21"/>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9.04(f)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Community that adopts or has adopted the Euro as its lawful currency in accordance with the legislation of the European Union relating to the European Monetary Union.</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0" w:name="page201"/>
    <w:bookmarkEnd w:id="200"/>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Equity Interests</w:t>
      </w:r>
      <w:r>
        <w:rPr>
          <w:rFonts w:ascii="Times New Roman" w:cs="Times New Roman" w:eastAsia="Times New Roman" w:hAnsi="Times New Roman"/>
          <w:sz w:val="22"/>
          <w:szCs w:val="22"/>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73" w:lineRule="exact"/>
        <w:rPr>
          <w:sz w:val="20"/>
          <w:szCs w:val="20"/>
          <w:color w:val="auto"/>
        </w:rPr>
      </w:pPr>
    </w:p>
    <w:p>
      <w:pPr>
        <w:jc w:val="both"/>
        <w:ind w:firstLine="1727"/>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cs="Times New Roman" w:eastAsia="Times New Roman" w:hAnsi="Times New Roman"/>
          <w:sz w:val="22"/>
          <w:szCs w:val="22"/>
          <w:u w:val="single" w:color="auto"/>
          <w:color w:val="auto"/>
        </w:rPr>
        <w:t>clause (l)</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202"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Policy Amendment</w:t>
      </w:r>
      <w:r>
        <w:rPr>
          <w:rFonts w:ascii="Times New Roman" w:cs="Times New Roman" w:eastAsia="Times New Roman" w:hAnsi="Times New Roman"/>
          <w:sz w:val="22"/>
          <w:szCs w:val="22"/>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1" w:name="page202"/>
    <w:bookmarkEnd w:id="201"/>
    <w:p>
      <w:pPr>
        <w:jc w:val="both"/>
        <w:spacing w:after="0" w:line="239" w:lineRule="auto"/>
        <w:rPr>
          <w:sz w:val="20"/>
          <w:szCs w:val="20"/>
          <w:color w:val="auto"/>
        </w:rPr>
      </w:pPr>
      <w:r>
        <w:rPr>
          <w:rFonts w:ascii="Times New Roman" w:cs="Times New Roman" w:eastAsia="Times New Roman" w:hAnsi="Times New Roman"/>
          <w:sz w:val="22"/>
          <w:szCs w:val="22"/>
          <w:color w:val="auto"/>
        </w:rPr>
        <w:t>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80"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SBIC Guarantee</w:t>
      </w:r>
      <w:r>
        <w:rPr>
          <w:rFonts w:ascii="Times New Roman" w:cs="Times New Roman" w:eastAsia="Times New Roman" w:hAnsi="Times New Roman"/>
          <w:sz w:val="22"/>
          <w:szCs w:val="22"/>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 w:cs="Times New Roman" w:eastAsia="Times New Roman" w:hAnsi="Times New Roman"/>
          <w:sz w:val="22"/>
          <w:szCs w:val="22"/>
          <w:u w:val="single" w:color="auto"/>
          <w:color w:val="auto"/>
        </w:rPr>
        <w:t>clause (s)</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it shall be an Event of Default hereunder if any such event or condition giving rise to such recourse occurs).</w:t>
      </w:r>
    </w:p>
    <w:p>
      <w:pPr>
        <w:spacing w:after="0" w:line="177"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means has the meaning set forth in </w:t>
      </w:r>
      <w:r>
        <w:rPr>
          <w:rFonts w:ascii="Times New Roman" w:cs="Times New Roman" w:eastAsia="Times New Roman" w:hAnsi="Times New Roman"/>
          <w:sz w:val="22"/>
          <w:szCs w:val="22"/>
          <w:u w:val="single" w:color="auto"/>
          <w:color w:val="auto"/>
        </w:rPr>
        <w:t>Section 5.01(i)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Portfolio Investment</w:t>
      </w:r>
      <w:r>
        <w:rPr>
          <w:rFonts w:ascii="Times New Roman" w:cs="Times New Roman" w:eastAsia="Times New Roman" w:hAnsi="Times New Roman"/>
          <w:sz w:val="21"/>
          <w:szCs w:val="21"/>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w:t>
      </w:r>
    </w:p>
    <w:p>
      <w:pPr>
        <w:spacing w:after="0" w:line="4" w:lineRule="exact"/>
        <w:rPr>
          <w:sz w:val="20"/>
          <w:szCs w:val="20"/>
          <w:color w:val="auto"/>
        </w:rPr>
      </w:pPr>
    </w:p>
    <w:p>
      <w:pPr>
        <w:ind w:firstLine="8"/>
        <w:spacing w:after="0" w:line="237" w:lineRule="auto"/>
        <w:tabs>
          <w:tab w:leader="none" w:pos="30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which is made to a bankrupt entity (other than a debtor-in-possession financing and current pay obligations); and (f) any Investment, Cash or account in which a Financing Subsidiary has an interest.</w:t>
      </w:r>
    </w:p>
    <w:p>
      <w:pPr>
        <w:spacing w:after="0" w:line="178" w:lineRule="exact"/>
        <w:rPr>
          <w:sz w:val="20"/>
          <w:szCs w:val="20"/>
          <w:color w:val="auto"/>
        </w:rPr>
      </w:pPr>
    </w:p>
    <w:p>
      <w:pPr>
        <w:ind w:right="394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xml:space="preserve">” means the rate which is quoted as the “prime rate” in the print edition of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Money Rates Section.</w:t>
      </w:r>
    </w:p>
    <w:p>
      <w:pPr>
        <w:spacing w:after="0" w:line="158" w:lineRule="exact"/>
        <w:rPr>
          <w:sz w:val="20"/>
          <w:szCs w:val="20"/>
          <w:color w:val="auto"/>
        </w:rPr>
      </w:pPr>
    </w:p>
    <w:p>
      <w:pPr>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Financial Center</w:t>
      </w:r>
      <w:r>
        <w:rPr>
          <w:rFonts w:ascii="Times New Roman" w:cs="Times New Roman" w:eastAsia="Times New Roman" w:hAnsi="Times New Roman"/>
          <w:sz w:val="22"/>
          <w:szCs w:val="22"/>
          <w:color w:val="auto"/>
        </w:rPr>
        <w:t>” means, in the case of any Currency, the principal financial center where such Currency is cleared and settled, as determined by the Administrative Agent.</w:t>
      </w:r>
    </w:p>
    <w:p>
      <w:pPr>
        <w:spacing w:after="0" w:line="158" w:lineRule="exact"/>
        <w:rPr>
          <w:sz w:val="20"/>
          <w:szCs w:val="20"/>
          <w:color w:val="auto"/>
        </w:rPr>
      </w:pPr>
    </w:p>
    <w:p>
      <w:pPr>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2" w:name="page203"/>
    <w:bookmarkEnd w:id="202"/>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means Lenders that do not wish to receive Non-Public Information with respect to the Borrower or any of its Subsidiaries or their Securities.</w:t>
      </w:r>
    </w:p>
    <w:p>
      <w:pPr>
        <w:spacing w:after="0" w:line="15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Dates</w:t>
      </w:r>
      <w:r>
        <w:rPr>
          <w:rFonts w:ascii="Times New Roman" w:cs="Times New Roman" w:eastAsia="Times New Roman" w:hAnsi="Times New Roman"/>
          <w:sz w:val="22"/>
          <w:szCs w:val="22"/>
          <w:color w:val="auto"/>
        </w:rPr>
        <w:t>” means the last Business Day of March, June, September and December in each year, commencing on September 30, 2013.</w:t>
      </w:r>
    </w:p>
    <w:p>
      <w:pPr>
        <w:spacing w:after="0" w:line="158"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Quoted Investments</w:t>
      </w:r>
      <w:r>
        <w:rPr>
          <w:rFonts w:ascii="Times New Roman" w:cs="Times New Roman" w:eastAsia="Times New Roman" w:hAnsi="Times New Roman"/>
          <w:sz w:val="22"/>
          <w:szCs w:val="22"/>
          <w:color w:val="auto"/>
        </w:rPr>
        <w:t xml:space="preserve">” means a Portfolio Investment with a value assigned by the Borrower pursuant to </w:t>
      </w:r>
      <w:r>
        <w:rPr>
          <w:rFonts w:ascii="Times New Roman" w:cs="Times New Roman" w:eastAsia="Times New Roman" w:hAnsi="Times New Roman"/>
          <w:sz w:val="22"/>
          <w:szCs w:val="22"/>
          <w:u w:val="single" w:color="auto"/>
          <w:color w:val="auto"/>
        </w:rPr>
        <w:t>Section 5.12(b)(ii)(A)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9.04(c)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the Registration Statement filed by the Borrower with the Securities and Exchange Commission on March 14, 2011.</w:t>
      </w:r>
    </w:p>
    <w:p>
      <w:pPr>
        <w:spacing w:after="0" w:line="158" w:lineRule="exact"/>
        <w:rPr>
          <w:sz w:val="20"/>
          <w:szCs w:val="20"/>
          <w:color w:val="auto"/>
        </w:rPr>
      </w:pPr>
    </w:p>
    <w:p>
      <w:pPr>
        <w:jc w:val="both"/>
        <w:ind w:right="20" w:firstLine="172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Regulations D, T, U and X</w:t>
      </w:r>
      <w:r>
        <w:rPr>
          <w:rFonts w:ascii="Times New Roman" w:cs="Times New Roman" w:eastAsia="Times New Roman" w:hAnsi="Times New Roman"/>
          <w:sz w:val="21"/>
          <w:szCs w:val="21"/>
          <w:color w:val="auto"/>
        </w:rPr>
        <w:t>” means, respectively, Regulations D, T, U and X of the Board of Governors of the Federal Reserve System (or any successor), as the same may be modified and supplemented and in effect from time to time.</w:t>
      </w:r>
    </w:p>
    <w:p>
      <w:pPr>
        <w:spacing w:after="0" w:line="135"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partners, directors, officers, employees, agents and advisors of such Person and such Person’s Affiliates.</w:t>
      </w:r>
    </w:p>
    <w:p>
      <w:pPr>
        <w:spacing w:after="0" w:line="154" w:lineRule="exact"/>
        <w:rPr>
          <w:sz w:val="20"/>
          <w:szCs w:val="20"/>
          <w:color w:val="auto"/>
        </w:rPr>
      </w:pPr>
    </w:p>
    <w:p>
      <w:pPr>
        <w:jc w:val="both"/>
        <w:ind w:firstLine="1727"/>
        <w:spacing w:after="0" w:line="241"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Relevant Available Funds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means the sum (without duplication) of (a) the aggregate undrawn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commitments of the Borrower’s equity holders to the Borrower,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7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73"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at any time, Lenders having Revolving Credit Exposures and unused Commitments representing more than 50% of the sum of the total Revolving Credit Exposures and unused Commitments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72"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the chief executive officer, president, chief financial officer, treasurer, assistant treasurer or controller of an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3" w:name="page204"/>
    <w:bookmarkEnd w:id="203"/>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8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net of any fees, costs, expenses and taxes payable with respect thereto).</w:t>
      </w:r>
    </w:p>
    <w:p>
      <w:pPr>
        <w:spacing w:after="0" w:line="179" w:lineRule="exact"/>
        <w:rPr>
          <w:sz w:val="20"/>
          <w:szCs w:val="20"/>
          <w:color w:val="auto"/>
        </w:rPr>
      </w:pPr>
    </w:p>
    <w:p>
      <w:pPr>
        <w:jc w:val="both"/>
        <w:ind w:firstLine="172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Exposure</w:t>
      </w:r>
      <w:r>
        <w:rPr>
          <w:rFonts w:ascii="Times New Roman" w:cs="Times New Roman" w:eastAsia="Times New Roman" w:hAnsi="Times New Roman"/>
          <w:sz w:val="21"/>
          <w:szCs w:val="21"/>
          <w:color w:val="auto"/>
        </w:rPr>
        <w:t>” means, with respect to any Lender at any time, the sum of the outstanding principal amount of such Lender’s Revolving Dollar Credit Exposure and Revolving Multicurrency Credit Exposure at such time.</w:t>
      </w:r>
    </w:p>
    <w:p>
      <w:pPr>
        <w:spacing w:after="0" w:line="135"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Dollar Credit Exposure</w:t>
      </w:r>
      <w:r>
        <w:rPr>
          <w:rFonts w:ascii="Times New Roman" w:cs="Times New Roman" w:eastAsia="Times New Roman" w:hAnsi="Times New Roman"/>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Multicurrency Credit Exposure</w:t>
      </w:r>
      <w:r>
        <w:rPr>
          <w:rFonts w:ascii="Times New Roman" w:cs="Times New Roman" w:eastAsia="Times New Roman" w:hAnsi="Times New Roman"/>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73"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Percentage</w:t>
      </w:r>
      <w:r>
        <w:rPr>
          <w:rFonts w:ascii="Times New Roman" w:cs="Times New Roman" w:eastAsia="Times New Roman" w:hAnsi="Times New Roman"/>
          <w:sz w:val="22"/>
          <w:szCs w:val="22"/>
          <w:color w:val="auto"/>
        </w:rPr>
        <w:t>” means, as of any date of determination, the result, expressed as a percentage, of the Revolving Credit Exposure on such date divided by the aggregate outstanding Covered Debt Amount on such date.</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RIC</w:t>
      </w:r>
      <w:r>
        <w:rPr>
          <w:rFonts w:ascii="Times New Roman" w:cs="Times New Roman" w:eastAsia="Times New Roman" w:hAnsi="Times New Roman"/>
          <w:sz w:val="22"/>
          <w:szCs w:val="22"/>
          <w:color w:val="auto"/>
        </w:rPr>
        <w:t>” means a person qualifying for treatment as a “regulated investment company” under the Code.</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S&amp;P Global Ratings or any successor thereto.</w:t>
      </w:r>
    </w:p>
    <w:p>
      <w:pPr>
        <w:spacing w:after="0" w:line="206"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territory or region that is the subject or the target of country-wide or territory-wide Sanctions broadly prohibiting dealings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such country, territory or region (currently, Cuba, Crimea and Sevastopol, Iran, North Korea and Syria).</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3.15(a)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SBA</w:t>
      </w:r>
      <w:r>
        <w:rPr>
          <w:rFonts w:ascii="Times New Roman" w:cs="Times New Roman" w:eastAsia="Times New Roman" w:hAnsi="Times New Roman"/>
          <w:sz w:val="22"/>
          <w:szCs w:val="22"/>
          <w:color w:val="auto"/>
        </w:rPr>
        <w:t>” means the United States Small Business Administration.</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SBIC Equity Commitment</w:t>
      </w:r>
      <w:r>
        <w:rPr>
          <w:rFonts w:ascii="Times New Roman" w:cs="Times New Roman" w:eastAsia="Times New Roman" w:hAnsi="Times New Roman"/>
          <w:sz w:val="22"/>
          <w:szCs w:val="22"/>
          <w:color w:val="auto"/>
        </w:rPr>
        <w:t>” means a commitment by the Borrower to make one or more capital contributions to an SBIC Subsidiary.</w:t>
      </w:r>
    </w:p>
    <w:p>
      <w:pPr>
        <w:spacing w:after="0" w:line="15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SBIC Subsidiary</w:t>
      </w:r>
      <w:r>
        <w:rPr>
          <w:rFonts w:ascii="Times New Roman" w:cs="Times New Roman" w:eastAsia="Times New Roman" w:hAnsi="Times New Roman"/>
          <w:sz w:val="21"/>
          <w:szCs w:val="21"/>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8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Debt Amount</w:t>
      </w:r>
      <w:r>
        <w:rPr>
          <w:rFonts w:ascii="Times New Roman" w:cs="Times New Roman" w:eastAsia="Times New Roman" w:hAnsi="Times New Roman"/>
          <w:sz w:val="22"/>
          <w:szCs w:val="22"/>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73"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Longer-Term Indebtedness</w:t>
      </w:r>
      <w:r>
        <w:rPr>
          <w:rFonts w:ascii="Times New Roman" w:cs="Times New Roman" w:eastAsia="Times New Roman" w:hAnsi="Times New Roman"/>
          <w:sz w:val="22"/>
          <w:szCs w:val="22"/>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Extended Final Maturity Date (it being understood that none of: (w) the conversion features under convertible notes; (x) the triggering and/or settlement thereof; or (y) any cash payment made in respect thereof , shall constitute “amortization” for purposes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color w:val="auto"/>
        </w:rPr>
        <w:t>or Designated Indebtedness Holder (in each case, as defined in the Guarantee and Security Agreement).</w:t>
      </w:r>
    </w:p>
    <w:p>
      <w:pPr>
        <w:spacing w:after="0" w:line="206"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Secured Shorter-Term Indebtedness</w:t>
      </w:r>
      <w:r>
        <w:rPr>
          <w:rFonts w:ascii="Times New Roman" w:cs="Times New Roman" w:eastAsia="Times New Roman" w:hAnsi="Times New Roman"/>
          <w:sz w:val="21"/>
          <w:szCs w:val="21"/>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 w:cs="Times New Roman" w:eastAsia="Times New Roman" w:hAnsi="Times New Roman"/>
          <w:sz w:val="21"/>
          <w:szCs w:val="21"/>
          <w:u w:val="single" w:color="auto"/>
          <w:color w:val="auto"/>
        </w:rPr>
        <w:t>Section 6.11(a)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1"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Shareholders’ Equity</w:t>
      </w:r>
      <w:r>
        <w:rPr>
          <w:rFonts w:ascii="Times New Roman" w:cs="Times New Roman" w:eastAsia="Times New Roman" w:hAnsi="Times New Roman"/>
          <w:sz w:val="22"/>
          <w:szCs w:val="22"/>
          <w:color w:val="auto"/>
        </w:rPr>
        <w:t>” means, at any date, the amount determined on a consolidated basis, without duplication, in accordance with GAAP, of shareholders equity for the Borrower and its Subsidiaries at such date.</w:t>
      </w:r>
    </w:p>
    <w:p>
      <w:pPr>
        <w:spacing w:after="0" w:line="15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 Subsidiary</w:t>
      </w:r>
      <w:r>
        <w:rPr>
          <w:rFonts w:ascii="Times New Roman" w:cs="Times New Roman" w:eastAsia="Times New Roman" w:hAnsi="Times New Roman"/>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80" w:lineRule="exact"/>
        <w:rPr>
          <w:sz w:val="20"/>
          <w:szCs w:val="20"/>
          <w:color w:val="auto"/>
        </w:rPr>
      </w:pPr>
    </w:p>
    <w:p>
      <w:pPr>
        <w:jc w:val="both"/>
        <w:ind w:firstLine="1735"/>
        <w:spacing w:after="0" w:line="238" w:lineRule="auto"/>
        <w:tabs>
          <w:tab w:leader="none" w:pos="2615"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76" w:lineRule="exact"/>
        <w:rPr>
          <w:rFonts w:ascii="Times New Roman" w:cs="Times New Roman" w:eastAsia="Times New Roman" w:hAnsi="Times New Roman"/>
          <w:sz w:val="22"/>
          <w:szCs w:val="22"/>
          <w:color w:val="auto"/>
        </w:rPr>
      </w:pPr>
    </w:p>
    <w:p>
      <w:pPr>
        <w:jc w:val="both"/>
        <w:ind w:firstLine="1735"/>
        <w:spacing w:after="0" w:line="244" w:lineRule="auto"/>
        <w:tabs>
          <w:tab w:leader="none" w:pos="2627"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2"/>
          <w:szCs w:val="22"/>
          <w:color w:val="auto"/>
        </w:rPr>
        <w:t>Obligor, other than fees payable in the ordinary course of business in connection with servicing receivables, and</w:t>
      </w:r>
    </w:p>
    <w:p>
      <w:pPr>
        <w:spacing w:after="0" w:line="206" w:lineRule="exact"/>
        <w:rPr>
          <w:sz w:val="20"/>
          <w:szCs w:val="20"/>
          <w:color w:val="auto"/>
        </w:rPr>
      </w:pPr>
    </w:p>
    <w:p>
      <w:pPr>
        <w:ind w:firstLine="1735"/>
        <w:spacing w:after="0" w:line="258" w:lineRule="auto"/>
        <w:tabs>
          <w:tab w:leader="none" w:pos="261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no Obligor has any obligation to maintain or preserve such entity’s financial condition or cause such entity to achieve certain levels of operating results.</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80" w:lineRule="exact"/>
        <w:rPr>
          <w:sz w:val="20"/>
          <w:szCs w:val="20"/>
          <w:color w:val="auto"/>
        </w:rPr>
      </w:pPr>
    </w:p>
    <w:p>
      <w:pPr>
        <w:jc w:val="both"/>
        <w:ind w:firstLine="1727"/>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Equity Interest</w:t>
      </w:r>
      <w:r>
        <w:rPr>
          <w:rFonts w:ascii="Times New Roman" w:cs="Times New Roman" w:eastAsia="Times New Roman" w:hAnsi="Times New Roman"/>
          <w:sz w:val="21"/>
          <w:szCs w:val="21"/>
          <w:color w:val="auto"/>
        </w:rPr>
        <w:t xml:space="preserve">” means any Equity Interest that is subject to a Lien in favor of creditors of the issuer of such Equity Interest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such Lien was created to secure Indebtedness owing by such issuer to such creditors,</w:t>
      </w:r>
    </w:p>
    <w:p>
      <w:pPr>
        <w:spacing w:after="0" w:line="1" w:lineRule="exact"/>
        <w:rPr>
          <w:sz w:val="20"/>
          <w:szCs w:val="20"/>
          <w:color w:val="auto"/>
        </w:rPr>
      </w:pPr>
    </w:p>
    <w:p>
      <w:pPr>
        <w:jc w:val="both"/>
        <w:ind w:firstLine="8"/>
        <w:spacing w:after="0" w:line="241" w:lineRule="auto"/>
        <w:tabs>
          <w:tab w:leader="none" w:pos="308"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Indebtedness was (i) in existence at the time the Obligors acquired such Equity Interest, (ii) incurred or assumed by such issuer substantially contemporaneously with such acquisition or (iii) already subject to a Lien granted to such creditors and</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such Equity Interest is not intended to be included in the Collateral, the documentation creating or governing such Lien does not prohibit the inclusion of such Equity Interest in the Collateral.</w:t>
      </w:r>
    </w:p>
    <w:p>
      <w:pPr>
        <w:spacing w:after="0" w:line="178" w:lineRule="exact"/>
        <w:rPr>
          <w:sz w:val="20"/>
          <w:szCs w:val="20"/>
          <w:color w:val="auto"/>
        </w:rPr>
      </w:pPr>
    </w:p>
    <w:p>
      <w:pPr>
        <w:jc w:val="both"/>
        <w:ind w:firstLine="1727"/>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Unsecured Indebtedness</w:t>
      </w:r>
      <w:r>
        <w:rPr>
          <w:rFonts w:ascii="Times New Roman" w:cs="Times New Roman" w:eastAsia="Times New Roman" w:hAnsi="Times New Roman"/>
          <w:sz w:val="21"/>
          <w:szCs w:val="21"/>
          <w:color w:val="auto"/>
        </w:rPr>
        <w:t xml:space="preserve">” means Indebtedness of an Obligor issued after the Tenth Amendment Effective Date (which may be Guaranteed by Subsidiary Guarantors) that (a) has no amortization prior to, and a final maturity date not earlier than, five years from the date such Indebtedness is issued (it being understood that none of: (w) the conversion features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(b) is incurred pursuant to documentation containing (i) covenants and events of default that are not materially more burdensome on the Borrower than those set forth in the Loan Documents or</w:t>
      </w:r>
    </w:p>
    <w:p>
      <w:pPr>
        <w:spacing w:after="0" w:line="3" w:lineRule="exact"/>
        <w:rPr>
          <w:sz w:val="20"/>
          <w:szCs w:val="20"/>
          <w:color w:val="auto"/>
        </w:rPr>
      </w:pPr>
    </w:p>
    <w:p>
      <w:pPr>
        <w:jc w:val="both"/>
        <w:ind w:firstLine="8"/>
        <w:spacing w:after="0" w:line="235" w:lineRule="auto"/>
        <w:tabs>
          <w:tab w:leader="none" w:pos="46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terms substantially comparable to market terms for substantially similar debt of other similarly situated borrowers as determined by the Borrower in its reasonable judgment and (c) is not secured by any assets of any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Special Unsecured Indebtedness shall not include any Indebtedness permitted pursuant to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Securitization Undertakings</w:t>
      </w:r>
      <w:r>
        <w:rPr>
          <w:rFonts w:ascii="Times New Roman" w:cs="Times New Roman" w:eastAsia="Times New Roman" w:hAnsi="Times New Roman"/>
          <w:sz w:val="22"/>
          <w:szCs w:val="22"/>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1"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Statutory Reserve Rate</w:t>
      </w:r>
      <w:r>
        <w:rPr>
          <w:rFonts w:ascii="Times New Roman" w:cs="Times New Roman" w:eastAsia="Times New Roman" w:hAnsi="Times New Roman"/>
          <w:sz w:val="22"/>
          <w:szCs w:val="22"/>
          <w:color w:val="auto"/>
        </w:rPr>
        <w:t xml:space="preserve">” means, for the Interest Period for any Eurocurrency Borrowing, a fraction (expressed as a decimal), the numerator of which is the number one and the denominator of which is the number one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arithmetic mean, taken over each day in such Interest Period, of the aggregate of the maximum reserve percentages (including any marginal, special, emergency or supplemental reserves) expressed as a decimal established by the Board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7" w:name="page208"/>
    <w:bookmarkEnd w:id="207"/>
    <w:p>
      <w:pPr>
        <w:jc w:val="both"/>
        <w:spacing w:after="0" w:line="236" w:lineRule="auto"/>
        <w:rPr>
          <w:sz w:val="20"/>
          <w:szCs w:val="20"/>
          <w:color w:val="auto"/>
        </w:rPr>
      </w:pPr>
      <w:r>
        <w:rPr>
          <w:rFonts w:ascii="Times New Roman" w:cs="Times New Roman" w:eastAsia="Times New Roman" w:hAnsi="Times New Roman"/>
          <w:sz w:val="22"/>
          <w:szCs w:val="22"/>
          <w:color w:val="auto"/>
        </w:rPr>
        <w:t>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87"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Guarantor</w:t>
      </w:r>
      <w:r>
        <w:rPr>
          <w:rFonts w:ascii="Times New Roman" w:cs="Times New Roman" w:eastAsia="Times New Roman" w:hAnsi="Times New Roman"/>
          <w:sz w:val="22"/>
          <w:szCs w:val="22"/>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Exposure</w:t>
      </w:r>
      <w:r>
        <w:rPr>
          <w:rFonts w:ascii="Times New Roman" w:cs="Times New Roman" w:eastAsia="Times New Roman" w:hAnsi="Times New Roman"/>
          <w:sz w:val="22"/>
          <w:szCs w:val="22"/>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80"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Lender</w:t>
      </w:r>
      <w:r>
        <w:rPr>
          <w:rFonts w:ascii="Times New Roman" w:cs="Times New Roman" w:eastAsia="Times New Roman" w:hAnsi="Times New Roman"/>
          <w:sz w:val="22"/>
          <w:szCs w:val="22"/>
          <w:color w:val="auto"/>
        </w:rPr>
        <w:t xml:space="preserve">” means any of Truist or JPMorgan Chase Bank, N.A., in its capacity as lender of Swingline Loans hereunder, and its successors in such capacity as provided in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Swingline Loan</w:t>
      </w:r>
      <w:r>
        <w:rPr>
          <w:rFonts w:ascii="Times New Roman" w:cs="Times New Roman" w:eastAsia="Times New Roman" w:hAnsi="Times New Roman"/>
          <w:sz w:val="22"/>
          <w:szCs w:val="22"/>
          <w:color w:val="auto"/>
        </w:rPr>
        <w:t xml:space="preserve">” means a Loan made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Syndicated</w:t>
      </w:r>
      <w:r>
        <w:rPr>
          <w:rFonts w:ascii="Times New Roman" w:cs="Times New Roman" w:eastAsia="Times New Roman" w:hAnsi="Times New Roman"/>
          <w:sz w:val="22"/>
          <w:szCs w:val="22"/>
          <w:color w:val="auto"/>
        </w:rPr>
        <w:t xml:space="preserve">”, when used in reference to any Loan or Borrowing, refers to whether such Loan, or the Loans constituting such Borrowing, are made pursuant to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Tenth Amendment Effective Date</w:t>
      </w:r>
      <w:r>
        <w:rPr>
          <w:rFonts w:ascii="Times New Roman" w:cs="Times New Roman" w:eastAsia="Times New Roman" w:hAnsi="Times New Roman"/>
          <w:sz w:val="22"/>
          <w:szCs w:val="22"/>
          <w:color w:val="auto"/>
        </w:rPr>
        <w:t>” means February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8" w:name="page209"/>
    <w:bookmarkEnd w:id="208"/>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 the forward-looking term rate based on SOFR that has been selected or recommended by the Relevant Governmental Body.</w:t>
      </w:r>
    </w:p>
    <w:p>
      <w:pPr>
        <w:spacing w:after="0" w:line="158"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earliest to occur of (i) the Extended Final Maturity Date, (ii) the date of the termination of the Commitments in full pursuant to </w:t>
      </w:r>
      <w:r>
        <w:rPr>
          <w:rFonts w:ascii="Times New Roman" w:cs="Times New Roman" w:eastAsia="Times New Roman" w:hAnsi="Times New Roman"/>
          <w:sz w:val="22"/>
          <w:szCs w:val="22"/>
          <w:u w:val="single" w:color="auto"/>
          <w:color w:val="auto"/>
        </w:rPr>
        <w:t>Section 2.08(c)</w:t>
      </w:r>
      <w:r>
        <w:rPr>
          <w:rFonts w:ascii="Times New Roman" w:cs="Times New Roman" w:eastAsia="Times New Roman" w:hAnsi="Times New Roman"/>
          <w:sz w:val="22"/>
          <w:szCs w:val="22"/>
          <w:color w:val="auto"/>
        </w:rPr>
        <w:t xml:space="preserve">, or (iii) the date on which the Commitments are terminated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Testing Period</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5.12(b)(ii)(E)(x)</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Testing Quarter</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w:t>
      </w:r>
      <w:r>
        <w:rPr>
          <w:rFonts w:ascii="Times New Roman" w:cs="Times New Roman" w:eastAsia="Times New Roman" w:hAnsi="Times New Roman"/>
          <w:sz w:val="22"/>
          <w:szCs w:val="22"/>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 Concentration Limitation</w:t>
      </w:r>
      <w:r>
        <w:rPr>
          <w:rFonts w:ascii="Times New Roman" w:cs="Times New Roman" w:eastAsia="Times New Roman" w:hAnsi="Times New Roman"/>
          <w:sz w:val="22"/>
          <w:szCs w:val="22"/>
          <w:color w:val="auto"/>
        </w:rPr>
        <w:t>” means, as of any date of determination, the amount by which the aggregate value of Equity Interests in Financing Subsidiaries held by the Obligors as of such date of determination exceeds 10% of the Total Assets as of such date of determination.</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Secured Debt</w:t>
      </w:r>
      <w:r>
        <w:rPr>
          <w:rFonts w:ascii="Times New Roman" w:cs="Times New Roman" w:eastAsia="Times New Roman" w:hAnsi="Times New Roman"/>
          <w:sz w:val="22"/>
          <w:szCs w:val="22"/>
          <w:color w:val="auto"/>
        </w:rPr>
        <w:t>” means, as of any date of determination, the aggregate amount of senior securities representing secured indebtedness of the Obligors as of such date of determination.</w:t>
      </w:r>
    </w:p>
    <w:p>
      <w:pPr>
        <w:spacing w:after="0" w:line="15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execution, delivery and performance by the Borrower of this Agreement and the other Loan Documents, the borrowing of Loans, the use of the proceeds thereof and the issuance of Letters of Credit hereunder.</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Truist</w:t>
      </w:r>
      <w:r>
        <w:rPr>
          <w:rFonts w:ascii="Times New Roman" w:cs="Times New Roman" w:eastAsia="Times New Roman" w:hAnsi="Times New Roman"/>
          <w:sz w:val="22"/>
          <w:szCs w:val="22"/>
          <w:color w:val="auto"/>
        </w:rPr>
        <w:t>” means Truist Bank.</w:t>
      </w:r>
    </w:p>
    <w:p>
      <w:pPr>
        <w:spacing w:after="0" w:line="206" w:lineRule="exact"/>
        <w:rPr>
          <w:sz w:val="20"/>
          <w:szCs w:val="20"/>
          <w:color w:val="auto"/>
        </w:rPr>
      </w:pPr>
    </w:p>
    <w:p>
      <w:pPr>
        <w:jc w:val="both"/>
        <w:ind w:firstLine="1727"/>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Type</w:t>
      </w:r>
      <w:r>
        <w:rPr>
          <w:rFonts w:ascii="Times New Roman" w:cs="Times New Roman" w:eastAsia="Times New Roman" w:hAnsi="Times New Roman"/>
          <w:sz w:val="21"/>
          <w:szCs w:val="21"/>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35"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Benchmark Replacement excluding the Benchmark Replacement Adjustment.</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Undisclosed Administration</w:t>
      </w:r>
      <w:r>
        <w:rPr>
          <w:rFonts w:ascii="Times New Roman" w:cs="Times New Roman" w:eastAsia="Times New Roman" w:hAnsi="Times New Roman"/>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Code</w:t>
      </w:r>
      <w:r>
        <w:rPr>
          <w:rFonts w:ascii="Times New Roman" w:cs="Times New Roman" w:eastAsia="Times New Roman" w:hAnsi="Times New Roman"/>
          <w:sz w:val="22"/>
          <w:szCs w:val="22"/>
          <w:color w:val="auto"/>
        </w:rPr>
        <w:t>” means the Uniform Commercial Code as in effect from time to time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9" w:name="page210"/>
    <w:bookmarkEnd w:id="209"/>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Unsecured Longer-Term Indebtedness</w:t>
      </w:r>
      <w:r>
        <w:rPr>
          <w:rFonts w:ascii="Times New Roman" w:cs="Times New Roman" w:eastAsia="Times New Roman" w:hAnsi="Times New Roman"/>
          <w:sz w:val="22"/>
          <w:szCs w:val="22"/>
          <w:color w:val="auto"/>
        </w:rPr>
        <w:t xml:space="preserve">” means any Indebtedness of an Obligor (which may be Guaranteed by Subsidiary Guarantors) that (a) has no amortization prior to, and a final maturity date not earlier than, six months after the Extended Final Maturity Date (it being understood that none of : (w) the conversion features under convertible notes; (x) the triggering and/or settlement thereof or (y) any cash payment made in respect thereof, shall constitute “amortization” for purposes of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8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Unsecured Shorter-Term Indebtedness</w:t>
      </w:r>
      <w:r>
        <w:rPr>
          <w:rFonts w:ascii="Times New Roman" w:cs="Times New Roman" w:eastAsia="Times New Roman" w:hAnsi="Times New Roman"/>
          <w:sz w:val="22"/>
          <w:szCs w:val="22"/>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 w:cs="Times New Roman" w:eastAsia="Times New Roman" w:hAnsi="Times New Roman"/>
          <w:sz w:val="22"/>
          <w:szCs w:val="22"/>
          <w:u w:val="single" w:color="auto"/>
          <w:color w:val="auto"/>
        </w:rPr>
        <w:t>Section 6.11(a)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Unsecured Shorter-Term Indebtedness shall not include any Indebtedness permitted pursuant to </w:t>
      </w:r>
      <w:r>
        <w:rPr>
          <w:rFonts w:ascii="Times New Roman" w:cs="Times New Roman" w:eastAsia="Times New Roman" w:hAnsi="Times New Roman"/>
          <w:sz w:val="22"/>
          <w:szCs w:val="22"/>
          <w:u w:val="single" w:color="auto"/>
          <w:color w:val="auto"/>
        </w:rPr>
        <w:t>Section 6.01(l)</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Unquoted Investments</w:t>
      </w:r>
      <w:r>
        <w:rPr>
          <w:rFonts w:ascii="Times New Roman" w:cs="Times New Roman" w:eastAsia="Times New Roman" w:hAnsi="Times New Roman"/>
          <w:sz w:val="22"/>
          <w:szCs w:val="22"/>
          <w:color w:val="auto"/>
        </w:rPr>
        <w:t xml:space="preserve">” means a Portfolio Investment with a value assigned by the Borrower pursuant to </w:t>
      </w:r>
      <w:r>
        <w:rPr>
          <w:rFonts w:ascii="Times New Roman" w:cs="Times New Roman" w:eastAsia="Times New Roman" w:hAnsi="Times New Roman"/>
          <w:sz w:val="22"/>
          <w:szCs w:val="22"/>
          <w:u w:val="single" w:color="auto"/>
          <w:color w:val="auto"/>
        </w:rPr>
        <w:t>Section 5.12(b)(ii)(B)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w:t>
      </w:r>
      <w:r>
        <w:rPr>
          <w:rFonts w:ascii="Times New Roman" w:cs="Times New Roman" w:eastAsia="Times New Roman" w:hAnsi="Times New Roman"/>
          <w:sz w:val="22"/>
          <w:szCs w:val="22"/>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58" w:lineRule="exact"/>
        <w:rPr>
          <w:sz w:val="20"/>
          <w:szCs w:val="20"/>
          <w:color w:val="auto"/>
        </w:rPr>
      </w:pPr>
    </w:p>
    <w:p>
      <w:pPr>
        <w:jc w:val="both"/>
        <w:ind w:firstLine="1727"/>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7" w:lineRule="exact"/>
        <w:rPr>
          <w:sz w:val="20"/>
          <w:szCs w:val="20"/>
          <w:color w:val="auto"/>
        </w:rPr>
      </w:pPr>
    </w:p>
    <w:p>
      <w:pPr>
        <w:jc w:val="both"/>
        <w:ind w:firstLine="1889"/>
        <w:spacing w:after="0" w:line="236" w:lineRule="auto"/>
        <w:rPr>
          <w:sz w:val="20"/>
          <w:szCs w:val="20"/>
          <w:color w:val="auto"/>
        </w:rPr>
      </w:pP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0" w:name="page211"/>
    <w:bookmarkEnd w:id="210"/>
    <w:p>
      <w:pPr>
        <w:jc w:val="both"/>
        <w:ind w:firstLine="1835"/>
        <w:spacing w:after="0" w:line="247" w:lineRule="auto"/>
        <w:rPr>
          <w:sz w:val="20"/>
          <w:szCs w:val="20"/>
          <w:color w:val="auto"/>
        </w:rPr>
      </w:pP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w:t>
      </w:r>
    </w:p>
    <w:p>
      <w:pPr>
        <w:spacing w:after="0" w:line="2" w:lineRule="exact"/>
        <w:rPr>
          <w:sz w:val="20"/>
          <w:szCs w:val="20"/>
          <w:color w:val="auto"/>
        </w:rPr>
      </w:pPr>
    </w:p>
    <w:p>
      <w:pPr>
        <w:jc w:val="both"/>
        <w:ind w:firstLine="8"/>
        <w:spacing w:after="0" w:line="242" w:lineRule="auto"/>
        <w:tabs>
          <w:tab w:leader="none" w:pos="30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6" w:lineRule="exact"/>
        <w:rPr>
          <w:sz w:val="20"/>
          <w:szCs w:val="20"/>
          <w:color w:val="auto"/>
        </w:rPr>
      </w:pPr>
    </w:p>
    <w:p>
      <w:pPr>
        <w:jc w:val="both"/>
        <w:ind w:firstLine="1862"/>
        <w:spacing w:after="0" w:line="232" w:lineRule="auto"/>
        <w:rPr>
          <w:sz w:val="20"/>
          <w:szCs w:val="20"/>
          <w:color w:val="auto"/>
        </w:rPr>
      </w:pP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Times New Roman" w:cs="Times New Roman" w:eastAsia="Times New Roman" w:hAnsi="Times New Roman"/>
          <w:sz w:val="22"/>
          <w:szCs w:val="22"/>
          <w:u w:val="single" w:color="auto"/>
          <w:color w:val="auto"/>
        </w:rPr>
        <w:t>ASU</w:t>
      </w:r>
      <w:r>
        <w:rPr>
          <w:rFonts w:ascii="Times New Roman" w:cs="Times New Roman" w:eastAsia="Times New Roman" w:hAnsi="Times New Roman"/>
          <w:sz w:val="22"/>
          <w:szCs w:val="22"/>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1" w:name="page212"/>
    <w:bookmarkEnd w:id="211"/>
    <w:p>
      <w:pPr>
        <w:jc w:val="both"/>
        <w:spacing w:after="0" w:line="244" w:lineRule="auto"/>
        <w:rPr>
          <w:sz w:val="20"/>
          <w:szCs w:val="20"/>
          <w:color w:val="auto"/>
        </w:rPr>
      </w:pPr>
      <w:r>
        <w:rPr>
          <w:rFonts w:ascii="Times New Roman" w:cs="Times New Roman" w:eastAsia="Times New Roman" w:hAnsi="Times New Roman"/>
          <w:sz w:val="22"/>
          <w:szCs w:val="22"/>
          <w:color w:val="auto"/>
        </w:rPr>
        <w:t>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7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Currencies; Currency Equivalents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1"/>
          <w:szCs w:val="21"/>
          <w:u w:val="single" w:color="auto"/>
          <w:color w:val="auto"/>
        </w:rPr>
        <w:t>Currencies Generally</w:t>
      </w:r>
      <w:r>
        <w:rPr>
          <w:rFonts w:ascii="Times New Roman" w:cs="Times New Roman" w:eastAsia="Times New Roman" w:hAnsi="Times New Roman"/>
          <w:sz w:val="21"/>
          <w:szCs w:val="21"/>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and the last sentence of </w:t>
      </w:r>
      <w:r>
        <w:rPr>
          <w:rFonts w:ascii="Times New Roman" w:cs="Times New Roman" w:eastAsia="Times New Roman" w:hAnsi="Times New Roman"/>
          <w:sz w:val="21"/>
          <w:szCs w:val="21"/>
          <w:u w:val="single" w:color="auto"/>
          <w:color w:val="auto"/>
        </w:rPr>
        <w:t>Section 2.17(a)</w:t>
      </w:r>
      <w:r>
        <w:rPr>
          <w:rFonts w:ascii="Times New Roman" w:cs="Times New Roman" w:eastAsia="Times New Roman" w:hAnsi="Times New Roman"/>
          <w:sz w:val="21"/>
          <w:szCs w:val="21"/>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w:t>
      </w:r>
    </w:p>
    <w:p>
      <w:pPr>
        <w:spacing w:after="0" w:line="6" w:lineRule="exact"/>
        <w:rPr>
          <w:sz w:val="20"/>
          <w:szCs w:val="20"/>
          <w:color w:val="auto"/>
        </w:rPr>
      </w:pPr>
    </w:p>
    <w:p>
      <w:pPr>
        <w:jc w:val="both"/>
        <w:ind w:firstLine="8"/>
        <w:spacing w:after="0" w:line="231" w:lineRule="auto"/>
        <w:tabs>
          <w:tab w:leader="none" w:pos="38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 w:cs="Times New Roman" w:eastAsia="Times New Roman" w:hAnsi="Times New Roman"/>
          <w:sz w:val="22"/>
          <w:szCs w:val="22"/>
          <w:u w:val="single" w:color="auto"/>
          <w:color w:val="auto"/>
        </w:rPr>
        <w:t>Sections 6.03(g)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6.04(f)</w:t>
      </w:r>
      <w:r>
        <w:rPr>
          <w:rFonts w:ascii="Times New Roman" w:cs="Times New Roman" w:eastAsia="Times New Roman" w:hAnsi="Times New Roman"/>
          <w:sz w:val="22"/>
          <w:szCs w:val="22"/>
          <w:color w:val="auto"/>
        </w:rPr>
        <w:t>, in no event shall the Borrower or any Obligor be deemed to not be in compliance with any such basket solely as a result of a change in exchange rates.</w:t>
      </w:r>
    </w:p>
    <w:p>
      <w:pPr>
        <w:spacing w:after="0" w:line="18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Special Provisions Relating to Euro</w:t>
      </w:r>
      <w:r>
        <w:rPr>
          <w:rFonts w:ascii="Times New Roman" w:cs="Times New Roman" w:eastAsia="Times New Roman" w:hAnsi="Times New Roman"/>
          <w:sz w:val="22"/>
          <w:szCs w:val="22"/>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Borrowing denominated in such currency that is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2"/>
          <w:szCs w:val="22"/>
          <w:color w:val="auto"/>
        </w:rPr>
        <w:t>immediately prior to such date, such replacement shall take effect at the end of the Interest Period therefor.</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0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The Commitments</w:t>
      </w:r>
      <w:r>
        <w:rPr>
          <w:rFonts w:ascii="Times New Roman" w:cs="Times New Roman" w:eastAsia="Times New Roman" w:hAnsi="Times New Roman"/>
          <w:sz w:val="22"/>
          <w:szCs w:val="22"/>
          <w:color w:val="auto"/>
        </w:rPr>
        <w:t>. Subject to the terms and conditions set forth herein:</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7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81"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Within the foregoing limits and subject to the terms and conditions set forth herein, the Borrower may borrow, prepay and reborrow Syndicated Loans.</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Loans and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Obligations of Lenders</w:t>
      </w:r>
      <w:r>
        <w:rPr>
          <w:rFonts w:ascii="Times New Roman" w:cs="Times New Roman" w:eastAsia="Times New Roman" w:hAnsi="Times New Roman"/>
          <w:sz w:val="22"/>
          <w:szCs w:val="22"/>
          <w:color w:val="auto"/>
        </w:rPr>
        <w:t xml:space="preserve">. Each Syndicated Loan shall be made as part of a Borrowing consisting of Loans of the same Class of Commitments (other than with respect to any Syndicated Loan requested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Commitments of the Lenders are several and no Lender shall be responsible for any other Lender’s failure to make Loans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3" w:name="page214"/>
    <w:bookmarkEnd w:id="213"/>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Type of Loans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Borrower to repay such Loan in accordance with the terms of this Agreement.</w:t>
      </w:r>
    </w:p>
    <w:p>
      <w:pPr>
        <w:spacing w:after="0" w:line="17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Borrowings of more than one Class, Currency and Type may be outstanding at the same time.</w:t>
      </w:r>
    </w:p>
    <w:p>
      <w:pPr>
        <w:spacing w:after="0" w:line="181"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Limitations on Interest Periods</w:t>
      </w:r>
      <w:r>
        <w:rPr>
          <w:rFonts w:ascii="Times New Roman" w:cs="Times New Roman" w:eastAsia="Times New Roman" w:hAnsi="Times New Roman"/>
          <w:sz w:val="22"/>
          <w:szCs w:val="22"/>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 with respect to such Borrowing.</w:t>
      </w:r>
    </w:p>
    <w:p>
      <w:pPr>
        <w:spacing w:after="0" w:line="173" w:lineRule="exact"/>
        <w:rPr>
          <w:sz w:val="20"/>
          <w:szCs w:val="20"/>
          <w:color w:val="auto"/>
        </w:rPr>
      </w:pPr>
    </w:p>
    <w:p>
      <w:pPr>
        <w:jc w:val="both"/>
        <w:ind w:right="20" w:firstLine="1727"/>
        <w:spacing w:after="0" w:line="251" w:lineRule="auto"/>
        <w:rPr>
          <w:sz w:val="20"/>
          <w:szCs w:val="20"/>
          <w:color w:val="auto"/>
        </w:rPr>
      </w:pPr>
      <w:r>
        <w:rPr>
          <w:rFonts w:ascii="Times New Roman" w:cs="Times New Roman" w:eastAsia="Times New Roman" w:hAnsi="Times New Roman"/>
          <w:sz w:val="21"/>
          <w:szCs w:val="21"/>
          <w:u w:val="single" w:color="auto"/>
          <w:color w:val="auto"/>
        </w:rPr>
        <w:t>Treatment of Classes</w:t>
      </w:r>
      <w:r>
        <w:rPr>
          <w:rFonts w:ascii="Times New Roman" w:cs="Times New Roman" w:eastAsia="Times New Roman" w:hAnsi="Times New Roman"/>
          <w:sz w:val="21"/>
          <w:szCs w:val="21"/>
          <w:color w:val="auto"/>
        </w:rPr>
        <w:t>.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6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Requests for Syndicated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Notice by the Borrower</w:t>
      </w:r>
      <w:r>
        <w:rPr>
          <w:rFonts w:ascii="Times New Roman" w:cs="Times New Roman" w:eastAsia="Times New Roman" w:hAnsi="Times New Roman"/>
          <w:sz w:val="22"/>
          <w:szCs w:val="22"/>
          <w:color w:val="auto"/>
        </w:rPr>
        <w:t>. To request a Syndicated Borrowing, the Borrower shall notify the Administrative Agent of such request by telephone (i) 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78"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Content of Borrowing Requests</w:t>
      </w:r>
      <w:r>
        <w:rPr>
          <w:rFonts w:ascii="Times New Roman" w:cs="Times New Roman" w:eastAsia="Times New Roman" w:hAnsi="Times New Roman"/>
          <w:sz w:val="22"/>
          <w:szCs w:val="22"/>
          <w:color w:val="auto"/>
        </w:rPr>
        <w:t xml:space="preserve">. Each telephonic and written Borrowing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4" w:name="page215"/>
    <w:bookmarkEnd w:id="214"/>
    <w:p>
      <w:pPr>
        <w:ind w:left="1660" w:right="300"/>
        <w:spacing w:after="0" w:line="435" w:lineRule="auto"/>
        <w:rPr>
          <w:sz w:val="20"/>
          <w:szCs w:val="20"/>
          <w:color w:val="auto"/>
        </w:rPr>
      </w:pPr>
      <w:r>
        <w:rPr>
          <w:rFonts w:ascii="Times New Roman" w:cs="Times New Roman" w:eastAsia="Times New Roman" w:hAnsi="Times New Roman"/>
          <w:sz w:val="22"/>
          <w:szCs w:val="22"/>
          <w:color w:val="auto"/>
        </w:rPr>
        <w:t>whether such Borrowing is to be made under the Dollar Commitments or the Multicurrency Commitments; the aggregate amount and Currency of the requested Borrowing; the date of such Borrowing, which shall be a Business Day;</w:t>
      </w:r>
    </w:p>
    <w:p>
      <w:pPr>
        <w:spacing w:after="0" w:line="1" w:lineRule="exact"/>
        <w:rPr>
          <w:sz w:val="20"/>
          <w:szCs w:val="20"/>
          <w:color w:val="auto"/>
        </w:rPr>
      </w:pPr>
    </w:p>
    <w:p>
      <w:pPr>
        <w:ind w:left="880" w:firstLine="797"/>
        <w:spacing w:after="0" w:line="258" w:lineRule="auto"/>
        <w:rPr>
          <w:sz w:val="20"/>
          <w:szCs w:val="20"/>
          <w:color w:val="auto"/>
        </w:rPr>
      </w:pPr>
      <w:r>
        <w:rPr>
          <w:rFonts w:ascii="Times New Roman" w:cs="Times New Roman" w:eastAsia="Times New Roman" w:hAnsi="Times New Roman"/>
          <w:sz w:val="22"/>
          <w:szCs w:val="22"/>
          <w:color w:val="auto"/>
        </w:rPr>
        <w:t>in the case of a Syndicated Borrowing denominated in Dollars, whether such Borrowing is to be an ABR Borrowing or a Eurocurrency Borrowing;</w:t>
      </w:r>
    </w:p>
    <w:p>
      <w:pPr>
        <w:spacing w:after="0" w:line="158" w:lineRule="exact"/>
        <w:rPr>
          <w:sz w:val="20"/>
          <w:szCs w:val="20"/>
          <w:color w:val="auto"/>
        </w:rPr>
      </w:pPr>
    </w:p>
    <w:p>
      <w:pPr>
        <w:ind w:left="880" w:right="20" w:firstLine="797"/>
        <w:spacing w:after="0" w:line="258" w:lineRule="auto"/>
        <w:rPr>
          <w:sz w:val="20"/>
          <w:szCs w:val="20"/>
          <w:color w:val="auto"/>
        </w:rPr>
      </w:pPr>
      <w:r>
        <w:rPr>
          <w:rFonts w:ascii="Times New Roman" w:cs="Times New Roman" w:eastAsia="Times New Roman" w:hAnsi="Times New Roman"/>
          <w:sz w:val="22"/>
          <w:szCs w:val="22"/>
          <w:color w:val="auto"/>
        </w:rPr>
        <w:t xml:space="preserve">in the case of a Eurocurrency Borrowing, the Interest Period therefor, which shall be a period contemplated by the definition of the term “Interest Period” and permitted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the location and number of the Borrower’s account to which funds are to be disbursed.</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Notice by the Administrative Agent to the Lenders</w:t>
      </w:r>
      <w:r>
        <w:rPr>
          <w:rFonts w:ascii="Times New Roman" w:cs="Times New Roman" w:eastAsia="Times New Roman" w:hAnsi="Times New Roman"/>
          <w:sz w:val="22"/>
          <w:szCs w:val="22"/>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7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Failure to Elect</w:t>
      </w:r>
      <w:r>
        <w:rPr>
          <w:rFonts w:ascii="Times New Roman" w:cs="Times New Roman" w:eastAsia="Times New Roman" w:hAnsi="Times New Roman"/>
          <w:sz w:val="22"/>
          <w:szCs w:val="22"/>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7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Swingline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Agreement to Make Swingline Loans</w:t>
      </w:r>
      <w:r>
        <w:rPr>
          <w:rFonts w:ascii="Times New Roman" w:cs="Times New Roman" w:eastAsia="Times New Roman" w:hAnsi="Times New Roman"/>
          <w:sz w:val="22"/>
          <w:szCs w:val="22"/>
          <w:color w:val="auto"/>
        </w:rPr>
        <w:t>.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$100,000,000 or the aggregate principal amount of outstanding Swingline Loans of any Swingline Lender exceeding $50,000,000, (ii) the sum of any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5" w:name="page216"/>
    <w:bookmarkEnd w:id="215"/>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Multicurrency Credit Exposures exceeding the aggregate Multicurrency Commitments at such time or (v) the total Covered Debt Amount exceeding the Borrowing Base then in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80"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Notice of Swingline Loans by the Borrower</w:t>
      </w:r>
      <w:r>
        <w:rPr>
          <w:rFonts w:ascii="Times New Roman" w:cs="Times New Roman" w:eastAsia="Times New Roman" w:hAnsi="Times New Roman"/>
          <w:sz w:val="22"/>
          <w:szCs w:val="22"/>
          <w:color w:val="auto"/>
        </w:rPr>
        <w:t xml:space="preserve">. To request a Swingline Loan, the Borrower shall notify the Administrative Agent of such request by telephone (confirmed by telecopy) not later than 2:00 p.m., Atlanta, Georgia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available to the Borrower by means of a credit to the general deposit account of the Borrower with such Swingline Lender (or, in the case of a Swingline Loan made to finance the reimbursement of an LC Disbursement as provided in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by remittance to the applicable Issuing Bank) by 3:00 p.m., Atlanta, Georgia time, on the requested date of such Swingline Loan.</w:t>
      </w:r>
    </w:p>
    <w:p>
      <w:pPr>
        <w:spacing w:after="0" w:line="18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1"/>
          <w:szCs w:val="21"/>
          <w:u w:val="single" w:color="auto"/>
          <w:color w:val="auto"/>
        </w:rPr>
        <w:t>Participations by Lenders in Swingline Loans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any Swingline Lender may by written notice given to the Administrative Agent not later than 10:00 a.m., Atlanta, Georgia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of such Swingline Loan or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be required to purchase a participation in a Swingline Loan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if (x)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7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Subject to the foregoing and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each Lender acknowledges and agrees that its obligation to acquire participations in Swingline Loans pursuant to this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6" w:name="page217"/>
    <w:bookmarkEnd w:id="216"/>
    <w:p>
      <w:pPr>
        <w:jc w:val="both"/>
        <w:spacing w:after="0" w:line="246" w:lineRule="auto"/>
        <w:rPr>
          <w:sz w:val="20"/>
          <w:szCs w:val="20"/>
          <w:color w:val="auto"/>
        </w:rPr>
      </w:pP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with respect to Loans made by such Lender (and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shall apply, </w:t>
      </w:r>
      <w:r>
        <w:rPr>
          <w:rFonts w:ascii="Times New Roman" w:cs="Times New Roman" w:eastAsia="Times New Roman" w:hAnsi="Times New Roman"/>
          <w:sz w:val="21"/>
          <w:szCs w:val="21"/>
          <w:u w:val="single" w:color="auto"/>
          <w:color w:val="auto"/>
        </w:rPr>
        <w:t>mutatis mutandis</w:t>
      </w:r>
      <w:r>
        <w:rPr>
          <w:rFonts w:ascii="Times New Roman" w:cs="Times New Roman" w:eastAsia="Times New Roman" w:hAnsi="Times New Roman"/>
          <w:sz w:val="21"/>
          <w:szCs w:val="21"/>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71"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u w:val="single" w:color="auto"/>
          <w:color w:val="auto"/>
        </w:rPr>
        <w:t>Resignation and Replacement of Swingline Lender</w:t>
      </w:r>
      <w:r>
        <w:rPr>
          <w:rFonts w:ascii="Times New Roman" w:cs="Times New Roman" w:eastAsia="Times New Roman" w:hAnsi="Times New Roman"/>
          <w:sz w:val="22"/>
          <w:szCs w:val="22"/>
          <w:color w:val="auto"/>
        </w:rPr>
        <w:t xml:space="preserve">. Any Swingline Lender may resign and be replaced at any time by written agreement among the Borrower, the Administrative Agent, the resigning Swingline Lender and a successor Swingline Lender. The Administrative Agent shall notify the Lenders of any such resignation and replacement of any Swingline Lender. In addition to the foregoing, if a Lender becomes, and during the period it remains, a Defaulting Lender, and if any Default has arisen from a failure of the Borrower to comply with </w:t>
      </w:r>
      <w:r>
        <w:rPr>
          <w:rFonts w:ascii="Times New Roman" w:cs="Times New Roman" w:eastAsia="Times New Roman" w:hAnsi="Times New Roman"/>
          <w:sz w:val="22"/>
          <w:szCs w:val="22"/>
          <w:u w:val="single" w:color="auto"/>
          <w:color w:val="auto"/>
        </w:rPr>
        <w:t>Section 2.19(a)</w:t>
      </w:r>
      <w:r>
        <w:rPr>
          <w:rFonts w:ascii="Times New Roman" w:cs="Times New Roman" w:eastAsia="Times New Roman" w:hAnsi="Times New Roman"/>
          <w:sz w:val="22"/>
          <w:szCs w:val="22"/>
          <w:color w:val="auto"/>
        </w:rPr>
        <w:t>, then each Swingline Lender may, upon prior written notice to the Borrower and the Administrative Agent, resign as a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one or more successor Swingline Lenders. The Administrative Agent shall notify the Lenders of any such appointment of a successor Swingline Lender. Upon the effectiveness of any resignation of any Swingline Lender, the Borrower shall repay in full all outstanding Swingline Loans made by such Swingline Lender together with all accrued interest thereon. From and after the effective date of the appointment of a successor Swingline Lender, (i) such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of the Swingline Lender hereunder, the replaced Swingline Lender shall have no obligation to make additional Swingline Loans.</w:t>
      </w:r>
    </w:p>
    <w:p>
      <w:pPr>
        <w:spacing w:after="0" w:line="18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Subject to the terms and conditions set forth herein, in addition to the Loans provided for in </w:t>
      </w:r>
      <w:r>
        <w:rPr>
          <w:rFonts w:ascii="Times New Roman" w:cs="Times New Roman" w:eastAsia="Times New Roman" w:hAnsi="Times New Roman"/>
          <w:sz w:val="22"/>
          <w:szCs w:val="22"/>
          <w:u w:val="single" w:color="auto"/>
          <w:color w:val="auto"/>
        </w:rPr>
        <w:t>Section 2.01</w:t>
      </w:r>
      <w:r>
        <w:rPr>
          <w:rFonts w:ascii="Times New Roman" w:cs="Times New Roman" w:eastAsia="Times New Roman" w:hAnsi="Times New Roman"/>
          <w:sz w:val="22"/>
          <w:szCs w:val="22"/>
          <w:color w:val="auto"/>
        </w:rPr>
        <w:t>,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7" w:name="page218"/>
    <w:bookmarkEnd w:id="21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83"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Notice of Issuance, Amendment, Renewal or Extension</w:t>
      </w:r>
      <w:r>
        <w:rPr>
          <w:rFonts w:ascii="Times New Roman" w:cs="Times New Roman" w:eastAsia="Times New Roman" w:hAnsi="Times New Roman"/>
          <w:sz w:val="22"/>
          <w:szCs w:val="22"/>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80"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Limitations on Amounts</w:t>
      </w:r>
      <w:r>
        <w:rPr>
          <w:rFonts w:ascii="Times New Roman" w:cs="Times New Roman" w:eastAsia="Times New Roman" w:hAnsi="Times New Roman"/>
          <w:sz w:val="22"/>
          <w:szCs w:val="22"/>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Times New Roman" w:cs="Times New Roman" w:eastAsia="Times New Roman" w:hAnsi="Times New Roman"/>
          <w:sz w:val="22"/>
          <w:szCs w:val="22"/>
          <w:u w:val="single" w:color="auto"/>
          <w:color w:val="auto"/>
        </w:rPr>
        <w:t>paragraph (e)</w:t>
      </w:r>
      <w:r>
        <w:rPr>
          <w:rFonts w:ascii="Times New Roman" w:cs="Times New Roman" w:eastAsia="Times New Roman" w:hAnsi="Times New Roman"/>
          <w:sz w:val="22"/>
          <w:szCs w:val="22"/>
          <w:color w:val="auto"/>
        </w:rPr>
        <w:t xml:space="preserve"> of this Section) shall not exceed the amount set forth opposite the name of such Issuing Bank on </w:t>
      </w:r>
      <w:r>
        <w:rPr>
          <w:rFonts w:ascii="Times New Roman" w:cs="Times New Roman" w:eastAsia="Times New Roman" w:hAnsi="Times New Roman"/>
          <w:sz w:val="22"/>
          <w:szCs w:val="22"/>
          <w:u w:val="single" w:color="auto"/>
          <w:color w:val="auto"/>
        </w:rPr>
        <w:t>Schedule 2.05</w:t>
      </w:r>
      <w:r>
        <w:rPr>
          <w:rFonts w:ascii="Times New Roman" w:cs="Times New Roman" w:eastAsia="Times New Roman" w:hAnsi="Times New Roman"/>
          <w:sz w:val="22"/>
          <w:szCs w:val="22"/>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(iv) with respect to each Issuing Bank that is a Swingline Lender,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8" w:name="page219"/>
    <w:bookmarkEnd w:id="218"/>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83"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purchase a participation in a Letter of Credit pursuant to this </w:t>
      </w:r>
      <w:r>
        <w:rPr>
          <w:rFonts w:ascii="Times New Roman" w:cs="Times New Roman" w:eastAsia="Times New Roman" w:hAnsi="Times New Roman"/>
          <w:sz w:val="22"/>
          <w:szCs w:val="22"/>
          <w:u w:val="single" w:color="auto"/>
          <w:color w:val="auto"/>
        </w:rPr>
        <w:t>Section 2.05(e)</w:t>
      </w:r>
      <w:r>
        <w:rPr>
          <w:rFonts w:ascii="Times New Roman" w:cs="Times New Roman" w:eastAsia="Times New Roman" w:hAnsi="Times New Roman"/>
          <w:sz w:val="22"/>
          <w:szCs w:val="22"/>
          <w:color w:val="auto"/>
        </w:rPr>
        <w:t xml:space="preserve"> if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would not be satisfied in respect of a Borrowing at the time such Letter of Credit was issued and (y) the 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spacing w:after="0" w:line="190"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with respect to Loans made by such Lender (and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 obligations of the Lenders), and the Administrative Agent shall promptly pay to the applicable Issuing Bank the amounts so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9" w:name="page220"/>
    <w:bookmarkEnd w:id="219"/>
    <w:p>
      <w:pPr>
        <w:jc w:val="both"/>
        <w:spacing w:after="0" w:line="236" w:lineRule="auto"/>
        <w:rPr>
          <w:sz w:val="20"/>
          <w:szCs w:val="20"/>
          <w:color w:val="auto"/>
        </w:rPr>
      </w:pPr>
      <w:r>
        <w:rPr>
          <w:rFonts w:ascii="Times New Roman" w:cs="Times New Roman" w:eastAsia="Times New Roman" w:hAnsi="Times New Roman"/>
          <w:sz w:val="22"/>
          <w:szCs w:val="22"/>
          <w:color w:val="auto"/>
        </w:rPr>
        <w:t>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81"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If an Issuing Bank shall make any LC Disbursement in respect of a Letter of Credit, the Borrower shall reimburse such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w:t>
      </w:r>
    </w:p>
    <w:p>
      <w:pPr>
        <w:spacing w:after="0" w:line="1" w:lineRule="exact"/>
        <w:rPr>
          <w:sz w:val="20"/>
          <w:szCs w:val="20"/>
          <w:color w:val="auto"/>
        </w:rPr>
      </w:pPr>
    </w:p>
    <w:p>
      <w:pPr>
        <w:jc w:val="both"/>
        <w:ind w:firstLine="8"/>
        <w:spacing w:after="0" w:line="232" w:lineRule="auto"/>
        <w:tabs>
          <w:tab w:leader="none" w:pos="32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Business Day immediately following the day that the Borrower receives such notice, if such notice is not received prior to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LC Disbursement is not less than $1,000,000 and is denominated in Dollars, the Borrower may, subject to the conditions to borrowing set forth herein, request in accordance with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2.04</w:t>
      </w:r>
      <w:r>
        <w:rPr>
          <w:rFonts w:ascii="Times New Roman" w:cs="Times New Roman" w:eastAsia="Times New Roman" w:hAnsi="Times New Roman"/>
          <w:sz w:val="22"/>
          <w:szCs w:val="22"/>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3" w:lineRule="exact"/>
        <w:rPr>
          <w:sz w:val="20"/>
          <w:szCs w:val="20"/>
          <w:color w:val="auto"/>
        </w:rPr>
      </w:pPr>
    </w:p>
    <w:p>
      <w:pPr>
        <w:jc w:val="both"/>
        <w:ind w:firstLine="1727"/>
        <w:spacing w:after="0" w:line="261" w:lineRule="auto"/>
        <w:rPr>
          <w:sz w:val="20"/>
          <w:szCs w:val="20"/>
          <w:color w:val="auto"/>
        </w:rPr>
      </w:pPr>
      <w:r>
        <w:rPr>
          <w:rFonts w:ascii="Times New Roman" w:cs="Times New Roman" w:eastAsia="Times New Roman" w:hAnsi="Times New Roman"/>
          <w:sz w:val="21"/>
          <w:szCs w:val="21"/>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The Borrower’s obligation to reimburse LC Disbursements as provided in </w:t>
      </w:r>
      <w:r>
        <w:rPr>
          <w:rFonts w:ascii="Times New Roman" w:cs="Times New Roman" w:eastAsia="Times New Roman" w:hAnsi="Times New Roman"/>
          <w:sz w:val="22"/>
          <w:szCs w:val="22"/>
          <w:u w:val="single" w:color="auto"/>
          <w:color w:val="auto"/>
        </w:rPr>
        <w:t>paragraph</w:t>
      </w:r>
    </w:p>
    <w:p>
      <w:pPr>
        <w:spacing w:after="0" w:line="14" w:lineRule="exact"/>
        <w:rPr>
          <w:sz w:val="20"/>
          <w:szCs w:val="20"/>
          <w:color w:val="auto"/>
        </w:rPr>
      </w:pPr>
    </w:p>
    <w:p>
      <w:pPr>
        <w:jc w:val="both"/>
        <w:ind w:firstLine="8"/>
        <w:spacing w:after="0" w:line="232" w:lineRule="auto"/>
        <w:tabs>
          <w:tab w:leader="none" w:pos="270" w:val="left"/>
        </w:tabs>
        <w:numPr>
          <w:ilvl w:val="0"/>
          <w:numId w:val="1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80"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0" w:name="page221"/>
    <w:bookmarkEnd w:id="220"/>
    <w:p>
      <w:pPr>
        <w:jc w:val="both"/>
        <w:spacing w:after="0" w:line="238" w:lineRule="auto"/>
        <w:rPr>
          <w:sz w:val="20"/>
          <w:szCs w:val="20"/>
          <w:color w:val="auto"/>
        </w:rPr>
      </w:pPr>
      <w:r>
        <w:rPr>
          <w:rFonts w:ascii="Times New Roman" w:cs="Times New Roman" w:eastAsia="Times New Roman" w:hAnsi="Times New Roman"/>
          <w:sz w:val="22"/>
          <w:szCs w:val="22"/>
          <w:color w:val="auto"/>
        </w:rPr>
        <w:t>foregoing shall not be construed to excuse any Issuing Bank from liability to the Borrower to the extent of any direct damages (as opposed to consequential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177"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color w:val="auto"/>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0" w:lineRule="exact"/>
        <w:rPr>
          <w:sz w:val="20"/>
          <w:szCs w:val="20"/>
          <w:color w:val="auto"/>
        </w:rPr>
      </w:pPr>
    </w:p>
    <w:p>
      <w:pPr>
        <w:jc w:val="both"/>
        <w:ind w:left="880" w:firstLine="797"/>
        <w:spacing w:after="0" w:line="258" w:lineRule="auto"/>
        <w:rPr>
          <w:sz w:val="20"/>
          <w:szCs w:val="20"/>
          <w:color w:val="auto"/>
        </w:rPr>
      </w:pPr>
      <w:r>
        <w:rPr>
          <w:rFonts w:ascii="Times New Roman" w:cs="Times New Roman" w:eastAsia="Times New Roman" w:hAnsi="Times New Roman"/>
          <w:sz w:val="22"/>
          <w:szCs w:val="22"/>
          <w:color w:val="auto"/>
        </w:rPr>
        <w:t>the Issuing Banks shall have the right, in their sole discretion, to decline to accept such documents and to make such payment if such documents are not in strict compliance with the terms of such Letter of Credit; and</w:t>
      </w:r>
    </w:p>
    <w:p>
      <w:pPr>
        <w:spacing w:after="0" w:line="158"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2"/>
          <w:szCs w:val="22"/>
          <w:color w:val="auto"/>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3"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of such demand for payment and whether such Issuing Bank has made or will make an LC Disbursement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181"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u w:val="single" w:color="auto"/>
          <w:color w:val="auto"/>
        </w:rPr>
        <w:t>Interim Interest</w:t>
      </w:r>
      <w:r>
        <w:rPr>
          <w:rFonts w:ascii="Times New Roman" w:cs="Times New Roman" w:eastAsia="Times New Roman" w:hAnsi="Times New Roman"/>
          <w:sz w:val="21"/>
          <w:szCs w:val="21"/>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 fails to reimburse such LC Disbursement within two Business Days following the date when due pursuant to </w:t>
      </w:r>
      <w:r>
        <w:rPr>
          <w:rFonts w:ascii="Times New Roman" w:cs="Times New Roman" w:eastAsia="Times New Roman" w:hAnsi="Times New Roman"/>
          <w:sz w:val="21"/>
          <w:szCs w:val="21"/>
          <w:u w:val="single" w:color="auto"/>
          <w:color w:val="auto"/>
        </w:rPr>
        <w:t>paragraph</w:t>
      </w:r>
    </w:p>
    <w:p>
      <w:pPr>
        <w:spacing w:after="0" w:line="1" w:lineRule="exact"/>
        <w:rPr>
          <w:sz w:val="20"/>
          <w:szCs w:val="20"/>
          <w:color w:val="auto"/>
        </w:rPr>
      </w:pPr>
    </w:p>
    <w:p>
      <w:pPr>
        <w:jc w:val="both"/>
        <w:ind w:firstLine="8"/>
        <w:spacing w:after="0" w:line="235" w:lineRule="auto"/>
        <w:tabs>
          <w:tab w:leader="none" w:pos="293" w:val="left"/>
        </w:tabs>
        <w:numPr>
          <w:ilvl w:val="0"/>
          <w:numId w:val="1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Section, then the provisions of </w:t>
      </w:r>
      <w:r>
        <w:rPr>
          <w:rFonts w:ascii="Times New Roman" w:cs="Times New Roman" w:eastAsia="Times New Roman" w:hAnsi="Times New Roman"/>
          <w:sz w:val="22"/>
          <w:szCs w:val="22"/>
          <w:u w:val="single" w:color="auto"/>
          <w:color w:val="auto"/>
        </w:rPr>
        <w:t>Section 2.12(c)</w:t>
      </w:r>
      <w:r>
        <w:rPr>
          <w:rFonts w:ascii="Times New Roman" w:cs="Times New Roman" w:eastAsia="Times New Roman" w:hAnsi="Times New Roman"/>
          <w:sz w:val="22"/>
          <w:szCs w:val="22"/>
          <w:color w:val="auto"/>
        </w:rPr>
        <w:t xml:space="preserve"> shall apply. Interest accrued pursuant to this paragraph shall be for account of the applicable Issuing Bank, except that interest accrued on and after the date of payment by any Lender pursuant to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of this Section to reimburse such Issuing Bank shall be for account of such Lender to the extent of such payment.</w:t>
      </w:r>
    </w:p>
    <w:p>
      <w:pPr>
        <w:spacing w:after="0" w:line="17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Resignation and/or Replacement of an Issuing Bank</w:t>
      </w:r>
      <w:r>
        <w:rPr>
          <w:rFonts w:ascii="Times New Roman" w:cs="Times New Roman" w:eastAsia="Times New Roman" w:hAnsi="Times New Roman"/>
          <w:sz w:val="22"/>
          <w:szCs w:val="22"/>
          <w:color w:val="auto"/>
        </w:rPr>
        <w:t>.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1" w:name="page222"/>
    <w:bookmarkEnd w:id="221"/>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this Agreement, such Issuing Bank may, with the prior written consent of the Borrower (such consent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if an Event of Default has occurred and is continuing), resign as an Issuing Bank hereunder upon not less than three Business Days prior written notice to the Administrative Agent and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91"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xml:space="preserve">. If the Borrower shall be required to provide Cash Collateral for LC Exposure pursuant to </w:t>
      </w:r>
      <w:r>
        <w:rPr>
          <w:rFonts w:ascii="Times New Roman" w:cs="Times New Roman" w:eastAsia="Times New Roman" w:hAnsi="Times New Roman"/>
          <w:sz w:val="21"/>
          <w:szCs w:val="21"/>
          <w:u w:val="single" w:color="auto"/>
          <w:color w:val="auto"/>
        </w:rPr>
        <w:t>Section 2.05(d)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or the last paragraph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the Borrower shall immediately deposit into a segregated collateral account or accounts (herein, collectively, the “</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Collateral Account</w:t>
      </w:r>
      <w:r>
        <w:rPr>
          <w:rFonts w:ascii="Times New Roman" w:cs="Times New Roman" w:eastAsia="Times New Roman" w:hAnsi="Times New Roman"/>
          <w:sz w:val="21"/>
          <w:szCs w:val="21"/>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or the last paragraph of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71"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Additional Issuing Banks</w:t>
      </w:r>
      <w:r>
        <w:rPr>
          <w:rFonts w:ascii="Times New Roman" w:cs="Times New Roman" w:eastAsia="Times New Roman" w:hAnsi="Times New Roman"/>
          <w:sz w:val="22"/>
          <w:szCs w:val="22"/>
          <w:color w:val="auto"/>
        </w:rPr>
        <w:t xml:space="preserve">. From time to time, the Borrower may, by notice to the Administrative Agent, designate additional Extending Lenders as an Issuing Bank, each of which agrees (in its sole discretion) to act in such capacity and is reasonably satisfactory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notice shall include an updated Schedule 2.05;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2" w:name="page223"/>
    <w:bookmarkEnd w:id="222"/>
    <w:p>
      <w:pPr>
        <w:ind w:left="1740"/>
        <w:spacing w:after="0"/>
        <w:rPr>
          <w:sz w:val="20"/>
          <w:szCs w:val="20"/>
          <w:color w:val="auto"/>
        </w:rPr>
      </w:pPr>
      <w:r>
        <w:rPr>
          <w:rFonts w:ascii="Times New Roman" w:cs="Times New Roman" w:eastAsia="Times New Roman" w:hAnsi="Times New Roman"/>
          <w:sz w:val="22"/>
          <w:szCs w:val="22"/>
          <w:u w:val="single" w:color="auto"/>
          <w:color w:val="auto"/>
        </w:rPr>
        <w:t>Funding of Borrowings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Funding by Lenders</w:t>
      </w:r>
      <w:r>
        <w:rPr>
          <w:rFonts w:ascii="Times New Roman" w:cs="Times New Roman" w:eastAsia="Times New Roman" w:hAnsi="Times New Roman"/>
          <w:sz w:val="22"/>
          <w:szCs w:val="22"/>
          <w:color w:val="auto"/>
        </w:rPr>
        <w:t xml:space="preserve">. Each Lender shall make each Loan to be made by it hereunder on the proposed date thereof by wire transfer of immediately available funds by (i) in the case of any Loan (other than a Syndicated ABR Borrowing), 11:00 a.m. Atlanta, Georgia time, and (ii) in the case of any Loan that is a Syndicated ABR Borrowing, 1:00 p.m. Atlanta, Georgia time, in each case, to the account of the Administrative Agent most recently designated by it for such purpose by notice to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Swingline Loans shall be made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Syndicated ABR Borrowings made to finance the reimbursement of an LC Disbursement as provided in </w:t>
      </w:r>
      <w:r>
        <w:rPr>
          <w:rFonts w:ascii="Times New Roman" w:cs="Times New Roman" w:eastAsia="Times New Roman" w:hAnsi="Times New Roman"/>
          <w:sz w:val="22"/>
          <w:szCs w:val="22"/>
          <w:u w:val="single" w:color="auto"/>
          <w:color w:val="auto"/>
        </w:rPr>
        <w:t>Section 2.05(f)</w:t>
      </w:r>
      <w:r>
        <w:rPr>
          <w:rFonts w:ascii="Times New Roman" w:cs="Times New Roman" w:eastAsia="Times New Roman" w:hAnsi="Times New Roman"/>
          <w:sz w:val="22"/>
          <w:szCs w:val="22"/>
          <w:color w:val="auto"/>
        </w:rPr>
        <w:t xml:space="preserve"> shall be remitted by the Administrative Agent to the applicable Issuing Bank.</w:t>
      </w:r>
    </w:p>
    <w:p>
      <w:pPr>
        <w:spacing w:after="0" w:line="183"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Presumption by the Administrative Agent</w:t>
      </w:r>
      <w:r>
        <w:rPr>
          <w:rFonts w:ascii="Times New Roman" w:cs="Times New Roman" w:eastAsia="Times New Roman" w:hAnsi="Times New Roman"/>
          <w:sz w:val="22"/>
          <w:szCs w:val="22"/>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8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u w:val="single" w:color="auto"/>
          <w:color w:val="auto"/>
        </w:rPr>
        <w:t>Elections by the Borrower for Syndicated Borrowings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 effect thereto, the aggregate Revolving Multicurrency Credit Exposures would exceed the aggregate Multicurrency Commitments, and (iv) a Eurocurrency Borrowing denominated in a Foreign Currency may not be converted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3" w:name="page224"/>
    <w:bookmarkEnd w:id="223"/>
    <w:p>
      <w:pPr>
        <w:jc w:val="both"/>
        <w:spacing w:after="0" w:line="239" w:lineRule="auto"/>
        <w:rPr>
          <w:sz w:val="20"/>
          <w:szCs w:val="20"/>
          <w:color w:val="auto"/>
        </w:rPr>
      </w:pPr>
      <w:r>
        <w:rPr>
          <w:rFonts w:ascii="Times New Roman" w:cs="Times New Roman" w:eastAsia="Times New Roman" w:hAnsi="Times New Roman"/>
          <w:sz w:val="22"/>
          <w:szCs w:val="22"/>
          <w:color w:val="auto"/>
        </w:rPr>
        <w:t>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80"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Notice of Elections</w:t>
      </w:r>
      <w:r>
        <w:rPr>
          <w:rFonts w:ascii="Times New Roman" w:cs="Times New Roman" w:eastAsia="Times New Roman" w:hAnsi="Times New Roman"/>
          <w:sz w:val="22"/>
          <w:szCs w:val="22"/>
          <w:color w:val="auto"/>
        </w:rPr>
        <w:t xml:space="preserve">. To make an election pursuant to this Section, the Borrower shall notify the Administrative Agent of such election by telephone by the time that a Borrowing Request would be required under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81"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Content of Interest Election Requests</w:t>
      </w:r>
      <w:r>
        <w:rPr>
          <w:rFonts w:ascii="Times New Roman" w:cs="Times New Roman" w:eastAsia="Times New Roman" w:hAnsi="Times New Roman"/>
          <w:sz w:val="22"/>
          <w:szCs w:val="22"/>
          <w:color w:val="auto"/>
        </w:rPr>
        <w:t xml:space="preserve">. Each telephonic and written Interest Election Request shall specify the following information in compliance with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color w:val="auto"/>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this paragraph shall be specified for each resulting Borrowing);</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the effective date of the election made pursuant to such Interest Election Request, which shall be a Business</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Day;</w:t>
      </w:r>
    </w:p>
    <w:p>
      <w:pPr>
        <w:spacing w:after="0" w:line="182" w:lineRule="exact"/>
        <w:rPr>
          <w:sz w:val="20"/>
          <w:szCs w:val="20"/>
          <w:color w:val="auto"/>
        </w:rPr>
      </w:pPr>
    </w:p>
    <w:p>
      <w:pPr>
        <w:jc w:val="both"/>
        <w:ind w:left="880" w:firstLine="797"/>
        <w:spacing w:after="0" w:line="258" w:lineRule="auto"/>
        <w:rPr>
          <w:sz w:val="20"/>
          <w:szCs w:val="20"/>
          <w:color w:val="auto"/>
        </w:rPr>
      </w:pPr>
      <w:r>
        <w:rPr>
          <w:rFonts w:ascii="Times New Roman" w:cs="Times New Roman" w:eastAsia="Times New Roman" w:hAnsi="Times New Roman"/>
          <w:sz w:val="22"/>
          <w:szCs w:val="22"/>
          <w:color w:val="auto"/>
        </w:rPr>
        <w:t>whether, in the case of a Borrowing denominated in Dollars, the resulting Borrowing is to be an ABR Borrowing or a Eurocurrency Borrowing; and</w:t>
      </w:r>
    </w:p>
    <w:p>
      <w:pPr>
        <w:spacing w:after="0" w:line="158"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2"/>
          <w:szCs w:val="22"/>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Times New Roman" w:cs="Times New Roman" w:eastAsia="Times New Roman" w:hAnsi="Times New Roman"/>
          <w:sz w:val="22"/>
          <w:szCs w:val="22"/>
          <w:u w:val="single" w:color="auto"/>
          <w:color w:val="auto"/>
        </w:rPr>
        <w:t>Section 2.02(d)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Notice by the Administrative Agent to the Lenders</w:t>
      </w:r>
      <w:r>
        <w:rPr>
          <w:rFonts w:ascii="Times New Roman" w:cs="Times New Roman" w:eastAsia="Times New Roman" w:hAnsi="Times New Roman"/>
          <w:sz w:val="22"/>
          <w:szCs w:val="22"/>
          <w:color w:val="auto"/>
        </w:rPr>
        <w:t>. Promptly following receipt of an Interest Election Request, the Administrative Agent shall advise each applicable Lender of the details thereof and of such Lender’s portion of each resulting Borrowing.</w:t>
      </w:r>
    </w:p>
    <w:p>
      <w:pPr>
        <w:spacing w:after="0" w:line="17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Failure to Elect; Events of Default</w:t>
      </w:r>
      <w:r>
        <w:rPr>
          <w:rFonts w:ascii="Times New Roman" w:cs="Times New Roman" w:eastAsia="Times New Roman" w:hAnsi="Times New Roman"/>
          <w:sz w:val="22"/>
          <w:szCs w:val="22"/>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4" w:name="page225"/>
    <w:bookmarkEnd w:id="224"/>
    <w:p>
      <w:pPr>
        <w:jc w:val="both"/>
        <w:spacing w:after="0" w:line="258" w:lineRule="auto"/>
        <w:rPr>
          <w:sz w:val="20"/>
          <w:szCs w:val="20"/>
          <w:color w:val="auto"/>
        </w:rPr>
      </w:pPr>
      <w:r>
        <w:rPr>
          <w:rFonts w:ascii="Times New Roman" w:cs="Times New Roman" w:eastAsia="Times New Roman" w:hAnsi="Times New Roman"/>
          <w:sz w:val="22"/>
          <w:szCs w:val="22"/>
          <w:color w:val="auto"/>
        </w:rPr>
        <w:t>for such Eurocurrency Borrowing, be automatically converted to an ABR Borrowing and (ii) any Eurocurrency Borrowing denominated in a Foreign Currency shall not have an Interest Period of more than one month’s duration.</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Termination, Reduction or Increase of the Commitments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Scheduled Termination</w:t>
      </w:r>
      <w:r>
        <w:rPr>
          <w:rFonts w:ascii="Times New Roman" w:cs="Times New Roman" w:eastAsia="Times New Roman" w:hAnsi="Times New Roman"/>
          <w:sz w:val="22"/>
          <w:szCs w:val="22"/>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80"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Voluntary Termination or Reduction</w:t>
      </w:r>
      <w:r>
        <w:rPr>
          <w:rFonts w:ascii="Times New Roman" w:cs="Times New Roman" w:eastAsia="Times New Roman" w:hAnsi="Times New Roman"/>
          <w:sz w:val="22"/>
          <w:szCs w:val="22"/>
          <w:color w:val="auto"/>
        </w:rPr>
        <w:t xml:space="preserve">. The Borrower may at any time terminate, or from time to time reduce, the Commitments of either Class of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of Commitment if, after giving effect to any concurrent prepayment of the Syndicated Loans of such Class in accordance with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the total Revolving Credit Exposures of such Class would exceed the total Commitments of such Class. Any such reduction of the Commitments below the principal amount of the Swingline Loans permitted under </w:t>
      </w:r>
      <w:r>
        <w:rPr>
          <w:rFonts w:ascii="Times New Roman" w:cs="Times New Roman" w:eastAsia="Times New Roman" w:hAnsi="Times New Roman"/>
          <w:sz w:val="22"/>
          <w:szCs w:val="22"/>
          <w:u w:val="single" w:color="auto"/>
          <w:color w:val="auto"/>
        </w:rPr>
        <w:t>Section 2.04(a)(i)</w:t>
      </w:r>
      <w:r>
        <w:rPr>
          <w:rFonts w:ascii="Times New Roman" w:cs="Times New Roman" w:eastAsia="Times New Roman" w:hAnsi="Times New Roman"/>
          <w:sz w:val="22"/>
          <w:szCs w:val="22"/>
          <w:color w:val="auto"/>
        </w:rPr>
        <w:t xml:space="preserve"> and the Letters of Credit permitted under </w:t>
      </w:r>
      <w:r>
        <w:rPr>
          <w:rFonts w:ascii="Times New Roman" w:cs="Times New Roman" w:eastAsia="Times New Roman" w:hAnsi="Times New Roman"/>
          <w:sz w:val="22"/>
          <w:szCs w:val="22"/>
          <w:u w:val="single" w:color="auto"/>
          <w:color w:val="auto"/>
        </w:rPr>
        <w:t>Section 2.05(c)(i)</w:t>
      </w:r>
      <w:r>
        <w:rPr>
          <w:rFonts w:ascii="Times New Roman" w:cs="Times New Roman" w:eastAsia="Times New Roman" w:hAnsi="Times New Roman"/>
          <w:sz w:val="22"/>
          <w:szCs w:val="22"/>
          <w:color w:val="auto"/>
        </w:rPr>
        <w:t xml:space="preserve"> shall result in a dollar-for-dollar reduction of such amounts as applicable.</w:t>
      </w:r>
    </w:p>
    <w:p>
      <w:pPr>
        <w:spacing w:after="0" w:line="178"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Notice of Voluntary Termination or Reduction</w:t>
      </w:r>
      <w:r>
        <w:rPr>
          <w:rFonts w:ascii="Times New Roman" w:cs="Times New Roman" w:eastAsia="Times New Roman" w:hAnsi="Times New Roman"/>
          <w:sz w:val="22"/>
          <w:szCs w:val="22"/>
          <w:color w:val="auto"/>
        </w:rPr>
        <w:t xml:space="preserve">. The Borrower shall notify the Administrative Agent of any election to terminate or reduce the Commitments under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78" w:lineRule="exact"/>
        <w:rPr>
          <w:sz w:val="20"/>
          <w:szCs w:val="20"/>
          <w:color w:val="auto"/>
        </w:rPr>
      </w:pPr>
    </w:p>
    <w:p>
      <w:pPr>
        <w:jc w:val="both"/>
        <w:ind w:firstLine="1727"/>
        <w:spacing w:after="0" w:line="261" w:lineRule="auto"/>
        <w:rPr>
          <w:sz w:val="20"/>
          <w:szCs w:val="20"/>
          <w:color w:val="auto"/>
        </w:rPr>
      </w:pPr>
      <w:r>
        <w:rPr>
          <w:rFonts w:ascii="Times New Roman" w:cs="Times New Roman" w:eastAsia="Times New Roman" w:hAnsi="Times New Roman"/>
          <w:sz w:val="21"/>
          <w:szCs w:val="21"/>
          <w:u w:val="single" w:color="auto"/>
          <w:color w:val="auto"/>
        </w:rPr>
        <w:t>Effect of Termination or Reduction</w:t>
      </w:r>
      <w:r>
        <w:rPr>
          <w:rFonts w:ascii="Times New Roman" w:cs="Times New Roman" w:eastAsia="Times New Roman" w:hAnsi="Times New Roman"/>
          <w:sz w:val="21"/>
          <w:szCs w:val="21"/>
          <w:color w:val="auto"/>
        </w:rPr>
        <w:t xml:space="preserve">. Any termination or reduction of the Commitments of a Class of Commitments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shall be permanent. Each reduction of the Commitments of a Class of Commitments pursuant to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shall be made ratably among the Lenders of such Class in accordance with their respective Commitments.</w:t>
      </w:r>
    </w:p>
    <w:p>
      <w:pPr>
        <w:spacing w:after="0" w:line="1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Increase of the Commitments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u w:val="single" w:color="auto"/>
          <w:color w:val="auto"/>
        </w:rPr>
        <w:t>Requests for Increase by Borrower</w:t>
      </w:r>
      <w:r>
        <w:rPr>
          <w:rFonts w:ascii="Times New Roman" w:cs="Times New Roman" w:eastAsia="Times New Roman" w:hAnsi="Times New Roman"/>
          <w:sz w:val="22"/>
          <w:szCs w:val="22"/>
          <w:color w:val="auto"/>
        </w:rPr>
        <w:t>. The Borrower may, at any time, request that the Commitments hereunder of a Class of Commitments be increased (each such proposed increase being a “</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 Class of Non-Extended Loans be increased hereunder), upon notice to the Administrative Agent (who shall promptly notify the Lenders), which notice shall specify each existing Lender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5" w:name="page226"/>
    <w:bookmarkEnd w:id="225"/>
    <w:p>
      <w:pPr>
        <w:jc w:val="both"/>
        <w:spacing w:after="0" w:line="238" w:lineRule="auto"/>
        <w:rPr>
          <w:sz w:val="20"/>
          <w:szCs w:val="20"/>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and/or each additional lender (each an “</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that shall have agreed to an additional Commitment and the date on which such increase is to be effective (the “</w:t>
      </w:r>
      <w:r>
        <w:rPr>
          <w:rFonts w:ascii="Times New Roman" w:cs="Times New Roman" w:eastAsia="Times New Roman" w:hAnsi="Times New Roman"/>
          <w:sz w:val="22"/>
          <w:szCs w:val="22"/>
          <w:u w:val="single" w:color="auto"/>
          <w:color w:val="auto"/>
        </w:rPr>
        <w:t>Commitment Increase Date</w:t>
      </w:r>
      <w:r>
        <w:rPr>
          <w:rFonts w:ascii="Times New Roman" w:cs="Times New Roman" w:eastAsia="Times New Roman" w:hAnsi="Times New Roman"/>
          <w:sz w:val="22"/>
          <w:szCs w:val="22"/>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7" w:lineRule="exact"/>
        <w:rPr>
          <w:sz w:val="20"/>
          <w:szCs w:val="20"/>
          <w:color w:val="auto"/>
        </w:rPr>
      </w:pPr>
    </w:p>
    <w:p>
      <w:pPr>
        <w:jc w:val="both"/>
        <w:ind w:left="860" w:firstLine="731"/>
        <w:spacing w:after="0" w:line="239" w:lineRule="auto"/>
        <w:rPr>
          <w:sz w:val="20"/>
          <w:szCs w:val="20"/>
          <w:color w:val="auto"/>
        </w:rPr>
      </w:pPr>
      <w:r>
        <w:rPr>
          <w:rFonts w:ascii="Times New Roman" w:cs="Times New Roman" w:eastAsia="Times New Roman" w:hAnsi="Times New Roman"/>
          <w:sz w:val="22"/>
          <w:szCs w:val="22"/>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80" w:lineRule="exact"/>
        <w:rPr>
          <w:sz w:val="20"/>
          <w:szCs w:val="20"/>
          <w:color w:val="auto"/>
        </w:rPr>
      </w:pPr>
    </w:p>
    <w:p>
      <w:pPr>
        <w:jc w:val="both"/>
        <w:ind w:left="860" w:firstLine="731"/>
        <w:spacing w:after="0" w:line="244" w:lineRule="auto"/>
        <w:rPr>
          <w:sz w:val="20"/>
          <w:szCs w:val="20"/>
          <w:color w:val="auto"/>
        </w:rPr>
      </w:pPr>
      <w:r>
        <w:rPr>
          <w:rFonts w:ascii="Times New Roman" w:cs="Times New Roman" w:eastAsia="Times New Roman" w:hAnsi="Times New Roman"/>
          <w:sz w:val="22"/>
          <w:szCs w:val="22"/>
          <w:color w:val="auto"/>
        </w:rPr>
        <w:t xml:space="preserve">immediately after giving effect to such Commitment Increase (including, if applicable, the substantially concurrent reduction of the Commitments of a Non-Extending Lender in accordance with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the total Commitments of all of the Lenders hereunder shall not exceed $2,000,000,000;</w:t>
      </w:r>
    </w:p>
    <w:p>
      <w:pPr>
        <w:spacing w:after="0" w:line="173" w:lineRule="exact"/>
        <w:rPr>
          <w:sz w:val="20"/>
          <w:szCs w:val="20"/>
          <w:color w:val="auto"/>
        </w:rPr>
      </w:pPr>
    </w:p>
    <w:p>
      <w:pPr>
        <w:jc w:val="both"/>
        <w:ind w:left="860" w:firstLine="731"/>
        <w:spacing w:after="0" w:line="258" w:lineRule="auto"/>
        <w:rPr>
          <w:sz w:val="20"/>
          <w:szCs w:val="20"/>
          <w:color w:val="auto"/>
        </w:rPr>
      </w:pPr>
      <w:r>
        <w:rPr>
          <w:rFonts w:ascii="Times New Roman" w:cs="Times New Roman" w:eastAsia="Times New Roman" w:hAnsi="Times New Roman"/>
          <w:sz w:val="22"/>
          <w:szCs w:val="22"/>
          <w:color w:val="auto"/>
        </w:rPr>
        <w:t>each Assuming Lender shall be consented to by the Administrative Agent and each Issuing Bank (such consent not to be unreasonably withheld);</w:t>
      </w:r>
    </w:p>
    <w:p>
      <w:pPr>
        <w:spacing w:after="0" w:line="158" w:lineRule="exact"/>
        <w:rPr>
          <w:sz w:val="20"/>
          <w:szCs w:val="20"/>
          <w:color w:val="auto"/>
        </w:rPr>
      </w:pPr>
    </w:p>
    <w:p>
      <w:pPr>
        <w:jc w:val="both"/>
        <w:ind w:left="860" w:firstLine="731"/>
        <w:spacing w:after="0" w:line="258" w:lineRule="auto"/>
        <w:rPr>
          <w:sz w:val="20"/>
          <w:szCs w:val="20"/>
          <w:color w:val="auto"/>
        </w:rPr>
      </w:pPr>
      <w:r>
        <w:rPr>
          <w:rFonts w:ascii="Times New Roman" w:cs="Times New Roman" w:eastAsia="Times New Roman" w:hAnsi="Times New Roman"/>
          <w:sz w:val="22"/>
          <w:szCs w:val="22"/>
          <w:color w:val="auto"/>
        </w:rPr>
        <w:t>no Default shall have occurred and be continuing on such Commitment Increase Date or shall result from the proposed Commitment Increase; and</w:t>
      </w:r>
    </w:p>
    <w:p>
      <w:pPr>
        <w:spacing w:after="0" w:line="158" w:lineRule="exact"/>
        <w:rPr>
          <w:sz w:val="20"/>
          <w:szCs w:val="20"/>
          <w:color w:val="auto"/>
        </w:rPr>
      </w:pPr>
    </w:p>
    <w:p>
      <w:pPr>
        <w:jc w:val="both"/>
        <w:ind w:left="860" w:firstLine="731"/>
        <w:spacing w:after="0" w:line="238" w:lineRule="auto"/>
        <w:rPr>
          <w:sz w:val="20"/>
          <w:szCs w:val="20"/>
          <w:color w:val="auto"/>
        </w:rPr>
      </w:pPr>
      <w:r>
        <w:rPr>
          <w:rFonts w:ascii="Times New Roman" w:cs="Times New Roman" w:eastAsia="Times New Roman" w:hAnsi="Times New Roman"/>
          <w:sz w:val="22"/>
          <w:szCs w:val="22"/>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77" w:lineRule="exact"/>
        <w:rPr>
          <w:sz w:val="20"/>
          <w:szCs w:val="20"/>
          <w:color w:val="auto"/>
        </w:rPr>
      </w:pPr>
    </w:p>
    <w:p>
      <w:pPr>
        <w:jc w:val="both"/>
        <w:ind w:firstLine="797"/>
        <w:spacing w:after="0" w:line="244" w:lineRule="auto"/>
        <w:rPr>
          <w:sz w:val="20"/>
          <w:szCs w:val="20"/>
          <w:color w:val="auto"/>
        </w:rPr>
      </w:pPr>
      <w:r>
        <w:rPr>
          <w:rFonts w:ascii="Times New Roman" w:cs="Times New Roman" w:eastAsia="Times New Roman" w:hAnsi="Times New Roman"/>
          <w:sz w:val="22"/>
          <w:szCs w:val="22"/>
          <w:u w:val="single" w:color="auto"/>
          <w:color w:val="auto"/>
        </w:rPr>
        <w:t>Effectiveness of Commitment Increase by Borrower</w:t>
      </w:r>
      <w:r>
        <w:rPr>
          <w:rFonts w:ascii="Times New Roman" w:cs="Times New Roman" w:eastAsia="Times New Roman" w:hAnsi="Times New Roman"/>
          <w:sz w:val="22"/>
          <w:szCs w:val="22"/>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3" w:lineRule="exact"/>
        <w:rPr>
          <w:sz w:val="20"/>
          <w:szCs w:val="20"/>
          <w:color w:val="auto"/>
        </w:rPr>
      </w:pPr>
    </w:p>
    <w:p>
      <w:pPr>
        <w:jc w:val="both"/>
        <w:ind w:left="860" w:firstLine="726"/>
        <w:spacing w:after="0" w:line="238" w:lineRule="auto"/>
        <w:tabs>
          <w:tab w:leader="none" w:pos="249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Times New Roman" w:cs="Times New Roman" w:eastAsia="Times New Roman" w:hAnsi="Times New Roman"/>
          <w:sz w:val="22"/>
          <w:szCs w:val="22"/>
          <w:u w:val="single" w:color="auto"/>
          <w:color w:val="auto"/>
        </w:rPr>
        <w:t>paragraph (i)</w:t>
      </w:r>
      <w:r>
        <w:rPr>
          <w:rFonts w:ascii="Times New Roman" w:cs="Times New Roman" w:eastAsia="Times New Roman" w:hAnsi="Times New Roman"/>
          <w:sz w:val="22"/>
          <w:szCs w:val="22"/>
          <w:color w:val="auto"/>
        </w:rPr>
        <w:t xml:space="preserve"> has been satisfied; and</w:t>
      </w:r>
    </w:p>
    <w:p>
      <w:pPr>
        <w:spacing w:after="0" w:line="176" w:lineRule="exact"/>
        <w:rPr>
          <w:rFonts w:ascii="Times New Roman" w:cs="Times New Roman" w:eastAsia="Times New Roman" w:hAnsi="Times New Roman"/>
          <w:sz w:val="22"/>
          <w:szCs w:val="22"/>
          <w:color w:val="auto"/>
        </w:rPr>
      </w:pPr>
    </w:p>
    <w:p>
      <w:pPr>
        <w:jc w:val="both"/>
        <w:ind w:left="860" w:firstLine="726"/>
        <w:spacing w:after="0" w:line="239" w:lineRule="auto"/>
        <w:tabs>
          <w:tab w:leader="none" w:pos="249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 satisfactory to the Borrower and the Administrative Agent, pursuant to which such Lender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132080</wp:posOffset>
            </wp:positionV>
            <wp:extent cx="71323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149225</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74930</wp:posOffset>
            </wp:positionV>
            <wp:extent cx="7149465"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226" w:name="page227"/>
    <w:bookmarkEnd w:id="226"/>
    <w:p>
      <w:pPr>
        <w:jc w:val="both"/>
        <w:ind w:left="1740"/>
        <w:spacing w:after="0" w:line="244" w:lineRule="auto"/>
        <w:rPr>
          <w:sz w:val="20"/>
          <w:szCs w:val="20"/>
          <w:color w:val="auto"/>
        </w:rPr>
      </w:pPr>
      <w:r>
        <w:rPr>
          <w:rFonts w:ascii="Times New Roman" w:cs="Times New Roman" w:eastAsia="Times New Roman" w:hAnsi="Times New Roman"/>
          <w:sz w:val="22"/>
          <w:szCs w:val="22"/>
          <w:color w:val="auto"/>
        </w:rPr>
        <w:t>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73" w:lineRule="exact"/>
        <w:rPr>
          <w:sz w:val="20"/>
          <w:szCs w:val="20"/>
          <w:color w:val="auto"/>
        </w:rPr>
      </w:pPr>
    </w:p>
    <w:p>
      <w:pPr>
        <w:jc w:val="both"/>
        <w:ind w:left="880"/>
        <w:spacing w:after="0" w:line="244" w:lineRule="auto"/>
        <w:rPr>
          <w:sz w:val="20"/>
          <w:szCs w:val="20"/>
          <w:color w:val="auto"/>
        </w:rPr>
      </w:pPr>
      <w:r>
        <w:rPr>
          <w:rFonts w:ascii="Times New Roman" w:cs="Times New Roman" w:eastAsia="Times New Roman" w:hAnsi="Times New Roman"/>
          <w:sz w:val="22"/>
          <w:szCs w:val="22"/>
          <w:color w:val="auto"/>
        </w:rPr>
        <w:t>ARTICLE VII 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73"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u w:val="single" w:color="auto"/>
          <w:color w:val="auto"/>
        </w:rPr>
        <w:t>Recordation into Register</w:t>
      </w:r>
      <w:r>
        <w:rPr>
          <w:rFonts w:ascii="Times New Roman" w:cs="Times New Roman" w:eastAsia="Times New Roman" w:hAnsi="Times New Roman"/>
          <w:sz w:val="22"/>
          <w:szCs w:val="22"/>
          <w:color w:val="auto"/>
        </w:rPr>
        <w:t xml:space="preserve">. Upon its receipt of an agreement referred to in </w:t>
      </w:r>
      <w:r>
        <w:rPr>
          <w:rFonts w:ascii="Times New Roman" w:cs="Times New Roman" w:eastAsia="Times New Roman" w:hAnsi="Times New Roman"/>
          <w:sz w:val="22"/>
          <w:szCs w:val="22"/>
          <w:u w:val="single" w:color="auto"/>
          <w:color w:val="auto"/>
        </w:rPr>
        <w:t>clause (ii)(y)</w:t>
      </w:r>
      <w:r>
        <w:rPr>
          <w:rFonts w:ascii="Times New Roman" w:cs="Times New Roman" w:eastAsia="Times New Roman" w:hAnsi="Times New Roman"/>
          <w:sz w:val="22"/>
          <w:szCs w:val="22"/>
          <w:color w:val="auto"/>
        </w:rPr>
        <w:t xml:space="preserve"> above executed by an Assuming Lender or any Increasing Lender, together with the certificate referred to in </w:t>
      </w:r>
      <w:r>
        <w:rPr>
          <w:rFonts w:ascii="Times New Roman" w:cs="Times New Roman" w:eastAsia="Times New Roman" w:hAnsi="Times New Roman"/>
          <w:sz w:val="22"/>
          <w:szCs w:val="22"/>
          <w:u w:val="single" w:color="auto"/>
          <w:color w:val="auto"/>
        </w:rPr>
        <w:t>clause (ii)(x)</w:t>
      </w:r>
      <w:r>
        <w:rPr>
          <w:rFonts w:ascii="Times New Roman" w:cs="Times New Roman" w:eastAsia="Times New Roman" w:hAnsi="Times New Roman"/>
          <w:sz w:val="22"/>
          <w:szCs w:val="22"/>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80" w:lineRule="exact"/>
        <w:rPr>
          <w:sz w:val="20"/>
          <w:szCs w:val="20"/>
          <w:color w:val="auto"/>
        </w:rPr>
      </w:pPr>
    </w:p>
    <w:p>
      <w:pPr>
        <w:jc w:val="both"/>
        <w:ind w:left="880" w:firstLine="797"/>
        <w:spacing w:after="0" w:line="245" w:lineRule="auto"/>
        <w:rPr>
          <w:sz w:val="20"/>
          <w:szCs w:val="20"/>
          <w:color w:val="auto"/>
        </w:rPr>
      </w:pPr>
      <w:r>
        <w:rPr>
          <w:rFonts w:ascii="Times New Roman" w:cs="Times New Roman" w:eastAsia="Times New Roman" w:hAnsi="Times New Roman"/>
          <w:sz w:val="21"/>
          <w:szCs w:val="21"/>
          <w:u w:val="single" w:color="auto"/>
          <w:color w:val="auto"/>
        </w:rPr>
        <w:t>Adjustments of Borrowings upon Effectiveness of Increase</w:t>
      </w:r>
      <w:r>
        <w:rPr>
          <w:rFonts w:ascii="Times New Roman" w:cs="Times New Roman" w:eastAsia="Times New Roman" w:hAnsi="Times New Roman"/>
          <w:sz w:val="21"/>
          <w:szCs w:val="21"/>
          <w:color w:val="auto"/>
        </w:rPr>
        <w:t xml:space="preserve">. On the Commitment Increase Date, the Borrower shall (A) prepay the outstanding Loans (if any) of the affected Class of Commitments in full, (B) simultaneously borrow new Loans of such Class hereunder in an amount equal to such prepayment;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subclauses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74" w:lineRule="exact"/>
        <w:rPr>
          <w:sz w:val="20"/>
          <w:szCs w:val="20"/>
          <w:color w:val="auto"/>
        </w:rPr>
      </w:pPr>
    </w:p>
    <w:p>
      <w:pPr>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Reduction of Non-Extending Lenders’ Commitment</w:t>
      </w:r>
      <w:r>
        <w:rPr>
          <w:rFonts w:ascii="Times New Roman" w:cs="Times New Roman" w:eastAsia="Times New Roman" w:hAnsi="Times New Roman"/>
          <w:sz w:val="22"/>
          <w:szCs w:val="22"/>
          <w:color w:val="auto"/>
        </w:rPr>
        <w:t xml:space="preserve">. Notwithstanding anything to the contrary herein (including </w:t>
      </w:r>
      <w:r>
        <w:rPr>
          <w:rFonts w:ascii="Times New Roman" w:cs="Times New Roman" w:eastAsia="Times New Roman" w:hAnsi="Times New Roman"/>
          <w:sz w:val="22"/>
          <w:szCs w:val="22"/>
          <w:u w:val="single" w:color="auto"/>
          <w:color w:val="auto"/>
        </w:rPr>
        <w:t>Section 2.08(d)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880" w:firstLine="797"/>
        <w:spacing w:after="0" w:line="238" w:lineRule="auto"/>
        <w:rPr>
          <w:sz w:val="20"/>
          <w:szCs w:val="20"/>
          <w:color w:val="auto"/>
        </w:rPr>
      </w:pPr>
      <w:r>
        <w:rPr>
          <w:rFonts w:ascii="Times New Roman" w:cs="Times New Roman" w:eastAsia="Times New Roman" w:hAnsi="Times New Roman"/>
          <w:sz w:val="22"/>
          <w:szCs w:val="22"/>
          <w:color w:val="auto"/>
        </w:rPr>
        <w:t xml:space="preserve">The Borrower may at any time terminate, or from time to time reduce, the Commitment of any Non-Extending Lender without reducing the Commitments of any other Lender of the same Class of Commitments as such Non-Extending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reduction of the Commitment of a Non-Extending Lender hereunder shall be in an amount that is $10,000,000 or a larger multiple of $5,000,000 in excess thereof (or, in each case, the entire Commitment of such Non-Extending Lender).</w:t>
      </w:r>
    </w:p>
    <w:p>
      <w:pPr>
        <w:spacing w:after="0" w:line="177"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color w:val="auto"/>
        </w:rPr>
        <w:t xml:space="preserve">The Borrower shall notify the Administrative Agent of any election to terminate or reduce the Commitment of any Non-Extending Lender under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at least three Business Days prior to the effective date of such termination or reduction, specifying such election and the effective date thereof. Promptly following receipt of any notice,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7" w:name="page228"/>
    <w:bookmarkEnd w:id="227"/>
    <w:p>
      <w:pPr>
        <w:jc w:val="both"/>
        <w:ind w:left="880"/>
        <w:spacing w:after="0" w:line="258" w:lineRule="auto"/>
        <w:rPr>
          <w:sz w:val="20"/>
          <w:szCs w:val="20"/>
          <w:color w:val="auto"/>
        </w:rPr>
      </w:pPr>
      <w:r>
        <w:rPr>
          <w:rFonts w:ascii="Times New Roman" w:cs="Times New Roman" w:eastAsia="Times New Roman" w:hAnsi="Times New Roman"/>
          <w:sz w:val="22"/>
          <w:szCs w:val="22"/>
          <w:color w:val="auto"/>
        </w:rPr>
        <w:t xml:space="preserve">Administrative Agent shall advise each Lender of the contents thereof. Each notice delivered by the Borrower pursuant to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shall be irrevocable.</w:t>
      </w:r>
    </w:p>
    <w:p>
      <w:pPr>
        <w:spacing w:after="0" w:line="158"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2"/>
          <w:szCs w:val="22"/>
          <w:color w:val="auto"/>
        </w:rPr>
        <w:t xml:space="preserve">Any termination or reduction of the Commitment of any Non-Extending Lender pursuant to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shall be permanent and shall be made concurrently with all required reallocation prepayments and cash collateralizations required under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The Borrower hereby unconditionally promises to pay the Loans of each Class of Final Maturity Date or Commitments, as applicable, as follows:</w:t>
      </w:r>
    </w:p>
    <w:p>
      <w:pPr>
        <w:spacing w:after="0" w:line="158"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2"/>
          <w:szCs w:val="22"/>
          <w:color w:val="auto"/>
        </w:rPr>
        <w:t>to the Administrative Agent for account of the Lenders of such Class of Final Maturity Date the outstanding principal amount of the Syndicated Loans of the Lenders of such Class of Final Maturity Date on the applicable Final Maturity Date; and</w:t>
      </w:r>
    </w:p>
    <w:p>
      <w:pPr>
        <w:spacing w:after="0" w:line="173" w:lineRule="exact"/>
        <w:rPr>
          <w:sz w:val="20"/>
          <w:szCs w:val="20"/>
          <w:color w:val="auto"/>
        </w:rPr>
      </w:pPr>
    </w:p>
    <w:p>
      <w:pPr>
        <w:jc w:val="both"/>
        <w:ind w:left="880" w:firstLine="797"/>
        <w:spacing w:after="0" w:line="236" w:lineRule="auto"/>
        <w:rPr>
          <w:sz w:val="20"/>
          <w:szCs w:val="20"/>
          <w:color w:val="auto"/>
        </w:rPr>
      </w:pPr>
      <w:r>
        <w:rPr>
          <w:rFonts w:ascii="Times New Roman" w:cs="Times New Roman" w:eastAsia="Times New Roman" w:hAnsi="Times New Roman"/>
          <w:sz w:val="22"/>
          <w:szCs w:val="22"/>
          <w:color w:val="auto"/>
        </w:rPr>
        <w:t xml:space="preserve">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Business Days after such Swingline Loan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 each date that a Syndicated Borrowing of such Class of Commitment is made, the Borrower shall repay all Swingline Loans of such Class of Commitment then outstanding.</w:t>
      </w:r>
    </w:p>
    <w:p>
      <w:pPr>
        <w:spacing w:after="0" w:line="181"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77" w:lineRule="exact"/>
        <w:rPr>
          <w:sz w:val="20"/>
          <w:szCs w:val="20"/>
          <w:color w:val="auto"/>
        </w:rPr>
      </w:pPr>
    </w:p>
    <w:p>
      <w:pPr>
        <w:jc w:val="both"/>
        <w:ind w:firstLine="1727"/>
        <w:spacing w:after="0" w:line="245" w:lineRule="auto"/>
        <w:rPr>
          <w:sz w:val="20"/>
          <w:szCs w:val="20"/>
          <w:color w:val="auto"/>
        </w:rPr>
      </w:pPr>
      <w:r>
        <w:rPr>
          <w:rFonts w:ascii="Times New Roman" w:cs="Times New Roman" w:eastAsia="Times New Roman" w:hAnsi="Times New Roman"/>
          <w:sz w:val="21"/>
          <w:szCs w:val="21"/>
          <w:u w:val="single" w:color="auto"/>
          <w:color w:val="auto"/>
        </w:rPr>
        <w:t>Manner of Payment</w:t>
      </w:r>
      <w:r>
        <w:rPr>
          <w:rFonts w:ascii="Times New Roman" w:cs="Times New Roman" w:eastAsia="Times New Roman" w:hAnsi="Times New Roman"/>
          <w:sz w:val="21"/>
          <w:szCs w:val="21"/>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of such selection not later than the time set forth in </w:t>
      </w:r>
      <w:r>
        <w:rPr>
          <w:rFonts w:ascii="Times New Roman" w:cs="Times New Roman" w:eastAsia="Times New Roman" w:hAnsi="Times New Roman"/>
          <w:sz w:val="21"/>
          <w:szCs w:val="21"/>
          <w:u w:val="single" w:color="auto"/>
          <w:color w:val="auto"/>
        </w:rPr>
        <w:t>Section 2.10(e)</w:t>
      </w:r>
      <w:r>
        <w:rPr>
          <w:rFonts w:ascii="Times New Roman" w:cs="Times New Roman" w:eastAsia="Times New Roman" w:hAnsi="Times New Roman"/>
          <w:sz w:val="21"/>
          <w:szCs w:val="21"/>
          <w:color w:val="auto"/>
        </w:rPr>
        <w:t xml:space="preserve"> prior to the scheduled date of such 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8" w:name="page229"/>
    <w:bookmarkEnd w:id="228"/>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Maintenance of Records by Lenders</w:t>
      </w:r>
      <w:r>
        <w:rPr>
          <w:rFonts w:ascii="Times New Roman" w:cs="Times New Roman" w:eastAsia="Times New Roman" w:hAnsi="Times New Roman"/>
          <w:sz w:val="22"/>
          <w:szCs w:val="22"/>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Maintenance of Records by the Administrative Agent</w:t>
      </w:r>
      <w:r>
        <w:rPr>
          <w:rFonts w:ascii="Times New Roman" w:cs="Times New Roman" w:eastAsia="Times New Roman" w:hAnsi="Times New Roman"/>
          <w:sz w:val="22"/>
          <w:szCs w:val="22"/>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7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Effect of Entries</w:t>
      </w:r>
      <w:r>
        <w:rPr>
          <w:rFonts w:ascii="Times New Roman" w:cs="Times New Roman" w:eastAsia="Times New Roman" w:hAnsi="Times New Roman"/>
          <w:sz w:val="22"/>
          <w:szCs w:val="22"/>
          <w:color w:val="auto"/>
        </w:rPr>
        <w:t xml:space="preserve">. The entries made in the records maintained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this Section shall be </w:t>
      </w:r>
      <w:r>
        <w:rPr>
          <w:rFonts w:ascii="Times New Roman" w:cs="Times New Roman" w:eastAsia="Times New Roman" w:hAnsi="Times New Roman"/>
          <w:sz w:val="22"/>
          <w:szCs w:val="22"/>
          <w:u w:val="single" w:color="auto"/>
          <w:color w:val="auto"/>
        </w:rPr>
        <w:t>prima facie</w:t>
      </w:r>
      <w:r>
        <w:rPr>
          <w:rFonts w:ascii="Times New Roman" w:cs="Times New Roman" w:eastAsia="Times New Roman" w:hAnsi="Times New Roman"/>
          <w:sz w:val="22"/>
          <w:szCs w:val="22"/>
          <w:color w:val="auto"/>
        </w:rPr>
        <w:t xml:space="preserve"> evidence, absent obvious error,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80"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Promissory Notes</w:t>
      </w:r>
      <w:r>
        <w:rPr>
          <w:rFonts w:ascii="Times New Roman" w:cs="Times New Roman" w:eastAsia="Times New Roman" w:hAnsi="Times New Roman"/>
          <w:sz w:val="22"/>
          <w:szCs w:val="22"/>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be represented by one or more promissory notes in such form payable to the payee named therein (or, if such promissory note is a registered note, to such payee and its registered assigns).</w:t>
      </w:r>
    </w:p>
    <w:p>
      <w:pPr>
        <w:spacing w:after="0" w:line="1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xml:space="preserve">. The Borrower shall have the right at any time and from time to time to prepay any Borrowing in whole or in part, without premium or penalty except for payments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subject to the requirements of this Section. Any prepayment of a Borrowing made in accordance with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be applied ratably among the Lenders of a Class of Commitment unless such prepayment is made in connection with the reduction of Commitments in accordance with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in which case such prepayment shall be applied in accordance with </w:t>
      </w:r>
      <w:r>
        <w:rPr>
          <w:rFonts w:ascii="Times New Roman" w:cs="Times New Roman" w:eastAsia="Times New Roman" w:hAnsi="Times New Roman"/>
          <w:sz w:val="22"/>
          <w:szCs w:val="22"/>
          <w:u w:val="single" w:color="auto"/>
          <w:color w:val="auto"/>
        </w:rPr>
        <w:t>Section 2.08(d)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as applicable.</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Mandatory Prepayments due to Changes in Exchange Rates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80" w:firstLine="797"/>
        <w:spacing w:after="0" w:line="236" w:lineRule="auto"/>
        <w:rPr>
          <w:sz w:val="20"/>
          <w:szCs w:val="20"/>
          <w:color w:val="auto"/>
        </w:rPr>
      </w:pPr>
      <w:r>
        <w:rPr>
          <w:rFonts w:ascii="Times New Roman" w:cs="Times New Roman" w:eastAsia="Times New Roman" w:hAnsi="Times New Roman"/>
          <w:sz w:val="22"/>
          <w:szCs w:val="22"/>
          <w:u w:val="single" w:color="auto"/>
          <w:color w:val="auto"/>
        </w:rPr>
        <w:t>Determination of Amount Outstanding</w:t>
      </w:r>
      <w:r>
        <w:rPr>
          <w:rFonts w:ascii="Times New Roman" w:cs="Times New Roman" w:eastAsia="Times New Roman" w:hAnsi="Times New Roman"/>
          <w:sz w:val="22"/>
          <w:szCs w:val="22"/>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9" w:name="page230"/>
    <w:bookmarkEnd w:id="229"/>
    <w:p>
      <w:pPr>
        <w:jc w:val="both"/>
        <w:ind w:left="880"/>
        <w:spacing w:after="0" w:line="239" w:lineRule="auto"/>
        <w:rPr>
          <w:sz w:val="20"/>
          <w:szCs w:val="20"/>
          <w:color w:val="auto"/>
        </w:rPr>
      </w:pPr>
      <w:r>
        <w:rPr>
          <w:rFonts w:ascii="Times New Roman" w:cs="Times New Roman" w:eastAsia="Times New Roman" w:hAnsi="Times New Roman"/>
          <w:sz w:val="22"/>
          <w:szCs w:val="22"/>
          <w:color w:val="auto"/>
        </w:rPr>
        <w:t>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80" w:lineRule="exact"/>
        <w:rPr>
          <w:sz w:val="20"/>
          <w:szCs w:val="20"/>
          <w:color w:val="auto"/>
        </w:rPr>
      </w:pPr>
    </w:p>
    <w:p>
      <w:pPr>
        <w:jc w:val="both"/>
        <w:ind w:left="880" w:firstLine="797"/>
        <w:spacing w:after="0" w:line="235" w:lineRule="auto"/>
        <w:rPr>
          <w:sz w:val="20"/>
          <w:szCs w:val="20"/>
          <w:color w:val="auto"/>
        </w:rPr>
      </w:pP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xml:space="preserve">. If on the date of such determination the aggregate Revolving Multicurrency Credit Exposure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5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For purposes hereof “Currency Valuation Notice” means a</w:t>
            </w:r>
          </w:p>
        </w:tc>
        <w:tc>
          <w:tcPr>
            <w:tcW w:w="3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notice given by the Required Multicurrency</w:t>
            </w: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Lenders to the</w:t>
            </w:r>
          </w:p>
        </w:tc>
        <w:tc>
          <w:tcPr>
            <w:tcW w:w="2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5"/>
              </w:rPr>
              <w:t>“Currency</w:t>
            </w:r>
          </w:p>
        </w:tc>
        <w:tc>
          <w:tcPr>
            <w:tcW w:w="39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Valuation Notice” and requesting that the</w:t>
            </w:r>
          </w:p>
        </w:tc>
        <w:tc>
          <w:tcPr>
            <w:tcW w:w="0" w:type="dxa"/>
            <w:vAlign w:val="bottom"/>
          </w:tcPr>
          <w:p>
            <w:pPr>
              <w:spacing w:after="0" w:line="20" w:lineRule="exact"/>
              <w:rPr>
                <w:sz w:val="1"/>
                <w:szCs w:val="1"/>
                <w:color w:val="auto"/>
              </w:rPr>
            </w:pPr>
          </w:p>
        </w:tc>
      </w:tr>
      <w:tr>
        <w:trPr>
          <w:trHeight w:val="260"/>
        </w:trPr>
        <w:tc>
          <w:tcPr>
            <w:tcW w:w="1440" w:type="dxa"/>
            <w:vAlign w:val="bottom"/>
            <w:vMerge w:val="continue"/>
          </w:tcPr>
          <w:p>
            <w:pPr>
              <w:spacing w:after="0"/>
              <w:rPr>
                <w:sz w:val="22"/>
                <w:szCs w:val="22"/>
                <w:color w:val="auto"/>
              </w:rPr>
            </w:pPr>
          </w:p>
        </w:tc>
        <w:tc>
          <w:tcPr>
            <w:tcW w:w="48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Administrative Agent stating that such notice is a</w:t>
            </w:r>
          </w:p>
        </w:tc>
        <w:tc>
          <w:tcPr>
            <w:tcW w:w="940" w:type="dxa"/>
            <w:vAlign w:val="bottom"/>
            <w:vMerge w:val="continue"/>
          </w:tcPr>
          <w:p>
            <w:pPr>
              <w:spacing w:after="0"/>
              <w:rPr>
                <w:sz w:val="22"/>
                <w:szCs w:val="22"/>
                <w:color w:val="auto"/>
              </w:rPr>
            </w:pPr>
          </w:p>
        </w:tc>
        <w:tc>
          <w:tcPr>
            <w:tcW w:w="3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7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 xml:space="preserve">Any prepayment pursuant to this paragraph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Swingline Multicurrency Loans outstanding,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Syndicated Multicurrency Loans outstanding and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as cover for Multicurrency LC Exposure.</w:t>
      </w:r>
    </w:p>
    <w:p>
      <w:pPr>
        <w:spacing w:after="0" w:line="158"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Mandatory Prepayments due to Borrowing Base Deficiency</w:t>
      </w:r>
      <w:r>
        <w:rPr>
          <w:rFonts w:ascii="Times New Roman" w:cs="Times New Roman" w:eastAsia="Times New Roman" w:hAnsi="Times New Roman"/>
          <w:sz w:val="22"/>
          <w:szCs w:val="22"/>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Times New Roman" w:cs="Times New Roman" w:eastAsia="Times New Roman" w:hAnsi="Times New Roman"/>
          <w:sz w:val="22"/>
          <w:szCs w:val="22"/>
          <w:u w:val="single" w:color="auto"/>
          <w:color w:val="auto"/>
        </w:rPr>
        <w:t>Section 2.05(k)</w:t>
      </w:r>
      <w:r>
        <w:rPr>
          <w:rFonts w:ascii="Times New Roman" w:cs="Times New Roman" w:eastAsia="Times New Roman" w:hAnsi="Times New Roman"/>
          <w:sz w:val="22"/>
          <w:szCs w:val="22"/>
          <w:color w:val="auto"/>
        </w:rPr>
        <w:t xml:space="preserve">) or reduce Other Covered Indebtedness or any other Indebtedness that is included in the Covered Debt Amount at such time in such amounts as shall be necessary so that such Borrowing Base Deficiency is cured;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0" w:name="page231"/>
    <w:bookmarkEnd w:id="230"/>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Mandatory Prepayments During Amortization Period</w:t>
      </w:r>
      <w:r>
        <w:rPr>
          <w:rFonts w:ascii="Times New Roman" w:cs="Times New Roman" w:eastAsia="Times New Roman" w:hAnsi="Times New Roman"/>
          <w:sz w:val="22"/>
          <w:szCs w:val="22"/>
          <w:color w:val="auto"/>
        </w:rPr>
        <w:t>. During the period commencing on the date immediately following the Commitment Termination Date with respect to any Loans of any Lender or Lenders and ending on the Final Maturity Date with respect to the Loans of such Lender or Lenders:</w:t>
      </w:r>
    </w:p>
    <w:p>
      <w:pPr>
        <w:spacing w:after="0" w:line="173" w:lineRule="exact"/>
        <w:rPr>
          <w:sz w:val="20"/>
          <w:szCs w:val="20"/>
          <w:color w:val="auto"/>
        </w:rPr>
      </w:pPr>
    </w:p>
    <w:p>
      <w:pPr>
        <w:jc w:val="both"/>
        <w:ind w:left="880" w:firstLine="797"/>
        <w:spacing w:after="0" w:line="251" w:lineRule="auto"/>
        <w:rPr>
          <w:sz w:val="20"/>
          <w:szCs w:val="20"/>
          <w:color w:val="auto"/>
        </w:rPr>
      </w:pPr>
      <w:r>
        <w:rPr>
          <w:rFonts w:ascii="Times New Roman" w:cs="Times New Roman" w:eastAsia="Times New Roman" w:hAnsi="Times New Roman"/>
          <w:sz w:val="21"/>
          <w:szCs w:val="21"/>
          <w:u w:val="single" w:color="auto"/>
          <w:color w:val="auto"/>
        </w:rPr>
        <w:t>Asset Disposition</w:t>
      </w:r>
      <w:r>
        <w:rPr>
          <w:rFonts w:ascii="Times New Roman" w:cs="Times New Roman" w:eastAsia="Times New Roman" w:hAnsi="Times New Roman"/>
          <w:sz w:val="21"/>
          <w:szCs w:val="21"/>
          <w:color w:val="auto"/>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left="880" w:firstLine="797"/>
        <w:spacing w:after="0" w:line="251" w:lineRule="auto"/>
        <w:rPr>
          <w:sz w:val="20"/>
          <w:szCs w:val="20"/>
          <w:color w:val="auto"/>
        </w:rPr>
      </w:pPr>
      <w:r>
        <w:rPr>
          <w:rFonts w:ascii="Times New Roman" w:cs="Times New Roman" w:eastAsia="Times New Roman" w:hAnsi="Times New Roman"/>
          <w:sz w:val="21"/>
          <w:szCs w:val="21"/>
          <w:u w:val="single" w:color="auto"/>
          <w:color w:val="auto"/>
        </w:rPr>
        <w:t>Equity Issuance</w:t>
      </w:r>
      <w:r>
        <w:rPr>
          <w:rFonts w:ascii="Times New Roman" w:cs="Times New Roman" w:eastAsia="Times New Roman" w:hAnsi="Times New Roman"/>
          <w:sz w:val="21"/>
          <w:szCs w:val="21"/>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jc w:val="both"/>
        <w:ind w:left="880" w:firstLine="797"/>
        <w:spacing w:after="0" w:line="238" w:lineRule="auto"/>
        <w:rPr>
          <w:sz w:val="20"/>
          <w:szCs w:val="20"/>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880" w:firstLine="797"/>
        <w:spacing w:after="0" w:line="235" w:lineRule="auto"/>
        <w:rPr>
          <w:sz w:val="20"/>
          <w:szCs w:val="20"/>
          <w:color w:val="auto"/>
        </w:rPr>
      </w:pPr>
      <w:r>
        <w:rPr>
          <w:rFonts w:ascii="Times New Roman" w:cs="Times New Roman" w:eastAsia="Times New Roman" w:hAnsi="Times New Roman"/>
          <w:sz w:val="22"/>
          <w:szCs w:val="22"/>
          <w:u w:val="single" w:color="auto"/>
          <w:color w:val="auto"/>
        </w:rPr>
        <w:t>Extraordinary Receipt</w:t>
      </w:r>
      <w:r>
        <w:rPr>
          <w:rFonts w:ascii="Times New Roman" w:cs="Times New Roman" w:eastAsia="Times New Roman" w:hAnsi="Times New Roman"/>
          <w:sz w:val="22"/>
          <w:szCs w:val="22"/>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880" w:firstLine="797"/>
        <w:spacing w:after="0" w:line="238" w:lineRule="auto"/>
        <w:rPr>
          <w:sz w:val="20"/>
          <w:szCs w:val="20"/>
          <w:color w:val="auto"/>
        </w:rPr>
      </w:pPr>
      <w:r>
        <w:rPr>
          <w:rFonts w:ascii="Times New Roman" w:cs="Times New Roman" w:eastAsia="Times New Roman" w:hAnsi="Times New Roman"/>
          <w:sz w:val="22"/>
          <w:szCs w:val="22"/>
          <w:u w:val="single" w:color="auto"/>
          <w:color w:val="auto"/>
        </w:rPr>
        <w:t>Return of Capital</w:t>
      </w:r>
      <w:r>
        <w:rPr>
          <w:rFonts w:ascii="Times New Roman" w:cs="Times New Roman" w:eastAsia="Times New Roman" w:hAnsi="Times New Roman"/>
          <w:sz w:val="22"/>
          <w:szCs w:val="22"/>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no later than the fifth Business Day following the receipt of such Return of Capital (such prepayments to be applied as set forth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1" w:name="page232"/>
    <w:bookmarkEnd w:id="231"/>
    <w:p>
      <w:pPr>
        <w:jc w:val="both"/>
        <w:ind w:firstLine="864"/>
        <w:spacing w:after="0" w:line="244" w:lineRule="auto"/>
        <w:rPr>
          <w:sz w:val="20"/>
          <w:szCs w:val="20"/>
          <w:color w:val="auto"/>
        </w:rPr>
      </w:pPr>
      <w:r>
        <w:rPr>
          <w:rFonts w:ascii="Times New Roman" w:cs="Times New Roman" w:eastAsia="Times New Roman" w:hAnsi="Times New Roman"/>
          <w:sz w:val="21"/>
          <w:szCs w:val="21"/>
          <w:color w:val="auto"/>
        </w:rPr>
        <w:t xml:space="preserve">Notwithstanding the foregoing, (I) Net Cash Proceeds and Return of Capital required to be applied to the prepayment of the Loans pursuant to this </w:t>
      </w:r>
      <w:r>
        <w:rPr>
          <w:rFonts w:ascii="Times New Roman" w:cs="Times New Roman" w:eastAsia="Times New Roman" w:hAnsi="Times New Roman"/>
          <w:sz w:val="21"/>
          <w:szCs w:val="21"/>
          <w:u w:val="single" w:color="auto"/>
          <w:color w:val="auto"/>
        </w:rPr>
        <w:t>Section 2.10(d)</w:t>
      </w:r>
      <w:r>
        <w:rPr>
          <w:rFonts w:ascii="Times New Roman" w:cs="Times New Roman" w:eastAsia="Times New Roman" w:hAnsi="Times New Roman"/>
          <w:sz w:val="21"/>
          <w:szCs w:val="21"/>
          <w:color w:val="auto"/>
        </w:rPr>
        <w:t xml:space="preserve"> 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Times New Roman" w:cs="Times New Roman" w:eastAsia="Times New Roman" w:hAnsi="Times New Roman"/>
          <w:sz w:val="21"/>
          <w:szCs w:val="21"/>
          <w:u w:val="single" w:color="auto"/>
          <w:color w:val="auto"/>
        </w:rPr>
        <w:t>Section 6.05(b)</w:t>
      </w:r>
      <w:r>
        <w:rPr>
          <w:rFonts w:ascii="Times New Roman" w:cs="Times New Roman" w:eastAsia="Times New Roman" w:hAnsi="Times New Roman"/>
          <w:sz w:val="21"/>
          <w:szCs w:val="21"/>
          <w:color w:val="auto"/>
        </w:rPr>
        <w:t xml:space="preserve"> herein) to maintain the status of a RIC under the Code and a “business development company” under the Investment Company Act for so long as the Borrower retains such status and (II) if the Loans to be prepaid pursuant to this </w:t>
      </w:r>
      <w:r>
        <w:rPr>
          <w:rFonts w:ascii="Times New Roman" w:cs="Times New Roman" w:eastAsia="Times New Roman" w:hAnsi="Times New Roman"/>
          <w:sz w:val="21"/>
          <w:szCs w:val="21"/>
          <w:u w:val="single" w:color="auto"/>
          <w:color w:val="auto"/>
        </w:rPr>
        <w:t>Section 2.01(d)</w:t>
      </w:r>
      <w:r>
        <w:rPr>
          <w:rFonts w:ascii="Times New Roman" w:cs="Times New Roman" w:eastAsia="Times New Roman" w:hAnsi="Times New Roman"/>
          <w:sz w:val="21"/>
          <w:szCs w:val="21"/>
          <w:color w:val="auto"/>
        </w:rPr>
        <w:t xml:space="preserve"> are Eurocurrency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Administrative Agent may direct the application of such deposits as set forth in </w:t>
      </w:r>
      <w:r>
        <w:rPr>
          <w:rFonts w:ascii="Times New Roman" w:cs="Times New Roman" w:eastAsia="Times New Roman" w:hAnsi="Times New Roman"/>
          <w:sz w:val="21"/>
          <w:szCs w:val="21"/>
          <w:u w:val="single" w:color="auto"/>
          <w:color w:val="auto"/>
        </w:rPr>
        <w:t>Section 2.09(b)</w:t>
      </w:r>
      <w:r>
        <w:rPr>
          <w:rFonts w:ascii="Times New Roman" w:cs="Times New Roman" w:eastAsia="Times New Roman" w:hAnsi="Times New Roman"/>
          <w:sz w:val="21"/>
          <w:szCs w:val="21"/>
          <w:color w:val="auto"/>
        </w:rPr>
        <w:t xml:space="preserve"> at any time and if the Administrative Agent does so, no amounts will be payable by the Borrower pursuant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u w:val="single" w:color="auto"/>
          <w:color w:val="auto"/>
        </w:rPr>
        <w:t>Notices, Etc</w:t>
      </w:r>
      <w:r>
        <w:rPr>
          <w:rFonts w:ascii="Times New Roman" w:cs="Times New Roman" w:eastAsia="Times New Roman" w:hAnsi="Times New Roman"/>
          <w:sz w:val="22"/>
          <w:szCs w:val="22"/>
          <w:color w:val="auto"/>
        </w:rPr>
        <w:t xml:space="preserve">. The Borrower shall notify the Administrative Agent (and, in the case of prepayment of a Swingline Loan made by a Swingline Lender, such Swingline Lender) by telephone (confirmed by telecopy) of any prepayment hereunder (i) in the case of prepayment of a Eurocurrency Borrowing denominated in Dollars (other than in the case of a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London time, four Business Days before the date of prepayment, (iii) in the case of prepayment of a Syndicated ABR Borrowing (other than in the case of a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 xml:space="preserve">, not later than 1:00 p.m., Atlanta, Georgia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 a notice of prepayment is given in connection with a conditional notice of termination of the Commitments of a Class as contemplated by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then such notice of prepayment may be revoked if such notice of termination is revoked in accordance with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and (ii) any notice given in connection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2.10(d)</w:t>
      </w:r>
      <w:r>
        <w:rPr>
          <w:rFonts w:ascii="Times New Roman" w:cs="Times New Roman" w:eastAsia="Times New Roman" w:hAnsi="Times New Roman"/>
          <w:sz w:val="22"/>
          <w:szCs w:val="22"/>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or in the case of a Swingline Loan,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2" w:name="page233"/>
    <w:bookmarkEnd w:id="232"/>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shall be made in the manner specified in </w:t>
      </w:r>
      <w:r>
        <w:rPr>
          <w:rFonts w:ascii="Times New Roman" w:cs="Times New Roman" w:eastAsia="Times New Roman" w:hAnsi="Times New Roman"/>
          <w:sz w:val="22"/>
          <w:szCs w:val="22"/>
          <w:u w:val="single" w:color="auto"/>
          <w:color w:val="auto"/>
        </w:rPr>
        <w:t>Section 2.09(b)</w:t>
      </w:r>
      <w:r>
        <w:rPr>
          <w:rFonts w:ascii="Times New Roman" w:cs="Times New Roman" w:eastAsia="Times New Roman" w:hAnsi="Times New Roman"/>
          <w:sz w:val="22"/>
          <w:szCs w:val="22"/>
          <w:color w:val="auto"/>
        </w:rPr>
        <w:t xml:space="preserve"> unless such prepayment is made in connection with the reduction of Commitments in accordance with </w:t>
      </w:r>
      <w:r>
        <w:rPr>
          <w:rFonts w:ascii="Times New Roman" w:cs="Times New Roman" w:eastAsia="Times New Roman" w:hAnsi="Times New Roman"/>
          <w:sz w:val="22"/>
          <w:szCs w:val="22"/>
          <w:u w:val="single" w:color="auto"/>
          <w:color w:val="auto"/>
        </w:rPr>
        <w:t>Section 2.08(b)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in which case such prepayment shall be applied in accordance with </w:t>
      </w:r>
      <w:r>
        <w:rPr>
          <w:rFonts w:ascii="Times New Roman" w:cs="Times New Roman" w:eastAsia="Times New Roman" w:hAnsi="Times New Roman"/>
          <w:sz w:val="22"/>
          <w:szCs w:val="22"/>
          <w:u w:val="single" w:color="auto"/>
          <w:color w:val="auto"/>
        </w:rPr>
        <w:t>Section 2.08(d)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as applicable.</w:t>
      </w:r>
    </w:p>
    <w:p>
      <w:pPr>
        <w:spacing w:after="0" w:line="1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w:t>
      </w:r>
    </w:p>
    <w:p>
      <w:pPr>
        <w:spacing w:after="0" w:line="1" w:lineRule="exact"/>
        <w:rPr>
          <w:sz w:val="20"/>
          <w:szCs w:val="20"/>
          <w:color w:val="auto"/>
        </w:rPr>
      </w:pPr>
    </w:p>
    <w:p>
      <w:pPr>
        <w:jc w:val="both"/>
        <w:ind w:firstLine="8"/>
        <w:spacing w:after="0" w:line="235" w:lineRule="auto"/>
        <w:tabs>
          <w:tab w:leader="none" w:pos="32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78"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the Non-Extended Applicable Margin, in each case,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with respect to the Letters of Credit shall be payable (i) with respect to the Issuing Bank, on the Termination Date and (ii) with respect to any Lender, on the earlier to occur of such Lender’s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3" w:name="page234"/>
    <w:bookmarkEnd w:id="233"/>
    <w:p>
      <w:pPr>
        <w:jc w:val="both"/>
        <w:spacing w:after="0" w:line="233" w:lineRule="auto"/>
        <w:rPr>
          <w:sz w:val="20"/>
          <w:szCs w:val="20"/>
          <w:color w:val="auto"/>
        </w:rPr>
      </w:pPr>
      <w:r>
        <w:rPr>
          <w:rFonts w:ascii="Times New Roman" w:cs="Times New Roman" w:eastAsia="Times New Roman" w:hAnsi="Times New Roman"/>
          <w:sz w:val="22"/>
          <w:szCs w:val="22"/>
          <w:color w:val="auto"/>
        </w:rPr>
        <w:t>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Administrative Agent Fees</w:t>
      </w:r>
      <w:r>
        <w:rPr>
          <w:rFonts w:ascii="Times New Roman" w:cs="Times New Roman" w:eastAsia="Times New Roman" w:hAnsi="Times New Roman"/>
          <w:sz w:val="22"/>
          <w:szCs w:val="22"/>
          <w:color w:val="auto"/>
        </w:rPr>
        <w:t>. The Borrower agrees to pay to the Administrative Agent, for its own account, fees payable in the amounts and at the times separately agreed upon between the Borrower and the Administrative Agent.</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Payment of Fees</w:t>
      </w:r>
      <w:r>
        <w:rPr>
          <w:rFonts w:ascii="Times New Roman" w:cs="Times New Roman" w:eastAsia="Times New Roman" w:hAnsi="Times New Roman"/>
          <w:sz w:val="22"/>
          <w:szCs w:val="22"/>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7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ABR Loans</w:t>
      </w:r>
      <w:r>
        <w:rPr>
          <w:rFonts w:ascii="Times New Roman" w:cs="Times New Roman" w:eastAsia="Times New Roman" w:hAnsi="Times New Roman"/>
          <w:sz w:val="22"/>
          <w:szCs w:val="22"/>
          <w:color w:val="auto"/>
        </w:rPr>
        <w:t xml:space="preserve">. The Loans constituting each ABR Borrowing (including each Swingline Loan) that are made by the Extending Lenders shall bear interest at a rate per annum equal to the Alternate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Extended Applicable Margin. The Loans constituting each ABR Borrowing (including each Swingline Loan) that are made by the Non-Extending Lenders shall bear interest at a rate per annum equal to the Alternate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Non-Extended Applicable Margin.</w:t>
      </w:r>
    </w:p>
    <w:p>
      <w:pPr>
        <w:spacing w:after="0" w:line="180"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Eurocurrency Loans</w:t>
      </w:r>
      <w:r>
        <w:rPr>
          <w:rFonts w:ascii="Times New Roman" w:cs="Times New Roman" w:eastAsia="Times New Roman" w:hAnsi="Times New Roman"/>
          <w:sz w:val="22"/>
          <w:szCs w:val="22"/>
          <w:color w:val="auto"/>
        </w:rPr>
        <w:t xml:space="preserve">. The Loans constituting each Eurocurrency Borrowing that are made by the Extending Lenders shall bear interest at a rate per annum equal to the Adjusted LIBO Rate for the related Interest Period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Extended Applicable Margin. The Loans constituting each Eurocurrency Borrowing that are made by the Non-Extending Lenders shall bear interest at a rate per annum equal to the Adjusted LIBO Rate for the related Interest Period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Non-Extended Applicable Margin.</w:t>
      </w:r>
    </w:p>
    <w:p>
      <w:pPr>
        <w:spacing w:after="0" w:line="177"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Notwithstanding the foregoing, if any Event of Default has occurred and is continuing and the Required Lenders have elected to increase pricing, the interest rates applicable to Loans and any fee or other amount payable by the Borrower hereunder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4" w:name="page235"/>
    <w:bookmarkEnd w:id="234"/>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bear interest, after as well as before judgment, at a rate per annum equal to (i) in the case of principal of any Loan,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otherwise applicable to such Loan as provided above, (ii) in the case of any Letter of Credit,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fee otherwise applicable to such Letter of Credit as provided in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in the case of any fee or other amount, 2%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rate applicable to ABR Loans as provided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of this Section.</w:t>
      </w:r>
    </w:p>
    <w:p>
      <w:pPr>
        <w:spacing w:after="0" w:line="180"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Payment of Interest</w:t>
      </w:r>
      <w:r>
        <w:rPr>
          <w:rFonts w:ascii="Times New Roman" w:cs="Times New Roman" w:eastAsia="Times New Roman" w:hAnsi="Times New Roman"/>
          <w:sz w:val="22"/>
          <w:szCs w:val="22"/>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w:t>
      </w:r>
      <w:r>
        <w:rPr>
          <w:rFonts w:ascii="Times New Roman" w:cs="Times New Roman" w:eastAsia="Times New Roman" w:hAnsi="Times New Roman"/>
          <w:sz w:val="22"/>
          <w:szCs w:val="22"/>
          <w:u w:val="single" w:color="auto"/>
          <w:color w:val="auto"/>
        </w:rPr>
        <w:t>paragraph (c)</w:t>
      </w:r>
      <w:r>
        <w:rPr>
          <w:rFonts w:ascii="Times New Roman" w:cs="Times New Roman" w:eastAsia="Times New Roman" w:hAnsi="Times New Roman"/>
          <w:sz w:val="22"/>
          <w:szCs w:val="22"/>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17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Computation</w:t>
      </w:r>
      <w:r>
        <w:rPr>
          <w:rFonts w:ascii="Times New Roman" w:cs="Times New Roman" w:eastAsia="Times New Roman" w:hAnsi="Times New Roman"/>
          <w:sz w:val="22"/>
          <w:szCs w:val="22"/>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81" w:lineRule="exact"/>
        <w:rPr>
          <w:sz w:val="20"/>
          <w:szCs w:val="20"/>
          <w:color w:val="auto"/>
        </w:rPr>
      </w:pPr>
    </w:p>
    <w:p>
      <w:pPr>
        <w:ind w:left="1940"/>
        <w:spacing w:after="0"/>
        <w:tabs>
          <w:tab w:leader="none" w:pos="5520" w:val="left"/>
        </w:tabs>
        <w:rPr>
          <w:sz w:val="20"/>
          <w:szCs w:val="20"/>
          <w:color w:val="auto"/>
        </w:rPr>
      </w:pPr>
      <w:r>
        <w:rPr>
          <w:rFonts w:ascii="Times New Roman" w:cs="Times New Roman" w:eastAsia="Times New Roman" w:hAnsi="Times New Roman"/>
          <w:sz w:val="22"/>
          <w:szCs w:val="22"/>
          <w:u w:val="single" w:color="auto"/>
          <w:color w:val="auto"/>
        </w:rPr>
        <w:t>Inability to Determine Interest Rates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If, prior to the commencement of any Interest Period for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Eurocurrency Borrowing of a Class (the Currency of such Borrowing herein called the “</w:t>
      </w:r>
      <w:r>
        <w:rPr>
          <w:rFonts w:ascii="Times New Roman" w:cs="Times New Roman" w:eastAsia="Times New Roman" w:hAnsi="Times New Roman"/>
          <w:sz w:val="22"/>
          <w:szCs w:val="22"/>
          <w:u w:val="single" w:color="auto"/>
          <w:color w:val="auto"/>
        </w:rPr>
        <w:t>Affected Currency</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the Administrative Agent shall have determined (which determination shall be conclusive and binding upon the Borrower absent manifest error) that, by reason of circumstances affecting the relevant interbank market, adequate and reasonable means do not exist for ascertaining the Adjusted LIBO Rate for the Affected Currency (including, without limitation, because the Screen Rate is not available or published on a current basis) for such Interest Period; or</w:t>
      </w:r>
    </w:p>
    <w:p>
      <w:pPr>
        <w:spacing w:after="0" w:line="18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the Administrative Agent shall have received notice from the Required Lenders of such Class of Commitments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Eurocurrency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Eurocurrency Borrowing denominated in Dollars, such Borrowing shall be made as a Syndicated ABR Borrowing and (iii) if the Affected Currency is a Foreign Currency, then either, at the Borrower’s election,</w:t>
      </w:r>
    </w:p>
    <w:p>
      <w:pPr>
        <w:spacing w:after="0" w:line="4" w:lineRule="exact"/>
        <w:rPr>
          <w:sz w:val="20"/>
          <w:szCs w:val="20"/>
          <w:color w:val="auto"/>
        </w:rPr>
      </w:pPr>
    </w:p>
    <w:p>
      <w:pPr>
        <w:jc w:val="both"/>
        <w:ind w:firstLine="8"/>
        <w:spacing w:after="0" w:line="234" w:lineRule="auto"/>
        <w:tabs>
          <w:tab w:leader="none" w:pos="36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Borrowing Request that requests a Eurocurrency Borrowing denominated in the Affected Currency shall be ineffective, or (B) the LIBO Rate for such Eurocurrency Borrowing shall be the cost to each Lender to fund its pro rata share of such Eurocurrency Borrowing (from whatever source and using whatever methodologies as such Lender may select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5" w:name="page236"/>
    <w:bookmarkEnd w:id="235"/>
    <w:p>
      <w:pPr>
        <w:ind w:left="1740"/>
        <w:spacing w:after="0"/>
        <w:rPr>
          <w:sz w:val="20"/>
          <w:szCs w:val="20"/>
          <w:color w:val="auto"/>
        </w:rPr>
      </w:pP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06"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any Issuing Bank; or</w:t>
      </w:r>
    </w:p>
    <w:p>
      <w:pPr>
        <w:spacing w:after="0" w:line="173" w:lineRule="exact"/>
        <w:rPr>
          <w:sz w:val="20"/>
          <w:szCs w:val="20"/>
          <w:color w:val="auto"/>
        </w:rPr>
      </w:pPr>
    </w:p>
    <w:p>
      <w:pPr>
        <w:jc w:val="both"/>
        <w:ind w:left="880" w:right="20" w:firstLine="797"/>
        <w:spacing w:after="0" w:line="244" w:lineRule="auto"/>
        <w:rPr>
          <w:sz w:val="20"/>
          <w:szCs w:val="20"/>
          <w:color w:val="auto"/>
        </w:rPr>
      </w:pPr>
      <w:r>
        <w:rPr>
          <w:rFonts w:ascii="Times New Roman" w:cs="Times New Roman" w:eastAsia="Times New Roman" w:hAnsi="Times New Roman"/>
          <w:sz w:val="22"/>
          <w:szCs w:val="22"/>
          <w:color w:val="auto"/>
        </w:rPr>
        <w:t>impose on any Lender or any Issuing Bank or the London interbank market any other condition, cost or expense (other than Taxes) affecting this Agreement or Eurocurrency Loans made by such Lender or any Letter of Credit or participation therein;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ARTICLE IX and the result of any of the foregoing shall be to increase the cost to such Lenders of making, converting to, continuing or maintaining any Eurocurrency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in Dollars, such additional amount or amounts as will compensate such Lender or such Issuing Bank, as the case may be, for such additional costs incurred or reduction suffered.</w:t>
      </w:r>
    </w:p>
    <w:p>
      <w:pPr>
        <w:spacing w:after="0" w:line="171"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Capital and Liquidity Requirements</w:t>
      </w:r>
      <w:r>
        <w:rPr>
          <w:rFonts w:ascii="Times New Roman" w:cs="Times New Roman" w:eastAsia="Times New Roman" w:hAnsi="Times New Roman"/>
          <w:sz w:val="22"/>
          <w:szCs w:val="22"/>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from time to time the Borrower will pay to such Lender or such Issuing Bank, as the case may be, in Dollars, such additional amount or amounts as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6" w:name="page237"/>
    <w:bookmarkEnd w:id="236"/>
    <w:p>
      <w:pPr>
        <w:jc w:val="both"/>
        <w:spacing w:after="0" w:line="258" w:lineRule="auto"/>
        <w:rPr>
          <w:sz w:val="20"/>
          <w:szCs w:val="20"/>
          <w:color w:val="auto"/>
        </w:rPr>
      </w:pPr>
      <w:r>
        <w:rPr>
          <w:rFonts w:ascii="Times New Roman" w:cs="Times New Roman" w:eastAsia="Times New Roman" w:hAnsi="Times New Roman"/>
          <w:sz w:val="22"/>
          <w:szCs w:val="22"/>
          <w:color w:val="auto"/>
        </w:rPr>
        <w:t>compensate such Lender or such Issuing Bank or such Lender’s or such Issuing Bank’s holding company for any such reduction suffered.</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Certificates from Lenders</w:t>
      </w:r>
      <w:r>
        <w:rPr>
          <w:rFonts w:ascii="Times New Roman" w:cs="Times New Roman" w:eastAsia="Times New Roman" w:hAnsi="Times New Roman"/>
          <w:sz w:val="22"/>
          <w:szCs w:val="22"/>
          <w:color w:val="auto"/>
        </w:rPr>
        <w:t xml:space="preserve">. A certificate of a Lender or an Issuing Bank setting forth the amount or amounts, in Dollars, necessary to compensate such Lender or such Issuing Bank or its holding company, as the case may be, as specified in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shall be promptly delivered to the Borrower and shall be conclusive absent manifest error. The Borrower shall pay such Lender or such Issuing Bank, as the case may be, the amount shown as due on any such certificate within 10 days after receipt thereof.</w:t>
      </w:r>
    </w:p>
    <w:p>
      <w:pPr>
        <w:spacing w:after="0" w:line="177"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Change in Law giving rise to such increased costs or reductions is retroactive, then the six-month period referred to above shall be extended to include the period of retroactive effect thereof.</w:t>
      </w:r>
    </w:p>
    <w:p>
      <w:pPr>
        <w:spacing w:after="0" w:line="178"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Times New Roman" w:cs="Times New Roman" w:eastAsia="Times New Roman" w:hAnsi="Times New Roman"/>
          <w:sz w:val="22"/>
          <w:szCs w:val="22"/>
          <w:u w:val="single" w:color="auto"/>
          <w:color w:val="auto"/>
        </w:rPr>
        <w:t>Section 2.10(e)</w:t>
      </w:r>
      <w:r>
        <w:rPr>
          <w:rFonts w:ascii="Times New Roman" w:cs="Times New Roman" w:eastAsia="Times New Roman" w:hAnsi="Times New Roman"/>
          <w:sz w:val="22"/>
          <w:szCs w:val="22"/>
          <w:color w:val="auto"/>
        </w:rPr>
        <w:t xml:space="preserve"> and is revoked in accordance herewith), or (d) the assignment as a result of a request by the Borrower pursuant to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 xml:space="preserve"> of any Eurocurrency Loan other than on the last day of an Interest Period therefor, then, in any such event, the Borrower shall compensate each Lender for the loss, cost and reasonable expense attributable to such event (excluding loss of anticipated profits). In the case of a Eurocurrency Loan, the loss to any Lender attributable to any such event shall be deemed to include an amount determined by such Lender to be equal to the excess, if any, of</w:t>
      </w:r>
    </w:p>
    <w:p>
      <w:pPr>
        <w:spacing w:after="0" w:line="179" w:lineRule="exact"/>
        <w:rPr>
          <w:sz w:val="20"/>
          <w:szCs w:val="20"/>
          <w:color w:val="auto"/>
        </w:rPr>
      </w:pPr>
    </w:p>
    <w:p>
      <w:pPr>
        <w:jc w:val="both"/>
        <w:ind w:left="880" w:firstLine="797"/>
        <w:spacing w:after="0" w:line="236" w:lineRule="auto"/>
        <w:rPr>
          <w:sz w:val="20"/>
          <w:szCs w:val="20"/>
          <w:color w:val="auto"/>
        </w:rPr>
      </w:pPr>
      <w:r>
        <w:rPr>
          <w:rFonts w:ascii="Times New Roman" w:cs="Times New Roman" w:eastAsia="Times New Roman" w:hAnsi="Times New Roman"/>
          <w:sz w:val="22"/>
          <w:szCs w:val="22"/>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Times New Roman" w:cs="Times New Roman" w:eastAsia="Times New Roman" w:hAnsi="Times New Roman"/>
          <w:sz w:val="22"/>
          <w:szCs w:val="22"/>
          <w:u w:val="single" w:color="auto"/>
          <w:color w:val="auto"/>
        </w:rPr>
        <w:t>over</w:t>
      </w:r>
    </w:p>
    <w:p>
      <w:pPr>
        <w:spacing w:after="0" w:line="181"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2"/>
          <w:szCs w:val="22"/>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7" w:name="page238"/>
    <w:bookmarkEnd w:id="237"/>
    <w:p>
      <w:pPr>
        <w:ind w:left="880"/>
        <w:spacing w:after="0"/>
        <w:rPr>
          <w:sz w:val="20"/>
          <w:szCs w:val="20"/>
          <w:color w:val="auto"/>
        </w:rPr>
      </w:pPr>
      <w:r>
        <w:rPr>
          <w:rFonts w:ascii="Times New Roman" w:cs="Times New Roman" w:eastAsia="Times New Roman" w:hAnsi="Times New Roman"/>
          <w:sz w:val="22"/>
          <w:szCs w:val="22"/>
          <w:color w:val="auto"/>
        </w:rPr>
        <w:t>denominated in such Currency from other banks in the Eurocurrency market at the commencement of such period.</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ARTICLE X 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Payments Free of Taxes</w:t>
      </w:r>
      <w:r>
        <w:rPr>
          <w:rFonts w:ascii="Times New Roman" w:cs="Times New Roman" w:eastAsia="Times New Roman" w:hAnsi="Times New Roman"/>
          <w:sz w:val="22"/>
          <w:szCs w:val="22"/>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7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Payment of Other Taxes by the Borrower</w:t>
      </w:r>
      <w:r>
        <w:rPr>
          <w:rFonts w:ascii="Times New Roman" w:cs="Times New Roman" w:eastAsia="Times New Roman" w:hAnsi="Times New Roman"/>
          <w:sz w:val="22"/>
          <w:szCs w:val="22"/>
          <w:color w:val="auto"/>
        </w:rPr>
        <w:t>. In addition, the Borrower shall pay any Other Taxes to the relevant Governmental Authority in accordance with applicable law.</w:t>
      </w:r>
    </w:p>
    <w:p>
      <w:pPr>
        <w:spacing w:after="0" w:line="158"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The Borrower shall indemnify the Administrative Agent, each Lender and each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79"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Indemnification by the Lenders</w:t>
      </w:r>
      <w:r>
        <w:rPr>
          <w:rFonts w:ascii="Times New Roman" w:cs="Times New Roman" w:eastAsia="Times New Roman" w:hAnsi="Times New Roman"/>
          <w:sz w:val="22"/>
          <w:szCs w:val="22"/>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2"/>
          <w:szCs w:val="22"/>
          <w:u w:val="single" w:color="auto"/>
          <w:color w:val="auto"/>
        </w:rPr>
        <w:t>Section 9.04(f)</w:t>
      </w:r>
      <w:r>
        <w:rPr>
          <w:rFonts w:ascii="Times New Roman" w:cs="Times New Roman" w:eastAsia="Times New Roman" w:hAnsi="Times New Roman"/>
          <w:sz w:val="22"/>
          <w:szCs w:val="22"/>
          <w:color w:val="auto"/>
        </w:rPr>
        <w:t xml:space="preserve"> relating to the maintenance of a Participant Register, and (iii) any Excluded Taxes attributable to such Lender, in each case,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8" w:name="page239"/>
    <w:bookmarkEnd w:id="238"/>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2"/>
          <w:szCs w:val="22"/>
          <w:u w:val="single" w:color="auto"/>
          <w:color w:val="auto"/>
        </w:rPr>
        <w:t>paragraph (d)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Tax Documentation</w:t>
      </w:r>
      <w:r>
        <w:rPr>
          <w:rFonts w:ascii="Times New Roman" w:cs="Times New Roman" w:eastAsia="Times New Roman" w:hAnsi="Times New Roman"/>
          <w:sz w:val="22"/>
          <w:szCs w:val="22"/>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2"/>
          <w:szCs w:val="22"/>
          <w:u w:val="single" w:color="auto"/>
          <w:color w:val="auto"/>
        </w:rPr>
        <w:t>Section 2.16(f)(ii)</w:t>
      </w:r>
      <w:r>
        <w:rPr>
          <w:rFonts w:ascii="Times New Roman" w:cs="Times New Roman" w:eastAsia="Times New Roman" w:hAnsi="Times New Roman"/>
          <w:sz w:val="22"/>
          <w:szCs w:val="22"/>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5" w:lineRule="exact"/>
        <w:rPr>
          <w:sz w:val="20"/>
          <w:szCs w:val="20"/>
          <w:color w:val="auto"/>
        </w:rPr>
      </w:pPr>
    </w:p>
    <w:p>
      <w:pPr>
        <w:ind w:left="2580" w:hanging="911"/>
        <w:spacing w:after="0"/>
        <w:tabs>
          <w:tab w:leader="none" w:pos="25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06" w:lineRule="exact"/>
        <w:rPr>
          <w:rFonts w:ascii="Times New Roman" w:cs="Times New Roman" w:eastAsia="Times New Roman" w:hAnsi="Times New Roman"/>
          <w:sz w:val="22"/>
          <w:szCs w:val="22"/>
          <w:color w:val="auto"/>
        </w:rPr>
      </w:pPr>
    </w:p>
    <w:p>
      <w:pPr>
        <w:jc w:val="both"/>
        <w:ind w:left="1740" w:firstLine="726"/>
        <w:spacing w:after="0" w:line="236" w:lineRule="auto"/>
        <w:tabs>
          <w:tab w:leader="none" w:pos="341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81" w:lineRule="exact"/>
        <w:rPr>
          <w:rFonts w:ascii="Times New Roman" w:cs="Times New Roman" w:eastAsia="Times New Roman" w:hAnsi="Times New Roman"/>
          <w:sz w:val="22"/>
          <w:szCs w:val="22"/>
          <w:color w:val="auto"/>
        </w:rPr>
      </w:pPr>
    </w:p>
    <w:p>
      <w:pPr>
        <w:jc w:val="both"/>
        <w:ind w:left="1740" w:firstLine="726"/>
        <w:spacing w:after="0" w:line="261" w:lineRule="auto"/>
        <w:tabs>
          <w:tab w:leader="none" w:pos="3407"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9" w:name="page240"/>
    <w:bookmarkEnd w:id="239"/>
    <w:p>
      <w:pPr>
        <w:ind w:left="1740"/>
        <w:spacing w:after="0" w:line="258" w:lineRule="auto"/>
        <w:rPr>
          <w:sz w:val="20"/>
          <w:szCs w:val="20"/>
          <w:color w:val="auto"/>
        </w:rPr>
      </w:pPr>
      <w:r>
        <w:rPr>
          <w:rFonts w:ascii="Times New Roman" w:cs="Times New Roman" w:eastAsia="Times New Roman" w:hAnsi="Times New Roman"/>
          <w:sz w:val="22"/>
          <w:szCs w:val="22"/>
          <w:color w:val="auto"/>
        </w:rPr>
        <w:t>of the Borrower or the Administrative Agent, but only if such Foreign Lender is legally entitled to do so), whichever of the following is applicable:</w:t>
      </w:r>
    </w:p>
    <w:p>
      <w:pPr>
        <w:spacing w:after="0" w:line="158" w:lineRule="exact"/>
        <w:rPr>
          <w:sz w:val="20"/>
          <w:szCs w:val="20"/>
          <w:color w:val="auto"/>
        </w:rPr>
      </w:pPr>
    </w:p>
    <w:p>
      <w:pPr>
        <w:jc w:val="both"/>
        <w:ind w:left="2600" w:firstLine="664"/>
        <w:spacing w:after="0" w:line="244" w:lineRule="auto"/>
        <w:tabs>
          <w:tab w:leader="none" w:pos="4212"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and executed copies of Internal Revenue Service Form W-8BEN or W-8BEN-E or any successor form claiming eligibility for benefits of an income tax treaty to which the United States is a party,</w:t>
      </w:r>
    </w:p>
    <w:p>
      <w:pPr>
        <w:spacing w:after="0" w:line="173" w:lineRule="exact"/>
        <w:rPr>
          <w:rFonts w:ascii="Times New Roman" w:cs="Times New Roman" w:eastAsia="Times New Roman" w:hAnsi="Times New Roman"/>
          <w:sz w:val="22"/>
          <w:szCs w:val="22"/>
          <w:color w:val="auto"/>
        </w:rPr>
      </w:pPr>
    </w:p>
    <w:p>
      <w:pPr>
        <w:jc w:val="both"/>
        <w:ind w:left="2600" w:firstLine="664"/>
        <w:spacing w:after="0" w:line="244" w:lineRule="auto"/>
        <w:tabs>
          <w:tab w:leader="none" w:pos="416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73" w:lineRule="exact"/>
        <w:rPr>
          <w:rFonts w:ascii="Times New Roman" w:cs="Times New Roman" w:eastAsia="Times New Roman" w:hAnsi="Times New Roman"/>
          <w:sz w:val="22"/>
          <w:szCs w:val="22"/>
          <w:color w:val="auto"/>
        </w:rPr>
      </w:pPr>
    </w:p>
    <w:p>
      <w:pPr>
        <w:jc w:val="both"/>
        <w:ind w:left="2600" w:firstLine="664"/>
        <w:spacing w:after="0" w:line="236" w:lineRule="auto"/>
        <w:tabs>
          <w:tab w:leader="none" w:pos="416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w:t>
      </w:r>
    </w:p>
    <w:p>
      <w:pPr>
        <w:jc w:val="both"/>
        <w:ind w:left="2600"/>
        <w:spacing w:after="0" w:line="235" w:lineRule="auto"/>
        <w:tabs>
          <w:tab w:leader="none" w:pos="292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“controlled foreign corporation” described in Section 881(c)(3)(C) of the Code and (2) duly completed and executed copies of Internal Revenue Service Form W-8BEN or W-8BEN-E (or any successor form) certifying that the Foreign Lender is not a U.S. Person, or</w:t>
      </w:r>
    </w:p>
    <w:p>
      <w:pPr>
        <w:spacing w:after="0" w:line="177" w:lineRule="exact"/>
        <w:rPr>
          <w:rFonts w:ascii="Times New Roman" w:cs="Times New Roman" w:eastAsia="Times New Roman" w:hAnsi="Times New Roman"/>
          <w:sz w:val="22"/>
          <w:szCs w:val="22"/>
          <w:color w:val="auto"/>
        </w:rPr>
      </w:pPr>
    </w:p>
    <w:p>
      <w:pPr>
        <w:jc w:val="both"/>
        <w:ind w:left="2600" w:firstLine="664"/>
        <w:spacing w:after="0" w:line="238" w:lineRule="auto"/>
        <w:tabs>
          <w:tab w:leader="none" w:pos="4152" w:val="left"/>
        </w:tabs>
        <w:numPr>
          <w:ilvl w:val="1"/>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77" w:lineRule="exact"/>
        <w:rPr>
          <w:sz w:val="20"/>
          <w:szCs w:val="20"/>
          <w:color w:val="auto"/>
        </w:rPr>
      </w:pPr>
    </w:p>
    <w:p>
      <w:pPr>
        <w:jc w:val="both"/>
        <w:ind w:left="880" w:firstLine="797"/>
        <w:spacing w:after="0" w:line="238" w:lineRule="auto"/>
        <w:rPr>
          <w:sz w:val="20"/>
          <w:szCs w:val="20"/>
          <w:color w:val="auto"/>
        </w:rPr>
      </w:pPr>
      <w:r>
        <w:rPr>
          <w:rFonts w:ascii="Times New Roman" w:cs="Times New Roman" w:eastAsia="Times New Roman" w:hAnsi="Times New Roman"/>
          <w:sz w:val="22"/>
          <w:szCs w:val="22"/>
          <w:color w:val="auto"/>
        </w:rPr>
        <w:t xml:space="preserve">In addition, each Lender shall deliver such forms promptly upon the obsolescence, expiration or invalidity of any form previously delivered by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77" w:lineRule="exact"/>
        <w:rPr>
          <w:sz w:val="20"/>
          <w:szCs w:val="20"/>
          <w:color w:val="auto"/>
        </w:rPr>
      </w:pPr>
    </w:p>
    <w:p>
      <w:pPr>
        <w:jc w:val="both"/>
        <w:ind w:firstLine="1727"/>
        <w:spacing w:after="0" w:line="248" w:lineRule="auto"/>
        <w:rPr>
          <w:sz w:val="20"/>
          <w:szCs w:val="20"/>
          <w:color w:val="auto"/>
        </w:rPr>
      </w:pPr>
      <w:r>
        <w:rPr>
          <w:rFonts w:ascii="Times New Roman" w:cs="Times New Roman" w:eastAsia="Times New Roman" w:hAnsi="Times New Roman"/>
          <w:sz w:val="21"/>
          <w:szCs w:val="21"/>
          <w:u w:val="single" w:color="auto"/>
          <w:color w:val="auto"/>
        </w:rPr>
        <w:t>Documentation Required by FATCA</w:t>
      </w:r>
      <w:r>
        <w:rPr>
          <w:rFonts w:ascii="Times New Roman" w:cs="Times New Roman" w:eastAsia="Times New Roman" w:hAnsi="Times New Roman"/>
          <w:sz w:val="21"/>
          <w:szCs w:val="21"/>
          <w:color w:val="auto"/>
        </w:rPr>
        <w:t>.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0" w:name="page241"/>
    <w:bookmarkEnd w:id="24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respective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2.16(g)</w:t>
      </w:r>
      <w:r>
        <w:rPr>
          <w:rFonts w:ascii="Times New Roman" w:cs="Times New Roman" w:eastAsia="Times New Roman" w:hAnsi="Times New Roman"/>
          <w:sz w:val="22"/>
          <w:szCs w:val="22"/>
          <w:color w:val="auto"/>
        </w:rPr>
        <w:t>, “FATCA” shall include any amendments made to FATCA after the date of this Agreement.</w:t>
      </w:r>
    </w:p>
    <w:p>
      <w:pPr>
        <w:spacing w:after="0" w:line="15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 xml:space="preserve">, in no event will the Administrative Agent, any Lender or an Issuing Bank be required to pay any amount to Borrower pursuant to this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7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Payments Generally; Pro Rata Treatment: Sharing of Set-offs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Payments by the Borrower</w:t>
      </w:r>
      <w:r>
        <w:rPr>
          <w:rFonts w:ascii="Times New Roman" w:cs="Times New Roman" w:eastAsia="Times New Roman" w:hAnsi="Times New Roman"/>
          <w:sz w:val="22"/>
          <w:szCs w:val="22"/>
          <w:color w:val="auto"/>
        </w:rPr>
        <w:t xml:space="preserve">. The Borrower shall make each payment required to be made by it hereunder (whether of principal, interest, fees or reimbursement of LC Disbursements, or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2"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 xml:space="preserve">All amounts owing under this Agreement (including commitment fees, payments required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and payments required under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relating to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1" w:name="page242"/>
    <w:bookmarkEnd w:id="241"/>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denominated in Dollars, but not including principal of and interest on any Loan denominated in any Foreign Currency or payments relating to any such Loan required under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77"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22"/>
          <w:szCs w:val="22"/>
          <w:u w:val="single" w:color="auto"/>
          <w:color w:val="auto"/>
        </w:rPr>
        <w:t>Original Currency</w:t>
      </w:r>
      <w:r>
        <w:rPr>
          <w:rFonts w:ascii="Times New Roman" w:cs="Times New Roman" w:eastAsia="Times New Roman" w:hAnsi="Times New Roman"/>
          <w:sz w:val="22"/>
          <w:szCs w:val="22"/>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8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Application of Insufficient Payments</w:t>
      </w:r>
      <w:r>
        <w:rPr>
          <w:rFonts w:ascii="Times New Roman" w:cs="Times New Roman" w:eastAsia="Times New Roman" w:hAnsi="Times New Roman"/>
          <w:sz w:val="22"/>
          <w:szCs w:val="22"/>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8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Pro Rata Treatment</w:t>
      </w:r>
      <w:r>
        <w:rPr>
          <w:rFonts w:ascii="Times New Roman" w:cs="Times New Roman" w:eastAsia="Times New Roman" w:hAnsi="Times New Roman"/>
          <w:sz w:val="22"/>
          <w:szCs w:val="22"/>
          <w:color w:val="auto"/>
        </w:rPr>
        <w:t xml:space="preserve">. Except to the extent otherwise provided herein: (i) other than with respect any Syndicated Borrowing requested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be made for account of the Lenders of the applicable Class, and each termination or reduction of the amount of the Commitments of a Class of Commitments or Final Maturity Date under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2" w:name="page243"/>
    <w:bookmarkEnd w:id="242"/>
    <w:p>
      <w:pPr>
        <w:jc w:val="both"/>
        <w:spacing w:after="0" w:line="234" w:lineRule="auto"/>
        <w:rPr>
          <w:sz w:val="20"/>
          <w:szCs w:val="20"/>
          <w:color w:val="auto"/>
        </w:rPr>
      </w:pPr>
      <w:r>
        <w:rPr>
          <w:rFonts w:ascii="Times New Roman" w:cs="Times New Roman" w:eastAsia="Times New Roman" w:hAnsi="Times New Roman"/>
          <w:sz w:val="22"/>
          <w:szCs w:val="22"/>
          <w:color w:val="auto"/>
        </w:rPr>
        <w:t>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183"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u w:val="single" w:color="auto"/>
          <w:color w:val="auto"/>
        </w:rPr>
        <w:t>Sharing of Payments by Lenders</w:t>
      </w:r>
      <w:r>
        <w:rPr>
          <w:rFonts w:ascii="Times New Roman" w:cs="Times New Roman" w:eastAsia="Times New Roman" w:hAnsi="Times New Roman"/>
          <w:sz w:val="22"/>
          <w:szCs w:val="22"/>
          <w:color w:val="auto"/>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7"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Presumptions of Payment</w:t>
      </w:r>
      <w:r>
        <w:rPr>
          <w:rFonts w:ascii="Times New Roman" w:cs="Times New Roman" w:eastAsia="Times New Roman" w:hAnsi="Times New Roman"/>
          <w:sz w:val="22"/>
          <w:szCs w:val="22"/>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3" w:name="page244"/>
    <w:bookmarkEnd w:id="24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including the date such amount is distributed to it to but excluding the date of payment to the Administrative Agent at the Federal Funds Effective Rate.</w:t>
      </w:r>
    </w:p>
    <w:p>
      <w:pPr>
        <w:spacing w:after="0" w:line="158" w:lineRule="exact"/>
        <w:rPr>
          <w:sz w:val="20"/>
          <w:szCs w:val="20"/>
          <w:color w:val="auto"/>
        </w:rPr>
      </w:pPr>
    </w:p>
    <w:p>
      <w:pPr>
        <w:jc w:val="both"/>
        <w:ind w:firstLine="1727"/>
        <w:spacing w:after="0" w:line="255" w:lineRule="auto"/>
        <w:rPr>
          <w:sz w:val="20"/>
          <w:szCs w:val="20"/>
          <w:color w:val="auto"/>
        </w:rPr>
      </w:pPr>
      <w:r>
        <w:rPr>
          <w:rFonts w:ascii="Times New Roman" w:cs="Times New Roman" w:eastAsia="Times New Roman" w:hAnsi="Times New Roman"/>
          <w:sz w:val="21"/>
          <w:szCs w:val="21"/>
          <w:u w:val="single" w:color="auto"/>
          <w:color w:val="auto"/>
        </w:rPr>
        <w:t>Certain Deductions by the Administrative Agent</w:t>
      </w:r>
      <w:r>
        <w:rPr>
          <w:rFonts w:ascii="Times New Roman" w:cs="Times New Roman" w:eastAsia="Times New Roman" w:hAnsi="Times New Roman"/>
          <w:sz w:val="21"/>
          <w:szCs w:val="21"/>
          <w:color w:val="auto"/>
        </w:rPr>
        <w:t xml:space="preserve">. If any Lender shall fail to make any payment required to be made by it pursuant to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2.06(a)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2.17(e)</w:t>
      </w:r>
      <w:r>
        <w:rPr>
          <w:rFonts w:ascii="Times New Roman" w:cs="Times New Roman" w:eastAsia="Times New Roman" w:hAnsi="Times New Roman"/>
          <w:sz w:val="21"/>
          <w:szCs w:val="21"/>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6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Mitigation Obligations; Replacement of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7" w:lineRule="auto"/>
        <w:rPr>
          <w:sz w:val="20"/>
          <w:szCs w:val="20"/>
          <w:color w:val="auto"/>
        </w:rPr>
      </w:pP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72"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if the Borrower is required to pay any additional amount to any Lender or any Governmental Authority for account of any Lender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or if any Lender becomes a Defaulting Lender or is a Non-Consenting Lender (as provided in </w:t>
      </w:r>
      <w:r>
        <w:rPr>
          <w:rFonts w:ascii="Times New Roman" w:cs="Times New Roman" w:eastAsia="Times New Roman" w:hAnsi="Times New Roman"/>
          <w:sz w:val="22"/>
          <w:szCs w:val="22"/>
          <w:u w:val="single" w:color="auto"/>
          <w:color w:val="auto"/>
        </w:rPr>
        <w:t>Section 9.02(d)</w:t>
      </w:r>
      <w:r>
        <w:rPr>
          <w:rFonts w:ascii="Times New Roman" w:cs="Times New Roman" w:eastAsia="Times New Roman" w:hAnsi="Times New Roman"/>
          <w:sz w:val="22"/>
          <w:szCs w:val="22"/>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shall have received the prior written consent of the Administrative Agent (and, if a Commitment is being assigned, each Issuing Bank and each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4" w:name="page245"/>
    <w:bookmarkEnd w:id="244"/>
    <w:p>
      <w:pPr>
        <w:ind w:left="1740"/>
        <w:spacing w:after="0"/>
        <w:rPr>
          <w:sz w:val="20"/>
          <w:szCs w:val="20"/>
          <w:color w:val="auto"/>
        </w:rPr>
      </w:pP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3" w:lineRule="exact"/>
        <w:rPr>
          <w:sz w:val="20"/>
          <w:szCs w:val="20"/>
          <w:color w:val="auto"/>
        </w:rPr>
      </w:pPr>
    </w:p>
    <w:p>
      <w:pPr>
        <w:jc w:val="both"/>
        <w:ind w:left="880" w:firstLine="797"/>
        <w:spacing w:after="0" w:line="242" w:lineRule="auto"/>
        <w:rPr>
          <w:sz w:val="20"/>
          <w:szCs w:val="20"/>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Administrative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or otherwise) or received by Administrative Agent from a Defaulting Lender pursuant to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shall be applied at such time or times as may be determined by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such Defaulting Lender to any Issuing Bank or any Swingline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to Cash Collateralize each Issuing Bank’s Fronting Exposure with respect to such Defaulting Lender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manner described in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2.19(a)(iii)</w:t>
      </w:r>
      <w:r>
        <w:rPr>
          <w:rFonts w:ascii="Times New Roman" w:cs="Times New Roman" w:eastAsia="Times New Roman" w:hAnsi="Times New Roman"/>
          <w:sz w:val="21"/>
          <w:szCs w:val="21"/>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2.19(a)(i)</w:t>
      </w:r>
      <w:r>
        <w:rPr>
          <w:rFonts w:ascii="Times New Roman" w:cs="Times New Roman" w:eastAsia="Times New Roman" w:hAnsi="Times New Roman"/>
          <w:sz w:val="21"/>
          <w:szCs w:val="21"/>
          <w:color w:val="auto"/>
        </w:rPr>
        <w:t xml:space="preserve"> shall be deemed paid to and redirected by such Defaulting Lender, and each Lender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5" w:name="page246"/>
    <w:bookmarkEnd w:id="245"/>
    <w:p>
      <w:pPr>
        <w:ind w:left="780"/>
        <w:spacing w:after="0"/>
        <w:rPr>
          <w:sz w:val="20"/>
          <w:szCs w:val="20"/>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60" w:firstLine="731"/>
        <w:spacing w:after="0" w:line="236" w:lineRule="auto"/>
        <w:rPr>
          <w:sz w:val="20"/>
          <w:szCs w:val="20"/>
          <w:color w:val="auto"/>
        </w:rPr>
      </w:pPr>
      <w:r>
        <w:rPr>
          <w:rFonts w:ascii="Times New Roman" w:cs="Times New Roman" w:eastAsia="Times New Roman" w:hAnsi="Times New Roman"/>
          <w:sz w:val="22"/>
          <w:szCs w:val="22"/>
          <w:color w:val="auto"/>
        </w:rPr>
        <w:t xml:space="preserve">No Defaulting Lender shall be entitled to receive any fee pursuant to </w:t>
      </w:r>
      <w:r>
        <w:rPr>
          <w:rFonts w:ascii="Times New Roman" w:cs="Times New Roman" w:eastAsia="Times New Roman" w:hAnsi="Times New Roman"/>
          <w:sz w:val="22"/>
          <w:szCs w:val="22"/>
          <w:u w:val="single" w:color="auto"/>
          <w:color w:val="auto"/>
        </w:rPr>
        <w:t>Sections 2.11(a)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for any period during which that Lender is a Defaulting Lender (and Borrower shall not be required to pay any such fee that otherwise would have been required to have been paid to that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Defaulting Lender shall be entitled to receive fees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860" w:firstLine="731"/>
        <w:spacing w:after="0" w:line="235" w:lineRule="auto"/>
        <w:rPr>
          <w:sz w:val="20"/>
          <w:szCs w:val="20"/>
          <w:color w:val="auto"/>
        </w:rPr>
      </w:pPr>
      <w:r>
        <w:rPr>
          <w:rFonts w:ascii="Times New Roman" w:cs="Times New Roman" w:eastAsia="Times New Roman" w:hAnsi="Times New Roman"/>
          <w:sz w:val="22"/>
          <w:szCs w:val="22"/>
          <w:color w:val="auto"/>
        </w:rPr>
        <w:t xml:space="preserve">With respect to any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fees not required to be paid to any Defaulting Lender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183" w:lineRule="exact"/>
        <w:rPr>
          <w:sz w:val="20"/>
          <w:szCs w:val="20"/>
          <w:color w:val="auto"/>
        </w:rPr>
      </w:pPr>
    </w:p>
    <w:p>
      <w:pPr>
        <w:jc w:val="both"/>
        <w:ind w:firstLine="797"/>
        <w:spacing w:after="0" w:line="233" w:lineRule="auto"/>
        <w:rPr>
          <w:sz w:val="20"/>
          <w:szCs w:val="20"/>
          <w:color w:val="auto"/>
        </w:rPr>
      </w:pPr>
      <w:r>
        <w:rPr>
          <w:rFonts w:ascii="Times New Roman" w:cs="Times New Roman" w:eastAsia="Times New Roman" w:hAnsi="Times New Roman"/>
          <w:sz w:val="22"/>
          <w:szCs w:val="22"/>
          <w:u w:val="single" w:color="auto"/>
          <w:color w:val="auto"/>
        </w:rPr>
        <w:t>Reallocation of Participations to Reduce Fronting Exposure</w:t>
      </w:r>
      <w:r>
        <w:rPr>
          <w:rFonts w:ascii="Times New Roman" w:cs="Times New Roman" w:eastAsia="Times New Roman" w:hAnsi="Times New Roman"/>
          <w:sz w:val="22"/>
          <w:szCs w:val="22"/>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cs="Times New Roman" w:eastAsia="Times New Roman" w:hAnsi="Times New Roman"/>
          <w:sz w:val="22"/>
          <w:szCs w:val="22"/>
          <w:u w:val="single" w:color="auto"/>
          <w:color w:val="auto"/>
        </w:rPr>
        <w:t>Section 9.17</w:t>
      </w:r>
      <w:r>
        <w:rPr>
          <w:rFonts w:ascii="Times New Roman" w:cs="Times New Roman" w:eastAsia="Times New Roman" w:hAnsi="Times New Roman"/>
          <w:sz w:val="22"/>
          <w:szCs w:val="2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2" w:lineRule="exact"/>
        <w:rPr>
          <w:sz w:val="20"/>
          <w:szCs w:val="20"/>
          <w:color w:val="auto"/>
        </w:rPr>
      </w:pPr>
    </w:p>
    <w:p>
      <w:pPr>
        <w:jc w:val="both"/>
        <w:ind w:firstLine="797"/>
        <w:spacing w:after="0" w:line="248" w:lineRule="auto"/>
        <w:rPr>
          <w:sz w:val="20"/>
          <w:szCs w:val="20"/>
          <w:color w:val="auto"/>
        </w:rPr>
      </w:pPr>
      <w:r>
        <w:rPr>
          <w:rFonts w:ascii="Times New Roman" w:cs="Times New Roman" w:eastAsia="Times New Roman" w:hAnsi="Times New Roman"/>
          <w:sz w:val="21"/>
          <w:szCs w:val="21"/>
          <w:u w:val="single" w:color="auto"/>
          <w:color w:val="auto"/>
        </w:rPr>
        <w:t>Cash Collateral; Repayment of Swingline Loans</w:t>
      </w:r>
      <w:r>
        <w:rPr>
          <w:rFonts w:ascii="Times New Roman" w:cs="Times New Roman" w:eastAsia="Times New Roman" w:hAnsi="Times New Roman"/>
          <w:sz w:val="21"/>
          <w:szCs w:val="21"/>
          <w:color w:val="auto"/>
        </w:rPr>
        <w:t xml:space="preserve">. If the reallocation described in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125730</wp:posOffset>
            </wp:positionV>
            <wp:extent cx="71323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142875</wp:posOffset>
            </wp:positionV>
            <wp:extent cx="71323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74930</wp:posOffset>
            </wp:positionV>
            <wp:extent cx="71494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246" w:name="page247"/>
    <w:bookmarkEnd w:id="246"/>
    <w:p>
      <w:pPr>
        <w:jc w:val="both"/>
        <w:ind w:left="880"/>
        <w:spacing w:after="0" w:line="239" w:lineRule="auto"/>
        <w:rPr>
          <w:sz w:val="20"/>
          <w:szCs w:val="20"/>
          <w:color w:val="auto"/>
        </w:rPr>
      </w:pPr>
      <w:r>
        <w:rPr>
          <w:rFonts w:ascii="Times New Roman" w:cs="Times New Roman" w:eastAsia="Times New Roman" w:hAnsi="Times New Roman"/>
          <w:sz w:val="22"/>
          <w:szCs w:val="22"/>
          <w:color w:val="auto"/>
        </w:rPr>
        <w:t xml:space="preserve">accordance with the terms hereof)) and (y) second, Cash Collateralize each Issuing Bank’s Fronting Exposure in accordance with the procedures set forth in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80"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cs="Times New Roman" w:eastAsia="Times New Roman" w:hAnsi="Times New Roman"/>
          <w:sz w:val="22"/>
          <w:szCs w:val="22"/>
          <w:u w:val="single" w:color="auto"/>
          <w:color w:val="auto"/>
        </w:rPr>
        <w:t>Section 2.19(a)(iii)</w:t>
      </w:r>
      <w:r>
        <w:rPr>
          <w:rFonts w:ascii="Times New Roman" w:cs="Times New Roman" w:eastAsia="Times New Roman" w:hAnsi="Times New Roman"/>
          <w:sz w:val="22"/>
          <w:szCs w:val="22"/>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Borrower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2"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New Swingline Loans/Letters of Credit</w:t>
      </w:r>
      <w:r>
        <w:rPr>
          <w:rFonts w:ascii="Times New Roman" w:cs="Times New Roman" w:eastAsia="Times New Roman" w:hAnsi="Times New Roman"/>
          <w:sz w:val="22"/>
          <w:szCs w:val="22"/>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cs="Times New Roman" w:eastAsia="Times New Roman" w:hAnsi="Times New Roman"/>
          <w:sz w:val="22"/>
          <w:szCs w:val="22"/>
          <w:u w:val="single" w:color="auto"/>
          <w:color w:val="auto"/>
        </w:rPr>
        <w:t>clause (a)(iii)</w:t>
      </w:r>
      <w:r>
        <w:rPr>
          <w:rFonts w:ascii="Times New Roman" w:cs="Times New Roman" w:eastAsia="Times New Roman" w:hAnsi="Times New Roman"/>
          <w:sz w:val="22"/>
          <w:szCs w:val="22"/>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cs="Times New Roman" w:eastAsia="Times New Roman" w:hAnsi="Times New Roman"/>
          <w:sz w:val="22"/>
          <w:szCs w:val="22"/>
          <w:u w:val="single" w:color="auto"/>
          <w:color w:val="auto"/>
        </w:rPr>
        <w:t>clause (a)(iii)</w:t>
      </w:r>
      <w:r>
        <w:rPr>
          <w:rFonts w:ascii="Times New Roman" w:cs="Times New Roman" w:eastAsia="Times New Roman" w:hAnsi="Times New Roman"/>
          <w:sz w:val="22"/>
          <w:szCs w:val="22"/>
          <w:color w:val="auto"/>
        </w:rPr>
        <w:t xml:space="preserve"> above and such Defaulting Lender shall not participate therein except to the extent such Defaulting Lender’s participation has been or will be fully Cash Collateralized in accordance with </w:t>
      </w:r>
      <w:r>
        <w:rPr>
          <w:rFonts w:ascii="Times New Roman" w:cs="Times New Roman" w:eastAsia="Times New Roman" w:hAnsi="Times New Roman"/>
          <w:sz w:val="22"/>
          <w:szCs w:val="22"/>
          <w:u w:val="single" w:color="auto"/>
          <w:color w:val="auto"/>
        </w:rPr>
        <w:t>Section 2.19(d)</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727"/>
        <w:spacing w:after="0" w:line="255" w:lineRule="auto"/>
        <w:rPr>
          <w:sz w:val="20"/>
          <w:szCs w:val="20"/>
          <w:color w:val="auto"/>
        </w:rPr>
      </w:pPr>
      <w:r>
        <w:rPr>
          <w:rFonts w:ascii="Times New Roman" w:cs="Times New Roman" w:eastAsia="Times New Roman" w:hAnsi="Times New Roman"/>
          <w:sz w:val="21"/>
          <w:szCs w:val="21"/>
          <w:u w:val="single" w:color="auto"/>
          <w:color w:val="auto"/>
        </w:rPr>
        <w:t>Cash Collateral</w:t>
      </w:r>
      <w:r>
        <w:rPr>
          <w:rFonts w:ascii="Times New Roman" w:cs="Times New Roman" w:eastAsia="Times New Roman" w:hAnsi="Times New Roman"/>
          <w:sz w:val="21"/>
          <w:szCs w:val="21"/>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cs="Times New Roman" w:eastAsia="Times New Roman" w:hAnsi="Times New Roman"/>
          <w:sz w:val="21"/>
          <w:szCs w:val="21"/>
          <w:u w:val="single" w:color="auto"/>
          <w:color w:val="auto"/>
        </w:rPr>
        <w:t>Section 2.19(a)(iii)</w:t>
      </w:r>
      <w:r>
        <w:rPr>
          <w:rFonts w:ascii="Times New Roman" w:cs="Times New Roman" w:eastAsia="Times New Roman" w:hAnsi="Times New Roman"/>
          <w:sz w:val="21"/>
          <w:szCs w:val="21"/>
          <w:color w:val="auto"/>
        </w:rPr>
        <w:t xml:space="preserve"> and any Cash Collateral provided by such Defaulting Lender) in an amount not less than the Minimum Collateral Amount.</w:t>
      </w:r>
    </w:p>
    <w:p>
      <w:pPr>
        <w:spacing w:after="0" w:line="162"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7" w:name="page248"/>
    <w:bookmarkEnd w:id="247"/>
    <w:p>
      <w:pPr>
        <w:jc w:val="both"/>
        <w:spacing w:after="0" w:line="234" w:lineRule="auto"/>
        <w:rPr>
          <w:sz w:val="20"/>
          <w:szCs w:val="20"/>
          <w:color w:val="auto"/>
        </w:rPr>
      </w:pP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83" w:lineRule="exact"/>
        <w:rPr>
          <w:sz w:val="20"/>
          <w:szCs w:val="20"/>
          <w:color w:val="auto"/>
        </w:rPr>
      </w:pPr>
    </w:p>
    <w:p>
      <w:pPr>
        <w:jc w:val="both"/>
        <w:ind w:firstLine="797"/>
        <w:spacing w:after="0" w:line="238" w:lineRule="auto"/>
        <w:rPr>
          <w:sz w:val="20"/>
          <w:szCs w:val="20"/>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77" w:lineRule="exact"/>
        <w:rPr>
          <w:sz w:val="20"/>
          <w:szCs w:val="20"/>
          <w:color w:val="auto"/>
        </w:rPr>
      </w:pPr>
    </w:p>
    <w:p>
      <w:pPr>
        <w:jc w:val="both"/>
        <w:ind w:firstLine="797"/>
        <w:spacing w:after="0" w:line="235" w:lineRule="auto"/>
        <w:rPr>
          <w:sz w:val="20"/>
          <w:szCs w:val="20"/>
          <w:color w:val="auto"/>
        </w:rPr>
      </w:pPr>
      <w:r>
        <w:rPr>
          <w:rFonts w:ascii="Times New Roman" w:cs="Times New Roman" w:eastAsia="Times New Roman" w:hAnsi="Times New Roman"/>
          <w:sz w:val="22"/>
          <w:szCs w:val="22"/>
          <w:u w:val="single" w:color="auto"/>
          <w:color w:val="auto"/>
        </w:rPr>
        <w:t>Termination of Requirement</w:t>
      </w:r>
      <w:r>
        <w:rPr>
          <w:rFonts w:ascii="Times New Roman" w:cs="Times New Roman" w:eastAsia="Times New Roman" w:hAnsi="Times New Roman"/>
          <w:sz w:val="22"/>
          <w:szCs w:val="22"/>
          <w:color w:val="auto"/>
        </w:rPr>
        <w:t xml:space="preserve">. Cash Collateral (or the appropriate portion thereof) provided to reduce Issuing Bank’s Fronting Exposure shall no longer be required to be held as Cash Collateral pursuant to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the other provisions of 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the Person providing Cash Collateral and each Issuing Bank may agree that Cash Collateral shall be held to support future anticipated Fronting Exposure;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to the extent that such Cash Collateral was provided by Borrower, such Cash Collateral shall remain subject to the security interest granted pursuant to the Loan Documents.</w:t>
      </w:r>
    </w:p>
    <w:p>
      <w:pPr>
        <w:spacing w:after="0" w:line="17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Reallocation Following a Non-Extended Commitment Termination Date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Reallocation of Participations and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97"/>
        <w:spacing w:after="0" w:line="23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(a) in connection with the reduction or termination of any Non-Extending Lender’s Commitments in accordance with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on any date prior to the Non-Extended Commitment Termination Date for such Non-Extending Lender, the Borrower shall be permitted to request a Dollar Loan be made ratably among the Extending Lenders and Non-Extending Lenders for which the Non-Extended Commitment Termination Date shall not have occurred in accordance with the provisions of </w:t>
      </w:r>
      <w:r>
        <w:rPr>
          <w:rFonts w:ascii="Times New Roman" w:cs="Times New Roman" w:eastAsia="Times New Roman" w:hAnsi="Times New Roman"/>
          <w:sz w:val="22"/>
          <w:szCs w:val="22"/>
          <w:u w:val="single" w:color="auto"/>
          <w:color w:val="auto"/>
        </w:rPr>
        <w:t>Sections 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2.17(c)</w:t>
      </w:r>
      <w:r>
        <w:rPr>
          <w:rFonts w:ascii="Times New Roman" w:cs="Times New Roman" w:eastAsia="Times New Roman" w:hAnsi="Times New Roman"/>
          <w:sz w:val="22"/>
          <w:szCs w:val="22"/>
          <w:color w:val="auto"/>
        </w:rPr>
        <w:t xml:space="preserve"> in an amount up to the amount by which such Non-Extending Lender’s Revolving Credit Exposure exceeds such Non-Extending Lender’s Commitments after giving effect to such Commitment reduction and (b) on any date following the Non-Extended Commitment Termination Date for any Non-Extending Lender until the Extended Commitment Termination Date, the Borrower shall be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133985</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151130</wp:posOffset>
            </wp:positionV>
            <wp:extent cx="7132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74930</wp:posOffset>
            </wp:positionV>
            <wp:extent cx="71494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248" w:name="page249"/>
    <w:bookmarkEnd w:id="248"/>
    <w:p>
      <w:pPr>
        <w:jc w:val="both"/>
        <w:ind w:left="880"/>
        <w:spacing w:after="0" w:line="233" w:lineRule="auto"/>
        <w:rPr>
          <w:sz w:val="20"/>
          <w:szCs w:val="20"/>
          <w:color w:val="auto"/>
        </w:rPr>
      </w:pPr>
      <w:r>
        <w:rPr>
          <w:rFonts w:ascii="Times New Roman" w:cs="Times New Roman" w:eastAsia="Times New Roman" w:hAnsi="Times New Roman"/>
          <w:sz w:val="22"/>
          <w:szCs w:val="22"/>
          <w:color w:val="auto"/>
        </w:rPr>
        <w:t xml:space="preserve">to request a Dollar Loan to be made ratably among the Extending Lenders and Non-Extending Lenders for which the Non-Extended Commitment Termination Date shall not have occurred in accordance with </w:t>
      </w:r>
      <w:r>
        <w:rPr>
          <w:rFonts w:ascii="Times New Roman" w:cs="Times New Roman" w:eastAsia="Times New Roman" w:hAnsi="Times New Roman"/>
          <w:sz w:val="22"/>
          <w:szCs w:val="22"/>
          <w:u w:val="single" w:color="auto"/>
          <w:color w:val="auto"/>
        </w:rPr>
        <w:t>Sections 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2.17(c)</w:t>
      </w:r>
      <w:r>
        <w:rPr>
          <w:rFonts w:ascii="Times New Roman" w:cs="Times New Roman" w:eastAsia="Times New Roman" w:hAnsi="Times New Roman"/>
          <w:sz w:val="22"/>
          <w:szCs w:val="22"/>
          <w:color w:val="auto"/>
        </w:rPr>
        <w:t xml:space="preserve"> in an amount up to the Revolving Credit Exposure of each Non-Extending Lender for which the Non-Extended Commitment Termination shall have occurred, in each case, so long as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182" w:lineRule="exact"/>
        <w:rPr>
          <w:sz w:val="20"/>
          <w:szCs w:val="20"/>
          <w:color w:val="auto"/>
        </w:rPr>
      </w:pPr>
    </w:p>
    <w:p>
      <w:pPr>
        <w:jc w:val="both"/>
        <w:ind w:left="880" w:firstLine="797"/>
        <w:spacing w:after="0" w:line="233" w:lineRule="auto"/>
        <w:rPr>
          <w:sz w:val="20"/>
          <w:szCs w:val="20"/>
          <w:color w:val="auto"/>
        </w:rPr>
      </w:pPr>
      <w:r>
        <w:rPr>
          <w:rFonts w:ascii="Times New Roman" w:cs="Times New Roman" w:eastAsia="Times New Roman" w:hAnsi="Times New Roman"/>
          <w:sz w:val="22"/>
          <w:szCs w:val="22"/>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77"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Cash Collateral; Repayment of Swingline Loans</w:t>
      </w:r>
      <w:r>
        <w:rPr>
          <w:rFonts w:ascii="Times New Roman" w:cs="Times New Roman" w:eastAsia="Times New Roman" w:hAnsi="Times New Roman"/>
          <w:sz w:val="22"/>
          <w:szCs w:val="22"/>
          <w:color w:val="auto"/>
        </w:rPr>
        <w:t xml:space="preserve">. If any Loan related to the reduction or termination of a Non-Extending Lender’s Commitment prior to the Non-Extended Commitment Termination Date described in </w:t>
      </w:r>
      <w:r>
        <w:rPr>
          <w:rFonts w:ascii="Times New Roman" w:cs="Times New Roman" w:eastAsia="Times New Roman" w:hAnsi="Times New Roman"/>
          <w:sz w:val="22"/>
          <w:szCs w:val="22"/>
          <w:u w:val="single" w:color="auto"/>
          <w:color w:val="auto"/>
        </w:rPr>
        <w:t>clause (a)(i)</w:t>
      </w:r>
      <w:r>
        <w:rPr>
          <w:rFonts w:ascii="Times New Roman" w:cs="Times New Roman" w:eastAsia="Times New Roman" w:hAnsi="Times New Roman"/>
          <w:sz w:val="22"/>
          <w:szCs w:val="22"/>
          <w:color w:val="auto"/>
        </w:rPr>
        <w:t xml:space="preserve"> above or any reallocation described in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cannot, or can only partially, be effected, the Borrower shall, not later than (i) with respect to any reduction or termination of a Non-Extending Lender’s Commitment pursuant to </w:t>
      </w:r>
      <w:r>
        <w:rPr>
          <w:rFonts w:ascii="Times New Roman" w:cs="Times New Roman" w:eastAsia="Times New Roman" w:hAnsi="Times New Roman"/>
          <w:sz w:val="22"/>
          <w:szCs w:val="22"/>
          <w:u w:val="single" w:color="auto"/>
          <w:color w:val="auto"/>
        </w:rPr>
        <w:t>Section 2.08(f)</w:t>
      </w:r>
      <w:r>
        <w:rPr>
          <w:rFonts w:ascii="Times New Roman" w:cs="Times New Roman" w:eastAsia="Times New Roman" w:hAnsi="Times New Roman"/>
          <w:sz w:val="22"/>
          <w:szCs w:val="22"/>
          <w:color w:val="auto"/>
        </w:rPr>
        <w:t>,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9" w:name="page250"/>
    <w:bookmarkEnd w:id="249"/>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(y) provide Cash Collateral in an amount equal to the amount by which the participation obligations of such Non-Extending Lenders in Letters of Credit have not been reallocated pursuant to </w:t>
      </w:r>
      <w:r>
        <w:rPr>
          <w:rFonts w:ascii="Times New Roman" w:cs="Times New Roman" w:eastAsia="Times New Roman" w:hAnsi="Times New Roman"/>
          <w:sz w:val="22"/>
          <w:szCs w:val="22"/>
          <w:u w:val="single" w:color="auto"/>
          <w:color w:val="auto"/>
        </w:rPr>
        <w:t>clause (a)(ii)</w:t>
      </w:r>
      <w:r>
        <w:rPr>
          <w:rFonts w:ascii="Times New Roman" w:cs="Times New Roman" w:eastAsia="Times New Roman" w:hAnsi="Times New Roman"/>
          <w:sz w:val="22"/>
          <w:szCs w:val="22"/>
          <w:color w:val="auto"/>
        </w:rPr>
        <w:t xml:space="preserve"> 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 w:cs="Times New Roman" w:eastAsia="Times New Roman" w:hAnsi="Times New Roman"/>
          <w:sz w:val="22"/>
          <w:szCs w:val="22"/>
          <w:u w:val="single" w:color="auto"/>
          <w:color w:val="auto"/>
        </w:rPr>
        <w:t>clause (a)(i)(z) above</w:t>
      </w:r>
      <w:r>
        <w:rPr>
          <w:rFonts w:ascii="Times New Roman" w:cs="Times New Roman" w:eastAsia="Times New Roman" w:hAnsi="Times New Roman"/>
          <w:sz w:val="22"/>
          <w:szCs w:val="22"/>
          <w:color w:val="auto"/>
        </w:rPr>
        <w:t xml:space="preserve"> exceeds such Non-Extending Lender’s Commitment after giving effect to any reduction in such Non-Extending Lender’s Commitment.</w:t>
      </w:r>
    </w:p>
    <w:p>
      <w:pPr>
        <w:spacing w:after="0" w:line="18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Assignment and Reallocation of Existing Commitments and Existing Loans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On the Tenth Amendment Effective Date, the Borrower shall (A) prepay the outstanding Loans and</w:t>
      </w:r>
    </w:p>
    <w:p>
      <w:pPr>
        <w:spacing w:after="0" w:line="14" w:lineRule="exact"/>
        <w:rPr>
          <w:sz w:val="20"/>
          <w:szCs w:val="20"/>
          <w:color w:val="auto"/>
        </w:rPr>
      </w:pPr>
    </w:p>
    <w:p>
      <w:pPr>
        <w:ind w:left="360" w:hanging="352"/>
        <w:spacing w:after="0"/>
        <w:tabs>
          <w:tab w:leader="none" w:pos="360"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simultaneously borrow new Loans in an amount equal to such prepayment;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subclauses (A)</w:t>
      </w:r>
      <w:r>
        <w:rPr>
          <w:rFonts w:ascii="Times New Roman" w:cs="Times New Roman" w:eastAsia="Times New Roman" w:hAnsi="Times New Roman"/>
          <w:sz w:val="21"/>
          <w:szCs w:val="21"/>
          <w:color w:val="auto"/>
        </w:rPr>
        <w:t xml:space="preserve"> and</w:t>
      </w:r>
    </w:p>
    <w:p>
      <w:pPr>
        <w:spacing w:after="0" w:line="1" w:lineRule="exact"/>
        <w:rPr>
          <w:rFonts w:ascii="Times New Roman" w:cs="Times New Roman" w:eastAsia="Times New Roman" w:hAnsi="Times New Roman"/>
          <w:sz w:val="21"/>
          <w:szCs w:val="21"/>
          <w:color w:val="auto"/>
        </w:rPr>
      </w:pPr>
    </w:p>
    <w:p>
      <w:pPr>
        <w:jc w:val="both"/>
        <w:ind w:firstLine="8"/>
        <w:spacing w:after="0" w:line="273" w:lineRule="auto"/>
        <w:tabs>
          <w:tab w:leader="none" w:pos="288" w:val="left"/>
        </w:tabs>
        <w:numPr>
          <w:ilvl w:val="0"/>
          <w:numId w:val="15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 (x) the prepayment to, and borrowing from, any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Times New Roman" w:cs="Times New Roman" w:eastAsia="Times New Roman" w:hAnsi="Times New Roman"/>
          <w:sz w:val="19"/>
          <w:szCs w:val="19"/>
          <w:u w:val="single" w:color="auto"/>
          <w:color w:val="auto"/>
        </w:rPr>
        <w:t>Schedule 1.01(b)</w:t>
      </w:r>
      <w:r>
        <w:rPr>
          <w:rFonts w:ascii="Times New Roman" w:cs="Times New Roman" w:eastAsia="Times New Roman" w:hAnsi="Times New Roman"/>
          <w:sz w:val="19"/>
          <w:szCs w:val="19"/>
          <w:color w:val="auto"/>
        </w:rPr>
        <w:t>.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39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 (B) 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17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Effect of Benchmark Transition Event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or an Early Opt-in Election, as applicable, the Administrative Agent and the Borrower may amend this Agreement to replace the LIBO Rate with a Benchmark Replacement. Any such amendment with respect to a Benchmark Transition Event will become effective at 5:00 p.m. on the fifth (5th)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0" w:name="page251"/>
    <w:bookmarkEnd w:id="250"/>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after the Administrative Agent has posted such proposed amendment to all Lenders and the Borrower so long as the Administrative Agent has not received, by such time, written notice of objection to such amendment from Lenders comprising the Required Lenders of each Class. Any such amendment with respect to an Early Opt-in Election will become effective on the date that Lenders comprising the Required Lenders of each Class have delivered to the Administrative Agent written notice that such Required Lenders accept such amendment. No replacement of the LIBO Rate with a Benchmark Replacement pursuant to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will occur prior to the applicable Benchmark Transition Start Date.</w:t>
      </w:r>
    </w:p>
    <w:p>
      <w:pPr>
        <w:spacing w:after="0" w:line="181"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 Replacement, the Administrative Agent (after consulting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77"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the Borrower may revoke any request for a Eurocurrency Borrowing of, conversion to or continuation of Eurocurrency Loans to be made, converted or continued during any Benchmark Unavailability Period and, failing that, the Borrower will be deemed to have converted any such request into a request for a Borrowing of or conversion to ABR Loans. During any Benchmark Unavailability Period, the component of ABR based upon the LIBO Rate will not be used in any determination of ABR.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740" w:right="3660" w:firstLine="1923"/>
        <w:spacing w:after="0" w:line="456" w:lineRule="auto"/>
        <w:rPr>
          <w:sz w:val="20"/>
          <w:szCs w:val="20"/>
          <w:color w:val="auto"/>
        </w:rPr>
      </w:pPr>
      <w:r>
        <w:rPr>
          <w:rFonts w:ascii="Times New Roman" w:cs="Times New Roman" w:eastAsia="Times New Roman" w:hAnsi="Times New Roman"/>
          <w:sz w:val="21"/>
          <w:szCs w:val="21"/>
          <w:color w:val="auto"/>
        </w:rPr>
        <w:t>REPRESENTATIONS AND WARRANTIES The Borrower represents and warrants to the Lenders that:</w:t>
      </w:r>
    </w:p>
    <w:p>
      <w:pPr>
        <w:jc w:val="both"/>
        <w:ind w:firstLine="1849"/>
        <w:spacing w:after="0" w:line="261" w:lineRule="auto"/>
        <w:rPr>
          <w:sz w:val="20"/>
          <w:szCs w:val="20"/>
          <w:color w:val="auto"/>
        </w:rPr>
      </w:pPr>
      <w:r>
        <w:rPr>
          <w:rFonts w:ascii="Times New Roman" w:cs="Times New Roman" w:eastAsia="Times New Roman" w:hAnsi="Times New Roman"/>
          <w:sz w:val="21"/>
          <w:szCs w:val="21"/>
          <w:u w:val="single" w:color="auto"/>
          <w:color w:val="auto"/>
        </w:rPr>
        <w:t>Organization; Powers</w:t>
      </w:r>
      <w:r>
        <w:rPr>
          <w:rFonts w:ascii="Times New Roman" w:cs="Times New Roman" w:eastAsia="Times New Roman" w:hAnsi="Times New Roman"/>
          <w:sz w:val="21"/>
          <w:szCs w:val="21"/>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1" w:name="page252"/>
    <w:bookmarkEnd w:id="25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 result in a Material Adverse Effect, is qualified to do business in, and is in good standing in, every jurisdiction where such qualification is required of the Borrower or such Subsidiary, as applicable.</w:t>
      </w:r>
    </w:p>
    <w:p>
      <w:pPr>
        <w:spacing w:after="0" w:line="158"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8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Governmental Approvals; No Conflicts.</w:t>
      </w:r>
      <w:r>
        <w:rPr>
          <w:rFonts w:ascii="Times New Roman" w:cs="Times New Roman" w:eastAsia="Times New Roman" w:hAnsi="Times New Roman"/>
          <w:sz w:val="22"/>
          <w:szCs w:val="22"/>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8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Financial Condition; No Material Adverse Change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77"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Since the date of the most recent Applicable Financial Statements, there has not been any event, development or circumstance (herein, a “</w:t>
      </w:r>
      <w:r>
        <w:rPr>
          <w:rFonts w:ascii="Times New Roman" w:cs="Times New Roman" w:eastAsia="Times New Roman" w:hAnsi="Times New Roman"/>
          <w:sz w:val="22"/>
          <w:szCs w:val="22"/>
          <w:u w:val="single" w:color="auto"/>
          <w:color w:val="auto"/>
        </w:rPr>
        <w:t>Material Adverse Change</w:t>
      </w:r>
      <w:r>
        <w:rPr>
          <w:rFonts w:ascii="Times New Roman" w:cs="Times New Roman" w:eastAsia="Times New Roman" w:hAnsi="Times New Roman"/>
          <w:sz w:val="22"/>
          <w:szCs w:val="22"/>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2" w:name="page253"/>
    <w:bookmarkEnd w:id="252"/>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77"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Compliance with Laws and Agreements</w:t>
      </w:r>
      <w:r>
        <w:rPr>
          <w:rFonts w:ascii="Times New Roman" w:cs="Times New Roman" w:eastAsia="Times New Roman" w:hAnsi="Times New Roman"/>
          <w:sz w:val="22"/>
          <w:szCs w:val="22"/>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1"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77"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3" w:lineRule="exact"/>
        <w:rPr>
          <w:sz w:val="20"/>
          <w:szCs w:val="20"/>
          <w:color w:val="auto"/>
        </w:rPr>
      </w:pPr>
    </w:p>
    <w:p>
      <w:pPr>
        <w:jc w:val="both"/>
        <w:ind w:firstLine="1727"/>
        <w:spacing w:after="0" w:line="245" w:lineRule="auto"/>
        <w:rPr>
          <w:sz w:val="20"/>
          <w:szCs w:val="20"/>
          <w:color w:val="auto"/>
        </w:rPr>
      </w:pP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projected financial information, the Borrower represents only that such information was prepared in good faith based upon assumptions believed to be reasonable at the time.</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Investment Company Act; Margin Regulations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Status as Business Development Company</w:t>
      </w:r>
      <w:r>
        <w:rPr>
          <w:rFonts w:ascii="Times New Roman" w:cs="Times New Roman" w:eastAsia="Times New Roman" w:hAnsi="Times New Roman"/>
          <w:sz w:val="22"/>
          <w:szCs w:val="22"/>
          <w:color w:val="auto"/>
        </w:rPr>
        <w:t>. The Borrower has elected to be regulated as a “business development company” within the meaning of the Investment Company Act and qualifies as a 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3" w:name="page254"/>
    <w:bookmarkEnd w:id="253"/>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Compliance with Investment Company Act</w:t>
      </w:r>
      <w:r>
        <w:rPr>
          <w:rFonts w:ascii="Times New Roman" w:cs="Times New Roman" w:eastAsia="Times New Roman" w:hAnsi="Times New Roman"/>
          <w:sz w:val="22"/>
          <w:szCs w:val="22"/>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177"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Use of Credit</w:t>
      </w:r>
      <w:r>
        <w:rPr>
          <w:rFonts w:ascii="Times New Roman" w:cs="Times New Roman" w:eastAsia="Times New Roman" w:hAnsi="Times New Roman"/>
          <w:sz w:val="22"/>
          <w:szCs w:val="22"/>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Material Agreements and Liens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Material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Subsidiaries and Investments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tabs>
          <w:tab w:leader="none" w:pos="3040" w:val="left"/>
        </w:tabs>
        <w:rPr>
          <w:sz w:val="20"/>
          <w:szCs w:val="20"/>
          <w:color w:val="auto"/>
        </w:rPr>
      </w:pP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Schedule 3.12(a)</w:t>
      </w:r>
      <w:r>
        <w:rPr>
          <w:rFonts w:ascii="Times New Roman" w:cs="Times New Roman" w:eastAsia="Times New Roman" w:hAnsi="Times New Roman"/>
          <w:sz w:val="22"/>
          <w:szCs w:val="22"/>
          <w:color w:val="auto"/>
        </w:rPr>
        <w:t xml:space="preserve"> is a list of the Borrower’s Subsidiaries as of the Original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w:t>
      </w:r>
    </w:p>
    <w:p>
      <w:pPr>
        <w:spacing w:after="0" w:line="182"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 xml:space="preserve"> is a complete and correct list, as of the Original Effective Date, of all Investments (other than Investments of the types referred to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6.04</w:t>
      </w:r>
      <w:r>
        <w:rPr>
          <w:rFonts w:ascii="Times New Roman" w:cs="Times New Roman" w:eastAsia="Times New Roman" w:hAnsi="Times New Roman"/>
          <w:sz w:val="22"/>
          <w:szCs w:val="22"/>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Times New Roman" w:cs="Times New Roman" w:eastAsia="Times New Roman" w:hAnsi="Times New Roman"/>
          <w:sz w:val="22"/>
          <w:szCs w:val="22"/>
          <w:u w:val="single" w:color="auto"/>
          <w:color w:val="auto"/>
        </w:rPr>
        <w:t>Schedule 3.12</w:t>
      </w:r>
      <w:r>
        <w:rPr>
          <w:rFonts w:ascii="Times New Roman" w:cs="Times New Roman" w:eastAsia="Times New Roman" w:hAnsi="Times New Roman"/>
          <w:sz w:val="22"/>
          <w:szCs w:val="22"/>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4" w:name="page255"/>
    <w:bookmarkEnd w:id="254"/>
    <w:p>
      <w:pPr>
        <w:ind w:left="1740"/>
        <w:spacing w:after="0"/>
        <w:rPr>
          <w:sz w:val="20"/>
          <w:szCs w:val="20"/>
          <w:color w:val="auto"/>
        </w:rPr>
      </w:pP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Title Generally</w:t>
      </w:r>
      <w:r>
        <w:rPr>
          <w:rFonts w:ascii="Times New Roman" w:cs="Times New Roman" w:eastAsia="Times New Roman" w:hAnsi="Times New Roman"/>
          <w:sz w:val="22"/>
          <w:szCs w:val="22"/>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7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Affiliate Agreements</w:t>
      </w:r>
      <w:r>
        <w:rPr>
          <w:rFonts w:ascii="Times New Roman" w:cs="Times New Roman" w:eastAsia="Times New Roman" w:hAnsi="Times New Roman"/>
          <w:sz w:val="22"/>
          <w:szCs w:val="22"/>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None of the Borrower or any of its Subsidiaries, nor, to the knowledge of the Borrower, any of their respective directors, officers or authorized signors (i) is a person on the list of Specially Designated Nationals and Blocked Persons or subject to, or the subject or target of, the limitations or prohibitions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under (A) any U.S. Department of Treasury’s Office of Foreign Assets Control or U.S. Department of State regulation or executive order or (B) any international economic sanction administered or enforced by the United Nations Security Council, Her Majesty’s Treasury or the European Union or (ii) is located, organized or resident in a Sanctioned Country.</w:t>
      </w:r>
    </w:p>
    <w:p>
      <w:pPr>
        <w:spacing w:after="0" w:line="181"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7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5" w:name="page256"/>
    <w:bookmarkEnd w:id="255"/>
    <w:p>
      <w:pPr>
        <w:jc w:val="both"/>
        <w:spacing w:after="0" w:line="238" w:lineRule="auto"/>
        <w:rPr>
          <w:sz w:val="20"/>
          <w:szCs w:val="20"/>
          <w:color w:val="auto"/>
        </w:rPr>
      </w:pPr>
      <w:r>
        <w:rPr>
          <w:rFonts w:ascii="Times New Roman" w:cs="Times New Roman" w:eastAsia="Times New Roman" w:hAnsi="Times New Roman"/>
          <w:sz w:val="22"/>
          <w:szCs w:val="22"/>
          <w:color w:val="auto"/>
        </w:rPr>
        <w:t>Bribery Act or in material violation of US or UK regulations implementing the OECD Convention on Combating Bribery of Foreign Public Officials in International Business Transactions (collectively, the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w:t>
      </w:r>
    </w:p>
    <w:p>
      <w:pPr>
        <w:spacing w:after="0" w:line="177"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Collateral Documents</w:t>
      </w:r>
      <w:r>
        <w:rPr>
          <w:rFonts w:ascii="Times New Roman" w:cs="Times New Roman" w:eastAsia="Times New Roman" w:hAnsi="Times New Roman"/>
          <w:sz w:val="22"/>
          <w:szCs w:val="22"/>
          <w:color w:val="auto"/>
        </w:rPr>
        <w:t xml:space="preserve">. The provisions of the Security Documents are effective to create in favor of the Collateral Agent a legal, valid and enforceable first priority Lien (subject to Liens permitted by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EEA Financial Institutions</w:t>
      </w:r>
      <w:r>
        <w:rPr>
          <w:rFonts w:ascii="Times New Roman" w:cs="Times New Roman" w:eastAsia="Times New Roman" w:hAnsi="Times New Roman"/>
          <w:sz w:val="22"/>
          <w:szCs w:val="22"/>
          <w:color w:val="auto"/>
        </w:rPr>
        <w:t>. Neither the Borrower nor any Subsidiary is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Administrative Agent shall have received each of the following documents, each of which shall be satisfactory to the Administrative Agent (and to the extent specified below to each Lender) in form and substance:</w:t>
      </w:r>
    </w:p>
    <w:p>
      <w:pPr>
        <w:spacing w:after="0" w:line="158" w:lineRule="exact"/>
        <w:rPr>
          <w:sz w:val="20"/>
          <w:szCs w:val="20"/>
          <w:color w:val="auto"/>
        </w:rPr>
      </w:pPr>
    </w:p>
    <w:p>
      <w:pPr>
        <w:jc w:val="both"/>
        <w:ind w:left="880" w:right="20" w:firstLine="797"/>
        <w:spacing w:after="0" w:line="261" w:lineRule="auto"/>
        <w:rPr>
          <w:sz w:val="20"/>
          <w:szCs w:val="20"/>
          <w:color w:val="auto"/>
        </w:rPr>
      </w:pPr>
      <w:r>
        <w:rPr>
          <w:rFonts w:ascii="Times New Roman" w:cs="Times New Roman" w:eastAsia="Times New Roman" w:hAnsi="Times New Roman"/>
          <w:sz w:val="21"/>
          <w:szCs w:val="21"/>
          <w:u w:val="single" w:color="auto"/>
          <w:color w:val="auto"/>
        </w:rPr>
        <w:t>Executed Counterparts</w:t>
      </w:r>
      <w:r>
        <w:rPr>
          <w:rFonts w:ascii="Times New Roman" w:cs="Times New Roman" w:eastAsia="Times New Roman" w:hAnsi="Times New Roman"/>
          <w:sz w:val="21"/>
          <w:szCs w:val="21"/>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57" w:lineRule="exact"/>
        <w:rPr>
          <w:sz w:val="20"/>
          <w:szCs w:val="20"/>
          <w:color w:val="auto"/>
        </w:rPr>
      </w:pPr>
    </w:p>
    <w:p>
      <w:pPr>
        <w:jc w:val="both"/>
        <w:ind w:left="880" w:firstLine="797"/>
        <w:spacing w:after="0" w:line="236" w:lineRule="auto"/>
        <w:rPr>
          <w:sz w:val="20"/>
          <w:szCs w:val="20"/>
          <w:color w:val="auto"/>
        </w:rPr>
      </w:pPr>
      <w:r>
        <w:rPr>
          <w:rFonts w:ascii="Times New Roman" w:cs="Times New Roman" w:eastAsia="Times New Roman" w:hAnsi="Times New Roman"/>
          <w:sz w:val="22"/>
          <w:szCs w:val="22"/>
          <w:u w:val="single" w:color="auto"/>
          <w:color w:val="auto"/>
        </w:rPr>
        <w:t>Opinion of Counsel to the Borrower</w:t>
      </w:r>
      <w:r>
        <w:rPr>
          <w:rFonts w:ascii="Times New Roman" w:cs="Times New Roman" w:eastAsia="Times New Roman" w:hAnsi="Times New Roman"/>
          <w:sz w:val="22"/>
          <w:szCs w:val="22"/>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81"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u w:val="single" w:color="auto"/>
          <w:color w:val="auto"/>
        </w:rPr>
        <w:t>Corporate Documents</w:t>
      </w:r>
      <w:r>
        <w:rPr>
          <w:rFonts w:ascii="Times New Roman" w:cs="Times New Roman" w:eastAsia="Times New Roman" w:hAnsi="Times New Roman"/>
          <w:sz w:val="22"/>
          <w:szCs w:val="22"/>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6" w:name="page257"/>
    <w:bookmarkEnd w:id="256"/>
    <w:p>
      <w:pPr>
        <w:jc w:val="both"/>
        <w:ind w:left="880" w:firstLine="789"/>
        <w:spacing w:after="0" w:line="244" w:lineRule="auto"/>
        <w:tabs>
          <w:tab w:leader="none" w:pos="263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The obligation of each Lender to make any Loan, and of each Issuing Bank to issue, amend, renew or extend any Letter of Credit, is additionally subject to the satisfaction of the following conditions:</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7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at the time of and immediately after giving effect to such Loan or the issuance, amendment, renewal or extension of such Letter of Credit, as applicable, no Default shall have occurred and be continuing; and</w:t>
      </w:r>
    </w:p>
    <w:p>
      <w:pPr>
        <w:spacing w:after="0" w:line="15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81" w:lineRule="exact"/>
        <w:rPr>
          <w:sz w:val="20"/>
          <w:szCs w:val="20"/>
          <w:color w:val="auto"/>
        </w:rPr>
      </w:pPr>
    </w:p>
    <w:p>
      <w:pPr>
        <w:jc w:val="both"/>
        <w:ind w:firstLine="1727"/>
        <w:spacing w:after="0" w:line="282" w:lineRule="auto"/>
        <w:rPr>
          <w:sz w:val="20"/>
          <w:szCs w:val="20"/>
          <w:color w:val="auto"/>
        </w:rPr>
      </w:pPr>
      <w:r>
        <w:rPr>
          <w:rFonts w:ascii="Times New Roman" w:cs="Times New Roman" w:eastAsia="Times New Roman" w:hAnsi="Times New Roman"/>
          <w:sz w:val="21"/>
          <w:szCs w:val="21"/>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7" w:name="page258"/>
    <w:bookmarkEnd w:id="257"/>
    <w:p>
      <w:pPr>
        <w:ind w:left="1740"/>
        <w:spacing w:after="0"/>
        <w:rPr>
          <w:sz w:val="20"/>
          <w:szCs w:val="20"/>
          <w:color w:val="auto"/>
        </w:rPr>
      </w:pPr>
      <w:r>
        <w:rPr>
          <w:rFonts w:ascii="Times New Roman" w:cs="Times New Roman" w:eastAsia="Times New Roman" w:hAnsi="Times New Roman"/>
          <w:sz w:val="22"/>
          <w:szCs w:val="22"/>
          <w:u w:val="single" w:color="auto"/>
          <w:color w:val="auto"/>
        </w:rPr>
        <w:t>Financial Statements and Other Information</w:t>
      </w:r>
      <w:r>
        <w:rPr>
          <w:rFonts w:ascii="Times New Roman" w:cs="Times New Roman" w:eastAsia="Times New Roman" w:hAnsi="Times New Roman"/>
          <w:sz w:val="22"/>
          <w:szCs w:val="22"/>
          <w:color w:val="auto"/>
        </w:rPr>
        <w:t>.  The Borrower will furnish to the Administrative Agent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Lender:</w:t>
      </w:r>
    </w:p>
    <w:p>
      <w:pPr>
        <w:spacing w:after="0" w:line="182"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may be fulfilled by providing to the Administrative Agent and the Lenders the report of the Borrower to the SEC on Form 10-K for the applicable fiscal year;</w:t>
      </w:r>
    </w:p>
    <w:p>
      <w:pPr>
        <w:spacing w:after="0" w:line="178"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requirements set forth in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may be fulfilled by providing to the Lenders the report of the Borrower to the SEC on Form 10-Q for the applicable quarterly period;</w:t>
      </w:r>
    </w:p>
    <w:p>
      <w:pPr>
        <w:spacing w:after="0" w:line="18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concurrently with any delivery of financial statements under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6.07</w:t>
      </w:r>
      <w:r>
        <w:rPr>
          <w:rFonts w:ascii="Times New Roman" w:cs="Times New Roman" w:eastAsia="Times New Roman" w:hAnsi="Times New Roman"/>
          <w:sz w:val="22"/>
          <w:szCs w:val="22"/>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7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Times New Roman" w:cs="Times New Roman" w:eastAsia="Times New Roman" w:hAnsi="Times New Roman"/>
          <w:sz w:val="22"/>
          <w:szCs w:val="22"/>
          <w:u w:val="single" w:color="auto"/>
          <w:color w:val="auto"/>
        </w:rPr>
        <w:t>Section 6.05(d)</w:t>
      </w:r>
      <w:r>
        <w:rPr>
          <w:rFonts w:ascii="Times New Roman" w:cs="Times New Roman" w:eastAsia="Times New Roman" w:hAnsi="Times New Roman"/>
          <w:sz w:val="22"/>
          <w:szCs w:val="22"/>
          <w:color w:val="auto"/>
        </w:rPr>
        <w:t xml:space="preserve">, such Borrowing Base Certificate shall certify that the condition set forth in </w:t>
      </w:r>
      <w:r>
        <w:rPr>
          <w:rFonts w:ascii="Times New Roman" w:cs="Times New Roman" w:eastAsia="Times New Roman" w:hAnsi="Times New Roman"/>
          <w:sz w:val="22"/>
          <w:szCs w:val="22"/>
          <w:u w:val="single" w:color="auto"/>
          <w:color w:val="auto"/>
        </w:rPr>
        <w:t>Section 6.05(d)(x)</w:t>
      </w:r>
      <w:r>
        <w:rPr>
          <w:rFonts w:ascii="Times New Roman" w:cs="Times New Roman" w:eastAsia="Times New Roman" w:hAnsi="Times New Roman"/>
          <w:sz w:val="22"/>
          <w:szCs w:val="22"/>
          <w:color w:val="auto"/>
        </w:rPr>
        <w:t xml:space="preserve"> was satisfied on the date of each such Restricted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8" w:name="page259"/>
    <w:bookmarkEnd w:id="258"/>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81" w:lineRule="exact"/>
        <w:rPr>
          <w:sz w:val="20"/>
          <w:szCs w:val="20"/>
          <w:color w:val="auto"/>
        </w:rPr>
      </w:pPr>
    </w:p>
    <w:p>
      <w:pPr>
        <w:jc w:val="both"/>
        <w:ind w:right="20" w:firstLine="1727"/>
        <w:spacing w:after="0" w:line="239" w:lineRule="auto"/>
        <w:rPr>
          <w:sz w:val="20"/>
          <w:szCs w:val="20"/>
          <w:color w:val="auto"/>
        </w:rPr>
      </w:pPr>
      <w:r>
        <w:rPr>
          <w:rFonts w:ascii="Times New Roman" w:cs="Times New Roman" w:eastAsia="Times New Roman" w:hAnsi="Times New Roman"/>
          <w:sz w:val="22"/>
          <w:szCs w:val="22"/>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0" w:lineRule="exact"/>
        <w:rPr>
          <w:sz w:val="20"/>
          <w:szCs w:val="20"/>
          <w:color w:val="auto"/>
        </w:rPr>
      </w:pPr>
    </w:p>
    <w:p>
      <w:pPr>
        <w:jc w:val="both"/>
        <w:ind w:right="20" w:firstLine="1727"/>
        <w:spacing w:after="0" w:line="239" w:lineRule="auto"/>
        <w:rPr>
          <w:sz w:val="20"/>
          <w:szCs w:val="20"/>
          <w:color w:val="auto"/>
        </w:rPr>
      </w:pPr>
      <w:r>
        <w:rPr>
          <w:rFonts w:ascii="Times New Roman" w:cs="Times New Roman" w:eastAsia="Times New Roman" w:hAnsi="Times New Roman"/>
          <w:sz w:val="22"/>
          <w:szCs w:val="22"/>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8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7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Borrower and each Lender acknowledge that certain of the Lenders may be Public Lenders and, if documents or notices required to be delivered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or otherwise are being distributed through IntraLinks/IntraAgency, SyndTrak or another relevant website or other information platform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of this Agreement).</w:t>
      </w:r>
    </w:p>
    <w:p>
      <w:pPr>
        <w:spacing w:after="0" w:line="179"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the requirements to deliver documents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will be fulfilled by filing by the Borrower of the applicable documents for public availability on the SEC’s Electronic Data Gathering and Retrieval system;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Borrower shall notify the Administrative Agent (by telecopier or electronic mail) of the posting of any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9" w:name="page260"/>
    <w:bookmarkEnd w:id="259"/>
    <w:p>
      <w:pPr>
        <w:jc w:val="both"/>
        <w:ind w:right="20"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The Borrower will furnish to the Administrative Agent and each Lender prompt written notice upon any Responsible Officer obtaining knowledge of the following:</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the occurrence of any Default;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liability of the Borrower and its Subsidiaries in an aggregate amount exceeding $25,000,000; and</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any merger, consolidation, liquidation or dissolution permitted under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81"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7"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Books and Records; Inspection and Audit Rights</w:t>
      </w:r>
      <w:r>
        <w:rPr>
          <w:rFonts w:ascii="Times New Roman" w:cs="Times New Roman" w:eastAsia="Times New Roman" w:hAnsi="Times New Roman"/>
          <w:sz w:val="22"/>
          <w:szCs w:val="22"/>
          <w:color w:val="auto"/>
        </w:rPr>
        <w:t>. The Borrower will, and will cause each of its Subsidiaries to, keep books of record and account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0" w:name="page261"/>
    <w:bookmarkEnd w:id="260"/>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83"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Certain Obligations Respecting Subsidiaries; Further Assurances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Subsidiary Guarantors</w:t>
      </w:r>
      <w:r>
        <w:rPr>
          <w:rFonts w:ascii="Times New Roman" w:cs="Times New Roman" w:eastAsia="Times New Roman" w:hAnsi="Times New Roman"/>
          <w:sz w:val="22"/>
          <w:szCs w:val="22"/>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upon the Effective Date or as the Administrative Agent shall have reasonably requested.</w:t>
      </w:r>
    </w:p>
    <w:p>
      <w:pPr>
        <w:spacing w:after="0" w:line="18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Ownership of Subsidiaries</w:t>
      </w:r>
      <w:r>
        <w:rPr>
          <w:rFonts w:ascii="Times New Roman" w:cs="Times New Roman" w:eastAsia="Times New Roman" w:hAnsi="Times New Roman"/>
          <w:sz w:val="22"/>
          <w:szCs w:val="22"/>
          <w:color w:val="auto"/>
        </w:rPr>
        <w:t>. The Borrower will, and will cause each of its Subsidiaries to, take such action from time to time as shall be necessary to ensure that each of its Subsidiaries is a wholly owned Subsidiary.</w:t>
      </w:r>
    </w:p>
    <w:p>
      <w:pPr>
        <w:spacing w:after="0" w:line="158"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1" w:name="page262"/>
    <w:bookmarkEnd w:id="261"/>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interests and Liens in the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security interest or Lien shall be subject to the relevant requirements of the Security Documents, (ii) in the case of any Portfolio Investment consisting of a Bank Loan (as defined in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78"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xml:space="preserve">. 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 (b)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Margin Stock shall be purchased by the Obligors only with the proceeds of Indebtedness not directly or indirectly secured by Margin Stock, or with the proceeds of equity capital of the Borrower.</w:t>
      </w:r>
    </w:p>
    <w:p>
      <w:pPr>
        <w:spacing w:after="0" w:line="17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Status of RIC and BDC</w:t>
      </w:r>
      <w:r>
        <w:rPr>
          <w:rFonts w:ascii="Times New Roman" w:cs="Times New Roman" w:eastAsia="Times New Roman" w:hAnsi="Times New Roman"/>
          <w:sz w:val="22"/>
          <w:szCs w:val="22"/>
          <w:color w:val="auto"/>
        </w:rPr>
        <w:t>. The Borrower shall at all times, subject to applicable grace periods set forth in the Code, maintain its status as a RIC under the Code, and as a “business development company” under the Investment Company Act.</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Investment Policies</w:t>
      </w:r>
      <w:r>
        <w:rPr>
          <w:rFonts w:ascii="Times New Roman" w:cs="Times New Roman" w:eastAsia="Times New Roman" w:hAnsi="Times New Roman"/>
          <w:sz w:val="22"/>
          <w:szCs w:val="22"/>
          <w:color w:val="auto"/>
        </w:rPr>
        <w:t>. The Borrower shall at all times be in compliance in all material respects with its Investment Policies (after giving effect to any Permitted Policy Amendments).</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Portfolio Valuation and Diversification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Industry Classification Groups</w:t>
      </w:r>
      <w:r>
        <w:rPr>
          <w:rFonts w:ascii="Times New Roman" w:cs="Times New Roman" w:eastAsia="Times New Roman" w:hAnsi="Times New Roman"/>
          <w:sz w:val="22"/>
          <w:szCs w:val="22"/>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2" w:name="page263"/>
    <w:bookmarkEnd w:id="262"/>
    <w:p>
      <w:pPr>
        <w:ind w:right="20"/>
        <w:spacing w:after="0" w:line="258" w:lineRule="auto"/>
        <w:rPr>
          <w:sz w:val="20"/>
          <w:szCs w:val="20"/>
          <w:color w:val="auto"/>
        </w:rPr>
      </w:pPr>
      <w:r>
        <w:rPr>
          <w:rFonts w:ascii="Times New Roman" w:cs="Times New Roman" w:eastAsia="Times New Roman" w:hAnsi="Times New Roman"/>
          <w:sz w:val="22"/>
          <w:szCs w:val="22"/>
          <w:color w:val="auto"/>
        </w:rPr>
        <w:t>of any correlation, the Borrower shall be permitted, upon prior notice to the Administrative Agent and each Lender, to create up to three additional industry classification groups for purposes of this Agreement.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Portfolio Valuation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80" w:firstLine="797"/>
        <w:spacing w:after="0" w:line="238" w:lineRule="auto"/>
        <w:rPr>
          <w:sz w:val="20"/>
          <w:szCs w:val="20"/>
          <w:color w:val="auto"/>
        </w:rPr>
      </w:pPr>
      <w:r>
        <w:rPr>
          <w:rFonts w:ascii="Times New Roman" w:cs="Times New Roman" w:eastAsia="Times New Roman" w:hAnsi="Times New Roman"/>
          <w:sz w:val="22"/>
          <w:szCs w:val="22"/>
          <w:u w:val="single" w:color="auto"/>
          <w:color w:val="auto"/>
        </w:rPr>
        <w:t>Settlement Date Basis</w:t>
      </w:r>
      <w:r>
        <w:rPr>
          <w:rFonts w:ascii="Times New Roman" w:cs="Times New Roman" w:eastAsia="Times New Roman" w:hAnsi="Times New Roman"/>
          <w:sz w:val="22"/>
          <w:szCs w:val="22"/>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investment shall be included as a Portfolio Investment to the extent it has not been paid for in full.</w:t>
      </w:r>
    </w:p>
    <w:p>
      <w:pPr>
        <w:spacing w:after="0" w:line="177" w:lineRule="exact"/>
        <w:rPr>
          <w:sz w:val="20"/>
          <w:szCs w:val="20"/>
          <w:color w:val="auto"/>
        </w:rPr>
      </w:pPr>
    </w:p>
    <w:p>
      <w:pPr>
        <w:ind w:left="1660"/>
        <w:spacing w:after="0"/>
        <w:tabs>
          <w:tab w:leader="none" w:pos="4060" w:val="left"/>
        </w:tabs>
        <w:rPr>
          <w:sz w:val="20"/>
          <w:szCs w:val="20"/>
          <w:color w:val="auto"/>
        </w:rPr>
      </w:pPr>
      <w:r>
        <w:rPr>
          <w:rFonts w:ascii="Times New Roman" w:cs="Times New Roman" w:eastAsia="Times New Roman" w:hAnsi="Times New Roman"/>
          <w:sz w:val="22"/>
          <w:szCs w:val="22"/>
          <w:u w:val="single" w:color="auto"/>
          <w:color w:val="auto"/>
        </w:rPr>
        <w:t>Determination of Values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The Borrower will conduct reviews of the value to be assigned to each of its</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Portfolio Investments as follows:</w:t>
      </w:r>
    </w:p>
    <w:p>
      <w:pPr>
        <w:spacing w:after="0" w:line="182" w:lineRule="exact"/>
        <w:rPr>
          <w:sz w:val="20"/>
          <w:szCs w:val="20"/>
          <w:color w:val="auto"/>
        </w:rPr>
      </w:pPr>
    </w:p>
    <w:p>
      <w:pPr>
        <w:jc w:val="both"/>
        <w:ind w:left="1740" w:firstLine="731"/>
        <w:spacing w:after="0" w:line="239" w:lineRule="auto"/>
        <w:rPr>
          <w:sz w:val="20"/>
          <w:szCs w:val="20"/>
          <w:color w:val="auto"/>
        </w:rPr>
      </w:pPr>
      <w:r>
        <w:rPr>
          <w:rFonts w:ascii="Times New Roman" w:cs="Times New Roman" w:eastAsia="Times New Roman" w:hAnsi="Times New Roman"/>
          <w:sz w:val="22"/>
          <w:szCs w:val="22"/>
          <w:u w:val="single" w:color="auto"/>
          <w:color w:val="auto"/>
        </w:rPr>
        <w:t>Quoted Investments - External Review</w:t>
      </w:r>
      <w:r>
        <w:rPr>
          <w:rFonts w:ascii="Times New Roman" w:cs="Times New Roman" w:eastAsia="Times New Roman" w:hAnsi="Times New Roman"/>
          <w:sz w:val="22"/>
          <w:szCs w:val="22"/>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80" w:lineRule="exact"/>
        <w:rPr>
          <w:sz w:val="20"/>
          <w:szCs w:val="20"/>
          <w:color w:val="auto"/>
        </w:rPr>
      </w:pPr>
    </w:p>
    <w:p>
      <w:pPr>
        <w:ind w:left="2600" w:firstLine="664"/>
        <w:spacing w:after="0" w:line="258" w:lineRule="auto"/>
        <w:tabs>
          <w:tab w:leader="none" w:pos="421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public and 144A securities, the average of the bid prices as determined by two Approved Dealers selected by the Borrower,</w:t>
      </w:r>
    </w:p>
    <w:p>
      <w:pPr>
        <w:spacing w:after="0" w:line="158" w:lineRule="exact"/>
        <w:rPr>
          <w:rFonts w:ascii="Times New Roman" w:cs="Times New Roman" w:eastAsia="Times New Roman" w:hAnsi="Times New Roman"/>
          <w:sz w:val="22"/>
          <w:szCs w:val="22"/>
          <w:color w:val="auto"/>
        </w:rPr>
      </w:pPr>
    </w:p>
    <w:p>
      <w:pPr>
        <w:ind w:left="2600" w:firstLine="664"/>
        <w:spacing w:after="0" w:line="258" w:lineRule="auto"/>
        <w:tabs>
          <w:tab w:leader="none" w:pos="41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bank loans, the bid price as determined by one Approved Dealer selected by the Borrower,</w:t>
      </w:r>
    </w:p>
    <w:p>
      <w:pPr>
        <w:spacing w:after="0" w:line="158" w:lineRule="exact"/>
        <w:rPr>
          <w:rFonts w:ascii="Times New Roman" w:cs="Times New Roman" w:eastAsia="Times New Roman" w:hAnsi="Times New Roman"/>
          <w:sz w:val="22"/>
          <w:szCs w:val="22"/>
          <w:color w:val="auto"/>
        </w:rPr>
      </w:pPr>
    </w:p>
    <w:p>
      <w:pPr>
        <w:ind w:left="2600" w:right="20" w:firstLine="664"/>
        <w:spacing w:after="0" w:line="258" w:lineRule="auto"/>
        <w:tabs>
          <w:tab w:leader="none" w:pos="41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Portfolio Investment traded on an exchange, the closing price for such Portfolio Investment most recently posted on such exchange, and</w:t>
      </w:r>
    </w:p>
    <w:p>
      <w:pPr>
        <w:spacing w:after="0" w:line="158" w:lineRule="exact"/>
        <w:rPr>
          <w:rFonts w:ascii="Times New Roman" w:cs="Times New Roman" w:eastAsia="Times New Roman" w:hAnsi="Times New Roman"/>
          <w:sz w:val="22"/>
          <w:szCs w:val="22"/>
          <w:color w:val="auto"/>
        </w:rPr>
      </w:pPr>
    </w:p>
    <w:p>
      <w:pPr>
        <w:ind w:left="2600" w:right="20" w:firstLine="664"/>
        <w:spacing w:after="0" w:line="258" w:lineRule="auto"/>
        <w:tabs>
          <w:tab w:leader="none" w:pos="415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other Portfolio Investment, the fair market value thereof as determined by an Approved Pricing Service selected by the Borrower; and</w:t>
      </w:r>
    </w:p>
    <w:p>
      <w:pPr>
        <w:spacing w:after="0" w:line="158" w:lineRule="exact"/>
        <w:rPr>
          <w:sz w:val="20"/>
          <w:szCs w:val="20"/>
          <w:color w:val="auto"/>
        </w:rPr>
      </w:pPr>
    </w:p>
    <w:p>
      <w:pPr>
        <w:jc w:val="both"/>
        <w:ind w:left="1740" w:firstLine="731"/>
        <w:spacing w:after="0" w:line="236" w:lineRule="auto"/>
        <w:rPr>
          <w:sz w:val="20"/>
          <w:szCs w:val="20"/>
          <w:color w:val="auto"/>
        </w:rPr>
      </w:pPr>
      <w:r>
        <w:rPr>
          <w:rFonts w:ascii="Times New Roman" w:cs="Times New Roman" w:eastAsia="Times New Roman" w:hAnsi="Times New Roman"/>
          <w:sz w:val="22"/>
          <w:szCs w:val="22"/>
          <w:u w:val="single" w:color="auto"/>
          <w:color w:val="auto"/>
        </w:rPr>
        <w:t>Unquoted Investments- External Review</w:t>
      </w:r>
      <w:r>
        <w:rPr>
          <w:rFonts w:ascii="Times New Roman" w:cs="Times New Roman" w:eastAsia="Times New Roman" w:hAnsi="Times New Roman"/>
          <w:sz w:val="22"/>
          <w:szCs w:val="22"/>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cs="Times New Roman" w:eastAsia="Times New Roman" w:hAnsi="Times New Roman"/>
          <w:sz w:val="22"/>
          <w:szCs w:val="22"/>
          <w:u w:val="single" w:color="auto"/>
          <w:color w:val="auto"/>
        </w:rPr>
        <w:t>Testing Quarter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3" w:name="page264"/>
    <w:bookmarkEnd w:id="263"/>
    <w:p>
      <w:pPr>
        <w:jc w:val="both"/>
        <w:ind w:left="1480" w:firstLine="664"/>
        <w:spacing w:after="0" w:line="238" w:lineRule="auto"/>
        <w:tabs>
          <w:tab w:leader="none" w:pos="304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cs="Times New Roman" w:eastAsia="Times New Roman" w:hAnsi="Times New Roman"/>
          <w:sz w:val="22"/>
          <w:szCs w:val="22"/>
          <w:u w:val="single" w:color="auto"/>
          <w:color w:val="auto"/>
        </w:rPr>
        <w:t>sub-clause (B)</w:t>
      </w:r>
      <w:r>
        <w:rPr>
          <w:rFonts w:ascii="Times New Roman" w:cs="Times New Roman" w:eastAsia="Times New Roman" w:hAnsi="Times New Roman"/>
          <w:sz w:val="22"/>
          <w:szCs w:val="22"/>
          <w:color w:val="auto"/>
        </w:rPr>
        <w:t xml:space="preserve"> as at the last day of the next succeeding Testing Quarter with respect to such Portfolio Investment;</w:t>
      </w:r>
    </w:p>
    <w:p>
      <w:pPr>
        <w:spacing w:after="0" w:line="176" w:lineRule="exact"/>
        <w:rPr>
          <w:rFonts w:ascii="Times New Roman" w:cs="Times New Roman" w:eastAsia="Times New Roman" w:hAnsi="Times New Roman"/>
          <w:sz w:val="22"/>
          <w:szCs w:val="22"/>
          <w:color w:val="auto"/>
        </w:rPr>
      </w:pPr>
    </w:p>
    <w:p>
      <w:pPr>
        <w:jc w:val="both"/>
        <w:ind w:left="1480" w:firstLine="664"/>
        <w:spacing w:after="0" w:line="245" w:lineRule="auto"/>
        <w:tabs>
          <w:tab w:leader="none" w:pos="3044"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77" w:lineRule="exact"/>
        <w:rPr>
          <w:rFonts w:ascii="Times New Roman" w:cs="Times New Roman" w:eastAsia="Times New Roman" w:hAnsi="Times New Roman"/>
          <w:sz w:val="21"/>
          <w:szCs w:val="21"/>
          <w:color w:val="auto"/>
        </w:rPr>
      </w:pPr>
    </w:p>
    <w:p>
      <w:pPr>
        <w:jc w:val="both"/>
        <w:ind w:left="1480" w:firstLine="664"/>
        <w:spacing w:after="0" w:line="244" w:lineRule="auto"/>
        <w:tabs>
          <w:tab w:leader="none" w:pos="244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173" w:lineRule="exact"/>
        <w:rPr>
          <w:sz w:val="20"/>
          <w:szCs w:val="20"/>
          <w:color w:val="auto"/>
        </w:rPr>
      </w:pPr>
    </w:p>
    <w:p>
      <w:pPr>
        <w:jc w:val="both"/>
        <w:ind w:left="620" w:firstLine="731"/>
        <w:spacing w:after="0" w:line="246" w:lineRule="auto"/>
        <w:rPr>
          <w:sz w:val="20"/>
          <w:szCs w:val="20"/>
          <w:color w:val="auto"/>
        </w:rPr>
      </w:pPr>
      <w:r>
        <w:rPr>
          <w:rFonts w:ascii="Times New Roman" w:cs="Times New Roman" w:eastAsia="Times New Roman" w:hAnsi="Times New Roman"/>
          <w:sz w:val="21"/>
          <w:szCs w:val="21"/>
          <w:u w:val="single" w:color="auto"/>
          <w:color w:val="auto"/>
        </w:rPr>
        <w:t>Internal Review</w:t>
      </w:r>
      <w:r>
        <w:rPr>
          <w:rFonts w:ascii="Times New Roman" w:cs="Times New Roman" w:eastAsia="Times New Roman" w:hAnsi="Times New Roman"/>
          <w:sz w:val="21"/>
          <w:szCs w:val="21"/>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cs="Times New Roman" w:eastAsia="Times New Roman" w:hAnsi="Times New Roman"/>
          <w:sz w:val="21"/>
          <w:szCs w:val="21"/>
          <w:u w:val="single" w:color="auto"/>
          <w:color w:val="auto"/>
        </w:rPr>
        <w:t>Section 5.12(b)(ii)(C)</w:t>
      </w:r>
      <w:r>
        <w:rPr>
          <w:rFonts w:ascii="Times New Roman" w:cs="Times New Roman" w:eastAsia="Times New Roman" w:hAnsi="Times New Roman"/>
          <w:sz w:val="21"/>
          <w:szCs w:val="21"/>
          <w:color w:val="auto"/>
        </w:rPr>
        <w:t xml:space="preserve"> is lower than the value of such Portfolio Investment as most recently determined pursuant to </w:t>
      </w:r>
      <w:r>
        <w:rPr>
          <w:rFonts w:ascii="Times New Roman" w:cs="Times New Roman" w:eastAsia="Times New Roman" w:hAnsi="Times New Roman"/>
          <w:sz w:val="21"/>
          <w:szCs w:val="21"/>
          <w:u w:val="single" w:color="auto"/>
          <w:color w:val="auto"/>
        </w:rPr>
        <w:t>Section 5.12(b)(ii)</w:t>
      </w:r>
    </w:p>
    <w:p>
      <w:pPr>
        <w:spacing w:after="0" w:line="1" w:lineRule="exact"/>
        <w:rPr>
          <w:sz w:val="20"/>
          <w:szCs w:val="20"/>
          <w:color w:val="auto"/>
        </w:rPr>
      </w:pPr>
    </w:p>
    <w:p>
      <w:pPr>
        <w:jc w:val="both"/>
        <w:ind w:left="620" w:hanging="5"/>
        <w:spacing w:after="0" w:line="232" w:lineRule="auto"/>
        <w:tabs>
          <w:tab w:leader="none" w:pos="987" w:val="left"/>
        </w:tabs>
        <w:numPr>
          <w:ilvl w:val="0"/>
          <w:numId w:val="1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such lower value shall be deemed to be the “Value” of such Portfolio Investment for purposes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81" w:lineRule="exact"/>
        <w:rPr>
          <w:sz w:val="20"/>
          <w:szCs w:val="20"/>
          <w:color w:val="auto"/>
        </w:rPr>
      </w:pPr>
    </w:p>
    <w:p>
      <w:pPr>
        <w:ind w:left="620" w:right="20" w:firstLine="731"/>
        <w:spacing w:after="0" w:line="258" w:lineRule="auto"/>
        <w:rPr>
          <w:sz w:val="20"/>
          <w:szCs w:val="20"/>
          <w:color w:val="auto"/>
        </w:rPr>
      </w:pPr>
      <w:r>
        <w:rPr>
          <w:rFonts w:ascii="Times New Roman" w:cs="Times New Roman" w:eastAsia="Times New Roman" w:hAnsi="Times New Roman"/>
          <w:sz w:val="22"/>
          <w:szCs w:val="22"/>
          <w:u w:val="single" w:color="auto"/>
          <w:color w:val="auto"/>
        </w:rPr>
        <w:t>Failure to Determine Values</w:t>
      </w:r>
      <w:r>
        <w:rPr>
          <w:rFonts w:ascii="Times New Roman" w:cs="Times New Roman" w:eastAsia="Times New Roman" w:hAnsi="Times New Roman"/>
          <w:sz w:val="22"/>
          <w:szCs w:val="22"/>
          <w:color w:val="auto"/>
        </w:rPr>
        <w:t>. If the Borrower shall fail to determine the value of any Portfolio Investment as at any date pursuant to the requirements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118110</wp:posOffset>
            </wp:positionV>
            <wp:extent cx="7132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135255</wp:posOffset>
            </wp:positionV>
            <wp:extent cx="71323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714946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264" w:name="page265"/>
    <w:bookmarkEnd w:id="264"/>
    <w:p>
      <w:pPr>
        <w:ind w:left="620"/>
        <w:spacing w:after="0" w:line="258" w:lineRule="auto"/>
        <w:rPr>
          <w:sz w:val="20"/>
          <w:szCs w:val="20"/>
          <w:color w:val="auto"/>
        </w:rPr>
      </w:pPr>
      <w:r>
        <w:rPr>
          <w:rFonts w:ascii="Times New Roman" w:cs="Times New Roman" w:eastAsia="Times New Roman" w:hAnsi="Times New Roman"/>
          <w:sz w:val="22"/>
          <w:szCs w:val="22"/>
          <w:color w:val="auto"/>
        </w:rPr>
        <w:t xml:space="preserve">foregoing </w:t>
      </w:r>
      <w:r>
        <w:rPr>
          <w:rFonts w:ascii="Times New Roman" w:cs="Times New Roman" w:eastAsia="Times New Roman" w:hAnsi="Times New Roman"/>
          <w:sz w:val="22"/>
          <w:szCs w:val="22"/>
          <w:u w:val="single" w:color="auto"/>
          <w:color w:val="auto"/>
        </w:rPr>
        <w:t>sub-clauses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then the “Value” of such Portfolio Investment as at such date shall be deemed to be zero.</w:t>
      </w:r>
    </w:p>
    <w:p>
      <w:pPr>
        <w:spacing w:after="0" w:line="1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u w:val="single" w:color="auto"/>
          <w:color w:val="auto"/>
        </w:rPr>
        <w:t>Testing of Values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80" w:firstLine="664"/>
        <w:spacing w:after="0" w:line="234" w:lineRule="auto"/>
        <w:tabs>
          <w:tab w:leader="none" w:pos="312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second calendar month immediately following the end of each fiscal quarter (the last such fiscal quarter is referred to herein as, the “</w:t>
      </w:r>
      <w:r>
        <w:rPr>
          <w:rFonts w:ascii="Times New Roman" w:cs="Times New Roman" w:eastAsia="Times New Roman" w:hAnsi="Times New Roman"/>
          <w:sz w:val="22"/>
          <w:szCs w:val="22"/>
          <w:u w:val="single" w:color="auto"/>
          <w:color w:val="auto"/>
        </w:rPr>
        <w:t>Testing Period</w:t>
      </w:r>
      <w:r>
        <w:rPr>
          <w:rFonts w:ascii="Times New Roman" w:cs="Times New Roman" w:eastAsia="Times New Roman" w:hAnsi="Times New Roman"/>
          <w:sz w:val="22"/>
          <w:szCs w:val="22"/>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 w:cs="Times New Roman" w:eastAsia="Times New Roman" w:hAnsi="Times New Roman"/>
          <w:sz w:val="22"/>
          <w:szCs w:val="22"/>
          <w:u w:val="single" w:color="auto"/>
          <w:color w:val="auto"/>
        </w:rPr>
        <w:t>sub-clause (F)</w:t>
      </w:r>
      <w:r>
        <w:rPr>
          <w:rFonts w:ascii="Times New Roman" w:cs="Times New Roman" w:eastAsia="Times New Roman" w:hAnsi="Times New Roman"/>
          <w:sz w:val="22"/>
          <w:szCs w:val="22"/>
          <w:color w:val="auto"/>
        </w:rPr>
        <w:t xml:space="preserve"> below.</w:t>
      </w:r>
    </w:p>
    <w:p>
      <w:pPr>
        <w:spacing w:after="0" w:line="179" w:lineRule="exact"/>
        <w:rPr>
          <w:rFonts w:ascii="Times New Roman" w:cs="Times New Roman" w:eastAsia="Times New Roman" w:hAnsi="Times New Roman"/>
          <w:sz w:val="22"/>
          <w:szCs w:val="22"/>
          <w:color w:val="auto"/>
        </w:rPr>
      </w:pPr>
    </w:p>
    <w:p>
      <w:pPr>
        <w:jc w:val="both"/>
        <w:ind w:left="1480" w:firstLine="664"/>
        <w:spacing w:after="0" w:line="232" w:lineRule="auto"/>
        <w:tabs>
          <w:tab w:leader="none" w:pos="304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cs="Times New Roman" w:eastAsia="Times New Roman" w:hAnsi="Times New Roman"/>
          <w:sz w:val="22"/>
          <w:szCs w:val="22"/>
          <w:u w:val="single" w:color="auto"/>
          <w:color w:val="auto"/>
        </w:rPr>
        <w:t>Administrative Agent Appraisal Testing Period</w:t>
      </w:r>
      <w:r>
        <w:rPr>
          <w:rFonts w:ascii="Times New Roman" w:cs="Times New Roman" w:eastAsia="Times New Roman" w:hAnsi="Times New Roman"/>
          <w:sz w:val="22"/>
          <w:szCs w:val="22"/>
          <w:color w:val="auto"/>
        </w:rPr>
        <w:t>”) and would be reflected in the Borrowing Base Certificate for such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Approved Third-Party Appraiser delivers such valuation at least seven (7) Business Days before the 20</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88"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 xml:space="preserve">For the avoidance of doubt, all calculations of value pursuant to this </w:t>
      </w:r>
      <w:r>
        <w:rPr>
          <w:rFonts w:ascii="Times New Roman" w:cs="Times New Roman" w:eastAsia="Times New Roman" w:hAnsi="Times New Roman"/>
          <w:sz w:val="22"/>
          <w:szCs w:val="22"/>
          <w:u w:val="single" w:color="auto"/>
          <w:color w:val="auto"/>
        </w:rPr>
        <w:t>Section 5.12(b)(ii)(E)</w:t>
      </w:r>
      <w:r>
        <w:rPr>
          <w:rFonts w:ascii="Times New Roman" w:cs="Times New Roman" w:eastAsia="Times New Roman" w:hAnsi="Times New Roman"/>
          <w:sz w:val="22"/>
          <w:szCs w:val="22"/>
          <w:color w:val="auto"/>
        </w:rPr>
        <w:t xml:space="preserve"> shall be determined without application of the Advance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118110</wp:posOffset>
            </wp:positionV>
            <wp:extent cx="713232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135255</wp:posOffset>
            </wp:positionV>
            <wp:extent cx="71323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714946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265" w:name="page266"/>
    <w:bookmarkEnd w:id="265"/>
    <w:p>
      <w:pPr>
        <w:jc w:val="both"/>
        <w:ind w:left="1740" w:firstLine="731"/>
        <w:spacing w:after="0" w:line="244" w:lineRule="auto"/>
        <w:rPr>
          <w:sz w:val="20"/>
          <w:szCs w:val="20"/>
          <w:color w:val="auto"/>
        </w:rPr>
      </w:pPr>
      <w:r>
        <w:rPr>
          <w:rFonts w:ascii="Times New Roman" w:cs="Times New Roman" w:eastAsia="Times New Roman" w:hAnsi="Times New Roman"/>
          <w:sz w:val="21"/>
          <w:szCs w:val="21"/>
          <w:u w:val="single" w:color="auto"/>
          <w:color w:val="auto"/>
        </w:rPr>
        <w:t>Valuation Dispute Resolution</w:t>
      </w:r>
      <w:r>
        <w:rPr>
          <w:rFonts w:ascii="Times New Roman" w:cs="Times New Roman" w:eastAsia="Times New Roman" w:hAnsi="Times New Roman"/>
          <w:sz w:val="21"/>
          <w:szCs w:val="21"/>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cs="Times New Roman" w:eastAsia="Times New Roman" w:hAnsi="Times New Roman"/>
          <w:sz w:val="21"/>
          <w:szCs w:val="21"/>
          <w:u w:val="single" w:color="auto"/>
          <w:color w:val="auto"/>
        </w:rPr>
        <w:t>Section 5.12(b)(ii)(B)</w:t>
      </w:r>
      <w:r>
        <w:rPr>
          <w:rFonts w:ascii="Times New Roman" w:cs="Times New Roman" w:eastAsia="Times New Roman" w:hAnsi="Times New Roman"/>
          <w:sz w:val="21"/>
          <w:szCs w:val="21"/>
          <w:color w:val="auto"/>
        </w:rPr>
        <w:t xml:space="preserve"> and the valuation of any Approved Third-Party Appraiser selected by the Administrative Agent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5.12(b)(ii)(E)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83" w:lineRule="exact"/>
        <w:rPr>
          <w:sz w:val="20"/>
          <w:szCs w:val="20"/>
          <w:color w:val="auto"/>
        </w:rPr>
      </w:pPr>
    </w:p>
    <w:p>
      <w:pPr>
        <w:jc w:val="both"/>
        <w:ind w:firstLine="1727"/>
        <w:spacing w:after="0" w:line="261" w:lineRule="auto"/>
        <w:rPr>
          <w:sz w:val="20"/>
          <w:szCs w:val="20"/>
          <w:color w:val="auto"/>
        </w:rPr>
      </w:pPr>
      <w:r>
        <w:rPr>
          <w:rFonts w:ascii="Times New Roman" w:cs="Times New Roman" w:eastAsia="Times New Roman" w:hAnsi="Times New Roman"/>
          <w:sz w:val="21"/>
          <w:szCs w:val="21"/>
          <w:u w:val="single" w:color="auto"/>
          <w:color w:val="auto"/>
        </w:rPr>
        <w:t>RIC Diversification Requirements</w:t>
      </w:r>
      <w:r>
        <w:rPr>
          <w:rFonts w:ascii="Times New Roman" w:cs="Times New Roman" w:eastAsia="Times New Roman" w:hAnsi="Times New Roman"/>
          <w:sz w:val="21"/>
          <w:szCs w:val="21"/>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57" w:lineRule="exact"/>
        <w:rPr>
          <w:sz w:val="20"/>
          <w:szCs w:val="20"/>
          <w:color w:val="auto"/>
        </w:rPr>
      </w:pPr>
    </w:p>
    <w:p>
      <w:pPr>
        <w:jc w:val="both"/>
        <w:ind w:firstLine="1727"/>
        <w:spacing w:after="0" w:line="261" w:lineRule="auto"/>
        <w:rPr>
          <w:sz w:val="20"/>
          <w:szCs w:val="20"/>
          <w:color w:val="auto"/>
        </w:rPr>
      </w:pPr>
      <w:r>
        <w:rPr>
          <w:rFonts w:ascii="Times New Roman" w:cs="Times New Roman" w:eastAsia="Times New Roman" w:hAnsi="Times New Roman"/>
          <w:sz w:val="21"/>
          <w:szCs w:val="21"/>
          <w:u w:val="single" w:color="auto"/>
          <w:color w:val="auto"/>
        </w:rPr>
        <w:t>Calculation of Borrowing Base</w:t>
      </w:r>
      <w:r>
        <w:rPr>
          <w:rFonts w:ascii="Times New Roman" w:cs="Times New Roman" w:eastAsia="Times New Roman" w:hAnsi="Times New Roman"/>
          <w:sz w:val="21"/>
          <w:szCs w:val="21"/>
          <w:color w:val="auto"/>
        </w:rPr>
        <w:t>. For purposes of this Agreement, the “</w:t>
      </w:r>
      <w:r>
        <w:rPr>
          <w:rFonts w:ascii="Times New Roman" w:cs="Times New Roman" w:eastAsia="Times New Roman" w:hAnsi="Times New Roman"/>
          <w:sz w:val="21"/>
          <w:szCs w:val="21"/>
          <w:u w:val="single" w:color="auto"/>
          <w:color w:val="auto"/>
        </w:rPr>
        <w:t>Borrowing Base</w:t>
      </w:r>
      <w:r>
        <w:rPr>
          <w:rFonts w:ascii="Times New Roman" w:cs="Times New Roman" w:eastAsia="Times New Roman" w:hAnsi="Times New Roman"/>
          <w:sz w:val="21"/>
          <w:szCs w:val="21"/>
          <w:color w:val="auto"/>
        </w:rPr>
        <w:t xml:space="preserve">” shall be determined, as at any date of determination, as the sum of the Advance Rates of the Value of each Portfolio Investment (excluding any Cash Collateral held by the Administrative Agent pursuant to </w:t>
      </w:r>
      <w:r>
        <w:rPr>
          <w:rFonts w:ascii="Times New Roman" w:cs="Times New Roman" w:eastAsia="Times New Roman" w:hAnsi="Times New Roman"/>
          <w:sz w:val="21"/>
          <w:szCs w:val="21"/>
          <w:u w:val="single" w:color="auto"/>
          <w:color w:val="auto"/>
        </w:rPr>
        <w:t>Section 2.05(k)</w:t>
      </w:r>
      <w:r>
        <w:rPr>
          <w:rFonts w:ascii="Times New Roman" w:cs="Times New Roman" w:eastAsia="Times New Roman" w:hAnsi="Times New Roman"/>
          <w:sz w:val="21"/>
          <w:szCs w:val="21"/>
          <w:color w:val="auto"/>
        </w:rPr>
        <w:t xml:space="preserve"> or the last paragraph of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57"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the Advance Rate applicable to that portion of the aggregate Value of the Portfolio Investments of all issuers in a consolidated group of corporations or other entities (collectively, a “</w:t>
      </w:r>
      <w:r>
        <w:rPr>
          <w:rFonts w:ascii="Times New Roman" w:cs="Times New Roman" w:eastAsia="Times New Roman" w:hAnsi="Times New Roman"/>
          <w:sz w:val="22"/>
          <w:szCs w:val="22"/>
          <w:u w:val="single" w:color="auto"/>
          <w:color w:val="auto"/>
        </w:rPr>
        <w:t>Consolidated Group</w:t>
      </w:r>
      <w:r>
        <w:rPr>
          <w:rFonts w:ascii="Times New Roman" w:cs="Times New Roman" w:eastAsia="Times New Roman" w:hAnsi="Times New Roman"/>
          <w:sz w:val="22"/>
          <w:szCs w:val="22"/>
          <w:color w:val="auto"/>
        </w:rPr>
        <w:t>”), in accordance with GAAP, that exceeds 6% of the aggregate Value of all Portfolio Investments in the Collateral Pool as of the end of the most recent quarter shall be 50% of the Advance Rate otherwise applicable;</w:t>
      </w:r>
    </w:p>
    <w:p>
      <w:pPr>
        <w:spacing w:after="0" w:line="18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73"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22"/>
          <w:szCs w:val="22"/>
          <w:color w:val="auto"/>
        </w:rPr>
        <w:t>the Collateral Pool as of the end of the most recent quarter shall the Advance Rate applicable to such excess Value be 0%;</w:t>
      </w:r>
    </w:p>
    <w:p>
      <w:pPr>
        <w:spacing w:after="0" w:line="206" w:lineRule="exact"/>
        <w:rPr>
          <w:sz w:val="20"/>
          <w:szCs w:val="20"/>
          <w:color w:val="auto"/>
        </w:rPr>
      </w:pPr>
    </w:p>
    <w:p>
      <w:pPr>
        <w:jc w:val="both"/>
        <w:ind w:right="20" w:firstLine="1727"/>
        <w:spacing w:after="0" w:line="239" w:lineRule="auto"/>
        <w:rPr>
          <w:sz w:val="20"/>
          <w:szCs w:val="20"/>
          <w:color w:val="auto"/>
        </w:rPr>
      </w:pPr>
      <w:r>
        <w:rPr>
          <w:rFonts w:ascii="Times New Roman" w:cs="Times New Roman" w:eastAsia="Times New Roman" w:hAnsi="Times New Roman"/>
          <w:sz w:val="22"/>
          <w:szCs w:val="22"/>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0"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73"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the portion of the Borrowing Base attributable to Equity Interests shall not exceed 10% (it being understood that in no event shall Equity Interests of Financing Subsidiaries be included in the Borrowing Base);</w:t>
      </w:r>
    </w:p>
    <w:p>
      <w:pPr>
        <w:spacing w:after="0" w:line="158"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73" w:lineRule="exact"/>
        <w:rPr>
          <w:sz w:val="20"/>
          <w:szCs w:val="20"/>
          <w:color w:val="auto"/>
        </w:rPr>
      </w:pPr>
    </w:p>
    <w:p>
      <w:pPr>
        <w:jc w:val="both"/>
        <w:ind w:right="20" w:firstLine="1727"/>
        <w:spacing w:after="0" w:line="239" w:lineRule="auto"/>
        <w:rPr>
          <w:sz w:val="20"/>
          <w:szCs w:val="20"/>
          <w:color w:val="auto"/>
        </w:rPr>
      </w:pPr>
      <w:r>
        <w:rPr>
          <w:rFonts w:ascii="Times New Roman" w:cs="Times New Roman" w:eastAsia="Times New Roman" w:hAnsi="Times New Roman"/>
          <w:sz w:val="22"/>
          <w:szCs w:val="22"/>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80"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73"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XI</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As used herein, the following terms have the following meanings:</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gridSpan w:val="12"/>
          </w:tcPr>
          <w:p>
            <w:pPr>
              <w:ind w:left="60"/>
              <w:spacing w:after="0"/>
              <w:rPr>
                <w:sz w:val="20"/>
                <w:szCs w:val="20"/>
                <w:color w:val="auto"/>
              </w:rPr>
            </w:pPr>
            <w:r>
              <w:rPr>
                <w:rFonts w:ascii="Times New Roman" w:cs="Times New Roman" w:eastAsia="Times New Roman" w:hAnsi="Times New Roman"/>
                <w:sz w:val="22"/>
                <w:szCs w:val="22"/>
                <w:color w:val="auto"/>
              </w:rPr>
              <w:t>“Advance Rate”  means,  as  to  any  Portfolio  Investment  and  subject  to  adjustment  as  provided  in</w:t>
            </w:r>
          </w:p>
        </w:tc>
        <w:tc>
          <w:tcPr>
            <w:tcW w:w="20" w:type="dxa"/>
            <w:vAlign w:val="bottom"/>
          </w:tcPr>
          <w:p>
            <w:pPr>
              <w:spacing w:after="0"/>
              <w:rPr>
                <w:sz w:val="24"/>
                <w:szCs w:val="24"/>
                <w:color w:val="auto"/>
              </w:rPr>
            </w:pPr>
          </w:p>
        </w:tc>
      </w:tr>
      <w:tr>
        <w:trPr>
          <w:trHeight w:val="20"/>
        </w:trPr>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100" w:type="dxa"/>
            <w:vAlign w:val="bottom"/>
            <w:gridSpan w:val="13"/>
          </w:tcPr>
          <w:p>
            <w:pPr>
              <w:spacing w:after="0" w:line="223" w:lineRule="exact"/>
              <w:rPr>
                <w:sz w:val="20"/>
                <w:szCs w:val="20"/>
                <w:color w:val="auto"/>
              </w:rPr>
            </w:pPr>
            <w:r>
              <w:rPr>
                <w:rFonts w:ascii="Times New Roman" w:cs="Times New Roman" w:eastAsia="Times New Roman" w:hAnsi="Times New Roman"/>
                <w:sz w:val="22"/>
                <w:szCs w:val="22"/>
                <w:color w:val="auto"/>
              </w:rPr>
              <w:t>Section 5.13(a), (b) and (c), the following percentages with respect to such Portfolio Investment:</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9"/>
        </w:trPr>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w w:val="98"/>
              </w:rPr>
              <w:t>Portfolio Investment</w:t>
            </w:r>
          </w:p>
        </w:tc>
        <w:tc>
          <w:tcPr>
            <w:tcW w:w="264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Quoted</w:t>
            </w:r>
          </w:p>
        </w:tc>
        <w:tc>
          <w:tcPr>
            <w:tcW w:w="2140" w:type="dxa"/>
            <w:vAlign w:val="bottom"/>
            <w:gridSpan w:val="3"/>
          </w:tcPr>
          <w:p>
            <w:pPr>
              <w:ind w:left="580"/>
              <w:spacing w:after="0"/>
              <w:rPr>
                <w:sz w:val="20"/>
                <w:szCs w:val="20"/>
                <w:color w:val="auto"/>
              </w:rPr>
            </w:pPr>
            <w:r>
              <w:rPr>
                <w:rFonts w:ascii="Times New Roman" w:cs="Times New Roman" w:eastAsia="Times New Roman" w:hAnsi="Times New Roman"/>
                <w:sz w:val="22"/>
                <w:szCs w:val="22"/>
                <w:color w:val="auto"/>
              </w:rPr>
              <w:t>Unquoted</w:t>
            </w:r>
          </w:p>
        </w:tc>
        <w:tc>
          <w:tcPr>
            <w:tcW w:w="2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40" w:type="dxa"/>
            <w:vAlign w:val="bottom"/>
          </w:tcPr>
          <w:p>
            <w:pPr>
              <w:spacing w:after="0"/>
              <w:rPr>
                <w:sz w:val="20"/>
                <w:szCs w:val="20"/>
                <w:color w:val="auto"/>
              </w:rPr>
            </w:pPr>
          </w:p>
        </w:tc>
        <w:tc>
          <w:tcPr>
            <w:tcW w:w="4020" w:type="dxa"/>
            <w:vAlign w:val="bottom"/>
            <w:gridSpan w:val="9"/>
          </w:tcPr>
          <w:p>
            <w:pPr>
              <w:ind w:left="40"/>
              <w:spacing w:after="0" w:line="236" w:lineRule="exact"/>
              <w:rPr>
                <w:sz w:val="20"/>
                <w:szCs w:val="20"/>
                <w:color w:val="auto"/>
              </w:rPr>
            </w:pPr>
            <w:r>
              <w:rPr>
                <w:rFonts w:ascii="Times New Roman" w:cs="Times New Roman" w:eastAsia="Times New Roman" w:hAnsi="Times New Roman"/>
                <w:sz w:val="22"/>
                <w:szCs w:val="22"/>
                <w:color w:val="auto"/>
              </w:rPr>
              <w:t>Cash, Cash Equivalents and</w:t>
            </w:r>
          </w:p>
        </w:tc>
        <w:tc>
          <w:tcPr>
            <w:tcW w:w="2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60" w:type="dxa"/>
            <w:vAlign w:val="bottom"/>
            <w:gridSpan w:val="8"/>
          </w:tcPr>
          <w:p>
            <w:pPr>
              <w:ind w:left="20"/>
              <w:spacing w:after="0" w:line="243" w:lineRule="exact"/>
              <w:rPr>
                <w:sz w:val="20"/>
                <w:szCs w:val="20"/>
                <w:color w:val="auto"/>
              </w:rPr>
            </w:pPr>
            <w:r>
              <w:rPr>
                <w:rFonts w:ascii="Times New Roman" w:cs="Times New Roman" w:eastAsia="Times New Roman" w:hAnsi="Times New Roman"/>
                <w:sz w:val="22"/>
                <w:szCs w:val="22"/>
                <w:color w:val="auto"/>
              </w:rPr>
              <w:t>Short-Term U.S. Government Securities</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100%</w:t>
            </w:r>
          </w:p>
        </w:tc>
        <w:tc>
          <w:tcPr>
            <w:tcW w:w="580" w:type="dxa"/>
            <w:vAlign w:val="bottom"/>
          </w:tcPr>
          <w:p>
            <w:pPr>
              <w:spacing w:after="0"/>
              <w:rPr>
                <w:sz w:val="21"/>
                <w:szCs w:val="21"/>
                <w:color w:val="auto"/>
              </w:rPr>
            </w:pPr>
          </w:p>
        </w:tc>
        <w:tc>
          <w:tcPr>
            <w:tcW w:w="1440" w:type="dxa"/>
            <w:vAlign w:val="bottom"/>
            <w:gridSpan w:val="2"/>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240" w:type="dxa"/>
            <w:vAlign w:val="bottom"/>
          </w:tcPr>
          <w:p>
            <w:pPr>
              <w:spacing w:after="0"/>
              <w:rPr>
                <w:sz w:val="21"/>
                <w:szCs w:val="21"/>
                <w:color w:val="auto"/>
              </w:rPr>
            </w:pPr>
          </w:p>
        </w:tc>
        <w:tc>
          <w:tcPr>
            <w:tcW w:w="6660" w:type="dxa"/>
            <w:vAlign w:val="bottom"/>
            <w:gridSpan w:val="10"/>
          </w:tcPr>
          <w:p>
            <w:pPr>
              <w:ind w:left="40"/>
              <w:spacing w:after="0" w:line="243" w:lineRule="exact"/>
              <w:rPr>
                <w:sz w:val="20"/>
                <w:szCs w:val="20"/>
                <w:color w:val="auto"/>
              </w:rPr>
            </w:pPr>
            <w:r>
              <w:rPr>
                <w:rFonts w:ascii="Times New Roman" w:cs="Times New Roman" w:eastAsia="Times New Roman" w:hAnsi="Times New Roman"/>
                <w:sz w:val="22"/>
                <w:szCs w:val="22"/>
                <w:color w:val="auto"/>
              </w:rPr>
              <w:t>Long-Term U.S. Government Securities</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95%</w:t>
            </w:r>
          </w:p>
        </w:tc>
        <w:tc>
          <w:tcPr>
            <w:tcW w:w="580" w:type="dxa"/>
            <w:vAlign w:val="bottom"/>
          </w:tcPr>
          <w:p>
            <w:pPr>
              <w:spacing w:after="0"/>
              <w:rPr>
                <w:sz w:val="21"/>
                <w:szCs w:val="21"/>
                <w:color w:val="auto"/>
              </w:rPr>
            </w:pPr>
          </w:p>
        </w:tc>
        <w:tc>
          <w:tcPr>
            <w:tcW w:w="1440" w:type="dxa"/>
            <w:vAlign w:val="bottom"/>
            <w:gridSpan w:val="2"/>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240" w:type="dxa"/>
            <w:vAlign w:val="bottom"/>
          </w:tcPr>
          <w:p>
            <w:pPr>
              <w:spacing w:after="0"/>
              <w:rPr>
                <w:sz w:val="21"/>
                <w:szCs w:val="21"/>
                <w:color w:val="auto"/>
              </w:rPr>
            </w:pPr>
          </w:p>
        </w:tc>
        <w:tc>
          <w:tcPr>
            <w:tcW w:w="6660" w:type="dxa"/>
            <w:vAlign w:val="bottom"/>
            <w:gridSpan w:val="10"/>
          </w:tcPr>
          <w:p>
            <w:pPr>
              <w:ind w:left="40"/>
              <w:spacing w:after="0" w:line="243" w:lineRule="exact"/>
              <w:rPr>
                <w:sz w:val="20"/>
                <w:szCs w:val="20"/>
                <w:color w:val="auto"/>
              </w:rPr>
            </w:pPr>
            <w:r>
              <w:rPr>
                <w:rFonts w:ascii="Times New Roman" w:cs="Times New Roman" w:eastAsia="Times New Roman" w:hAnsi="Times New Roman"/>
                <w:sz w:val="22"/>
                <w:szCs w:val="22"/>
                <w:color w:val="auto"/>
              </w:rPr>
              <w:t>Performing First Lien Bank Loans</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4"/>
              </w:rPr>
              <w:t>85%</w:t>
            </w:r>
          </w:p>
        </w:tc>
        <w:tc>
          <w:tcPr>
            <w:tcW w:w="580" w:type="dxa"/>
            <w:vAlign w:val="bottom"/>
          </w:tcPr>
          <w:p>
            <w:pPr>
              <w:spacing w:after="0"/>
              <w:rPr>
                <w:sz w:val="21"/>
                <w:szCs w:val="21"/>
                <w:color w:val="auto"/>
              </w:rPr>
            </w:pPr>
          </w:p>
        </w:tc>
        <w:tc>
          <w:tcPr>
            <w:tcW w:w="1440" w:type="dxa"/>
            <w:vAlign w:val="bottom"/>
            <w:gridSpan w:val="2"/>
          </w:tcPr>
          <w:p>
            <w:pPr>
              <w:jc w:val="center"/>
              <w:ind w:left="472"/>
              <w:spacing w:after="0" w:line="243" w:lineRule="exact"/>
              <w:rPr>
                <w:sz w:val="20"/>
                <w:szCs w:val="20"/>
                <w:color w:val="auto"/>
              </w:rPr>
            </w:pPr>
            <w:r>
              <w:rPr>
                <w:rFonts w:ascii="Times New Roman" w:cs="Times New Roman" w:eastAsia="Times New Roman" w:hAnsi="Times New Roman"/>
                <w:sz w:val="22"/>
                <w:szCs w:val="22"/>
                <w:color w:val="auto"/>
                <w:w w:val="94"/>
              </w:rPr>
              <w:t>75%</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82"/>
        </w:trPr>
        <w:tc>
          <w:tcPr>
            <w:tcW w:w="1240" w:type="dxa"/>
            <w:vAlign w:val="bottom"/>
          </w:tcPr>
          <w:p>
            <w:pPr>
              <w:spacing w:after="0"/>
              <w:rPr>
                <w:sz w:val="24"/>
                <w:szCs w:val="24"/>
                <w:color w:val="auto"/>
              </w:rPr>
            </w:pPr>
          </w:p>
        </w:tc>
        <w:tc>
          <w:tcPr>
            <w:tcW w:w="666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Performing Unitranche Loans</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4"/>
              </w:rPr>
              <w:t>80%</w:t>
            </w:r>
          </w:p>
        </w:tc>
        <w:tc>
          <w:tcPr>
            <w:tcW w:w="580" w:type="dxa"/>
            <w:vAlign w:val="bottom"/>
          </w:tcPr>
          <w:p>
            <w:pPr>
              <w:spacing w:after="0"/>
              <w:rPr>
                <w:sz w:val="24"/>
                <w:szCs w:val="24"/>
                <w:color w:val="auto"/>
              </w:rPr>
            </w:pPr>
          </w:p>
        </w:tc>
        <w:tc>
          <w:tcPr>
            <w:tcW w:w="1440" w:type="dxa"/>
            <w:vAlign w:val="bottom"/>
            <w:gridSpan w:val="2"/>
          </w:tcPr>
          <w:p>
            <w:pPr>
              <w:jc w:val="center"/>
              <w:ind w:left="472"/>
              <w:spacing w:after="0"/>
              <w:rPr>
                <w:sz w:val="20"/>
                <w:szCs w:val="20"/>
                <w:color w:val="auto"/>
              </w:rPr>
            </w:pPr>
            <w:r>
              <w:rPr>
                <w:rFonts w:ascii="Times New Roman" w:cs="Times New Roman" w:eastAsia="Times New Roman" w:hAnsi="Times New Roman"/>
                <w:sz w:val="22"/>
                <w:szCs w:val="22"/>
                <w:color w:val="auto"/>
                <w:w w:val="94"/>
              </w:rPr>
              <w:t>70%</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40" w:type="dxa"/>
            <w:vAlign w:val="bottom"/>
          </w:tcPr>
          <w:p>
            <w:pPr>
              <w:spacing w:after="0"/>
              <w:rPr>
                <w:sz w:val="14"/>
                <w:szCs w:val="14"/>
                <w:color w:val="auto"/>
              </w:rPr>
            </w:pPr>
          </w:p>
        </w:tc>
        <w:tc>
          <w:tcPr>
            <w:tcW w:w="6660" w:type="dxa"/>
            <w:vAlign w:val="bottom"/>
            <w:gridSpan w:val="10"/>
          </w:tcPr>
          <w:p>
            <w:pPr>
              <w:ind w:left="4320"/>
              <w:spacing w:after="0"/>
              <w:rPr>
                <w:sz w:val="20"/>
                <w:szCs w:val="20"/>
                <w:color w:val="auto"/>
              </w:rPr>
            </w:pPr>
            <w:r>
              <w:rPr>
                <w:rFonts w:ascii="Times New Roman" w:cs="Times New Roman" w:eastAsia="Times New Roman" w:hAnsi="Times New Roman"/>
                <w:sz w:val="14"/>
                <w:szCs w:val="14"/>
                <w:color w:val="auto"/>
              </w:rPr>
              <w:t>96</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89"/>
        </w:trPr>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253"/>
        </w:trPr>
        <w:tc>
          <w:tcPr>
            <w:tcW w:w="5360" w:type="dxa"/>
            <w:vAlign w:val="bottom"/>
            <w:gridSpan w:val="5"/>
          </w:tcPr>
          <w:p>
            <w:pPr>
              <w:ind w:left="1280"/>
              <w:spacing w:after="0"/>
              <w:rPr>
                <w:sz w:val="20"/>
                <w:szCs w:val="20"/>
                <w:color w:val="auto"/>
              </w:rPr>
            </w:pPr>
            <w:r>
              <w:rPr>
                <w:rFonts w:ascii="Times New Roman" w:cs="Times New Roman" w:eastAsia="Times New Roman" w:hAnsi="Times New Roman"/>
                <w:sz w:val="22"/>
                <w:szCs w:val="22"/>
                <w:color w:val="auto"/>
              </w:rPr>
              <w:t>Performing Second Lien Bank Loans</w:t>
            </w:r>
          </w:p>
        </w:tc>
        <w:tc>
          <w:tcPr>
            <w:tcW w:w="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Pr>
          <w:p>
            <w:pPr>
              <w:jc w:val="center"/>
              <w:ind w:right="532"/>
              <w:spacing w:after="0"/>
              <w:rPr>
                <w:sz w:val="20"/>
                <w:szCs w:val="20"/>
                <w:color w:val="auto"/>
              </w:rPr>
            </w:pPr>
            <w:r>
              <w:rPr>
                <w:rFonts w:ascii="Times New Roman" w:cs="Times New Roman" w:eastAsia="Times New Roman" w:hAnsi="Times New Roman"/>
                <w:sz w:val="22"/>
                <w:szCs w:val="22"/>
                <w:color w:val="auto"/>
                <w:w w:val="94"/>
              </w:rPr>
              <w:t>75%</w:t>
            </w:r>
          </w:p>
        </w:tc>
        <w:tc>
          <w:tcPr>
            <w:tcW w:w="118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w w:val="94"/>
              </w:rPr>
              <w:t>65%</w:t>
            </w:r>
          </w:p>
        </w:tc>
        <w:tc>
          <w:tcPr>
            <w:tcW w:w="720" w:type="dxa"/>
            <w:vAlign w:val="bottom"/>
          </w:tcPr>
          <w:p>
            <w:pPr>
              <w:spacing w:after="0"/>
              <w:rPr>
                <w:sz w:val="22"/>
                <w:szCs w:val="22"/>
                <w:color w:val="auto"/>
              </w:rPr>
            </w:pPr>
          </w:p>
        </w:tc>
      </w:tr>
      <w:tr>
        <w:trPr>
          <w:trHeight w:val="243"/>
        </w:trPr>
        <w:tc>
          <w:tcPr>
            <w:tcW w:w="5360" w:type="dxa"/>
            <w:vAlign w:val="bottom"/>
            <w:gridSpan w:val="5"/>
          </w:tcPr>
          <w:p>
            <w:pPr>
              <w:ind w:left="1280"/>
              <w:spacing w:after="0" w:line="243" w:lineRule="exact"/>
              <w:rPr>
                <w:sz w:val="20"/>
                <w:szCs w:val="20"/>
                <w:color w:val="auto"/>
              </w:rPr>
            </w:pPr>
            <w:r>
              <w:rPr>
                <w:rFonts w:ascii="Times New Roman" w:cs="Times New Roman" w:eastAsia="Times New Roman" w:hAnsi="Times New Roman"/>
                <w:sz w:val="22"/>
                <w:szCs w:val="22"/>
                <w:color w:val="auto"/>
              </w:rPr>
              <w:t>Performing Cash Pay High Yield Securities</w:t>
            </w: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70%</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60%</w:t>
            </w:r>
          </w:p>
        </w:tc>
        <w:tc>
          <w:tcPr>
            <w:tcW w:w="720" w:type="dxa"/>
            <w:vAlign w:val="bottom"/>
          </w:tcPr>
          <w:p>
            <w:pPr>
              <w:spacing w:after="0"/>
              <w:rPr>
                <w:sz w:val="21"/>
                <w:szCs w:val="21"/>
                <w:color w:val="auto"/>
              </w:rPr>
            </w:pPr>
          </w:p>
        </w:tc>
      </w:tr>
      <w:tr>
        <w:trPr>
          <w:trHeight w:val="243"/>
        </w:trPr>
        <w:tc>
          <w:tcPr>
            <w:tcW w:w="5360" w:type="dxa"/>
            <w:vAlign w:val="bottom"/>
            <w:gridSpan w:val="5"/>
          </w:tcPr>
          <w:p>
            <w:pPr>
              <w:ind w:left="1280"/>
              <w:spacing w:after="0" w:line="243" w:lineRule="exact"/>
              <w:rPr>
                <w:sz w:val="20"/>
                <w:szCs w:val="20"/>
                <w:color w:val="auto"/>
              </w:rPr>
            </w:pPr>
            <w:r>
              <w:rPr>
                <w:rFonts w:ascii="Times New Roman" w:cs="Times New Roman" w:eastAsia="Times New Roman" w:hAnsi="Times New Roman"/>
                <w:sz w:val="22"/>
                <w:szCs w:val="22"/>
                <w:color w:val="auto"/>
              </w:rPr>
              <w:t>Performing Cash Pay Mezzanine Investments</w:t>
            </w: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65%</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55%</w:t>
            </w:r>
          </w:p>
        </w:tc>
        <w:tc>
          <w:tcPr>
            <w:tcW w:w="720" w:type="dxa"/>
            <w:vAlign w:val="bottom"/>
          </w:tcPr>
          <w:p>
            <w:pPr>
              <w:spacing w:after="0"/>
              <w:rPr>
                <w:sz w:val="21"/>
                <w:szCs w:val="21"/>
                <w:color w:val="auto"/>
              </w:rPr>
            </w:pPr>
          </w:p>
        </w:tc>
      </w:tr>
      <w:tr>
        <w:trPr>
          <w:trHeight w:val="243"/>
        </w:trPr>
        <w:tc>
          <w:tcPr>
            <w:tcW w:w="6160" w:type="dxa"/>
            <w:vAlign w:val="bottom"/>
            <w:gridSpan w:val="6"/>
          </w:tcPr>
          <w:p>
            <w:pPr>
              <w:ind w:left="1280"/>
              <w:spacing w:after="0" w:line="243" w:lineRule="exact"/>
              <w:rPr>
                <w:sz w:val="20"/>
                <w:szCs w:val="20"/>
                <w:color w:val="auto"/>
              </w:rPr>
            </w:pPr>
            <w:r>
              <w:rPr>
                <w:rFonts w:ascii="Times New Roman" w:cs="Times New Roman" w:eastAsia="Times New Roman" w:hAnsi="Times New Roman"/>
                <w:sz w:val="22"/>
                <w:szCs w:val="22"/>
                <w:color w:val="auto"/>
              </w:rPr>
              <w:t>Performing Non-Cash Pay High Yield Securities</w:t>
            </w: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60%</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50%</w:t>
            </w:r>
          </w:p>
        </w:tc>
        <w:tc>
          <w:tcPr>
            <w:tcW w:w="720" w:type="dxa"/>
            <w:vAlign w:val="bottom"/>
          </w:tcPr>
          <w:p>
            <w:pPr>
              <w:spacing w:after="0"/>
              <w:rPr>
                <w:sz w:val="21"/>
                <w:szCs w:val="21"/>
                <w:color w:val="auto"/>
              </w:rPr>
            </w:pPr>
          </w:p>
        </w:tc>
      </w:tr>
      <w:tr>
        <w:trPr>
          <w:trHeight w:val="243"/>
        </w:trPr>
        <w:tc>
          <w:tcPr>
            <w:tcW w:w="6160" w:type="dxa"/>
            <w:vAlign w:val="bottom"/>
            <w:gridSpan w:val="6"/>
          </w:tcPr>
          <w:p>
            <w:pPr>
              <w:ind w:left="1280"/>
              <w:spacing w:after="0" w:line="243" w:lineRule="exact"/>
              <w:rPr>
                <w:sz w:val="20"/>
                <w:szCs w:val="20"/>
                <w:color w:val="auto"/>
              </w:rPr>
            </w:pPr>
            <w:r>
              <w:rPr>
                <w:rFonts w:ascii="Times New Roman" w:cs="Times New Roman" w:eastAsia="Times New Roman" w:hAnsi="Times New Roman"/>
                <w:sz w:val="22"/>
                <w:szCs w:val="22"/>
                <w:color w:val="auto"/>
              </w:rPr>
              <w:t>Performing Non-Cash Pay Mezzanine Investments</w:t>
            </w: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55%</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45%</w:t>
            </w:r>
          </w:p>
        </w:tc>
        <w:tc>
          <w:tcPr>
            <w:tcW w:w="720" w:type="dxa"/>
            <w:vAlign w:val="bottom"/>
          </w:tcPr>
          <w:p>
            <w:pPr>
              <w:spacing w:after="0"/>
              <w:rPr>
                <w:sz w:val="21"/>
                <w:szCs w:val="21"/>
                <w:color w:val="auto"/>
              </w:rPr>
            </w:pPr>
          </w:p>
        </w:tc>
      </w:tr>
      <w:tr>
        <w:trPr>
          <w:trHeight w:val="243"/>
        </w:trPr>
        <w:tc>
          <w:tcPr>
            <w:tcW w:w="5360" w:type="dxa"/>
            <w:vAlign w:val="bottom"/>
            <w:gridSpan w:val="5"/>
          </w:tcPr>
          <w:p>
            <w:pPr>
              <w:ind w:left="1280"/>
              <w:spacing w:after="0" w:line="243" w:lineRule="exact"/>
              <w:rPr>
                <w:sz w:val="20"/>
                <w:szCs w:val="20"/>
                <w:color w:val="auto"/>
              </w:rPr>
            </w:pPr>
            <w:r>
              <w:rPr>
                <w:rFonts w:ascii="Times New Roman" w:cs="Times New Roman" w:eastAsia="Times New Roman" w:hAnsi="Times New Roman"/>
                <w:sz w:val="22"/>
                <w:szCs w:val="22"/>
                <w:color w:val="auto"/>
              </w:rPr>
              <w:t>Non-Performing First Lien Bank Loans</w:t>
            </w: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45%</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45%</w:t>
            </w:r>
          </w:p>
        </w:tc>
        <w:tc>
          <w:tcPr>
            <w:tcW w:w="720" w:type="dxa"/>
            <w:vAlign w:val="bottom"/>
          </w:tcPr>
          <w:p>
            <w:pPr>
              <w:spacing w:after="0"/>
              <w:rPr>
                <w:sz w:val="21"/>
                <w:szCs w:val="21"/>
                <w:color w:val="auto"/>
              </w:rPr>
            </w:pPr>
          </w:p>
        </w:tc>
      </w:tr>
      <w:tr>
        <w:trPr>
          <w:trHeight w:val="243"/>
        </w:trPr>
        <w:tc>
          <w:tcPr>
            <w:tcW w:w="5360" w:type="dxa"/>
            <w:vAlign w:val="bottom"/>
            <w:gridSpan w:val="5"/>
          </w:tcPr>
          <w:p>
            <w:pPr>
              <w:ind w:left="1280"/>
              <w:spacing w:after="0" w:line="243" w:lineRule="exact"/>
              <w:rPr>
                <w:sz w:val="20"/>
                <w:szCs w:val="20"/>
                <w:color w:val="auto"/>
              </w:rPr>
            </w:pPr>
            <w:r>
              <w:rPr>
                <w:rFonts w:ascii="Times New Roman" w:cs="Times New Roman" w:eastAsia="Times New Roman" w:hAnsi="Times New Roman"/>
                <w:sz w:val="22"/>
                <w:szCs w:val="22"/>
                <w:color w:val="auto"/>
              </w:rPr>
              <w:t>Non-Performing Unitranche Loans</w:t>
            </w: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40%</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40%</w:t>
            </w:r>
          </w:p>
        </w:tc>
        <w:tc>
          <w:tcPr>
            <w:tcW w:w="720" w:type="dxa"/>
            <w:vAlign w:val="bottom"/>
          </w:tcPr>
          <w:p>
            <w:pPr>
              <w:spacing w:after="0"/>
              <w:rPr>
                <w:sz w:val="21"/>
                <w:szCs w:val="21"/>
                <w:color w:val="auto"/>
              </w:rPr>
            </w:pPr>
          </w:p>
        </w:tc>
      </w:tr>
      <w:tr>
        <w:trPr>
          <w:trHeight w:val="243"/>
        </w:trPr>
        <w:tc>
          <w:tcPr>
            <w:tcW w:w="5360" w:type="dxa"/>
            <w:vAlign w:val="bottom"/>
            <w:gridSpan w:val="5"/>
          </w:tcPr>
          <w:p>
            <w:pPr>
              <w:ind w:left="1280"/>
              <w:spacing w:after="0" w:line="243" w:lineRule="exact"/>
              <w:rPr>
                <w:sz w:val="20"/>
                <w:szCs w:val="20"/>
                <w:color w:val="auto"/>
              </w:rPr>
            </w:pPr>
            <w:r>
              <w:rPr>
                <w:rFonts w:ascii="Times New Roman" w:cs="Times New Roman" w:eastAsia="Times New Roman" w:hAnsi="Times New Roman"/>
                <w:sz w:val="22"/>
                <w:szCs w:val="22"/>
                <w:color w:val="auto"/>
              </w:rPr>
              <w:t>Non-Performing Second Lien Bank Loans</w:t>
            </w: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40%</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30%</w:t>
            </w:r>
          </w:p>
        </w:tc>
        <w:tc>
          <w:tcPr>
            <w:tcW w:w="720" w:type="dxa"/>
            <w:vAlign w:val="bottom"/>
          </w:tcPr>
          <w:p>
            <w:pPr>
              <w:spacing w:after="0"/>
              <w:rPr>
                <w:sz w:val="21"/>
                <w:szCs w:val="21"/>
                <w:color w:val="auto"/>
              </w:rPr>
            </w:pPr>
          </w:p>
        </w:tc>
      </w:tr>
      <w:tr>
        <w:trPr>
          <w:trHeight w:val="243"/>
        </w:trPr>
        <w:tc>
          <w:tcPr>
            <w:tcW w:w="5360" w:type="dxa"/>
            <w:vAlign w:val="bottom"/>
            <w:gridSpan w:val="5"/>
          </w:tcPr>
          <w:p>
            <w:pPr>
              <w:ind w:left="1280"/>
              <w:spacing w:after="0" w:line="243" w:lineRule="exact"/>
              <w:rPr>
                <w:sz w:val="20"/>
                <w:szCs w:val="20"/>
                <w:color w:val="auto"/>
              </w:rPr>
            </w:pPr>
            <w:r>
              <w:rPr>
                <w:rFonts w:ascii="Times New Roman" w:cs="Times New Roman" w:eastAsia="Times New Roman" w:hAnsi="Times New Roman"/>
                <w:sz w:val="22"/>
                <w:szCs w:val="22"/>
                <w:color w:val="auto"/>
              </w:rPr>
              <w:t>Non-Performing High Yield Securities</w:t>
            </w: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30%</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30%</w:t>
            </w:r>
          </w:p>
        </w:tc>
        <w:tc>
          <w:tcPr>
            <w:tcW w:w="720" w:type="dxa"/>
            <w:vAlign w:val="bottom"/>
          </w:tcPr>
          <w:p>
            <w:pPr>
              <w:spacing w:after="0"/>
              <w:rPr>
                <w:sz w:val="21"/>
                <w:szCs w:val="21"/>
                <w:color w:val="auto"/>
              </w:rPr>
            </w:pPr>
          </w:p>
        </w:tc>
      </w:tr>
      <w:tr>
        <w:trPr>
          <w:trHeight w:val="243"/>
        </w:trPr>
        <w:tc>
          <w:tcPr>
            <w:tcW w:w="6160" w:type="dxa"/>
            <w:vAlign w:val="bottom"/>
            <w:gridSpan w:val="6"/>
          </w:tcPr>
          <w:p>
            <w:pPr>
              <w:ind w:left="1280"/>
              <w:spacing w:after="0" w:line="243" w:lineRule="exact"/>
              <w:rPr>
                <w:sz w:val="20"/>
                <w:szCs w:val="20"/>
                <w:color w:val="auto"/>
              </w:rPr>
            </w:pPr>
            <w:r>
              <w:rPr>
                <w:rFonts w:ascii="Times New Roman" w:cs="Times New Roman" w:eastAsia="Times New Roman" w:hAnsi="Times New Roman"/>
                <w:sz w:val="22"/>
                <w:szCs w:val="22"/>
                <w:color w:val="auto"/>
              </w:rPr>
              <w:t>Non-Performing Cash Pay Mezzanine Investments</w:t>
            </w: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30%</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25%</w:t>
            </w:r>
          </w:p>
        </w:tc>
        <w:tc>
          <w:tcPr>
            <w:tcW w:w="720" w:type="dxa"/>
            <w:vAlign w:val="bottom"/>
          </w:tcPr>
          <w:p>
            <w:pPr>
              <w:spacing w:after="0"/>
              <w:rPr>
                <w:sz w:val="21"/>
                <w:szCs w:val="21"/>
                <w:color w:val="auto"/>
              </w:rPr>
            </w:pPr>
          </w:p>
        </w:tc>
      </w:tr>
      <w:tr>
        <w:trPr>
          <w:trHeight w:val="243"/>
        </w:trPr>
        <w:tc>
          <w:tcPr>
            <w:tcW w:w="5360" w:type="dxa"/>
            <w:vAlign w:val="bottom"/>
            <w:gridSpan w:val="5"/>
          </w:tcPr>
          <w:p>
            <w:pPr>
              <w:ind w:left="1280"/>
              <w:spacing w:after="0" w:line="243" w:lineRule="exact"/>
              <w:rPr>
                <w:sz w:val="20"/>
                <w:szCs w:val="20"/>
                <w:color w:val="auto"/>
              </w:rPr>
            </w:pPr>
            <w:r>
              <w:rPr>
                <w:rFonts w:ascii="Times New Roman" w:cs="Times New Roman" w:eastAsia="Times New Roman" w:hAnsi="Times New Roman"/>
                <w:sz w:val="22"/>
                <w:szCs w:val="22"/>
                <w:color w:val="auto"/>
              </w:rPr>
              <w:t>Performing Common Equity (and zero cost or</w:t>
            </w: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w w:val="94"/>
              </w:rPr>
              <w:t>30%</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w w:val="94"/>
              </w:rPr>
              <w:t>20%</w:t>
            </w:r>
          </w:p>
        </w:tc>
        <w:tc>
          <w:tcPr>
            <w:tcW w:w="720" w:type="dxa"/>
            <w:vAlign w:val="bottom"/>
          </w:tcPr>
          <w:p>
            <w:pPr>
              <w:spacing w:after="0"/>
              <w:rPr>
                <w:sz w:val="21"/>
                <w:szCs w:val="21"/>
                <w:color w:val="auto"/>
              </w:rPr>
            </w:pPr>
          </w:p>
        </w:tc>
      </w:tr>
      <w:tr>
        <w:trPr>
          <w:trHeight w:val="243"/>
        </w:trPr>
        <w:tc>
          <w:tcPr>
            <w:tcW w:w="5360" w:type="dxa"/>
            <w:vAlign w:val="bottom"/>
            <w:gridSpan w:val="5"/>
          </w:tcPr>
          <w:p>
            <w:pPr>
              <w:ind w:left="1460"/>
              <w:spacing w:after="0" w:line="243" w:lineRule="exact"/>
              <w:rPr>
                <w:sz w:val="20"/>
                <w:szCs w:val="20"/>
                <w:color w:val="auto"/>
              </w:rPr>
            </w:pPr>
            <w:r>
              <w:rPr>
                <w:rFonts w:ascii="Times New Roman" w:cs="Times New Roman" w:eastAsia="Times New Roman" w:hAnsi="Times New Roman"/>
                <w:sz w:val="22"/>
                <w:szCs w:val="22"/>
                <w:color w:val="auto"/>
              </w:rPr>
              <w:t>penny warrants with performing debt)</w:t>
            </w: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220" w:type="dxa"/>
            <w:vAlign w:val="bottom"/>
            <w:gridSpan w:val="4"/>
          </w:tcPr>
          <w:p>
            <w:pPr>
              <w:ind w:left="1280"/>
              <w:spacing w:after="0" w:line="243" w:lineRule="exact"/>
              <w:rPr>
                <w:sz w:val="20"/>
                <w:szCs w:val="20"/>
                <w:color w:val="auto"/>
              </w:rPr>
            </w:pPr>
            <w:r>
              <w:rPr>
                <w:rFonts w:ascii="Times New Roman" w:cs="Times New Roman" w:eastAsia="Times New Roman" w:hAnsi="Times New Roman"/>
                <w:sz w:val="22"/>
                <w:szCs w:val="22"/>
                <w:color w:val="auto"/>
                <w:w w:val="98"/>
              </w:rPr>
              <w:t>Non-Performing Common Equity</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20" w:type="dxa"/>
            <w:vAlign w:val="bottom"/>
          </w:tcPr>
          <w:p>
            <w:pPr>
              <w:jc w:val="center"/>
              <w:ind w:right="53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1180" w:type="dxa"/>
            <w:vAlign w:val="bottom"/>
          </w:tcPr>
          <w:p>
            <w:pPr>
              <w:jc w:val="center"/>
              <w:ind w:left="25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720" w:type="dxa"/>
            <w:vAlign w:val="bottom"/>
          </w:tcPr>
          <w:p>
            <w:pPr>
              <w:spacing w:after="0"/>
              <w:rPr>
                <w:sz w:val="21"/>
                <w:szCs w:val="21"/>
                <w:color w:val="auto"/>
              </w:rPr>
            </w:pPr>
          </w:p>
        </w:tc>
      </w:tr>
      <w:tr>
        <w:trPr>
          <w:trHeight w:val="282"/>
        </w:trPr>
        <w:tc>
          <w:tcPr>
            <w:tcW w:w="6160" w:type="dxa"/>
            <w:vAlign w:val="bottom"/>
            <w:gridSpan w:val="6"/>
          </w:tcPr>
          <w:p>
            <w:pPr>
              <w:ind w:left="1280"/>
              <w:spacing w:after="0"/>
              <w:rPr>
                <w:sz w:val="20"/>
                <w:szCs w:val="20"/>
                <w:color w:val="auto"/>
              </w:rPr>
            </w:pPr>
            <w:r>
              <w:rPr>
                <w:rFonts w:ascii="Times New Roman" w:cs="Times New Roman" w:eastAsia="Times New Roman" w:hAnsi="Times New Roman"/>
                <w:sz w:val="22"/>
                <w:szCs w:val="22"/>
                <w:color w:val="auto"/>
              </w:rPr>
              <w:t>Structured Finance Obligations and Finance Leases</w:t>
            </w:r>
          </w:p>
        </w:tc>
        <w:tc>
          <w:tcPr>
            <w:tcW w:w="1560" w:type="dxa"/>
            <w:vAlign w:val="bottom"/>
          </w:tcPr>
          <w:p>
            <w:pPr>
              <w:spacing w:after="0"/>
              <w:rPr>
                <w:sz w:val="24"/>
                <w:szCs w:val="24"/>
                <w:color w:val="auto"/>
              </w:rPr>
            </w:pPr>
          </w:p>
        </w:tc>
        <w:tc>
          <w:tcPr>
            <w:tcW w:w="1620" w:type="dxa"/>
            <w:vAlign w:val="bottom"/>
          </w:tcPr>
          <w:p>
            <w:pPr>
              <w:jc w:val="center"/>
              <w:ind w:right="532"/>
              <w:spacing w:after="0"/>
              <w:rPr>
                <w:sz w:val="20"/>
                <w:szCs w:val="20"/>
                <w:color w:val="auto"/>
              </w:rPr>
            </w:pPr>
            <w:r>
              <w:rPr>
                <w:rFonts w:ascii="Times New Roman" w:cs="Times New Roman" w:eastAsia="Times New Roman" w:hAnsi="Times New Roman"/>
                <w:sz w:val="22"/>
                <w:szCs w:val="22"/>
                <w:color w:val="auto"/>
              </w:rPr>
              <w:t>0%</w:t>
            </w:r>
          </w:p>
        </w:tc>
        <w:tc>
          <w:tcPr>
            <w:tcW w:w="1180" w:type="dxa"/>
            <w:vAlign w:val="bottom"/>
          </w:tcPr>
          <w:p>
            <w:pPr>
              <w:jc w:val="center"/>
              <w:ind w:left="252"/>
              <w:spacing w:after="0"/>
              <w:rPr>
                <w:sz w:val="20"/>
                <w:szCs w:val="20"/>
                <w:color w:val="auto"/>
              </w:rPr>
            </w:pPr>
            <w:r>
              <w:rPr>
                <w:rFonts w:ascii="Times New Roman" w:cs="Times New Roman" w:eastAsia="Times New Roman" w:hAnsi="Times New Roman"/>
                <w:sz w:val="22"/>
                <w:szCs w:val="22"/>
                <w:color w:val="auto"/>
              </w:rPr>
              <w:t>0%</w:t>
            </w:r>
          </w:p>
        </w:tc>
        <w:tc>
          <w:tcPr>
            <w:tcW w:w="720" w:type="dxa"/>
            <w:vAlign w:val="bottom"/>
          </w:tcPr>
          <w:p>
            <w:pPr>
              <w:spacing w:after="0"/>
              <w:rPr>
                <w:sz w:val="24"/>
                <w:szCs w:val="24"/>
                <w:color w:val="auto"/>
              </w:rPr>
            </w:pPr>
          </w:p>
        </w:tc>
      </w:tr>
      <w:tr>
        <w:trPr>
          <w:trHeight w:val="407"/>
        </w:trPr>
        <w:tc>
          <w:tcPr>
            <w:tcW w:w="2620" w:type="dxa"/>
            <w:vAlign w:val="bottom"/>
            <w:gridSpan w:val="2"/>
          </w:tcPr>
          <w:p>
            <w:pPr>
              <w:ind w:left="1740"/>
              <w:spacing w:after="0"/>
              <w:rPr>
                <w:sz w:val="20"/>
                <w:szCs w:val="20"/>
                <w:color w:val="auto"/>
              </w:rPr>
            </w:pPr>
            <w:r>
              <w:rPr>
                <w:rFonts w:ascii="Times New Roman" w:cs="Times New Roman" w:eastAsia="Times New Roman" w:hAnsi="Times New Roman"/>
                <w:sz w:val="22"/>
                <w:szCs w:val="22"/>
                <w:color w:val="auto"/>
              </w:rPr>
              <w:t>“Bank</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Loans”</w:t>
            </w:r>
          </w:p>
        </w:tc>
        <w:tc>
          <w:tcPr>
            <w:tcW w:w="1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means</w:t>
            </w:r>
          </w:p>
        </w:tc>
        <w:tc>
          <w:tcPr>
            <w:tcW w:w="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debt</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obligations</w:t>
            </w:r>
          </w:p>
        </w:tc>
        <w:tc>
          <w:tcPr>
            <w:tcW w:w="16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(including</w:t>
            </w:r>
          </w:p>
        </w:tc>
        <w:tc>
          <w:tcPr>
            <w:tcW w:w="11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term</w:t>
            </w:r>
          </w:p>
        </w:tc>
        <w:tc>
          <w:tcPr>
            <w:tcW w:w="7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loans,</w:t>
            </w:r>
          </w:p>
        </w:tc>
      </w:tr>
      <w:tr>
        <w:trPr>
          <w:trHeight w:val="260"/>
        </w:trPr>
        <w:tc>
          <w:tcPr>
            <w:tcW w:w="1840" w:type="dxa"/>
            <w:vAlign w:val="bottom"/>
          </w:tcPr>
          <w:p>
            <w:pPr>
              <w:spacing w:after="0"/>
              <w:rPr>
                <w:sz w:val="20"/>
                <w:szCs w:val="20"/>
                <w:color w:val="auto"/>
              </w:rPr>
            </w:pPr>
            <w:r>
              <w:rPr>
                <w:rFonts w:ascii="Times New Roman" w:cs="Times New Roman" w:eastAsia="Times New Roman" w:hAnsi="Times New Roman"/>
                <w:sz w:val="22"/>
                <w:szCs w:val="22"/>
                <w:color w:val="auto"/>
              </w:rPr>
              <w:t>notes,</w:t>
            </w:r>
          </w:p>
        </w:tc>
        <w:tc>
          <w:tcPr>
            <w:tcW w:w="7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w w:val="97"/>
              </w:rPr>
              <w:t>revolving loans, debtor-in-possession</w:t>
            </w: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7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Credit Agreement.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of the Credit Agreement.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Lien Bank Loan</w:t>
      </w:r>
      <w:r>
        <w:rPr>
          <w:rFonts w:ascii="Times New Roman" w:cs="Times New Roman" w:eastAsia="Times New Roman" w:hAnsi="Times New Roman"/>
          <w:sz w:val="22"/>
          <w:szCs w:val="22"/>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High Yield Securities</w:t>
      </w:r>
      <w:r>
        <w:rPr>
          <w:rFonts w:ascii="Times New Roman" w:cs="Times New Roman" w:eastAsia="Times New Roman" w:hAnsi="Times New Roman"/>
          <w:sz w:val="22"/>
          <w:szCs w:val="22"/>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268" w:name="page269"/>
    <w:bookmarkEnd w:id="268"/>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Long-Term U.S. Government Securities</w:t>
      </w:r>
      <w:r>
        <w:rPr>
          <w:rFonts w:ascii="Times New Roman" w:cs="Times New Roman" w:eastAsia="Times New Roman" w:hAnsi="Times New Roman"/>
          <w:sz w:val="22"/>
          <w:szCs w:val="22"/>
          <w:color w:val="auto"/>
        </w:rPr>
        <w:t>” means U.S. Government Securities maturing more than one year from the applicable date of determination.</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Mezzanine Investments</w:t>
      </w:r>
      <w:r>
        <w:rPr>
          <w:rFonts w:ascii="Times New Roman" w:cs="Times New Roman" w:eastAsia="Times New Roman" w:hAnsi="Times New Roman"/>
          <w:sz w:val="22"/>
          <w:szCs w:val="22"/>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7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Common Equity</w:t>
      </w:r>
      <w:r>
        <w:rPr>
          <w:rFonts w:ascii="Times New Roman" w:cs="Times New Roman" w:eastAsia="Times New Roman" w:hAnsi="Times New Roman"/>
          <w:sz w:val="22"/>
          <w:szCs w:val="22"/>
          <w:color w:val="auto"/>
        </w:rPr>
        <w:t>” means Capital Stock (other than Preferred Stock) and warrants of an issuer having any debt outstanding that is non-Performing.</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First Lien Bank Loans</w:t>
      </w:r>
      <w:r>
        <w:rPr>
          <w:rFonts w:ascii="Times New Roman" w:cs="Times New Roman" w:eastAsia="Times New Roman" w:hAnsi="Times New Roman"/>
          <w:sz w:val="22"/>
          <w:szCs w:val="22"/>
          <w:color w:val="auto"/>
        </w:rPr>
        <w:t>” means First Lien Bank Loans other than Performing First Lien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Loans.</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High Yield Securities</w:t>
      </w:r>
      <w:r>
        <w:rPr>
          <w:rFonts w:ascii="Times New Roman" w:cs="Times New Roman" w:eastAsia="Times New Roman" w:hAnsi="Times New Roman"/>
          <w:sz w:val="22"/>
          <w:szCs w:val="22"/>
          <w:color w:val="auto"/>
        </w:rPr>
        <w:t>” means High Yield Securities other than Performing High Yield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Non-Performing Mezzanine Investments</w:t>
      </w:r>
      <w:r>
        <w:rPr>
          <w:rFonts w:ascii="Times New Roman" w:cs="Times New Roman" w:eastAsia="Times New Roman" w:hAnsi="Times New Roman"/>
          <w:sz w:val="21"/>
          <w:szCs w:val="21"/>
          <w:color w:val="auto"/>
        </w:rPr>
        <w:t>” means Mezzanine Investments other than Performing Mezzanine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Investments.</w:t>
      </w:r>
    </w:p>
    <w:p>
      <w:pPr>
        <w:spacing w:after="0" w:line="182"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Portfolio Investment</w:t>
      </w:r>
      <w:r>
        <w:rPr>
          <w:rFonts w:ascii="Times New Roman" w:cs="Times New Roman" w:eastAsia="Times New Roman" w:hAnsi="Times New Roman"/>
          <w:sz w:val="22"/>
          <w:szCs w:val="22"/>
          <w:color w:val="auto"/>
        </w:rPr>
        <w:t>” means Portfolio Investments for which the issuer is in default of any payment obligations of principal or interest in respect thereof after the expiration of any applicable grace period.</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Non-Performing Second Lien Bank Loans</w:t>
      </w:r>
      <w:r>
        <w:rPr>
          <w:rFonts w:ascii="Times New Roman" w:cs="Times New Roman" w:eastAsia="Times New Roman" w:hAnsi="Times New Roman"/>
          <w:sz w:val="21"/>
          <w:szCs w:val="21"/>
          <w:color w:val="auto"/>
        </w:rPr>
        <w:t>” means Second Lien Bank Loans other than Performing Second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 Bank Loans.</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Non-Performing Unitranche Loans</w:t>
      </w:r>
      <w:r>
        <w:rPr>
          <w:rFonts w:ascii="Times New Roman" w:cs="Times New Roman" w:eastAsia="Times New Roman" w:hAnsi="Times New Roman"/>
          <w:sz w:val="22"/>
          <w:szCs w:val="22"/>
          <w:color w:val="auto"/>
        </w:rPr>
        <w:t>” means Unitranche Loans other than Performing Unitranche Loans.</w:t>
      </w:r>
    </w:p>
    <w:p>
      <w:pPr>
        <w:spacing w:after="0" w:line="206" w:lineRule="exact"/>
        <w:rPr>
          <w:sz w:val="20"/>
          <w:szCs w:val="20"/>
          <w:color w:val="auto"/>
        </w:rPr>
      </w:pPr>
    </w:p>
    <w:p>
      <w:pPr>
        <w:jc w:val="both"/>
        <w:ind w:firstLine="1727"/>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Performing</w:t>
      </w:r>
      <w:r>
        <w:rPr>
          <w:rFonts w:ascii="Times New Roman" w:cs="Times New Roman" w:eastAsia="Times New Roman" w:hAnsi="Times New Roman"/>
          <w:sz w:val="21"/>
          <w:szCs w:val="21"/>
          <w:color w:val="auto"/>
        </w:rPr>
        <w:t>” means (a) with respect to any Portfolio Investment that is debt, the issuer of such Portfolio Investment is not in default of any payment obligations in respect thereof after the expiration of any applicable grace period and</w:t>
      </w:r>
    </w:p>
    <w:p>
      <w:pPr>
        <w:spacing w:after="0" w:line="1" w:lineRule="exact"/>
        <w:rPr>
          <w:sz w:val="20"/>
          <w:szCs w:val="20"/>
          <w:color w:val="auto"/>
        </w:rPr>
      </w:pPr>
    </w:p>
    <w:p>
      <w:pPr>
        <w:jc w:val="both"/>
        <w:ind w:firstLine="8"/>
        <w:spacing w:after="0" w:line="235" w:lineRule="auto"/>
        <w:tabs>
          <w:tab w:leader="none" w:pos="31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7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Cash Pay High Yield Securities</w:t>
      </w:r>
      <w:r>
        <w:rPr>
          <w:rFonts w:ascii="Times New Roman" w:cs="Times New Roman" w:eastAsia="Times New Roman" w:hAnsi="Times New Roman"/>
          <w:sz w:val="22"/>
          <w:szCs w:val="22"/>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Cash Pay Mezzanine Investments</w:t>
      </w:r>
      <w:r>
        <w:rPr>
          <w:rFonts w:ascii="Times New Roman" w:cs="Times New Roman" w:eastAsia="Times New Roman" w:hAnsi="Times New Roman"/>
          <w:sz w:val="22"/>
          <w:szCs w:val="22"/>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9" w:name="page270"/>
    <w:bookmarkEnd w:id="269"/>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Common Equity</w:t>
      </w:r>
      <w:r>
        <w:rPr>
          <w:rFonts w:ascii="Times New Roman" w:cs="Times New Roman" w:eastAsia="Times New Roman" w:hAnsi="Times New Roman"/>
          <w:sz w:val="22"/>
          <w:szCs w:val="22"/>
          <w:color w:val="auto"/>
        </w:rPr>
        <w:t>” means Capital Stock (other than Preferred Stock) and warrants of an issuer all of whose outstanding debt is Performing.</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First Lien Bank Loans</w:t>
      </w:r>
      <w:r>
        <w:rPr>
          <w:rFonts w:ascii="Times New Roman" w:cs="Times New Roman" w:eastAsia="Times New Roman" w:hAnsi="Times New Roman"/>
          <w:sz w:val="22"/>
          <w:szCs w:val="22"/>
          <w:color w:val="auto"/>
        </w:rPr>
        <w:t>” means First Lien Bank Loans which are Performing.</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Non-Cash Pay High Yield Securities</w:t>
      </w:r>
      <w:r>
        <w:rPr>
          <w:rFonts w:ascii="Times New Roman" w:cs="Times New Roman" w:eastAsia="Times New Roman" w:hAnsi="Times New Roman"/>
          <w:sz w:val="22"/>
          <w:szCs w:val="22"/>
          <w:color w:val="auto"/>
        </w:rPr>
        <w:t>” means Performing High Yield Securities other than Performing Cash Pay High Yield Securities.</w:t>
      </w:r>
    </w:p>
    <w:p>
      <w:pPr>
        <w:spacing w:after="0" w:line="158"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Non-Cash Pay Mezzanine Investments</w:t>
      </w:r>
      <w:r>
        <w:rPr>
          <w:rFonts w:ascii="Times New Roman" w:cs="Times New Roman" w:eastAsia="Times New Roman" w:hAnsi="Times New Roman"/>
          <w:sz w:val="22"/>
          <w:szCs w:val="22"/>
          <w:color w:val="auto"/>
        </w:rPr>
        <w:t>” means Performing Mezzanine Investments other than Performing Cash Pay Mezzanine Investments.</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Performing Second Lien Bank Loans</w:t>
      </w:r>
      <w:r>
        <w:rPr>
          <w:rFonts w:ascii="Times New Roman" w:cs="Times New Roman" w:eastAsia="Times New Roman" w:hAnsi="Times New Roman"/>
          <w:sz w:val="22"/>
          <w:szCs w:val="22"/>
          <w:color w:val="auto"/>
        </w:rPr>
        <w:t>” means Second Lien Bank Loans which are Performing.</w:t>
      </w:r>
    </w:p>
    <w:p>
      <w:pPr>
        <w:spacing w:after="0" w:line="206"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77"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Lien Bank Loan</w:t>
      </w:r>
      <w:r>
        <w:rPr>
          <w:rFonts w:ascii="Times New Roman" w:cs="Times New Roman" w:eastAsia="Times New Roman" w:hAnsi="Times New Roman"/>
          <w:sz w:val="22"/>
          <w:szCs w:val="22"/>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73"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United States Securities Act of 1933, as amended.</w:t>
      </w:r>
    </w:p>
    <w:p>
      <w:pPr>
        <w:spacing w:after="0" w:line="206"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Short-Term U.S. Government Securities</w:t>
      </w:r>
      <w:r>
        <w:rPr>
          <w:rFonts w:ascii="Times New Roman" w:cs="Times New Roman" w:eastAsia="Times New Roman" w:hAnsi="Times New Roman"/>
          <w:sz w:val="22"/>
          <w:szCs w:val="22"/>
          <w:color w:val="auto"/>
        </w:rPr>
        <w:t>” means U.S. Government Securities maturing within one year of the applicable date of determination.</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Structured Finance Obligation</w:t>
      </w:r>
      <w:r>
        <w:rPr>
          <w:rFonts w:ascii="Times New Roman" w:cs="Times New Roman" w:eastAsia="Times New Roman" w:hAnsi="Times New Roman"/>
          <w:sz w:val="22"/>
          <w:szCs w:val="22"/>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w:t>
      </w:r>
      <w:r>
        <w:rPr>
          <w:rFonts w:ascii="Times New Roman" w:cs="Times New Roman" w:eastAsia="Times New Roman" w:hAnsi="Times New Roman"/>
          <w:sz w:val="22"/>
          <w:szCs w:val="22"/>
          <w:color w:val="auto"/>
        </w:rPr>
        <w:t xml:space="preserve">” has the meaning assigned to such term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0" w:name="page271"/>
    <w:bookmarkEnd w:id="270"/>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Unitranche Loan</w:t>
      </w:r>
      <w:r>
        <w:rPr>
          <w:rFonts w:ascii="Times New Roman" w:cs="Times New Roman" w:eastAsia="Times New Roman" w:hAnsi="Times New Roman"/>
          <w:sz w:val="22"/>
          <w:szCs w:val="22"/>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8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means, with respect to any Portfolio Investment, the lower of:</w:t>
      </w:r>
    </w:p>
    <w:p>
      <w:pPr>
        <w:spacing w:after="0" w:line="206" w:lineRule="exact"/>
        <w:rPr>
          <w:sz w:val="20"/>
          <w:szCs w:val="20"/>
          <w:color w:val="auto"/>
        </w:rPr>
      </w:pPr>
    </w:p>
    <w:p>
      <w:pPr>
        <w:ind w:left="1920" w:hanging="251"/>
        <w:spacing w:after="0"/>
        <w:tabs>
          <w:tab w:leader="none" w:pos="19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most recent internal market value as determined pursuant to </w:t>
      </w:r>
      <w:r>
        <w:rPr>
          <w:rFonts w:ascii="Times New Roman" w:cs="Times New Roman" w:eastAsia="Times New Roman" w:hAnsi="Times New Roman"/>
          <w:sz w:val="22"/>
          <w:szCs w:val="22"/>
          <w:u w:val="single" w:color="auto"/>
          <w:color w:val="auto"/>
        </w:rPr>
        <w:t>Section 5.12(b)(ii)(C)</w:t>
      </w:r>
      <w:r>
        <w:rPr>
          <w:rFonts w:ascii="Times New Roman" w:cs="Times New Roman" w:eastAsia="Times New Roman" w:hAnsi="Times New Roman"/>
          <w:sz w:val="22"/>
          <w:szCs w:val="22"/>
          <w:color w:val="auto"/>
        </w:rPr>
        <w:t xml:space="preserve"> and</w:t>
      </w:r>
    </w:p>
    <w:p>
      <w:pPr>
        <w:spacing w:after="0" w:line="206" w:lineRule="exact"/>
        <w:rPr>
          <w:rFonts w:ascii="Times New Roman" w:cs="Times New Roman" w:eastAsia="Times New Roman" w:hAnsi="Times New Roman"/>
          <w:sz w:val="22"/>
          <w:szCs w:val="22"/>
          <w:color w:val="auto"/>
        </w:rPr>
      </w:pPr>
    </w:p>
    <w:p>
      <w:pPr>
        <w:ind w:left="1980" w:hanging="311"/>
        <w:spacing w:after="0"/>
        <w:tabs>
          <w:tab w:leader="none" w:pos="19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most recent external market value as determined pursuant to </w:t>
      </w:r>
      <w:r>
        <w:rPr>
          <w:rFonts w:ascii="Times New Roman" w:cs="Times New Roman" w:eastAsia="Times New Roman" w:hAnsi="Times New Roman"/>
          <w:sz w:val="22"/>
          <w:szCs w:val="22"/>
          <w:u w:val="single" w:color="auto"/>
          <w:color w:val="auto"/>
        </w:rPr>
        <w:t>Section 5.12(b)(ii)(A)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06"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xml:space="preserve">. Subject to the last sentence of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the Borrower will not, nor will it permit any of the Subsidiary Guarantors to, create, incur, assume or permit to exist any Indebtedness, except: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Indebtedness created hereunder or under any other Loan Document;</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(iii) prior to and immediately after giving effect to the incurrence of any Secured Longer-Term Indebtedness, the Covered Debt Amount does not or would not exceed the Borrowing Base then in effect;</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Other Permitted Indebtedness;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Guarantees of Indebtedness otherwise permitted hereunder;</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Indebtedness of any Obligor owing to any other Obligor or, if such Indebtedness is subject to subordination terms and conditions that are satisfactory to the Administrative Agent, any other Subsidiary of the Borrower;</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Indebtedness of Financing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1" w:name="page272"/>
    <w:bookmarkEnd w:id="271"/>
    <w:p>
      <w:pPr>
        <w:ind w:left="1740"/>
        <w:spacing w:after="0"/>
        <w:rPr>
          <w:sz w:val="20"/>
          <w:szCs w:val="20"/>
          <w:color w:val="auto"/>
        </w:rPr>
      </w:pPr>
      <w:r>
        <w:rPr>
          <w:rFonts w:ascii="Times New Roman" w:cs="Times New Roman" w:eastAsia="Times New Roman" w:hAnsi="Times New Roman"/>
          <w:sz w:val="21"/>
          <w:szCs w:val="21"/>
          <w:color w:val="auto"/>
        </w:rPr>
        <w:t>repurchase obligations arising in the ordinary course of business with respect to U.S. Government Securities;</w:t>
      </w:r>
    </w:p>
    <w:p>
      <w:pPr>
        <w:spacing w:after="0" w:line="21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obligations payable to clearing agencies, brokers or dealers in connection with the purchase or sale of securities in the ordinary course of business;</w:t>
      </w:r>
    </w:p>
    <w:p>
      <w:pPr>
        <w:spacing w:after="0" w:line="15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Borrower Net Worth, (iii)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(iv) prior to and immediately after giving effect to the incurrence of any such Indebtedness, the Covered Debt Amount does not or would not exceed the Borrowing Base then in effect;</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obligations (including Guarantees) in respect of Standard Securitization Undertakings;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Permitted SBIC Guarantees;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Indebtedness incurred pursuant to the 2022 Convertible Notes, the 2023 Notes, the 2024 Notes or the 2026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w:t>
      </w:r>
    </w:p>
    <w:p>
      <w:pPr>
        <w:spacing w:after="0" w:line="182"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Times New Roman" w:cs="Times New Roman" w:eastAsia="Times New Roman" w:hAnsi="Times New Roman"/>
          <w:sz w:val="22"/>
          <w:szCs w:val="22"/>
          <w:u w:val="single" w:color="auto"/>
          <w:color w:val="auto"/>
        </w:rPr>
        <w:t>Section 6.01(n)</w:t>
      </w:r>
      <w:r>
        <w:rPr>
          <w:rFonts w:ascii="Times New Roman" w:cs="Times New Roman" w:eastAsia="Times New Roman" w:hAnsi="Times New Roman"/>
          <w:sz w:val="22"/>
          <w:szCs w:val="22"/>
          <w:color w:val="auto"/>
        </w:rPr>
        <w:t xml:space="preserve">, does not exceed $500,000,000,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(v) prior to and immediately after giving effect to the incurrence of any such Indebtedness, the Covered Debt Amount does not or would not exceed the Borrowing Base then in effect;</w:t>
      </w:r>
    </w:p>
    <w:p>
      <w:pPr>
        <w:spacing w:after="0" w:line="18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Special Unsecured Indebtedness so long as (i) no Default exists at the time of the incurrence thereof, (ii) the aggregate amount (determined at the time of the incurrence of such Indebtedness) of such Indebtedness does not exceed $400,000,000, (iii) the aggregate amount (determined at the time of the incurrence of such Indebtedness) of such Indebtedness, taken together with then-outstanding Unsecured Shorter-Term Indebtedness incurred pursuant to Section 6.01(m), does not exceed $500,000,000, (iv) the aggregate amount of such Indebtedness, taken together with other then-outstanding Indebtedness, does not exceed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and (v) prior to and immediately after giving effect to the incurrence of any such Indebtedness, the Covered Debt Amount does not or would not exceed the Borrowing Base then in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5564505</wp:posOffset>
            </wp:positionH>
            <wp:positionV relativeFrom="paragraph">
              <wp:posOffset>-648970</wp:posOffset>
            </wp:positionV>
            <wp:extent cx="9779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other Indebtedness not to exceed the greater of (i) $25,000,000 and (ii) 5% of Borrower Net Worth at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2" w:name="page273"/>
    <w:bookmarkEnd w:id="272"/>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any Lien on any property or asset of the Borrower existing on the Original Effective Date and set forth in </w:t>
      </w:r>
      <w:r>
        <w:rPr>
          <w:rFonts w:ascii="Times New Roman" w:cs="Times New Roman" w:eastAsia="Times New Roman" w:hAnsi="Times New Roman"/>
          <w:sz w:val="22"/>
          <w:szCs w:val="22"/>
          <w:u w:val="single" w:color="auto"/>
          <w:color w:val="auto"/>
        </w:rPr>
        <w:t>Part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3.11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180"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 xml:space="preserve">Liens created pursuant to this Agreement (including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or any of the Security Documents (including Liens in favor of the Designated Indebtedness Holders (as defined in the Guarantee and Security Agreement));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Liens on the assets of a Financing Subsidiary securing obligations of such Financing Subsidiary;</w:t>
      </w:r>
    </w:p>
    <w:p>
      <w:pPr>
        <w:spacing w:after="0" w:line="206"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Liens on Special Equity Interests included in the Portfolio Investments of the Borrower but only to the extent securing obligations in the manner provided in the definition of “</w:t>
      </w:r>
      <w:r>
        <w:rPr>
          <w:rFonts w:ascii="Times New Roman" w:cs="Times New Roman" w:eastAsia="Times New Roman" w:hAnsi="Times New Roman"/>
          <w:sz w:val="22"/>
          <w:szCs w:val="22"/>
          <w:u w:val="single" w:color="auto"/>
          <w:color w:val="auto"/>
        </w:rPr>
        <w:t>Special Equity Interests</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Liens securing Indebtedness or other obligations in an aggregate principal amount not exceeding the greater of (i) $25,000,000 and (ii) 5% of Borrower Net Worth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does not exceed the lesser of (i) the Borrowing Base and (ii) the amount required to comply with the provisions of </w:t>
      </w:r>
      <w:r>
        <w:rPr>
          <w:rFonts w:ascii="Times New Roman" w:cs="Times New Roman" w:eastAsia="Times New Roman" w:hAnsi="Times New Roman"/>
          <w:sz w:val="22"/>
          <w:szCs w:val="22"/>
          <w:u w:val="single" w:color="auto"/>
          <w:color w:val="auto"/>
        </w:rPr>
        <w:t>Sections 6.07(c)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Permitted Liens;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Liens on Equity Interests in any SBIC Subsidiary created in favor of the SBA;</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[Reserved];</w:t>
      </w:r>
    </w:p>
    <w:p>
      <w:pPr>
        <w:spacing w:after="0" w:line="206" w:lineRule="exact"/>
        <w:rPr>
          <w:sz w:val="20"/>
          <w:szCs w:val="20"/>
          <w:color w:val="auto"/>
        </w:rPr>
      </w:pPr>
    </w:p>
    <w:p>
      <w:pPr>
        <w:jc w:val="both"/>
        <w:ind w:firstLine="1735"/>
        <w:spacing w:after="0" w:line="234" w:lineRule="auto"/>
        <w:tabs>
          <w:tab w:leader="none" w:pos="2049"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Hedging Agreements permitted under </w:t>
      </w:r>
      <w:r>
        <w:rPr>
          <w:rFonts w:ascii="Times New Roman" w:cs="Times New Roman" w:eastAsia="Times New Roman" w:hAnsi="Times New Roman"/>
          <w:sz w:val="22"/>
          <w:szCs w:val="22"/>
          <w:u w:val="single" w:color="auto"/>
          <w:color w:val="auto"/>
        </w:rPr>
        <w:t>Section 6.04(c)</w:t>
      </w:r>
      <w:r>
        <w:rPr>
          <w:rFonts w:ascii="Times New Roman" w:cs="Times New Roman" w:eastAsia="Times New Roman" w:hAnsi="Times New Roman"/>
          <w:sz w:val="22"/>
          <w:szCs w:val="22"/>
          <w:color w:val="auto"/>
        </w:rPr>
        <w:t xml:space="preserve"> and not otherwise permitted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cs="Times New Roman" w:eastAsia="Times New Roman" w:hAnsi="Times New Roman"/>
          <w:sz w:val="22"/>
          <w:szCs w:val="22"/>
          <w:u w:val="single" w:color="auto"/>
          <w:color w:val="auto"/>
        </w:rPr>
        <w:t>sub-clause (y)</w:t>
      </w:r>
      <w:r>
        <w:rPr>
          <w:rFonts w:ascii="Times New Roman" w:cs="Times New Roman" w:eastAsia="Times New Roman" w:hAnsi="Times New Roman"/>
          <w:sz w:val="22"/>
          <w:szCs w:val="22"/>
          <w:color w:val="auto"/>
        </w:rPr>
        <w:t xml:space="preserve"> even if such Lender has assigned all of its Loans and other interests in the Credit Agreement and thus has ceased to be a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any Obligor be permitted to create, incur or assume any Lien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increase the aggregate amount of collateral securing any Liens previously permitted under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unless both before and after giving effect to the creation, incurrence or assumption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3" w:name="page274"/>
    <w:bookmarkEnd w:id="273"/>
    <w:p>
      <w:pPr>
        <w:jc w:val="both"/>
        <w:spacing w:after="0" w:line="258" w:lineRule="auto"/>
        <w:rPr>
          <w:sz w:val="20"/>
          <w:szCs w:val="20"/>
          <w:color w:val="auto"/>
        </w:rPr>
      </w:pPr>
      <w:r>
        <w:rPr>
          <w:rFonts w:ascii="Times New Roman" w:cs="Times New Roman" w:eastAsia="Times New Roman" w:hAnsi="Times New Roman"/>
          <w:sz w:val="22"/>
          <w:szCs w:val="22"/>
          <w:color w:val="auto"/>
        </w:rPr>
        <w:t>of such Lien or such increase in the aggregate amount of collateral securing such Lien the Covered Debt Amount does not exceed the Borrowing Base (after giving effect to the exclusion of all such collateral from the Borrowing Base); and</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Liens securing repurchase obligations arising in the ordinary course of business with respect to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Government Securities.</w:t>
      </w:r>
    </w:p>
    <w:p>
      <w:pPr>
        <w:spacing w:after="0" w:line="182"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Times New Roman" w:cs="Times New Roman" w:eastAsia="Times New Roman" w:hAnsi="Times New Roman"/>
          <w:sz w:val="22"/>
          <w:szCs w:val="22"/>
          <w:u w:val="single" w:color="auto"/>
          <w:color w:val="auto"/>
        </w:rPr>
        <w:t>clauses (d)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below, Portfolio Investments.</w:t>
      </w:r>
    </w:p>
    <w:p>
      <w:pPr>
        <w:spacing w:after="0" w:line="18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Notwithstanding the foregoing provisions of this Section:</w:t>
      </w:r>
    </w:p>
    <w:p>
      <w:pPr>
        <w:spacing w:after="0" w:line="206"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 xml:space="preserve">any Subsidiary Guarantor of the Borrower may be merged or consolidated with or into the Borrower or any other Subsidiary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such transaction shall be between a Subsidiary Guarantor and a wholly owned Subsidiary Guarantor, the wholly owned Subsidiary Guarantor shall be the continuing or surviving corporation;</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15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the capital stock of any Subsidiary of the Borrower may be sold, transferred or otherwise disposed of to the Borrower or any wholly owned Subsidiary Guarantor of the Borrower;</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80"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4" w:name="page275"/>
    <w:bookmarkEnd w:id="274"/>
    <w:p>
      <w:pPr>
        <w:jc w:val="both"/>
        <w:spacing w:after="0" w:line="244" w:lineRule="auto"/>
        <w:rPr>
          <w:sz w:val="20"/>
          <w:szCs w:val="20"/>
          <w:color w:val="auto"/>
        </w:rPr>
      </w:pPr>
      <w:r>
        <w:rPr>
          <w:rFonts w:ascii="Times New Roman" w:cs="Times New Roman" w:eastAsia="Times New Roman" w:hAnsi="Times New Roman"/>
          <w:sz w:val="22"/>
          <w:szCs w:val="22"/>
          <w:color w:val="auto"/>
        </w:rPr>
        <w:t>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73"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spacing w:after="0" w:line="17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73"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The Borrower will not, nor will it permit any of the Subsidiary Guarantors to, acquire, make or enter into, or hold, any Investments except: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operating deposit accounts with banks;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Investments by the Borrower and the Subsidiary Guarantors in the Borrower and the Subsidiary Guarantors;</w:t>
      </w:r>
    </w:p>
    <w:p>
      <w:pPr>
        <w:spacing w:after="0" w:line="21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Hedging Agreements entered into in the ordinary course of the Borrower’s financial planning and not for speculative purposes;</w:t>
      </w:r>
    </w:p>
    <w:p>
      <w:pPr>
        <w:spacing w:after="0" w:line="158"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Investments in Financing Subsidiaries so long as, (i) after giving effect to such Investment, the Covered Debt Amount does not exceed the Borrowing Base and (ii) the sum of (x) all Investments under this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that occur after the Extended Commitment Termination Date and (y) all Investments under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below that occur after the Extended Commitment Termination Date, shall not exceed $10,000,000 in the aggregate;</w:t>
      </w:r>
    </w:p>
    <w:p>
      <w:pPr>
        <w:spacing w:after="0" w:line="18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additional Investments up to but not exceeding $15,000,000 in the aggregate;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sum of (x) all Investments under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that occur after the Extended Commitment Termination Date and (y) all Investments under </w:t>
      </w:r>
      <w:r>
        <w:rPr>
          <w:rFonts w:ascii="Times New Roman" w:cs="Times New Roman" w:eastAsia="Times New Roman" w:hAnsi="Times New Roman"/>
          <w:sz w:val="22"/>
          <w:szCs w:val="22"/>
          <w:u w:val="single" w:color="auto"/>
          <w:color w:val="auto"/>
        </w:rPr>
        <w:t>clause (e)</w:t>
      </w:r>
      <w:r>
        <w:rPr>
          <w:rFonts w:ascii="Times New Roman" w:cs="Times New Roman" w:eastAsia="Times New Roman" w:hAnsi="Times New Roman"/>
          <w:sz w:val="22"/>
          <w:szCs w:val="22"/>
          <w:color w:val="auto"/>
        </w:rPr>
        <w:t xml:space="preserve"> above that occur after the Extended Commitment Termination Date, shall not exceed $10,000,000 in the aggregate;</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Investments in Cash and Cash Equivalents;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Investments described on </w:t>
      </w:r>
      <w:r>
        <w:rPr>
          <w:rFonts w:ascii="Times New Roman" w:cs="Times New Roman" w:eastAsia="Times New Roman" w:hAnsi="Times New Roman"/>
          <w:sz w:val="22"/>
          <w:szCs w:val="22"/>
          <w:u w:val="single" w:color="auto"/>
          <w:color w:val="auto"/>
        </w:rPr>
        <w:t>Schedule 3.12(b)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Investments by a Financing Subsidiary; and</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Investments in the form of Guarantees permitted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5" w:name="page276"/>
    <w:bookmarkEnd w:id="275"/>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For purposes of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aggregate amount of dividends, distributions or other payments received in cash in respect of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83" w:lineRule="exact"/>
        <w:rPr>
          <w:sz w:val="20"/>
          <w:szCs w:val="20"/>
          <w:color w:val="auto"/>
        </w:rPr>
      </w:pPr>
    </w:p>
    <w:p>
      <w:pPr>
        <w:jc w:val="both"/>
        <w:ind w:firstLine="1727"/>
        <w:spacing w:after="0" w:line="282" w:lineRule="auto"/>
        <w:rPr>
          <w:sz w:val="20"/>
          <w:szCs w:val="20"/>
          <w:color w:val="auto"/>
        </w:rPr>
      </w:pP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 The Borrower will not, nor will it permit any of the Subsidiary Guarantors to, declare or make, or agree to pay or make, directly or indirectly, any Restricted Payment, except that the Borrower may declare and pay:</w:t>
      </w:r>
    </w:p>
    <w:p>
      <w:pPr>
        <w:spacing w:after="0" w:line="135"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dividends with respect to the capital stock of the Borrower payable solely in additional shares of the Borrower’s common stock;</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8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dividends and distributions in each case in cash or other property (excluding for this purpose the Borrower’s common stock) in addition to the dividends and distributions permitted under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so long as on the date of such Restricted Payment and after giving effect thereto:</w:t>
      </w:r>
    </w:p>
    <w:p>
      <w:pPr>
        <w:spacing w:after="0" w:line="1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no Default shall have occurred and be continuing or would result therefrom; and</w:t>
      </w:r>
    </w:p>
    <w:p>
      <w:pPr>
        <w:spacing w:after="0" w:line="206" w:lineRule="exact"/>
        <w:rPr>
          <w:sz w:val="20"/>
          <w:szCs w:val="20"/>
          <w:color w:val="auto"/>
        </w:rPr>
      </w:pPr>
    </w:p>
    <w:p>
      <w:pPr>
        <w:jc w:val="both"/>
        <w:ind w:left="880" w:firstLine="797"/>
        <w:spacing w:after="0" w:line="249" w:lineRule="auto"/>
        <w:rPr>
          <w:sz w:val="20"/>
          <w:szCs w:val="20"/>
          <w:color w:val="auto"/>
        </w:rPr>
      </w:pPr>
      <w:r>
        <w:rPr>
          <w:rFonts w:ascii="Times New Roman" w:cs="Times New Roman" w:eastAsia="Times New Roman" w:hAnsi="Times New Roman"/>
          <w:sz w:val="21"/>
          <w:szCs w:val="21"/>
          <w:color w:val="auto"/>
        </w:rPr>
        <w:t xml:space="preserve">the aggregate amount of Restricted Payments made during any taxable year of the Borrower after the date hereof under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not exceed the difference of (x) an amount equal to 10% of the taxable income of the Borrower for such taxable year determined under section 852(b)(2) of the Code, but without regard to </w:t>
      </w:r>
      <w:r>
        <w:rPr>
          <w:rFonts w:ascii="Times New Roman" w:cs="Times New Roman" w:eastAsia="Times New Roman" w:hAnsi="Times New Roman"/>
          <w:sz w:val="21"/>
          <w:szCs w:val="21"/>
          <w:u w:val="single" w:color="auto"/>
          <w:color w:val="auto"/>
        </w:rPr>
        <w:t>subparagraphs</w:t>
      </w:r>
    </w:p>
    <w:p>
      <w:pPr>
        <w:spacing w:after="0" w:line="1" w:lineRule="exact"/>
        <w:rPr>
          <w:sz w:val="20"/>
          <w:szCs w:val="20"/>
          <w:color w:val="auto"/>
        </w:rPr>
      </w:pPr>
    </w:p>
    <w:p>
      <w:pPr>
        <w:jc w:val="both"/>
        <w:ind w:left="880"/>
        <w:spacing w:after="0" w:line="234" w:lineRule="auto"/>
        <w:rPr>
          <w:sz w:val="20"/>
          <w:szCs w:val="20"/>
          <w:color w:val="auto"/>
        </w:rPr>
      </w:pP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thereof,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(y) the amount, if any, by which dividends and distributions made during such taxable year pursuant to the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(whether in respect of such taxable year or the previous taxable year) based upon the Borrower’s estimate of taxable income exceeded the actual amounts specified in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such foregoing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for such taxable year.</w:t>
      </w:r>
    </w:p>
    <w:p>
      <w:pPr>
        <w:spacing w:after="0" w:line="177"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other Restricted Payments so long as on the date of such other Restricted Payment and after giving effect thereto (x) the Covered Debt Amount does not exceed 90% of the Borrowing Base and (y) no Default shall have occurred and be continuing or would result therefrom.</w:t>
      </w:r>
    </w:p>
    <w:p>
      <w:pPr>
        <w:spacing w:after="0" w:line="173"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Nothing herein shall be deemed to prohibit the payment of Restricted Payments by any Subsidiary of the Borrower to the Borrower or to any other Subsidiary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6" w:name="page277"/>
    <w:bookmarkEnd w:id="276"/>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Certain Restrictions on Subsidiaries</w:t>
      </w:r>
      <w:r>
        <w:rPr>
          <w:rFonts w:ascii="Times New Roman" w:cs="Times New Roman" w:eastAsia="Times New Roman" w:hAnsi="Times New Roman"/>
          <w:sz w:val="22"/>
          <w:szCs w:val="22"/>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8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Certain Financial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Minimum Shareholders’ Equity</w:t>
      </w:r>
      <w:r>
        <w:rPr>
          <w:rFonts w:ascii="Times New Roman" w:cs="Times New Roman" w:eastAsia="Times New Roman" w:hAnsi="Times New Roman"/>
          <w:sz w:val="22"/>
          <w:szCs w:val="22"/>
          <w:color w:val="auto"/>
        </w:rPr>
        <w:t>. The Borrower will not permit Shareholders’ Equity at the last day of any fiscal quarter of the Borrower to be less than $500,000,000 plus 25% of the net proceeds of the sale of Equity Interests by the Borrower and its Subsidiaries after the Ninth Amendment Effective Date (other than proceeds of sales of Equity Interests by and among the Borrower and its Subsidiaries).</w:t>
      </w:r>
    </w:p>
    <w:p>
      <w:pPr>
        <w:spacing w:after="0" w:line="180"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Minimum Borrower Net Worth</w:t>
      </w:r>
      <w:r>
        <w:rPr>
          <w:rFonts w:ascii="Times New Roman" w:cs="Times New Roman" w:eastAsia="Times New Roman" w:hAnsi="Times New Roman"/>
          <w:sz w:val="22"/>
          <w:szCs w:val="22"/>
          <w:color w:val="auto"/>
        </w:rPr>
        <w:t>. The Borrower will not permit Borrower Net Worth at the last day of any fiscal quarter of the Borrower to be less than $350,000,000.</w:t>
      </w:r>
    </w:p>
    <w:p>
      <w:pPr>
        <w:spacing w:after="0" w:line="15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Borrower Asset Coverage Ratio</w:t>
      </w:r>
      <w:r>
        <w:rPr>
          <w:rFonts w:ascii="Times New Roman" w:cs="Times New Roman" w:eastAsia="Times New Roman" w:hAnsi="Times New Roman"/>
          <w:sz w:val="22"/>
          <w:szCs w:val="22"/>
          <w:color w:val="auto"/>
        </w:rPr>
        <w:t>. The Borrower will not permit the Borrower Asset Coverage Ratio at the last day of any fiscal quarter of the Borrower to be less than 2.00 to 1 at any time.</w:t>
      </w:r>
    </w:p>
    <w:p>
      <w:pPr>
        <w:spacing w:after="0" w:line="15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Consolidated Asset Coverage Ratio</w:t>
      </w:r>
      <w:r>
        <w:rPr>
          <w:rFonts w:ascii="Times New Roman" w:cs="Times New Roman" w:eastAsia="Times New Roman" w:hAnsi="Times New Roman"/>
          <w:sz w:val="22"/>
          <w:szCs w:val="22"/>
          <w:color w:val="auto"/>
        </w:rPr>
        <w:t>. The Borrower will not permit the Consolidated Asset Coverage Ratio at the last day of any fiscal quarter of the Borrower to be less than 1.50 to 1 at any time.</w:t>
      </w:r>
    </w:p>
    <w:p>
      <w:pPr>
        <w:spacing w:after="0" w:line="15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Liquidity Test</w:t>
      </w:r>
      <w:r>
        <w:rPr>
          <w:rFonts w:ascii="Times New Roman" w:cs="Times New Roman" w:eastAsia="Times New Roman" w:hAnsi="Times New Roman"/>
          <w:sz w:val="22"/>
          <w:szCs w:val="22"/>
          <w:color w:val="auto"/>
        </w:rPr>
        <w:t>. The Borrower will not permit (a) the sum of (i) the aggregate Value of the Portfolio Investments that are Cash (excluding Cash Collateral for outstanding Letters of Credit) or that can be converted to Cash in fewer than 10 Business Days without more than a 5% change in price, plus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81"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7" w:name="page278"/>
    <w:bookmarkEnd w:id="277"/>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Subsidiary) than could be obtained on an arm’s-length basis from unrelated third parties, (b) transactions between or among the Borrower and its Subsidiaries not involving any other Affiliate, (c) Restricted Payments permitted by </w:t>
      </w:r>
      <w:r>
        <w:rPr>
          <w:rFonts w:ascii="Times New Roman" w:cs="Times New Roman" w:eastAsia="Times New Roman" w:hAnsi="Times New Roman"/>
          <w:sz w:val="22"/>
          <w:szCs w:val="22"/>
          <w:u w:val="single" w:color="auto"/>
          <w:color w:val="auto"/>
        </w:rPr>
        <w:t>Section 6.05</w:t>
      </w:r>
      <w:r>
        <w:rPr>
          <w:rFonts w:ascii="Times New Roman" w:cs="Times New Roman" w:eastAsia="Times New Roman" w:hAnsi="Times New Roman"/>
          <w:sz w:val="22"/>
          <w:szCs w:val="22"/>
          <w:color w:val="auto"/>
        </w:rPr>
        <w:t xml:space="preserve">, (d) the transactions provided in the Affiliate Agreements, (e) transactions described on </w:t>
      </w:r>
      <w:r>
        <w:rPr>
          <w:rFonts w:ascii="Times New Roman" w:cs="Times New Roman" w:eastAsia="Times New Roman" w:hAnsi="Times New Roman"/>
          <w:sz w:val="22"/>
          <w:szCs w:val="22"/>
          <w:u w:val="single" w:color="auto"/>
          <w:color w:val="auto"/>
        </w:rPr>
        <w:t>Schedule 6.08</w:t>
      </w:r>
      <w:r>
        <w:rPr>
          <w:rFonts w:ascii="Times New Roman" w:cs="Times New Roman" w:eastAsia="Times New Roman" w:hAnsi="Times New Roman"/>
          <w:sz w:val="22"/>
          <w:szCs w:val="22"/>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8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Lines of Business</w:t>
      </w:r>
      <w:r>
        <w:rPr>
          <w:rFonts w:ascii="Times New Roman" w:cs="Times New Roman" w:eastAsia="Times New Roman" w:hAnsi="Times New Roman"/>
          <w:sz w:val="22"/>
          <w:szCs w:val="22"/>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0"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u w:val="single" w:color="auto"/>
          <w:color w:val="auto"/>
        </w:rPr>
        <w:t>No Further Negative Pledge</w:t>
      </w:r>
      <w:r>
        <w:rPr>
          <w:rFonts w:ascii="Times New Roman" w:cs="Times New Roman" w:eastAsia="Times New Roman" w:hAnsi="Times New Roman"/>
          <w:sz w:val="21"/>
          <w:szCs w:val="21"/>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cs="Times New Roman" w:eastAsia="Times New Roman" w:hAnsi="Times New Roman"/>
          <w:sz w:val="21"/>
          <w:szCs w:val="21"/>
          <w:u w:val="single" w:color="auto"/>
          <w:color w:val="auto"/>
        </w:rPr>
        <w:t>Section 6.01(b),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or</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xml:space="preserve">; (b) covenants in documents creating Liens permitted by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w:t>
      </w:r>
    </w:p>
    <w:p>
      <w:pPr>
        <w:spacing w:after="0" w:line="2" w:lineRule="exact"/>
        <w:rPr>
          <w:sz w:val="20"/>
          <w:szCs w:val="20"/>
          <w:color w:val="auto"/>
        </w:rPr>
      </w:pPr>
    </w:p>
    <w:p>
      <w:pPr>
        <w:jc w:val="both"/>
        <w:ind w:firstLine="8"/>
        <w:spacing w:after="0" w:line="245" w:lineRule="auto"/>
        <w:tabs>
          <w:tab w:leader="none" w:pos="31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74"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Modifications of Longer-Term Indebtedness Documents</w:t>
      </w:r>
      <w:r>
        <w:rPr>
          <w:rFonts w:ascii="Times New Roman" w:cs="Times New Roman" w:eastAsia="Times New Roman" w:hAnsi="Times New Roman"/>
          <w:sz w:val="22"/>
          <w:szCs w:val="22"/>
          <w:color w:val="auto"/>
        </w:rPr>
        <w:t>. The Borrower will not consent to any modification, supplement or waiver of:</w:t>
      </w:r>
    </w:p>
    <w:p>
      <w:pPr>
        <w:spacing w:after="0" w:line="158" w:lineRule="exact"/>
        <w:rPr>
          <w:sz w:val="20"/>
          <w:szCs w:val="20"/>
          <w:color w:val="auto"/>
        </w:rPr>
      </w:pPr>
    </w:p>
    <w:p>
      <w:pPr>
        <w:jc w:val="both"/>
        <w:ind w:firstLine="1727"/>
        <w:spacing w:after="0" w:line="248" w:lineRule="auto"/>
        <w:rPr>
          <w:sz w:val="20"/>
          <w:szCs w:val="20"/>
          <w:color w:val="auto"/>
        </w:rPr>
      </w:pPr>
      <w:r>
        <w:rPr>
          <w:rFonts w:ascii="Times New Roman" w:cs="Times New Roman" w:eastAsia="Times New Roman" w:hAnsi="Times New Roman"/>
          <w:sz w:val="21"/>
          <w:szCs w:val="21"/>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8" w:name="page279"/>
    <w:bookmarkEnd w:id="278"/>
    <w:p>
      <w:pPr>
        <w:jc w:val="both"/>
        <w:spacing w:after="0" w:line="239" w:lineRule="auto"/>
        <w:rPr>
          <w:sz w:val="20"/>
          <w:szCs w:val="20"/>
          <w:color w:val="auto"/>
        </w:rPr>
      </w:pPr>
      <w:r>
        <w:rPr>
          <w:rFonts w:ascii="Times New Roman" w:cs="Times New Roman" w:eastAsia="Times New Roman" w:hAnsi="Times New Roman"/>
          <w:sz w:val="22"/>
          <w:szCs w:val="22"/>
          <w:color w:val="auto"/>
        </w:rPr>
        <w:t>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8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73" w:lineRule="exact"/>
        <w:rPr>
          <w:sz w:val="20"/>
          <w:szCs w:val="20"/>
          <w:color w:val="auto"/>
        </w:rPr>
      </w:pPr>
    </w:p>
    <w:p>
      <w:pPr>
        <w:jc w:val="both"/>
        <w:ind w:firstLine="1727"/>
        <w:spacing w:after="0" w:line="231" w:lineRule="auto"/>
        <w:rPr>
          <w:sz w:val="20"/>
          <w:szCs w:val="20"/>
          <w:color w:val="auto"/>
        </w:rPr>
      </w:pPr>
      <w:r>
        <w:rPr>
          <w:rFonts w:ascii="Times New Roman" w:cs="Times New Roman" w:eastAsia="Times New Roman" w:hAnsi="Times New Roman"/>
          <w:sz w:val="22"/>
          <w:szCs w:val="22"/>
          <w:u w:val="single" w:color="auto"/>
          <w:color w:val="auto"/>
        </w:rPr>
        <w:t>Payments of Longer-Term Indebtedness, the 2022 Convertible Notes, the 2023 Notes, the 2024 Notes and the 2026 Notes</w:t>
      </w:r>
      <w:r>
        <w:rPr>
          <w:rFonts w:ascii="Times New Roman" w:cs="Times New Roman" w:eastAsia="Times New Roman" w:hAnsi="Times New Roman"/>
          <w:sz w:val="22"/>
          <w:szCs w:val="22"/>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2022 Convertible Notes, the 2023 Notes, the 2024 Notes or the 2026 Notes (other than the refinancing of Secured Longer-Term Indebtedness, Unsecured Longer-Term Indebtedness, Special Unsecured Indebtedness, the 2022 Convertible Notes, the 2023 Notes, the 2024 Notes or the 2026 Notes with Indebtedness permitted under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(b) so long as no Default shall exist or be continuing, any payment that, if treated as a Restricted Payment for purposes of </w:t>
      </w:r>
      <w:r>
        <w:rPr>
          <w:rFonts w:ascii="Times New Roman" w:cs="Times New Roman" w:eastAsia="Times New Roman" w:hAnsi="Times New Roman"/>
          <w:sz w:val="22"/>
          <w:szCs w:val="22"/>
          <w:u w:val="single" w:color="auto"/>
          <w:color w:val="auto"/>
        </w:rPr>
        <w:t>Section 6.05(d)</w:t>
      </w:r>
      <w:r>
        <w:rPr>
          <w:rFonts w:ascii="Times New Roman" w:cs="Times New Roman" w:eastAsia="Times New Roman" w:hAnsi="Times New Roman"/>
          <w:sz w:val="22"/>
          <w:szCs w:val="22"/>
          <w:color w:val="auto"/>
        </w:rPr>
        <w:t xml:space="preserve">, would be permitted to be made pursuant to the provisions set forth in </w:t>
      </w:r>
      <w:r>
        <w:rPr>
          <w:rFonts w:ascii="Times New Roman" w:cs="Times New Roman" w:eastAsia="Times New Roman" w:hAnsi="Times New Roman"/>
          <w:sz w:val="22"/>
          <w:szCs w:val="22"/>
          <w:u w:val="single" w:color="auto"/>
          <w:color w:val="auto"/>
        </w:rPr>
        <w:t>Section 6.05(d)</w:t>
      </w:r>
      <w:r>
        <w:rPr>
          <w:rFonts w:ascii="Times New Roman" w:cs="Times New Roman" w:eastAsia="Times New Roman" w:hAnsi="Times New Roman"/>
          <w:sz w:val="22"/>
          <w:szCs w:val="22"/>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and (ii) no Default shall exist or be continuing; (d) mandatory payments, required prepayments or mandatory redemptions of the 2022 Convertible Notes, any other convertible notes constituting Unsecured Longer-Term Indebtedness or Special Unsecured Indebtedness in Cash (including any cash payment elected to be paid in connection with the settlement by the Borrower of any conversion at the option of any holder of such 2022 Convertible Notes or other convertible notes pursuant to the conversion features thereunder), the 2023 Notes, the 2024 Notes and the 2026 Notes,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9" w:name="page280"/>
    <w:bookmarkEnd w:id="279"/>
    <w:p>
      <w:pPr>
        <w:ind w:left="1740"/>
        <w:spacing w:after="0"/>
        <w:rPr>
          <w:sz w:val="20"/>
          <w:szCs w:val="20"/>
          <w:color w:val="auto"/>
        </w:rPr>
      </w:pPr>
      <w:r>
        <w:rPr>
          <w:rFonts w:ascii="Times New Roman" w:cs="Times New Roman" w:eastAsia="Times New Roman" w:hAnsi="Times New Roman"/>
          <w:sz w:val="21"/>
          <w:szCs w:val="21"/>
          <w:u w:val="single" w:color="auto"/>
          <w:color w:val="auto"/>
        </w:rPr>
        <w:t>Accounting Changes</w:t>
      </w:r>
      <w:r>
        <w:rPr>
          <w:rFonts w:ascii="Times New Roman" w:cs="Times New Roman" w:eastAsia="Times New Roman" w:hAnsi="Times New Roman"/>
          <w:sz w:val="21"/>
          <w:szCs w:val="21"/>
          <w:color w:val="auto"/>
        </w:rPr>
        <w:t>. The Borrower will not, nor will it permit any of its Subsidiaries to, make any change in</w:t>
      </w:r>
    </w:p>
    <w:p>
      <w:pPr>
        <w:spacing w:after="0" w:line="26" w:lineRule="exact"/>
        <w:rPr>
          <w:sz w:val="20"/>
          <w:szCs w:val="20"/>
          <w:color w:val="auto"/>
        </w:rPr>
      </w:pPr>
    </w:p>
    <w:p>
      <w:pPr>
        <w:ind w:firstLine="8"/>
        <w:spacing w:after="0" w:line="237" w:lineRule="auto"/>
        <w:tabs>
          <w:tab w:leader="none" w:pos="31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accounting policies or reporting practices, except as permitted under GAAP or required by law or rule or regulation of any Governmental Authority, or (b) its fiscal year.</w:t>
      </w:r>
    </w:p>
    <w:p>
      <w:pPr>
        <w:spacing w:after="0" w:line="178"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SBIC Guarantee</w:t>
      </w:r>
      <w:r>
        <w:rPr>
          <w:rFonts w:ascii="Times New Roman" w:cs="Times New Roman" w:eastAsia="Times New Roman" w:hAnsi="Times New Roman"/>
          <w:sz w:val="22"/>
          <w:szCs w:val="22"/>
          <w:color w:val="auto"/>
        </w:rPr>
        <w:t>. The Borrower will not, nor will it permit any of its Subsidiaries to, cause or permit the occurrence of any event or condition that would result in any recourse to any Obligor under any Permitted SBIC Guarantee.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If any of the following events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shall occur and be continuing:</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on the Extended Commitment Termination Date or as required by </w:t>
      </w:r>
      <w:r>
        <w:rPr>
          <w:rFonts w:ascii="Times New Roman" w:cs="Times New Roman" w:eastAsia="Times New Roman" w:hAnsi="Times New Roman"/>
          <w:sz w:val="22"/>
          <w:szCs w:val="22"/>
          <w:u w:val="single" w:color="auto"/>
          <w:color w:val="auto"/>
        </w:rPr>
        <w:t>Section 2.20(b)</w:t>
      </w:r>
      <w:r>
        <w:rPr>
          <w:rFonts w:ascii="Times New Roman" w:cs="Times New Roman" w:eastAsia="Times New Roman" w:hAnsi="Times New Roman"/>
          <w:sz w:val="22"/>
          <w:szCs w:val="22"/>
          <w:color w:val="auto"/>
        </w:rPr>
        <w:t xml:space="preserve"> on the date so required;</w:t>
      </w:r>
    </w:p>
    <w:p>
      <w:pPr>
        <w:spacing w:after="0" w:line="18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the Borrower shall fail to observe or perform any covenant, condition or agreement contained in</w:t>
      </w:r>
    </w:p>
    <w:p>
      <w:pPr>
        <w:spacing w:after="0" w:line="14" w:lineRule="exact"/>
        <w:rPr>
          <w:sz w:val="20"/>
          <w:szCs w:val="20"/>
          <w:color w:val="auto"/>
        </w:rPr>
      </w:pPr>
    </w:p>
    <w:p>
      <w:pPr>
        <w:jc w:val="both"/>
        <w:ind w:firstLine="8"/>
        <w:spacing w:after="0" w:line="230" w:lineRule="auto"/>
        <w:tabs>
          <w:tab w:leader="none" w:pos="25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(with respect to the Borrower’s existence) or </w:t>
      </w:r>
      <w:r>
        <w:rPr>
          <w:rFonts w:ascii="Times New Roman" w:cs="Times New Roman" w:eastAsia="Times New Roman" w:hAnsi="Times New Roman"/>
          <w:sz w:val="22"/>
          <w:szCs w:val="22"/>
          <w:u w:val="single" w:color="auto"/>
          <w:color w:val="auto"/>
        </w:rPr>
        <w:t>Sections 5.08(a)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any Obligor shall default in the performance of any of its obligations contained in Sections 3 and 7 of the Guarantee and Security Agreement or</w:t>
      </w:r>
    </w:p>
    <w:p>
      <w:pPr>
        <w:spacing w:after="0" w:line="1" w:lineRule="exact"/>
        <w:rPr>
          <w:rFonts w:ascii="Times New Roman" w:cs="Times New Roman" w:eastAsia="Times New Roman" w:hAnsi="Times New Roman"/>
          <w:sz w:val="22"/>
          <w:szCs w:val="22"/>
          <w:color w:val="auto"/>
        </w:rPr>
      </w:pPr>
    </w:p>
    <w:p>
      <w:pPr>
        <w:ind w:firstLine="8"/>
        <w:spacing w:after="0" w:line="237" w:lineRule="auto"/>
        <w:tabs>
          <w:tab w:leader="none" w:pos="33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Sections 5.01(e)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5.02</w:t>
      </w:r>
      <w:r>
        <w:rPr>
          <w:rFonts w:ascii="Times New Roman" w:cs="Times New Roman" w:eastAsia="Times New Roman" w:hAnsi="Times New Roman"/>
          <w:sz w:val="22"/>
          <w:szCs w:val="22"/>
          <w:color w:val="auto"/>
        </w:rPr>
        <w:t xml:space="preserve"> and such failure shall continue unremedied for a period of five or more days after notice thereof by the Administrative Agent (given at the request of any Lender) to the Borrower;</w:t>
      </w:r>
    </w:p>
    <w:p>
      <w:pPr>
        <w:spacing w:after="0" w:line="17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Times New Roman" w:cs="Times New Roman" w:eastAsia="Times New Roman" w:hAnsi="Times New Roman"/>
          <w:sz w:val="22"/>
          <w:szCs w:val="22"/>
          <w:u w:val="single" w:color="auto"/>
          <w:color w:val="auto"/>
        </w:rPr>
        <w:t>Section 5.01(e)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80" w:name="page281"/>
    <w:bookmarkEnd w:id="280"/>
    <w:p>
      <w:pPr>
        <w:jc w:val="both"/>
        <w:spacing w:after="0" w:line="258" w:lineRule="auto"/>
        <w:rPr>
          <w:sz w:val="20"/>
          <w:szCs w:val="20"/>
          <w:color w:val="auto"/>
        </w:rPr>
      </w:pPr>
      <w:r>
        <w:rPr>
          <w:rFonts w:ascii="Times New Roman" w:cs="Times New Roman" w:eastAsia="Times New Roman" w:hAnsi="Times New Roman"/>
          <w:sz w:val="22"/>
          <w:szCs w:val="22"/>
          <w:color w:val="auto"/>
        </w:rPr>
        <w:t>the five Business Days permitted for delivery of such plan), so long as such Borrowing Base Deficiency is cured within such 30-Business Day period;</w:t>
      </w:r>
    </w:p>
    <w:p>
      <w:pPr>
        <w:spacing w:after="0" w:line="158"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the Borrower or any Obligor, as applicable, shall fail to observe or perform any covenant, condition or agreement contained in this Agreement (other than those specified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0"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7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cs="Times New Roman" w:eastAsia="Times New Roman" w:hAnsi="Times New Roman"/>
          <w:sz w:val="22"/>
          <w:szCs w:val="22"/>
          <w:u w:val="single" w:color="auto"/>
          <w:color w:val="auto"/>
        </w:rPr>
        <w:t>Section 6.12</w:t>
      </w:r>
      <w:r>
        <w:rPr>
          <w:rFonts w:ascii="Times New Roman" w:cs="Times New Roman" w:eastAsia="Times New Roman" w:hAnsi="Times New Roman"/>
          <w:sz w:val="22"/>
          <w:szCs w:val="22"/>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(h)</w:t>
      </w:r>
      <w:r>
        <w:rPr>
          <w:rFonts w:ascii="Times New Roman" w:cs="Times New Roman" w:eastAsia="Times New Roman" w:hAnsi="Times New Roman"/>
          <w:sz w:val="22"/>
          <w:szCs w:val="22"/>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an  involuntary  proceeding  shall  be  commenced  or  an  involuntary  petition  shall  be  filed  seeking</w:t>
      </w:r>
    </w:p>
    <w:p>
      <w:pPr>
        <w:spacing w:after="0" w:line="14" w:lineRule="exact"/>
        <w:rPr>
          <w:sz w:val="20"/>
          <w:szCs w:val="20"/>
          <w:color w:val="auto"/>
        </w:rPr>
      </w:pPr>
    </w:p>
    <w:p>
      <w:pPr>
        <w:jc w:val="both"/>
        <w:ind w:firstLine="8"/>
        <w:spacing w:after="0" w:line="232" w:lineRule="auto"/>
        <w:tabs>
          <w:tab w:leader="none" w:pos="30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83"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1" w:name="page282"/>
    <w:bookmarkEnd w:id="281"/>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the Borrower or any of its Subsidiaries (other than Immaterial Subsidiaries) shall become unable, admit in writing its inability or fail generally to pay its debts as they become due;</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color w:val="auto"/>
        </w:rPr>
        <w:t>one or more judgments for the payment of money in an aggregate amount in excess of $25,000,000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77" w:lineRule="exact"/>
        <w:rPr>
          <w:sz w:val="20"/>
          <w:szCs w:val="20"/>
          <w:color w:val="auto"/>
        </w:rPr>
      </w:pPr>
    </w:p>
    <w:p>
      <w:pPr>
        <w:jc w:val="both"/>
        <w:ind w:right="20" w:firstLine="1727"/>
        <w:spacing w:after="0" w:line="258" w:lineRule="auto"/>
        <w:rPr>
          <w:sz w:val="20"/>
          <w:szCs w:val="20"/>
          <w:color w:val="auto"/>
        </w:rPr>
      </w:pPr>
      <w:r>
        <w:rPr>
          <w:rFonts w:ascii="Times New Roman" w:cs="Times New Roman" w:eastAsia="Times New Roman" w:hAnsi="Times New Roman"/>
          <w:sz w:val="22"/>
          <w:szCs w:val="22"/>
          <w:color w:val="auto"/>
        </w:rPr>
        <w:t>an ERISA Event shall have occurred that, in the opinion of the Required Lenders, when taken together with all other ERISA Events that have occurred, could reasonably be expected to result in a Material Adverse Effect;</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a Change in Control shall occur;</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the Borrower shall cease to be managed by the External Manager or an Affiliate thereof;</w:t>
      </w:r>
    </w:p>
    <w:p>
      <w:pPr>
        <w:spacing w:after="0" w:line="206"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if, prior to the Extended Final Maturity Date, both of the principals of the External Manager (who initially will be Alan Waxman and Joshua Easterly) fail to remain actively involved in the investment activities of the Borrower and the other investment vehicles managed by TSSP Management Holdings,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81"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81"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the Obligors shall at any time, without the consent of the Required Lenders fail to comply with the covenant contained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2" w:name="page283"/>
    <w:bookmarkEnd w:id="282"/>
    <w:p>
      <w:pPr>
        <w:ind w:firstLine="1727"/>
        <w:spacing w:after="0" w:line="258" w:lineRule="auto"/>
        <w:rPr>
          <w:sz w:val="20"/>
          <w:szCs w:val="20"/>
          <w:color w:val="auto"/>
        </w:rPr>
      </w:pPr>
      <w:r>
        <w:rPr>
          <w:rFonts w:ascii="Times New Roman" w:cs="Times New Roman" w:eastAsia="Times New Roman" w:hAnsi="Times New Roman"/>
          <w:sz w:val="22"/>
          <w:szCs w:val="22"/>
          <w:color w:val="auto"/>
        </w:rPr>
        <w:t>the Borrower or any of its Subsidiaries shall cause or permit the occurrence of any condition or event that would result in any recourse to any Obligor under any Permitted SBIC Guarantee;</w:t>
      </w:r>
    </w:p>
    <w:p>
      <w:pPr>
        <w:spacing w:after="0" w:line="158"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22"/>
          <w:szCs w:val="22"/>
          <w:color w:val="auto"/>
        </w:rPr>
        <w:t>ARTICLE XII</w:t>
      </w:r>
      <w:r>
        <w:rPr>
          <w:sz w:val="20"/>
          <w:szCs w:val="20"/>
          <w:color w:val="auto"/>
        </w:rPr>
        <w:tab/>
      </w:r>
      <w:r>
        <w:rPr>
          <w:rFonts w:ascii="Times New Roman" w:cs="Times New Roman" w:eastAsia="Times New Roman" w:hAnsi="Times New Roman"/>
          <w:sz w:val="22"/>
          <w:szCs w:val="22"/>
          <w:color w:val="auto"/>
        </w:rPr>
        <w:t xml:space="preserve">then, and in every such event (other than an event with respect to the Borrower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w:t>
      </w:r>
    </w:p>
    <w:p>
      <w:pPr>
        <w:spacing w:after="0" w:line="14" w:lineRule="exact"/>
        <w:rPr>
          <w:sz w:val="20"/>
          <w:szCs w:val="20"/>
          <w:color w:val="auto"/>
        </w:rPr>
      </w:pPr>
    </w:p>
    <w:p>
      <w:pPr>
        <w:jc w:val="both"/>
        <w:ind w:firstLine="8"/>
        <w:spacing w:after="0" w:line="231" w:lineRule="auto"/>
        <w:tabs>
          <w:tab w:leader="none" w:pos="280" w:val="left"/>
        </w:tabs>
        <w:numPr>
          <w:ilvl w:val="0"/>
          <w:numId w:val="1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86"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of this Article.</w:t>
      </w:r>
    </w:p>
    <w:p>
      <w:pPr>
        <w:spacing w:after="0" w:line="183"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Times New Roman" w:cs="Times New Roman" w:eastAsia="Times New Roman" w:hAnsi="Times New Roman"/>
          <w:sz w:val="21"/>
          <w:szCs w:val="21"/>
          <w:u w:val="single" w:color="auto"/>
          <w:color w:val="auto"/>
        </w:rPr>
        <w:t>clause</w:t>
      </w:r>
    </w:p>
    <w:p>
      <w:pPr>
        <w:spacing w:after="0" w:line="1" w:lineRule="exact"/>
        <w:rPr>
          <w:sz w:val="20"/>
          <w:szCs w:val="20"/>
          <w:color w:val="auto"/>
        </w:rPr>
      </w:pPr>
    </w:p>
    <w:p>
      <w:pPr>
        <w:jc w:val="both"/>
        <w:ind w:firstLine="8"/>
        <w:spacing w:after="0" w:line="232" w:lineRule="auto"/>
        <w:tabs>
          <w:tab w:leader="none" w:pos="309" w:val="left"/>
        </w:tabs>
        <w:numPr>
          <w:ilvl w:val="0"/>
          <w:numId w:val="1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Times New Roman" w:cs="Times New Roman" w:eastAsia="Times New Roman" w:hAnsi="Times New Roman"/>
          <w:sz w:val="22"/>
          <w:szCs w:val="22"/>
          <w:u w:val="single" w:color="auto"/>
          <w:color w:val="auto"/>
        </w:rPr>
        <w:t>Section 9.04</w:t>
      </w:r>
      <w:r>
        <w:rPr>
          <w:rFonts w:ascii="Times New Roman" w:cs="Times New Roman" w:eastAsia="Times New Roman" w:hAnsi="Times New Roman"/>
          <w:sz w:val="22"/>
          <w:szCs w:val="22"/>
          <w:color w:val="auto"/>
        </w:rPr>
        <w:t xml:space="preserve"> and the Borrower hereby consents and agrees to the CAM Exchange. The Borrower and the Lenders agree from time to time to execute and deliver to the Administrative Agent all such promissory notes and other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3" w:name="page284"/>
    <w:bookmarkEnd w:id="283"/>
    <w:p>
      <w:pPr>
        <w:jc w:val="both"/>
        <w:spacing w:after="0" w:line="235" w:lineRule="auto"/>
        <w:rPr>
          <w:sz w:val="20"/>
          <w:szCs w:val="20"/>
          <w:color w:val="auto"/>
        </w:rPr>
      </w:pPr>
      <w:r>
        <w:rPr>
          <w:rFonts w:ascii="Times New Roman" w:cs="Times New Roman" w:eastAsia="Times New Roman" w:hAnsi="Times New Roman"/>
          <w:sz w:val="22"/>
          <w:szCs w:val="22"/>
          <w:color w:val="auto"/>
        </w:rPr>
        <w:t>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06" w:lineRule="exact"/>
        <w:rPr>
          <w:sz w:val="20"/>
          <w:szCs w:val="20"/>
          <w:color w:val="auto"/>
        </w:rPr>
      </w:pPr>
    </w:p>
    <w:p>
      <w:pPr>
        <w:jc w:val="both"/>
        <w:ind w:firstLine="1727"/>
        <w:spacing w:after="0" w:line="248" w:lineRule="auto"/>
        <w:rPr>
          <w:sz w:val="20"/>
          <w:szCs w:val="20"/>
          <w:color w:val="auto"/>
        </w:rPr>
      </w:pPr>
      <w:r>
        <w:rPr>
          <w:rFonts w:ascii="Times New Roman" w:cs="Times New Roman" w:eastAsia="Times New Roman" w:hAnsi="Times New Roman"/>
          <w:sz w:val="21"/>
          <w:szCs w:val="21"/>
          <w:u w:val="single" w:color="auto"/>
          <w:color w:val="auto"/>
        </w:rPr>
        <w:t>Appointment of the Administrative Agent</w:t>
      </w:r>
      <w:r>
        <w:rPr>
          <w:rFonts w:ascii="Times New Roman" w:cs="Times New Roman" w:eastAsia="Times New Roman" w:hAnsi="Times New Roman"/>
          <w:sz w:val="21"/>
          <w:szCs w:val="21"/>
          <w:color w:val="auto"/>
        </w:rPr>
        <w:t>.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70"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Capacity as Lender</w:t>
      </w:r>
      <w:r>
        <w:rPr>
          <w:rFonts w:ascii="Times New Roman" w:cs="Times New Roman" w:eastAsia="Times New Roman" w:hAnsi="Times New Roman"/>
          <w:sz w:val="22"/>
          <w:szCs w:val="22"/>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0" w:lineRule="exact"/>
        <w:rPr>
          <w:sz w:val="20"/>
          <w:szCs w:val="20"/>
          <w:color w:val="auto"/>
        </w:rPr>
      </w:pPr>
    </w:p>
    <w:p>
      <w:pPr>
        <w:jc w:val="both"/>
        <w:ind w:firstLine="1727"/>
        <w:spacing w:after="0" w:line="245" w:lineRule="auto"/>
        <w:rPr>
          <w:sz w:val="20"/>
          <w:szCs w:val="20"/>
          <w:color w:val="auto"/>
        </w:rPr>
      </w:pPr>
      <w:r>
        <w:rPr>
          <w:rFonts w:ascii="Times New Roman" w:cs="Times New Roman" w:eastAsia="Times New Roman" w:hAnsi="Times New Roman"/>
          <w:sz w:val="21"/>
          <w:szCs w:val="21"/>
          <w:u w:val="single" w:color="auto"/>
          <w:color w:val="auto"/>
        </w:rPr>
        <w:t>Limitation of Duties; Exculpation</w:t>
      </w:r>
      <w:r>
        <w:rPr>
          <w:rFonts w:ascii="Times New Roman" w:cs="Times New Roman" w:eastAsia="Times New Roman" w:hAnsi="Times New Roman"/>
          <w:sz w:val="21"/>
          <w:szCs w:val="21"/>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4" w:name="page285"/>
    <w:bookmarkEnd w:id="284"/>
    <w:p>
      <w:pPr>
        <w:spacing w:after="0" w:line="253" w:lineRule="auto"/>
        <w:rPr>
          <w:sz w:val="20"/>
          <w:szCs w:val="20"/>
          <w:color w:val="auto"/>
        </w:rPr>
      </w:pPr>
      <w:r>
        <w:rPr>
          <w:rFonts w:ascii="Times New Roman" w:cs="Times New Roman" w:eastAsia="Times New Roman" w:hAnsi="Times New Roman"/>
          <w:sz w:val="21"/>
          <w:szCs w:val="21"/>
          <w:color w:val="auto"/>
        </w:rPr>
        <w:t>deemed not to have knowledge of any Default unless and until written notice thereof is given to the Administrative Agent by the Borrower or a Lender, and the Administrative Agent shall not be responsible for or have any duty to ascertain or inquire into</w:t>
      </w:r>
    </w:p>
    <w:p>
      <w:pPr>
        <w:spacing w:after="0" w:line="1" w:lineRule="exact"/>
        <w:rPr>
          <w:sz w:val="20"/>
          <w:szCs w:val="20"/>
          <w:color w:val="auto"/>
        </w:rPr>
      </w:pPr>
    </w:p>
    <w:p>
      <w:pPr>
        <w:jc w:val="both"/>
        <w:ind w:firstLine="8"/>
        <w:spacing w:after="0" w:line="241" w:lineRule="auto"/>
        <w:tabs>
          <w:tab w:leader="none" w:pos="265"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1" w:lineRule="exact"/>
        <w:rPr>
          <w:rFonts w:ascii="Times New Roman" w:cs="Times New Roman" w:eastAsia="Times New Roman" w:hAnsi="Times New Roman"/>
          <w:sz w:val="21"/>
          <w:szCs w:val="21"/>
          <w:color w:val="auto"/>
        </w:rPr>
      </w:pPr>
    </w:p>
    <w:p>
      <w:pPr>
        <w:ind w:left="400" w:hanging="392"/>
        <w:spacing w:after="0" w:line="230" w:lineRule="auto"/>
        <w:tabs>
          <w:tab w:leader="none" w:pos="4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or observance of any of the covenants, agreements or other terms or conditions set forth herein or therein,</w:t>
      </w:r>
    </w:p>
    <w:p>
      <w:pPr>
        <w:jc w:val="both"/>
        <w:ind w:firstLine="8"/>
        <w:spacing w:after="0" w:line="235" w:lineRule="auto"/>
        <w:tabs>
          <w:tab w:leader="none" w:pos="425"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herein or therein, other than to confirm receipt of items expressly required to be delivered to the Administrative Agent.</w:t>
      </w:r>
    </w:p>
    <w:p>
      <w:pPr>
        <w:spacing w:after="0" w:line="178" w:lineRule="exact"/>
        <w:rPr>
          <w:sz w:val="20"/>
          <w:szCs w:val="20"/>
          <w:color w:val="auto"/>
        </w:rPr>
      </w:pPr>
    </w:p>
    <w:p>
      <w:pPr>
        <w:jc w:val="both"/>
        <w:ind w:firstLine="1727"/>
        <w:spacing w:after="0" w:line="248" w:lineRule="auto"/>
        <w:rPr>
          <w:sz w:val="20"/>
          <w:szCs w:val="20"/>
          <w:color w:val="auto"/>
        </w:rPr>
      </w:pPr>
      <w:r>
        <w:rPr>
          <w:rFonts w:ascii="Times New Roman" w:cs="Times New Roman" w:eastAsia="Times New Roman" w:hAnsi="Times New Roman"/>
          <w:sz w:val="21"/>
          <w:szCs w:val="21"/>
          <w:u w:val="single" w:color="auto"/>
          <w:color w:val="auto"/>
        </w:rPr>
        <w:t>Reliance</w:t>
      </w:r>
      <w:r>
        <w:rPr>
          <w:rFonts w:ascii="Times New Roman" w:cs="Times New Roman" w:eastAsia="Times New Roman" w:hAnsi="Times New Roman"/>
          <w:sz w:val="21"/>
          <w:szCs w:val="21"/>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0"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Sub-Agents</w:t>
      </w:r>
      <w:r>
        <w:rPr>
          <w:rFonts w:ascii="Times New Roman" w:cs="Times New Roman" w:eastAsia="Times New Roman" w:hAnsi="Times New Roman"/>
          <w:sz w:val="22"/>
          <w:szCs w:val="22"/>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8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Resignation; Successor Administrative Agent</w:t>
      </w:r>
      <w:r>
        <w:rPr>
          <w:rFonts w:ascii="Times New Roman" w:cs="Times New Roman" w:eastAsia="Times New Roman" w:hAnsi="Times New Roman"/>
          <w:sz w:val="22"/>
          <w:szCs w:val="22"/>
          <w:color w:val="auto"/>
        </w:rPr>
        <w:t>. The Administrative Agent may resign at any time by notifying the Lenders, the Issuing Banks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5" w:name="page286"/>
    <w:bookmarkEnd w:id="285"/>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Times New Roman" w:cs="Times New Roman" w:eastAsia="Times New Roman" w:hAnsi="Times New Roman"/>
          <w:sz w:val="22"/>
          <w:szCs w:val="22"/>
          <w:u w:val="single" w:color="auto"/>
          <w:color w:val="auto"/>
        </w:rPr>
        <w:t>Section 9.03</w:t>
      </w:r>
      <w:r>
        <w:rPr>
          <w:rFonts w:ascii="Times New Roman" w:cs="Times New Roman" w:eastAsia="Times New Roman" w:hAnsi="Times New Roman"/>
          <w:sz w:val="22"/>
          <w:szCs w:val="22"/>
          <w:color w:val="auto"/>
        </w:rPr>
        <w:t xml:space="preserve"> shall continue in effect for its benefit in respect of any actions taken or omitted to be taken by it while it was acting as Administrative Agent.</w:t>
      </w:r>
    </w:p>
    <w:p>
      <w:pPr>
        <w:spacing w:after="0" w:line="18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78"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u w:val="single" w:color="auto"/>
          <w:color w:val="auto"/>
        </w:rPr>
        <w:t>Reliance by Lenders</w:t>
      </w:r>
      <w:r>
        <w:rPr>
          <w:rFonts w:ascii="Times New Roman" w:cs="Times New Roman" w:eastAsia="Times New Roman" w:hAnsi="Times New Roman"/>
          <w:sz w:val="21"/>
          <w:szCs w:val="21"/>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71"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7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Modifications to Loan Documents</w:t>
      </w:r>
      <w:r>
        <w:rPr>
          <w:rFonts w:ascii="Times New Roman" w:cs="Times New Roman" w:eastAsia="Times New Roman" w:hAnsi="Times New Roman"/>
          <w:sz w:val="22"/>
          <w:szCs w:val="22"/>
          <w:color w:val="auto"/>
        </w:rPr>
        <w:t xml:space="preserve">. Except as otherwise provided in </w:t>
      </w:r>
      <w:r>
        <w:rPr>
          <w:rFonts w:ascii="Times New Roman" w:cs="Times New Roman" w:eastAsia="Times New Roman" w:hAnsi="Times New Roman"/>
          <w:sz w:val="22"/>
          <w:szCs w:val="22"/>
          <w:u w:val="single" w:color="auto"/>
          <w:color w:val="auto"/>
        </w:rPr>
        <w:t>Section 2.22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9.02(b)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the prior consent of each Lender,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6" w:name="page287"/>
    <w:bookmarkEnd w:id="286"/>
    <w:p>
      <w:pPr>
        <w:jc w:val="both"/>
        <w:spacing w:after="0" w:line="235" w:lineRule="auto"/>
        <w:rPr>
          <w:sz w:val="20"/>
          <w:szCs w:val="20"/>
          <w:color w:val="auto"/>
        </w:rPr>
      </w:pPr>
      <w:r>
        <w:rPr>
          <w:rFonts w:ascii="Times New Roman" w:cs="Times New Roman" w:eastAsia="Times New Roman" w:hAnsi="Times New Roman"/>
          <w:sz w:val="22"/>
          <w:szCs w:val="22"/>
          <w:color w:val="auto"/>
        </w:rPr>
        <w:t>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Notices; Electronic Communications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if to the Borrower, to it at:</w:t>
      </w:r>
    </w:p>
    <w:p>
      <w:pPr>
        <w:spacing w:after="0" w:line="206" w:lineRule="exact"/>
        <w:rPr>
          <w:sz w:val="20"/>
          <w:szCs w:val="20"/>
          <w:color w:val="auto"/>
        </w:rPr>
      </w:pPr>
    </w:p>
    <w:p>
      <w:pPr>
        <w:ind w:left="3460" w:right="1420" w:hanging="860"/>
        <w:spacing w:after="0" w:line="241" w:lineRule="auto"/>
        <w:tabs>
          <w:tab w:leader="none" w:pos="34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Street Specialty Lending, Inc. (F/K/A TPG Specialty Lending, Inc.) 888 Seventh Avenue, 35</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Floor</w:t>
      </w:r>
    </w:p>
    <w:p>
      <w:pPr>
        <w:spacing w:after="0" w:line="1" w:lineRule="exact"/>
        <w:rPr>
          <w:rFonts w:ascii="Times New Roman" w:cs="Times New Roman" w:eastAsia="Times New Roman" w:hAnsi="Times New Roman"/>
          <w:sz w:val="22"/>
          <w:szCs w:val="22"/>
          <w:color w:val="auto"/>
        </w:rPr>
      </w:pPr>
    </w:p>
    <w:p>
      <w:pPr>
        <w:ind w:left="3460" w:right="478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York, New York 10019 Attention: Ian Simmonds Telecopy Number: (212) 430-4639 Telephone: (212) 601-4739</w:t>
      </w:r>
    </w:p>
    <w:p>
      <w:pPr>
        <w:spacing w:after="0" w:line="17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if to the Administrative Agent or Truist, in its capacity as a Swingline Lender, to it at:</w:t>
      </w:r>
    </w:p>
    <w:p>
      <w:pPr>
        <w:spacing w:after="0" w:line="206" w:lineRule="exact"/>
        <w:rPr>
          <w:sz w:val="20"/>
          <w:szCs w:val="20"/>
          <w:color w:val="auto"/>
        </w:rPr>
      </w:pPr>
    </w:p>
    <w:p>
      <w:pPr>
        <w:ind w:left="3460" w:hanging="860"/>
        <w:spacing w:after="0"/>
        <w:tabs>
          <w:tab w:leader="none" w:pos="34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Truist Bank</w:t>
      </w:r>
    </w:p>
    <w:p>
      <w:pPr>
        <w:spacing w:after="0" w:line="14" w:lineRule="exact"/>
        <w:rPr>
          <w:rFonts w:ascii="Times New Roman" w:cs="Times New Roman" w:eastAsia="Times New Roman" w:hAnsi="Times New Roman"/>
          <w:sz w:val="22"/>
          <w:szCs w:val="22"/>
          <w:color w:val="auto"/>
        </w:rPr>
      </w:pPr>
    </w:p>
    <w:p>
      <w:pPr>
        <w:ind w:left="3460" w:right="478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3333 Peachtree Road, 7th Floor Atlanta, Georgia 30326 Attention: Hays Wood Telecopy Number: (404) 836-5879</w:t>
      </w:r>
    </w:p>
    <w:p>
      <w:pPr>
        <w:spacing w:after="0" w:line="177" w:lineRule="exact"/>
        <w:rPr>
          <w:rFonts w:ascii="Times New Roman" w:cs="Times New Roman" w:eastAsia="Times New Roman" w:hAnsi="Times New Roman"/>
          <w:sz w:val="22"/>
          <w:szCs w:val="22"/>
          <w:color w:val="auto"/>
        </w:rPr>
      </w:pPr>
    </w:p>
    <w:p>
      <w:pPr>
        <w:ind w:left="3460" w:hanging="860"/>
        <w:spacing w:after="0"/>
        <w:tabs>
          <w:tab w:leader="none" w:pos="346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copy to:</w:t>
      </w:r>
    </w:p>
    <w:p>
      <w:pPr>
        <w:spacing w:after="0" w:line="206" w:lineRule="exact"/>
        <w:rPr>
          <w:rFonts w:ascii="Times New Roman" w:cs="Times New Roman" w:eastAsia="Times New Roman" w:hAnsi="Times New Roman"/>
          <w:sz w:val="22"/>
          <w:szCs w:val="22"/>
          <w:color w:val="auto"/>
        </w:rPr>
      </w:pPr>
    </w:p>
    <w:p>
      <w:pPr>
        <w:ind w:left="3460" w:right="6340" w:hanging="860"/>
        <w:spacing w:after="0" w:line="253" w:lineRule="auto"/>
        <w:tabs>
          <w:tab w:leader="none" w:pos="346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Truist Bank Agency Services</w:t>
      </w:r>
    </w:p>
    <w:p>
      <w:pPr>
        <w:ind w:left="3460" w:right="444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303 Peachtree Street, N. E./ 25th Floor Atlanta, Georgia 30308</w:t>
      </w:r>
    </w:p>
    <w:p>
      <w:pPr>
        <w:spacing w:after="0" w:line="1" w:lineRule="exact"/>
        <w:rPr>
          <w:rFonts w:ascii="Times New Roman" w:cs="Times New Roman" w:eastAsia="Times New Roman" w:hAnsi="Times New Roman"/>
          <w:sz w:val="21"/>
          <w:szCs w:val="21"/>
          <w:color w:val="auto"/>
        </w:rPr>
      </w:pPr>
    </w:p>
    <w:p>
      <w:pPr>
        <w:ind w:left="346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Attention: Wanda Gregory</w:t>
      </w:r>
    </w:p>
    <w:p>
      <w:pPr>
        <w:ind w:left="34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Telecopy Number: (404) 658-4906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7" w:name="page288"/>
    <w:bookmarkEnd w:id="287"/>
    <w:p>
      <w:pPr>
        <w:ind w:left="1660"/>
        <w:spacing w:after="0"/>
        <w:rPr>
          <w:sz w:val="20"/>
          <w:szCs w:val="20"/>
          <w:color w:val="auto"/>
        </w:rPr>
      </w:pPr>
      <w:r>
        <w:rPr>
          <w:rFonts w:ascii="Times New Roman" w:cs="Times New Roman" w:eastAsia="Times New Roman" w:hAnsi="Times New Roman"/>
          <w:sz w:val="22"/>
          <w:szCs w:val="22"/>
          <w:color w:val="auto"/>
        </w:rPr>
        <w:t>if to Truist, in its capacity as Issuing Bank, to it at:</w:t>
      </w:r>
    </w:p>
    <w:p>
      <w:pPr>
        <w:spacing w:after="0" w:line="206" w:lineRule="exact"/>
        <w:rPr>
          <w:sz w:val="20"/>
          <w:szCs w:val="20"/>
          <w:color w:val="auto"/>
        </w:rPr>
      </w:pPr>
    </w:p>
    <w:p>
      <w:pPr>
        <w:ind w:left="3460" w:hanging="860"/>
        <w:spacing w:after="0"/>
        <w:tabs>
          <w:tab w:leader="none" w:pos="34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Truist Bank</w:t>
      </w:r>
    </w:p>
    <w:p>
      <w:pPr>
        <w:spacing w:after="0" w:line="14" w:lineRule="exact"/>
        <w:rPr>
          <w:rFonts w:ascii="Times New Roman" w:cs="Times New Roman" w:eastAsia="Times New Roman" w:hAnsi="Times New Roman"/>
          <w:sz w:val="22"/>
          <w:szCs w:val="22"/>
          <w:color w:val="auto"/>
        </w:rPr>
      </w:pPr>
    </w:p>
    <w:p>
      <w:pPr>
        <w:ind w:left="3460" w:right="44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303 Peachtree Street, N. E./ 25th Floor Atlanta, Georgia 30308</w:t>
      </w:r>
    </w:p>
    <w:p>
      <w:pPr>
        <w:spacing w:after="0" w:line="1" w:lineRule="exact"/>
        <w:rPr>
          <w:rFonts w:ascii="Times New Roman" w:cs="Times New Roman" w:eastAsia="Times New Roman" w:hAnsi="Times New Roman"/>
          <w:sz w:val="22"/>
          <w:szCs w:val="22"/>
          <w:color w:val="auto"/>
        </w:rPr>
      </w:pPr>
    </w:p>
    <w:p>
      <w:pPr>
        <w:ind w:left="34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Attention: Wanda Gregory</w:t>
      </w:r>
    </w:p>
    <w:p>
      <w:pPr>
        <w:ind w:left="3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Telecopy Number: (404) 658-4906</w:t>
      </w:r>
    </w:p>
    <w:p>
      <w:pPr>
        <w:spacing w:after="0" w:line="1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if to JPMorgan Chase Bank, N.A., in its capacity as a Swingline Lender and an Issuing Bank:</w:t>
      </w: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Ground floor, 1st to 6th floors, Platina 3, Kodbis, Floor 03</w:t>
      </w:r>
    </w:p>
    <w:p>
      <w:pPr>
        <w:ind w:left="3460"/>
        <w:spacing w:after="0" w:line="230" w:lineRule="auto"/>
        <w:rPr>
          <w:sz w:val="20"/>
          <w:szCs w:val="20"/>
          <w:color w:val="auto"/>
        </w:rPr>
      </w:pPr>
      <w:r>
        <w:rPr>
          <w:rFonts w:ascii="Times New Roman" w:cs="Times New Roman" w:eastAsia="Times New Roman" w:hAnsi="Times New Roman"/>
          <w:sz w:val="22"/>
          <w:szCs w:val="22"/>
          <w:color w:val="auto"/>
        </w:rPr>
        <w:t>Bengaluru, 560 103, India</w:t>
      </w:r>
    </w:p>
    <w:p>
      <w:pPr>
        <w:ind w:left="3460"/>
        <w:spacing w:after="0" w:line="231" w:lineRule="auto"/>
        <w:rPr>
          <w:sz w:val="20"/>
          <w:szCs w:val="20"/>
          <w:color w:val="auto"/>
        </w:rPr>
      </w:pPr>
      <w:r>
        <w:rPr>
          <w:rFonts w:ascii="Times New Roman" w:cs="Times New Roman" w:eastAsia="Times New Roman" w:hAnsi="Times New Roman"/>
          <w:sz w:val="22"/>
          <w:szCs w:val="22"/>
          <w:color w:val="auto"/>
        </w:rPr>
        <w:t>Attention: Sneha Machani</w:t>
      </w:r>
    </w:p>
    <w:p>
      <w:pPr>
        <w:ind w:left="3460"/>
        <w:spacing w:after="0"/>
        <w:rPr>
          <w:sz w:val="20"/>
          <w:szCs w:val="20"/>
          <w:color w:val="auto"/>
        </w:rPr>
      </w:pPr>
      <w:r>
        <w:rPr>
          <w:rFonts w:ascii="Times New Roman" w:cs="Times New Roman" w:eastAsia="Times New Roman" w:hAnsi="Times New Roman"/>
          <w:sz w:val="22"/>
          <w:szCs w:val="22"/>
          <w:color w:val="auto"/>
        </w:rPr>
        <w:t>Telecopy Number: (201) 244-3885</w:t>
      </w:r>
    </w:p>
    <w:p>
      <w:pPr>
        <w:spacing w:after="0" w:line="18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if to any other Lender, to it at its address (or telecopy number) set forth in its Administrative Questionnaire.</w:t>
      </w:r>
    </w:p>
    <w:p>
      <w:pPr>
        <w:spacing w:after="0" w:line="206"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below, shall be effective as provided in said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any Issuing Bank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78" w:lineRule="exact"/>
        <w:rPr>
          <w:sz w:val="20"/>
          <w:szCs w:val="20"/>
          <w:color w:val="auto"/>
        </w:rPr>
      </w:pPr>
    </w:p>
    <w:p>
      <w:pPr>
        <w:jc w:val="both"/>
        <w:ind w:firstLine="1735"/>
        <w:spacing w:after="0" w:line="235" w:lineRule="auto"/>
        <w:tabs>
          <w:tab w:leader="none" w:pos="20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2"/>
          <w:szCs w:val="22"/>
          <w:u w:val="single" w:color="auto"/>
          <w:color w:val="auto"/>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8" w:name="page289"/>
    <w:bookmarkEnd w:id="288"/>
    <w:p>
      <w:pPr>
        <w:ind w:left="260" w:hanging="252"/>
        <w:spacing w:after="0"/>
        <w:tabs>
          <w:tab w:leader="none" w:pos="260" w:val="left"/>
        </w:tabs>
        <w:numPr>
          <w:ilvl w:val="0"/>
          <w:numId w:val="17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notification that such notice or communication is available and identifying the website address therefor.</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87" w:lineRule="exact"/>
        <w:rPr>
          <w:sz w:val="20"/>
          <w:szCs w:val="20"/>
          <w:color w:val="auto"/>
        </w:rPr>
      </w:pPr>
    </w:p>
    <w:p>
      <w:pPr>
        <w:jc w:val="both"/>
        <w:ind w:firstLine="1727"/>
        <w:spacing w:after="0" w:line="246" w:lineRule="auto"/>
        <w:rPr>
          <w:sz w:val="20"/>
          <w:szCs w:val="20"/>
          <w:color w:val="auto"/>
        </w:rPr>
      </w:pPr>
      <w:r>
        <w:rPr>
          <w:rFonts w:ascii="Times New Roman" w:cs="Times New Roman" w:eastAsia="Times New Roman" w:hAnsi="Times New Roman"/>
          <w:sz w:val="21"/>
          <w:szCs w:val="21"/>
          <w:u w:val="single" w:color="auto"/>
          <w:color w:val="auto"/>
        </w:rPr>
        <w:t>Private Side Information Contacts</w:t>
      </w:r>
      <w:r>
        <w:rPr>
          <w:rFonts w:ascii="Times New Roman" w:cs="Times New Roman" w:eastAsia="Times New Roman" w:hAnsi="Times New Roman"/>
          <w:sz w:val="21"/>
          <w:szCs w:val="21"/>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71"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Documents to be Delivered under Sections 5.01 and 5.12(a)</w:t>
      </w:r>
      <w:r>
        <w:rPr>
          <w:rFonts w:ascii="Times New Roman" w:cs="Times New Roman" w:eastAsia="Times New Roman" w:hAnsi="Times New Roman"/>
          <w:sz w:val="22"/>
          <w:szCs w:val="22"/>
          <w:color w:val="auto"/>
        </w:rPr>
        <w:t xml:space="preserve">. For so long as an Intralinks™ or equivalent website is available to each of the Lenders hereunder, the Borrower may satisfy its obligation to deliver documents to the Administrative Agent or the Lenders under </w:t>
      </w:r>
      <w:r>
        <w:rPr>
          <w:rFonts w:ascii="Times New Roman" w:cs="Times New Roman" w:eastAsia="Times New Roman" w:hAnsi="Times New Roman"/>
          <w:sz w:val="22"/>
          <w:szCs w:val="22"/>
          <w:u w:val="single" w:color="auto"/>
          <w:color w:val="auto"/>
        </w:rPr>
        <w:t>Sections 5.01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5.12(a)</w:t>
      </w:r>
      <w:r>
        <w:rPr>
          <w:rFonts w:ascii="Times New Roman" w:cs="Times New Roman" w:eastAsia="Times New Roman" w:hAnsi="Times New Roman"/>
          <w:sz w:val="22"/>
          <w:szCs w:val="22"/>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have no responsibility to maintain access to Intralinks™ or an equivalent website.</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61" w:lineRule="auto"/>
        <w:rPr>
          <w:sz w:val="20"/>
          <w:szCs w:val="20"/>
          <w:color w:val="auto"/>
        </w:rPr>
      </w:pPr>
      <w:r>
        <w:rPr>
          <w:rFonts w:ascii="Times New Roman" w:cs="Times New Roman" w:eastAsia="Times New Roman" w:hAnsi="Times New Roman"/>
          <w:sz w:val="21"/>
          <w:szCs w:val="21"/>
          <w:u w:val="single" w:color="auto"/>
          <w:color w:val="auto"/>
        </w:rPr>
        <w:t>No Deemed Waivers Remedies Cumulative</w:t>
      </w:r>
      <w:r>
        <w:rPr>
          <w:rFonts w:ascii="Times New Roman" w:cs="Times New Roman" w:eastAsia="Times New Roman" w:hAnsi="Times New Roman"/>
          <w:sz w:val="21"/>
          <w:szCs w:val="21"/>
          <w:color w:val="auto"/>
        </w:rPr>
        <w:t>.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89" w:name="page290"/>
    <w:bookmarkEnd w:id="289"/>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78" w:lineRule="exact"/>
        <w:rPr>
          <w:sz w:val="20"/>
          <w:szCs w:val="20"/>
          <w:color w:val="auto"/>
        </w:rPr>
      </w:pPr>
    </w:p>
    <w:p>
      <w:pPr>
        <w:jc w:val="both"/>
        <w:ind w:firstLine="1727"/>
        <w:spacing w:after="0" w:line="261" w:lineRule="auto"/>
        <w:rPr>
          <w:sz w:val="20"/>
          <w:szCs w:val="20"/>
          <w:color w:val="auto"/>
        </w:rPr>
      </w:pPr>
      <w:r>
        <w:rPr>
          <w:rFonts w:ascii="Times New Roman" w:cs="Times New Roman" w:eastAsia="Times New Roman" w:hAnsi="Times New Roman"/>
          <w:sz w:val="21"/>
          <w:szCs w:val="21"/>
          <w:u w:val="single" w:color="auto"/>
          <w:color w:val="auto"/>
        </w:rPr>
        <w:t>Amendments to this Agreement</w:t>
      </w:r>
      <w:r>
        <w:rPr>
          <w:rFonts w:ascii="Times New Roman" w:cs="Times New Roman" w:eastAsia="Times New Roman" w:hAnsi="Times New Roman"/>
          <w:sz w:val="21"/>
          <w:szCs w:val="21"/>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agreement shall:</w:t>
      </w:r>
    </w:p>
    <w:p>
      <w:pPr>
        <w:spacing w:after="0" w:line="15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increase the Commitment of any Lender without the written consent of such Lender,</w:t>
      </w:r>
    </w:p>
    <w:p>
      <w:pPr>
        <w:spacing w:after="0" w:line="206" w:lineRule="exact"/>
        <w:rPr>
          <w:sz w:val="20"/>
          <w:szCs w:val="20"/>
          <w:color w:val="auto"/>
        </w:rPr>
      </w:pPr>
    </w:p>
    <w:p>
      <w:pPr>
        <w:jc w:val="both"/>
        <w:ind w:left="880" w:firstLine="797"/>
        <w:spacing w:after="0" w:line="258" w:lineRule="auto"/>
        <w:rPr>
          <w:sz w:val="20"/>
          <w:szCs w:val="20"/>
          <w:color w:val="auto"/>
        </w:rPr>
      </w:pPr>
      <w:r>
        <w:rPr>
          <w:rFonts w:ascii="Times New Roman" w:cs="Times New Roman" w:eastAsia="Times New Roman" w:hAnsi="Times New Roman"/>
          <w:sz w:val="22"/>
          <w:szCs w:val="22"/>
          <w:color w:val="auto"/>
        </w:rPr>
        <w:t>reduce the principal amount of any Loan or LC Disbursement or reduce the rate of interest thereon, or reduce any fees payable hereunder, without the written consent of each Lender affected thereby,</w:t>
      </w:r>
    </w:p>
    <w:p>
      <w:pPr>
        <w:spacing w:after="0" w:line="158"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180" w:lineRule="exact"/>
        <w:rPr>
          <w:sz w:val="20"/>
          <w:szCs w:val="20"/>
          <w:color w:val="auto"/>
        </w:rPr>
      </w:pPr>
    </w:p>
    <w:p>
      <w:pPr>
        <w:jc w:val="both"/>
        <w:ind w:left="880" w:firstLine="797"/>
        <w:spacing w:after="0" w:line="258" w:lineRule="auto"/>
        <w:rPr>
          <w:sz w:val="20"/>
          <w:szCs w:val="20"/>
          <w:color w:val="auto"/>
        </w:rPr>
      </w:pPr>
      <w:r>
        <w:rPr>
          <w:rFonts w:ascii="Times New Roman" w:cs="Times New Roman" w:eastAsia="Times New Roman" w:hAnsi="Times New Roman"/>
          <w:sz w:val="22"/>
          <w:szCs w:val="22"/>
          <w:color w:val="auto"/>
        </w:rPr>
        <w:t xml:space="preserve">change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in a manner that would alter the pro rata sharing of payments required thereby without the written consent of each Lender affected thereby, or</w:t>
      </w:r>
    </w:p>
    <w:p>
      <w:pPr>
        <w:spacing w:after="0" w:line="158" w:lineRule="exact"/>
        <w:rPr>
          <w:sz w:val="20"/>
          <w:szCs w:val="20"/>
          <w:color w:val="auto"/>
        </w:rPr>
      </w:pPr>
    </w:p>
    <w:p>
      <w:pPr>
        <w:jc w:val="both"/>
        <w:ind w:left="880" w:firstLine="797"/>
        <w:spacing w:after="0" w:line="239" w:lineRule="auto"/>
        <w:rPr>
          <w:sz w:val="20"/>
          <w:szCs w:val="20"/>
          <w:color w:val="auto"/>
        </w:rPr>
      </w:pPr>
      <w:r>
        <w:rPr>
          <w:rFonts w:ascii="Times New Roman" w:cs="Times New Roman" w:eastAsia="Times New Roman" w:hAnsi="Times New Roman"/>
          <w:sz w:val="22"/>
          <w:szCs w:val="22"/>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ARTICLE XIII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Times New Roman" w:cs="Times New Roman" w:eastAsia="Times New Roman" w:hAnsi="Times New Roman"/>
          <w:sz w:val="22"/>
          <w:szCs w:val="22"/>
          <w:u w:val="single" w:color="auto"/>
          <w:color w:val="auto"/>
        </w:rPr>
        <w:t>Section 5.12(b)(ii)(E)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but including changes to the provisions of </w:t>
      </w:r>
      <w:r>
        <w:rPr>
          <w:rFonts w:ascii="Times New Roman" w:cs="Times New Roman" w:eastAsia="Times New Roman" w:hAnsi="Times New Roman"/>
          <w:sz w:val="22"/>
          <w:szCs w:val="22"/>
          <w:u w:val="single" w:color="auto"/>
          <w:color w:val="auto"/>
        </w:rPr>
        <w:t>Section 5.12(c)(ii)</w:t>
      </w:r>
      <w:r>
        <w:rPr>
          <w:rFonts w:ascii="Times New Roman" w:cs="Times New Roman" w:eastAsia="Times New Roman" w:hAnsi="Times New Roman"/>
          <w:sz w:val="22"/>
          <w:szCs w:val="22"/>
          <w:color w:val="auto"/>
        </w:rPr>
        <w:t xml:space="preserve"> and the definitions set forth in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for any release of any material portion of the Collateral other than for fair value or as otherwise permitted hereunder or under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0" w:name="page291"/>
    <w:bookmarkEnd w:id="290"/>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83" w:lineRule="exact"/>
        <w:rPr>
          <w:sz w:val="20"/>
          <w:szCs w:val="20"/>
          <w:color w:val="auto"/>
        </w:rPr>
      </w:pPr>
    </w:p>
    <w:p>
      <w:pPr>
        <w:jc w:val="both"/>
        <w:ind w:firstLine="1727"/>
        <w:spacing w:after="0" w:line="245" w:lineRule="auto"/>
        <w:rPr>
          <w:sz w:val="20"/>
          <w:szCs w:val="20"/>
          <w:color w:val="auto"/>
        </w:rPr>
      </w:pPr>
      <w:r>
        <w:rPr>
          <w:rFonts w:ascii="Times New Roman" w:cs="Times New Roman" w:eastAsia="Times New Roman" w:hAnsi="Times New Roman"/>
          <w:sz w:val="21"/>
          <w:szCs w:val="21"/>
          <w:u w:val="single" w:color="auto"/>
          <w:color w:val="auto"/>
        </w:rPr>
        <w:t>Amendments to Security Documents</w:t>
      </w:r>
      <w:r>
        <w:rPr>
          <w:rFonts w:ascii="Times New Roman" w:cs="Times New Roman" w:eastAsia="Times New Roman" w:hAnsi="Times New Roman"/>
          <w:sz w:val="21"/>
          <w:szCs w:val="21"/>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cs="Times New Roman" w:eastAsia="Times New Roman" w:hAnsi="Times New Roman"/>
          <w:sz w:val="21"/>
          <w:szCs w:val="21"/>
          <w:u w:val="single" w:color="auto"/>
          <w:color w:val="auto"/>
        </w:rPr>
        <w:t>Section 2.08(e)</w:t>
      </w:r>
      <w:r>
        <w:rPr>
          <w:rFonts w:ascii="Times New Roman" w:cs="Times New Roman" w:eastAsia="Times New Roman" w:hAnsi="Times New Roman"/>
          <w:sz w:val="21"/>
          <w:szCs w:val="21"/>
          <w:color w:val="auto"/>
        </w:rPr>
        <w:t xml:space="preserve"> to an amount not greater than $2,000,000,000) except pursuant to an agreement or agreements in writing entered into by the Borrower, and by the Collateral Agent with the consent of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without the written consent of each Lender, no such agreement shall release all or substantially all of the Obligors from their respective obligations under the Security Documents and</w:t>
      </w:r>
    </w:p>
    <w:p>
      <w:pPr>
        <w:spacing w:after="0" w:line="3" w:lineRule="exact"/>
        <w:rPr>
          <w:sz w:val="20"/>
          <w:szCs w:val="20"/>
          <w:color w:val="auto"/>
        </w:rPr>
      </w:pPr>
    </w:p>
    <w:p>
      <w:pPr>
        <w:jc w:val="both"/>
        <w:ind w:firstLine="8"/>
        <w:spacing w:after="0" w:line="243" w:lineRule="auto"/>
        <w:tabs>
          <w:tab w:leader="none" w:pos="321"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spacing w:after="0" w:line="175"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Replacement of Non-Consenting Lender</w:t>
      </w:r>
      <w:r>
        <w:rPr>
          <w:rFonts w:ascii="Times New Roman" w:cs="Times New Roman" w:eastAsia="Times New Roman" w:hAnsi="Times New Roman"/>
          <w:sz w:val="22"/>
          <w:szCs w:val="22"/>
          <w:color w:val="auto"/>
        </w:rPr>
        <w:t xml:space="preserve">. If, in connection with any proposed change, waiver, discharge or termination to any of the provisions of this Agreement as contemplated by this </w:t>
      </w:r>
      <w:r>
        <w:rPr>
          <w:rFonts w:ascii="Times New Roman" w:cs="Times New Roman" w:eastAsia="Times New Roman" w:hAnsi="Times New Roman"/>
          <w:sz w:val="22"/>
          <w:szCs w:val="22"/>
          <w:u w:val="single" w:color="auto"/>
          <w:color w:val="auto"/>
        </w:rPr>
        <w:t>Section 9.02</w:t>
      </w:r>
      <w:r>
        <w:rPr>
          <w:rFonts w:ascii="Times New Roman" w:cs="Times New Roman" w:eastAsia="Times New Roman" w:hAnsi="Times New Roman"/>
          <w:sz w:val="22"/>
          <w:szCs w:val="22"/>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Times New Roman" w:cs="Times New Roman" w:eastAsia="Times New Roman" w:hAnsi="Times New Roman"/>
          <w:sz w:val="22"/>
          <w:szCs w:val="22"/>
          <w:u w:val="single" w:color="auto"/>
          <w:color w:val="auto"/>
        </w:rPr>
        <w:t>Section 2.18(b)</w:t>
      </w:r>
      <w:r>
        <w:rPr>
          <w:rFonts w:ascii="Times New Roman" w:cs="Times New Roman" w:eastAsia="Times New Roman" w:hAnsi="Times New Roman"/>
          <w:sz w:val="22"/>
          <w:szCs w:val="22"/>
          <w:color w:val="auto"/>
        </w:rPr>
        <w:t xml:space="preserve"> so long as at the time of such replacement, each such replacement Lender consents to the proposed change, waiver, discharge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1" w:name="page292"/>
    <w:bookmarkEnd w:id="291"/>
    <w:p>
      <w:pPr>
        <w:ind w:left="1740"/>
        <w:spacing w:after="0"/>
        <w:rPr>
          <w:sz w:val="20"/>
          <w:szCs w:val="20"/>
          <w:color w:val="auto"/>
        </w:rPr>
      </w:pP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1"/>
          <w:szCs w:val="21"/>
          <w:u w:val="single" w:color="auto"/>
          <w:color w:val="auto"/>
        </w:rPr>
        <w:t>Costs and Expenses</w:t>
      </w:r>
      <w:r>
        <w:rPr>
          <w:rFonts w:ascii="Times New Roman" w:cs="Times New Roman" w:eastAsia="Times New Roman" w:hAnsi="Times New Roman"/>
          <w:sz w:val="21"/>
          <w:szCs w:val="21"/>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76"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u w:val="single" w:color="auto"/>
          <w:color w:val="auto"/>
        </w:rPr>
        <w:t>Indemnification by the Borrower</w:t>
      </w:r>
      <w:r>
        <w:rPr>
          <w:rFonts w:ascii="Times New Roman" w:cs="Times New Roman" w:eastAsia="Times New Roman" w:hAnsi="Times New Roman"/>
          <w:sz w:val="22"/>
          <w:szCs w:val="22"/>
          <w:color w:val="auto"/>
        </w:rPr>
        <w:t xml:space="preserve">. The Borrower shall indemnify the Administrative Agent,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2" w:name="page293"/>
    <w:bookmarkEnd w:id="292"/>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limitation shall not be deemed to impair or affect the Obligations of the Borrower under the preceding provisions of this subsection.</w:t>
      </w:r>
    </w:p>
    <w:p>
      <w:pPr>
        <w:spacing w:after="0" w:line="180"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Borrower fails to pay any amount required to be paid by it to the Administrative Agent, any Issuing Bank or any Swingline Lender under </w:t>
      </w:r>
      <w:r>
        <w:rPr>
          <w:rFonts w:ascii="Times New Roman" w:cs="Times New Roman" w:eastAsia="Times New Roman" w:hAnsi="Times New Roman"/>
          <w:sz w:val="22"/>
          <w:szCs w:val="22"/>
          <w:u w:val="single" w:color="auto"/>
          <w:color w:val="auto"/>
        </w:rPr>
        <w:t>paragraph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8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8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All amounts due under this Section shall be payable promptly after written demand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3" w:name="page294"/>
    <w:bookmarkEnd w:id="293"/>
    <w:p>
      <w:pPr>
        <w:ind w:left="1740"/>
        <w:spacing w:after="0"/>
        <w:rPr>
          <w:sz w:val="20"/>
          <w:szCs w:val="20"/>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Assignments Generally</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7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80" w:firstLine="797"/>
        <w:spacing w:after="0" w:line="236" w:lineRule="auto"/>
        <w:rPr>
          <w:sz w:val="20"/>
          <w:szCs w:val="20"/>
          <w:color w:val="auto"/>
        </w:rPr>
      </w:pPr>
      <w:r>
        <w:rPr>
          <w:rFonts w:ascii="Times New Roman" w:cs="Times New Roman" w:eastAsia="Times New Roman" w:hAnsi="Times New Roman"/>
          <w:sz w:val="22"/>
          <w:szCs w:val="22"/>
          <w:u w:val="single" w:color="auto"/>
          <w:color w:val="auto"/>
        </w:rPr>
        <w:t>Assignments Generally</w:t>
      </w:r>
      <w:r>
        <w:rPr>
          <w:rFonts w:ascii="Times New Roman" w:cs="Times New Roman" w:eastAsia="Times New Roman" w:hAnsi="Times New Roman"/>
          <w:sz w:val="22"/>
          <w:szCs w:val="22"/>
          <w:color w:val="auto"/>
        </w:rPr>
        <w:t xml:space="preserve">. Subject to the conditions set forth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below, any Lender may assign to one or more assignees (other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1" w:lineRule="exact"/>
        <w:rPr>
          <w:sz w:val="20"/>
          <w:szCs w:val="20"/>
          <w:color w:val="auto"/>
        </w:rPr>
      </w:pPr>
    </w:p>
    <w:p>
      <w:pPr>
        <w:jc w:val="both"/>
        <w:ind w:left="1740" w:firstLine="731"/>
        <w:spacing w:after="0" w:line="238" w:lineRule="auto"/>
        <w:rPr>
          <w:sz w:val="20"/>
          <w:szCs w:val="20"/>
          <w:color w:val="auto"/>
        </w:rPr>
      </w:pPr>
      <w:r>
        <w:rPr>
          <w:rFonts w:ascii="Times New Roman" w:cs="Times New Roman" w:eastAsia="Times New Roman" w:hAnsi="Times New Roman"/>
          <w:sz w:val="22"/>
          <w:szCs w:val="22"/>
          <w:color w:val="auto"/>
        </w:rPr>
        <w:t xml:space="preserve">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Borrower shall be required for an assignment to a Lender, an Affiliate of a Lender, or, if an Event of Default has occurred and is continuing, any other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77" w:lineRule="exact"/>
        <w:rPr>
          <w:sz w:val="20"/>
          <w:szCs w:val="20"/>
          <w:color w:val="auto"/>
        </w:rPr>
      </w:pPr>
    </w:p>
    <w:p>
      <w:pPr>
        <w:jc w:val="both"/>
        <w:ind w:left="1740" w:right="20" w:firstLine="731"/>
        <w:spacing w:after="0" w:line="258" w:lineRule="auto"/>
        <w:rPr>
          <w:sz w:val="20"/>
          <w:szCs w:val="20"/>
          <w:color w:val="auto"/>
        </w:rPr>
      </w:pPr>
      <w:r>
        <w:rPr>
          <w:rFonts w:ascii="Times New Roman" w:cs="Times New Roman" w:eastAsia="Times New Roman" w:hAnsi="Times New Roman"/>
          <w:sz w:val="22"/>
          <w:szCs w:val="22"/>
          <w:color w:val="auto"/>
        </w:rPr>
        <w:t xml:space="preserve">the Administrative Agent and each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Administrative Agent or the Issuing Banks shall be required for an assignment by a Lender to an Affiliate of such Lender.</w:t>
      </w:r>
    </w:p>
    <w:p>
      <w:pPr>
        <w:spacing w:after="0" w:line="1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u w:val="single" w:color="auto"/>
          <w:color w:val="auto"/>
        </w:rPr>
        <w:t>Certain Conditions to Assignments</w:t>
      </w:r>
      <w:r>
        <w:rPr>
          <w:rFonts w:ascii="Times New Roman" w:cs="Times New Roman" w:eastAsia="Times New Roman" w:hAnsi="Times New Roman"/>
          <w:sz w:val="22"/>
          <w:szCs w:val="22"/>
          <w:color w:val="auto"/>
        </w:rPr>
        <w:t>. Assignments shall be subject to the following additional conditions:</w:t>
      </w:r>
    </w:p>
    <w:p>
      <w:pPr>
        <w:spacing w:after="0" w:line="206" w:lineRule="exact"/>
        <w:rPr>
          <w:sz w:val="20"/>
          <w:szCs w:val="20"/>
          <w:color w:val="auto"/>
        </w:rPr>
      </w:pPr>
    </w:p>
    <w:p>
      <w:pPr>
        <w:jc w:val="both"/>
        <w:ind w:left="1740" w:firstLine="731"/>
        <w:spacing w:after="0" w:line="236" w:lineRule="auto"/>
        <w:rPr>
          <w:sz w:val="20"/>
          <w:szCs w:val="20"/>
          <w:color w:val="auto"/>
        </w:rPr>
      </w:pPr>
      <w:r>
        <w:rPr>
          <w:rFonts w:ascii="Times New Roman" w:cs="Times New Roman" w:eastAsia="Times New Roman" w:hAnsi="Times New Roman"/>
          <w:sz w:val="22"/>
          <w:szCs w:val="22"/>
          <w:color w:val="auto"/>
        </w:rPr>
        <w:t>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4" w:name="page295"/>
    <w:bookmarkEnd w:id="294"/>
    <w:p>
      <w:pPr>
        <w:jc w:val="both"/>
        <w:ind w:left="860"/>
        <w:spacing w:after="0" w:line="258" w:lineRule="auto"/>
        <w:rPr>
          <w:sz w:val="20"/>
          <w:szCs w:val="20"/>
          <w:color w:val="auto"/>
        </w:rPr>
      </w:pPr>
      <w:r>
        <w:rPr>
          <w:rFonts w:ascii="Times New Roman" w:cs="Times New Roman" w:eastAsia="Times New Roman" w:hAnsi="Times New Roman"/>
          <w:sz w:val="22"/>
          <w:szCs w:val="22"/>
          <w:color w:val="auto"/>
        </w:rPr>
        <w:t xml:space="preserve">Agent otherwise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Borrower shall be required if an Event of Default has occurred and is continuing;</w:t>
      </w:r>
    </w:p>
    <w:p>
      <w:pPr>
        <w:spacing w:after="0" w:line="158" w:lineRule="exact"/>
        <w:rPr>
          <w:sz w:val="20"/>
          <w:szCs w:val="20"/>
          <w:color w:val="auto"/>
        </w:rPr>
      </w:pPr>
    </w:p>
    <w:p>
      <w:pPr>
        <w:jc w:val="both"/>
        <w:ind w:left="860" w:firstLine="731"/>
        <w:spacing w:after="0" w:line="244" w:lineRule="auto"/>
        <w:rPr>
          <w:sz w:val="20"/>
          <w:szCs w:val="20"/>
          <w:color w:val="auto"/>
        </w:rPr>
      </w:pPr>
      <w:r>
        <w:rPr>
          <w:rFonts w:ascii="Times New Roman" w:cs="Times New Roman" w:eastAsia="Times New Roman" w:hAnsi="Times New Roman"/>
          <w:sz w:val="22"/>
          <w:szCs w:val="22"/>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73" w:lineRule="exact"/>
        <w:rPr>
          <w:sz w:val="20"/>
          <w:szCs w:val="20"/>
          <w:color w:val="auto"/>
        </w:rPr>
      </w:pPr>
    </w:p>
    <w:p>
      <w:pPr>
        <w:jc w:val="both"/>
        <w:ind w:left="860" w:firstLine="731"/>
        <w:spacing w:after="0" w:line="239" w:lineRule="auto"/>
        <w:rPr>
          <w:sz w:val="20"/>
          <w:szCs w:val="20"/>
          <w:color w:val="auto"/>
        </w:rPr>
      </w:pPr>
      <w:r>
        <w:rPr>
          <w:rFonts w:ascii="Times New Roman" w:cs="Times New Roman" w:eastAsia="Times New Roman" w:hAnsi="Times New Roman"/>
          <w:sz w:val="22"/>
          <w:szCs w:val="22"/>
          <w:color w:val="auto"/>
        </w:rPr>
        <w:t xml:space="preserve">the parties to each assignment shall execute and deliver to the Administrative Agent an Assignment and Assumption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180" w:lineRule="exact"/>
        <w:rPr>
          <w:sz w:val="20"/>
          <w:szCs w:val="20"/>
          <w:color w:val="auto"/>
        </w:rPr>
      </w:pPr>
    </w:p>
    <w:p>
      <w:pPr>
        <w:jc w:val="both"/>
        <w:ind w:left="860" w:firstLine="731"/>
        <w:spacing w:after="0" w:line="258" w:lineRule="auto"/>
        <w:rPr>
          <w:sz w:val="20"/>
          <w:szCs w:val="20"/>
          <w:color w:val="auto"/>
        </w:rPr>
      </w:pPr>
      <w:r>
        <w:rPr>
          <w:rFonts w:ascii="Times New Roman" w:cs="Times New Roman" w:eastAsia="Times New Roman" w:hAnsi="Times New Roman"/>
          <w:sz w:val="22"/>
          <w:szCs w:val="22"/>
          <w:color w:val="auto"/>
        </w:rPr>
        <w:t>the assignee, if it shall not already be a Lender of the applicable Class, shall deliver to the Administrative Agent an Administrative Questionnaire; and</w:t>
      </w:r>
    </w:p>
    <w:p>
      <w:pPr>
        <w:spacing w:after="0" w:line="158" w:lineRule="exact"/>
        <w:rPr>
          <w:sz w:val="20"/>
          <w:szCs w:val="20"/>
          <w:color w:val="auto"/>
        </w:rPr>
      </w:pPr>
    </w:p>
    <w:p>
      <w:pPr>
        <w:jc w:val="both"/>
        <w:ind w:left="860" w:firstLine="731"/>
        <w:spacing w:after="0" w:line="258" w:lineRule="auto"/>
        <w:rPr>
          <w:sz w:val="20"/>
          <w:szCs w:val="20"/>
          <w:color w:val="auto"/>
        </w:rPr>
      </w:pPr>
      <w:r>
        <w:rPr>
          <w:rFonts w:ascii="Times New Roman" w:cs="Times New Roman" w:eastAsia="Times New Roman" w:hAnsi="Times New Roman"/>
          <w:sz w:val="22"/>
          <w:szCs w:val="22"/>
          <w:color w:val="auto"/>
        </w:rPr>
        <w:t>the assignee shall deliver to the Borrower and the Administrative Agent those documents specified in Section 2.16(f).</w:t>
      </w:r>
    </w:p>
    <w:p>
      <w:pPr>
        <w:spacing w:after="0" w:line="158" w:lineRule="exact"/>
        <w:rPr>
          <w:sz w:val="20"/>
          <w:szCs w:val="20"/>
          <w:color w:val="auto"/>
        </w:rPr>
      </w:pPr>
    </w:p>
    <w:p>
      <w:pPr>
        <w:jc w:val="both"/>
        <w:ind w:firstLine="797"/>
        <w:spacing w:after="0" w:line="243" w:lineRule="auto"/>
        <w:rPr>
          <w:sz w:val="20"/>
          <w:szCs w:val="20"/>
          <w:color w:val="auto"/>
        </w:rPr>
      </w:pPr>
      <w:r>
        <w:rPr>
          <w:rFonts w:ascii="Times New Roman" w:cs="Times New Roman" w:eastAsia="Times New Roman" w:hAnsi="Times New Roman"/>
          <w:sz w:val="21"/>
          <w:szCs w:val="21"/>
          <w:u w:val="single" w:color="auto"/>
          <w:color w:val="auto"/>
        </w:rPr>
        <w:t>Effectiveness of Assignments</w:t>
      </w:r>
      <w:r>
        <w:rPr>
          <w:rFonts w:ascii="Times New Roman" w:cs="Times New Roman" w:eastAsia="Times New Roman" w:hAnsi="Times New Roman"/>
          <w:sz w:val="21"/>
          <w:szCs w:val="21"/>
          <w:color w:val="auto"/>
        </w:rPr>
        <w:t xml:space="preserve">. Subject to acceptance and recording thereof pursuant to </w:t>
      </w:r>
      <w:r>
        <w:rPr>
          <w:rFonts w:ascii="Times New Roman" w:cs="Times New Roman" w:eastAsia="Times New Roman" w:hAnsi="Times New Roman"/>
          <w:sz w:val="21"/>
          <w:szCs w:val="21"/>
          <w:u w:val="single" w:color="auto"/>
          <w:color w:val="auto"/>
        </w:rPr>
        <w:t>paragraph (c)</w:t>
      </w:r>
      <w:r>
        <w:rPr>
          <w:rFonts w:ascii="Times New Roman" w:cs="Times New Roman" w:eastAsia="Times New Roman" w:hAnsi="Times New Roman"/>
          <w:sz w:val="21"/>
          <w:szCs w:val="21"/>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9.03</w:t>
      </w:r>
      <w:r>
        <w:rPr>
          <w:rFonts w:ascii="Times New Roman" w:cs="Times New Roman" w:eastAsia="Times New Roman" w:hAnsi="Times New Roman"/>
          <w:sz w:val="21"/>
          <w:szCs w:val="21"/>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Times New Roman" w:cs="Times New Roman" w:eastAsia="Times New Roman" w:hAnsi="Times New Roman"/>
          <w:sz w:val="21"/>
          <w:szCs w:val="21"/>
          <w:u w:val="single" w:color="auto"/>
          <w:color w:val="auto"/>
        </w:rPr>
        <w:t>Section 9.04</w:t>
      </w:r>
      <w:r>
        <w:rPr>
          <w:rFonts w:ascii="Times New Roman" w:cs="Times New Roman" w:eastAsia="Times New Roman" w:hAnsi="Times New Roman"/>
          <w:sz w:val="21"/>
          <w:szCs w:val="21"/>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paragraph (e)</w:t>
      </w:r>
      <w:r>
        <w:rPr>
          <w:rFonts w:ascii="Times New Roman" w:cs="Times New Roman" w:eastAsia="Times New Roman" w:hAnsi="Times New Roman"/>
          <w:sz w:val="21"/>
          <w:szCs w:val="21"/>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cs="Times New Roman" w:eastAsia="Times New Roman" w:hAnsi="Times New Roman"/>
          <w:sz w:val="21"/>
          <w:szCs w:val="21"/>
          <w:u w:val="single" w:color="auto"/>
          <w:color w:val="auto"/>
        </w:rPr>
        <w:t>Section 9.04(b)(ii)</w:t>
      </w:r>
      <w:r>
        <w:rPr>
          <w:rFonts w:ascii="Times New Roman" w:cs="Times New Roman" w:eastAsia="Times New Roman" w:hAnsi="Times New Roman"/>
          <w:sz w:val="21"/>
          <w:szCs w:val="21"/>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135255</wp:posOffset>
            </wp:positionV>
            <wp:extent cx="713232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152400</wp:posOffset>
            </wp:positionV>
            <wp:extent cx="713232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74930</wp:posOffset>
            </wp:positionV>
            <wp:extent cx="714946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55" w:right="339" w:bottom="1440" w:gutter="0" w:footer="0" w:header="0"/>
        </w:sectPr>
      </w:pPr>
    </w:p>
    <w:bookmarkStart w:id="295" w:name="page296"/>
    <w:bookmarkEnd w:id="295"/>
    <w:p>
      <w:pPr>
        <w:jc w:val="both"/>
        <w:ind w:left="880"/>
        <w:spacing w:after="0" w:line="238" w:lineRule="auto"/>
        <w:rPr>
          <w:sz w:val="20"/>
          <w:szCs w:val="20"/>
          <w:color w:val="auto"/>
        </w:rPr>
      </w:pPr>
      <w:r>
        <w:rPr>
          <w:rFonts w:ascii="Times New Roman" w:cs="Times New Roman" w:eastAsia="Times New Roman" w:hAnsi="Times New Roman"/>
          <w:sz w:val="22"/>
          <w:szCs w:val="22"/>
          <w:color w:val="auto"/>
        </w:rPr>
        <w:t>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7"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Maintenance of Registers by Administrative Agent</w:t>
      </w:r>
      <w:r>
        <w:rPr>
          <w:rFonts w:ascii="Times New Roman" w:cs="Times New Roman" w:eastAsia="Times New Roman" w:hAnsi="Times New Roman"/>
          <w:sz w:val="22"/>
          <w:szCs w:val="22"/>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cs="Times New Roman" w:eastAsia="Times New Roman" w:hAnsi="Times New Roman"/>
          <w:sz w:val="22"/>
          <w:szCs w:val="22"/>
          <w:u w:val="single" w:color="auto"/>
          <w:color w:val="auto"/>
        </w:rPr>
        <w:t>Registers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83"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Acceptance of Assignments by Administrative Agent</w:t>
      </w:r>
      <w:r>
        <w:rPr>
          <w:rFonts w:ascii="Times New Roman" w:cs="Times New Roman" w:eastAsia="Times New Roman" w:hAnsi="Times New Roman"/>
          <w:sz w:val="22"/>
          <w:szCs w:val="22"/>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and any written consent to such assignment required by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1"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Special Purposes Vehicles</w:t>
      </w:r>
      <w:r>
        <w:rPr>
          <w:rFonts w:ascii="Times New Roman" w:cs="Times New Roman" w:eastAsia="Times New Roman" w:hAnsi="Times New Roman"/>
          <w:sz w:val="22"/>
          <w:szCs w:val="22"/>
          <w:color w:val="auto"/>
        </w:rPr>
        <w:t>. Notwithstanding anything to the contrary contained herein, any Lender (a “</w:t>
      </w:r>
      <w:r>
        <w:rPr>
          <w:rFonts w:ascii="Times New Roman" w:cs="Times New Roman" w:eastAsia="Times New Roman" w:hAnsi="Times New Roman"/>
          <w:sz w:val="22"/>
          <w:szCs w:val="22"/>
          <w:u w:val="single" w:color="auto"/>
          <w:color w:val="auto"/>
        </w:rPr>
        <w:t>Granting Lender</w:t>
      </w:r>
      <w:r>
        <w:rPr>
          <w:rFonts w:ascii="Times New Roman" w:cs="Times New Roman" w:eastAsia="Times New Roman" w:hAnsi="Times New Roman"/>
          <w:sz w:val="22"/>
          <w:szCs w:val="22"/>
          <w:color w:val="auto"/>
        </w:rPr>
        <w:t>”) may grant to a special purpose funding vehicle (an “</w:t>
      </w:r>
      <w:r>
        <w:rPr>
          <w:rFonts w:ascii="Times New Roman" w:cs="Times New Roman" w:eastAsia="Times New Roman" w:hAnsi="Times New Roman"/>
          <w:sz w:val="22"/>
          <w:szCs w:val="22"/>
          <w:u w:val="single" w:color="auto"/>
          <w:color w:val="auto"/>
        </w:rPr>
        <w:t>SPC</w:t>
      </w:r>
      <w:r>
        <w:rPr>
          <w:rFonts w:ascii="Times New Roman" w:cs="Times New Roman" w:eastAsia="Times New Roman" w:hAnsi="Times New Roman"/>
          <w:sz w:val="22"/>
          <w:szCs w:val="22"/>
          <w:color w:val="auto"/>
        </w:rPr>
        <w:t xml:space="preserve"> ”)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6" w:name="page297"/>
    <w:bookmarkEnd w:id="296"/>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w:t>
      </w:r>
    </w:p>
    <w:p>
      <w:pPr>
        <w:spacing w:after="0" w:line="6" w:lineRule="exact"/>
        <w:rPr>
          <w:sz w:val="20"/>
          <w:szCs w:val="20"/>
          <w:color w:val="auto"/>
        </w:rPr>
      </w:pPr>
    </w:p>
    <w:p>
      <w:pPr>
        <w:jc w:val="both"/>
        <w:ind w:firstLine="8"/>
        <w:spacing w:after="0" w:line="232" w:lineRule="auto"/>
        <w:tabs>
          <w:tab w:leader="none" w:pos="29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consent of the SPC or of any such assignee shall be required for amendments or waivers hereunder except for those amendments or waivers for which the consent of participants is required under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below, and (ii) disclose on a confidential basis (in the same manner described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 any non-public information relating to its Loans to any rating agency, commercial paper dealer or provider of a surety, guarantee or credit or liquidity enhancement to such SPC.</w:t>
      </w:r>
    </w:p>
    <w:p>
      <w:pPr>
        <w:spacing w:after="0" w:line="178" w:lineRule="exact"/>
        <w:rPr>
          <w:sz w:val="20"/>
          <w:szCs w:val="20"/>
          <w:color w:val="auto"/>
        </w:rPr>
      </w:pPr>
    </w:p>
    <w:p>
      <w:pPr>
        <w:jc w:val="both"/>
        <w:ind w:firstLine="1727"/>
        <w:spacing w:after="0" w:line="243" w:lineRule="auto"/>
        <w:rPr>
          <w:sz w:val="20"/>
          <w:szCs w:val="20"/>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 obligations under this Agreement and the other Loan Documents (including all or a portion of its Commitments and the Loans and LC Disbursements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1"/>
          <w:szCs w:val="21"/>
          <w:u w:val="single" w:color="auto"/>
          <w:color w:val="auto"/>
        </w:rPr>
        <w:t>Section 9.02(b)</w:t>
      </w:r>
      <w:r>
        <w:rPr>
          <w:rFonts w:ascii="Times New Roman" w:cs="Times New Roman" w:eastAsia="Times New Roman" w:hAnsi="Times New Roman"/>
          <w:sz w:val="21"/>
          <w:szCs w:val="21"/>
          <w:color w:val="auto"/>
        </w:rPr>
        <w:t xml:space="preserve"> that affects such Participant. Subject to </w:t>
      </w:r>
      <w:r>
        <w:rPr>
          <w:rFonts w:ascii="Times New Roman" w:cs="Times New Roman" w:eastAsia="Times New Roman" w:hAnsi="Times New Roman"/>
          <w:sz w:val="21"/>
          <w:szCs w:val="21"/>
          <w:u w:val="single" w:color="auto"/>
          <w:color w:val="auto"/>
        </w:rPr>
        <w:t>paragraph (g)</w:t>
      </w:r>
      <w:r>
        <w:rPr>
          <w:rFonts w:ascii="Times New Roman" w:cs="Times New Roman" w:eastAsia="Times New Roman" w:hAnsi="Times New Roman"/>
          <w:sz w:val="21"/>
          <w:szCs w:val="21"/>
          <w:color w:val="auto"/>
        </w:rPr>
        <w:t xml:space="preserve"> of this Section, the Borrower agrees that each Participant shall be entitled to the benefits of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shall not be entitled to receive any greater payment under </w:t>
      </w:r>
      <w:r>
        <w:rPr>
          <w:rFonts w:ascii="Times New Roman" w:cs="Times New Roman" w:eastAsia="Times New Roman" w:hAnsi="Times New Roman"/>
          <w:sz w:val="21"/>
          <w:szCs w:val="21"/>
          <w:u w:val="single" w:color="auto"/>
          <w:color w:val="auto"/>
        </w:rPr>
        <w:t>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7" w:name="page298"/>
    <w:bookmarkEnd w:id="297"/>
    <w:p>
      <w:pPr>
        <w:jc w:val="both"/>
        <w:spacing w:after="0" w:line="244" w:lineRule="auto"/>
        <w:rPr>
          <w:sz w:val="20"/>
          <w:szCs w:val="20"/>
          <w:color w:val="auto"/>
        </w:rPr>
      </w:pP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no Participant shall be entitled to the benefits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unless the Borrower is notified of the participation granted to such Participant and such Participant shall have complied with the requirements of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as if such Participant is a Lender.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9.08</w:t>
      </w:r>
      <w:r>
        <w:rPr>
          <w:rFonts w:ascii="Times New Roman" w:cs="Times New Roman" w:eastAsia="Times New Roman" w:hAnsi="Times New Roman"/>
          <w:sz w:val="21"/>
          <w:szCs w:val="21"/>
          <w:color w:val="auto"/>
        </w:rPr>
        <w:t xml:space="preserve"> as though it were a Lender; provided such Participant agrees to be subject to </w:t>
      </w:r>
      <w:r>
        <w:rPr>
          <w:rFonts w:ascii="Times New Roman" w:cs="Times New Roman" w:eastAsia="Times New Roman" w:hAnsi="Times New Roman"/>
          <w:sz w:val="21"/>
          <w:szCs w:val="21"/>
          <w:u w:val="single" w:color="auto"/>
          <w:color w:val="auto"/>
        </w:rPr>
        <w:t>Section 2.17(d)</w:t>
      </w:r>
      <w:r>
        <w:rPr>
          <w:rFonts w:ascii="Times New Roman" w:cs="Times New Roman" w:eastAsia="Times New Roman" w:hAnsi="Times New Roman"/>
          <w:sz w:val="21"/>
          <w:szCs w:val="21"/>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3"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Limitations on Rights of Participants</w:t>
      </w:r>
      <w:r>
        <w:rPr>
          <w:rFonts w:ascii="Times New Roman" w:cs="Times New Roman" w:eastAsia="Times New Roman" w:hAnsi="Times New Roman"/>
          <w:sz w:val="22"/>
          <w:szCs w:val="22"/>
          <w:color w:val="auto"/>
        </w:rPr>
        <w:t xml:space="preserve">. A Participant shall not be entitled to receive any greater payment under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2"/>
          <w:szCs w:val="22"/>
          <w:u w:val="single" w:color="auto"/>
          <w:color w:val="auto"/>
        </w:rPr>
        <w:t>paragraphs (e)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8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assignee for such Lender as a party hereto.</w:t>
      </w:r>
    </w:p>
    <w:p>
      <w:pPr>
        <w:spacing w:after="0" w:line="17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u w:val="single" w:color="auto"/>
          <w:color w:val="auto"/>
        </w:rPr>
        <w:t>No Assignments to the Borrower or Affiliates</w:t>
      </w:r>
      <w:r>
        <w:rPr>
          <w:rFonts w:ascii="Times New Roman" w:cs="Times New Roman" w:eastAsia="Times New Roman" w:hAnsi="Times New Roman"/>
          <w:sz w:val="22"/>
          <w:szCs w:val="22"/>
          <w:color w:val="auto"/>
        </w:rPr>
        <w:t>. Anything in this Section to the contrary notwithstanding, no Lender may assign or participate any interest in any Loan or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2"/>
          <w:szCs w:val="22"/>
          <w:color w:val="auto"/>
        </w:rPr>
        <w:t>Exposure held by it hereunder to the Borrower or any of its Affiliates or Subsidiaries without the prior consent of each Lender.</w:t>
      </w:r>
    </w:p>
    <w:p>
      <w:pPr>
        <w:spacing w:after="0" w:line="206"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2"/>
          <w:szCs w:val="22"/>
          <w:u w:val="single" w:color="auto"/>
          <w:color w:val="auto"/>
        </w:rPr>
        <w:t>Sections 2.14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Counterparts; Integration; Effectiveness; Electronic Execution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79"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u w:val="single" w:color="auto"/>
          <w:color w:val="auto"/>
        </w:rPr>
        <w:t>Electronic Execution of Assignments</w:t>
      </w:r>
      <w:r>
        <w:rPr>
          <w:rFonts w:ascii="Times New Roman" w:cs="Times New Roman" w:eastAsia="Times New Roman" w:hAnsi="Times New Roman"/>
          <w:sz w:val="22"/>
          <w:szCs w:val="22"/>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1"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99" w:name="page300"/>
    <w:bookmarkEnd w:id="299"/>
    <w:p>
      <w:pPr>
        <w:jc w:val="both"/>
        <w:spacing w:after="0" w:line="258" w:lineRule="auto"/>
        <w:rPr>
          <w:sz w:val="20"/>
          <w:szCs w:val="20"/>
          <w:color w:val="auto"/>
        </w:rPr>
      </w:pPr>
      <w:r>
        <w:rPr>
          <w:rFonts w:ascii="Times New Roman" w:cs="Times New Roman" w:eastAsia="Times New Roman" w:hAnsi="Times New Roman"/>
          <w:sz w:val="22"/>
          <w:szCs w:val="22"/>
          <w:color w:val="auto"/>
        </w:rPr>
        <w:t>of the remaining provisions hereof; and the invalidity of a particular provision in a particular jurisdiction shall not invalidate such provision in any other jurisdiction.</w:t>
      </w:r>
    </w:p>
    <w:p>
      <w:pPr>
        <w:spacing w:after="0" w:line="158"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Times New Roman" w:cs="Times New Roman" w:eastAsia="Times New Roman" w:hAnsi="Times New Roman"/>
          <w:sz w:val="22"/>
          <w:szCs w:val="22"/>
          <w:u w:val="single" w:color="auto"/>
          <w:color w:val="auto"/>
        </w:rPr>
        <w:t>Sections 2.17(d)</w:t>
      </w:r>
      <w:r>
        <w:rPr>
          <w:rFonts w:ascii="Times New Roman" w:cs="Times New Roman" w:eastAsia="Times New Roman" w:hAnsi="Times New Roman"/>
          <w:sz w:val="22"/>
          <w:szCs w:val="22"/>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Governing Law; Jurisdiction; Etc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construed in accordance with and governed by the law of the State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New York.</w:t>
      </w:r>
    </w:p>
    <w:p>
      <w:pPr>
        <w:spacing w:after="0" w:line="182" w:lineRule="exact"/>
        <w:rPr>
          <w:sz w:val="20"/>
          <w:szCs w:val="20"/>
          <w:color w:val="auto"/>
        </w:rPr>
      </w:pPr>
    </w:p>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79" w:lineRule="exact"/>
        <w:rPr>
          <w:sz w:val="20"/>
          <w:szCs w:val="20"/>
          <w:color w:val="auto"/>
        </w:rPr>
      </w:pPr>
    </w:p>
    <w:p>
      <w:pPr>
        <w:jc w:val="both"/>
        <w:ind w:firstLine="1727"/>
        <w:spacing w:after="0" w:line="239" w:lineRule="auto"/>
        <w:rPr>
          <w:sz w:val="20"/>
          <w:szCs w:val="20"/>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Each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0" w:name="page301"/>
    <w:bookmarkEnd w:id="300"/>
    <w:p>
      <w:pPr>
        <w:jc w:val="both"/>
        <w:spacing w:after="0" w:line="258" w:lineRule="auto"/>
        <w:rPr>
          <w:sz w:val="20"/>
          <w:szCs w:val="20"/>
          <w:color w:val="auto"/>
        </w:rPr>
      </w:pPr>
      <w:r>
        <w:rPr>
          <w:rFonts w:ascii="Times New Roman" w:cs="Times New Roman" w:eastAsia="Times New Roman" w:hAnsi="Times New Roman"/>
          <w:sz w:val="22"/>
          <w:szCs w:val="22"/>
          <w:color w:val="auto"/>
        </w:rPr>
        <w:t>hereby irrevocably waives, to the fullest extent permitted by law, the defense of an inconvenient forum to the maintenance of such action or proceeding in any such court.</w:t>
      </w:r>
    </w:p>
    <w:p>
      <w:pPr>
        <w:spacing w:after="0" w:line="158"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to this Agreement (i) irrevocably consents to service of process in the manner provided for notices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and (ii) agrees that service as provided in the manner provided for notices in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77"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6" w:lineRule="exact"/>
        <w:rPr>
          <w:sz w:val="20"/>
          <w:szCs w:val="20"/>
          <w:color w:val="auto"/>
        </w:rPr>
      </w:pPr>
    </w:p>
    <w:p>
      <w:pPr>
        <w:ind w:firstLine="8"/>
        <w:spacing w:after="0" w:line="258" w:lineRule="auto"/>
        <w:tabs>
          <w:tab w:leader="none" w:pos="344"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ACKNOWLEDGES THAT IT AND THE OTHER PARTIES HERETO HAVE BEEN INDUCED TO ENTER INTO THIS AGREEMENT BY, AMONG OTHER THINGS. THE MUTUAL WAIVERS AND CERTIFICATIONS IN THIS SECTION.</w:t>
      </w:r>
    </w:p>
    <w:p>
      <w:pPr>
        <w:spacing w:after="0" w:line="159" w:lineRule="exact"/>
        <w:rPr>
          <w:sz w:val="20"/>
          <w:szCs w:val="20"/>
          <w:color w:val="auto"/>
        </w:rPr>
      </w:pPr>
    </w:p>
    <w:p>
      <w:pPr>
        <w:jc w:val="both"/>
        <w:ind w:firstLine="1727"/>
        <w:spacing w:after="0" w:line="232" w:lineRule="auto"/>
        <w:rPr>
          <w:sz w:val="20"/>
          <w:szCs w:val="20"/>
          <w:color w:val="auto"/>
        </w:rPr>
      </w:pP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This is an international loan transaction in which the specification of Dollars or any Foreign Currency, as the case may be (the “</w:t>
      </w:r>
      <w:r>
        <w:rPr>
          <w:rFonts w:ascii="Times New Roman" w:cs="Times New Roman" w:eastAsia="Times New Roman" w:hAnsi="Times New Roman"/>
          <w:sz w:val="22"/>
          <w:szCs w:val="22"/>
          <w:u w:val="single" w:color="auto"/>
          <w:color w:val="auto"/>
        </w:rPr>
        <w:t>Specified Currency</w:t>
      </w:r>
      <w:r>
        <w:rPr>
          <w:rFonts w:ascii="Times New Roman" w:cs="Times New Roman" w:eastAsia="Times New Roman" w:hAnsi="Times New Roman"/>
          <w:sz w:val="22"/>
          <w:szCs w:val="22"/>
          <w:color w:val="auto"/>
        </w:rPr>
        <w:t>”), and payment in New York City or the country of the Specified Currency, as the case may be (the “</w:t>
      </w:r>
      <w:r>
        <w:rPr>
          <w:rFonts w:ascii="Times New Roman" w:cs="Times New Roman" w:eastAsia="Times New Roman" w:hAnsi="Times New Roman"/>
          <w:sz w:val="22"/>
          <w:szCs w:val="22"/>
          <w:u w:val="single" w:color="auto"/>
          <w:color w:val="auto"/>
        </w:rPr>
        <w:t>Specified Place</w:t>
      </w:r>
      <w:r>
        <w:rPr>
          <w:rFonts w:ascii="Times New Roman" w:cs="Times New Roman" w:eastAsia="Times New Roman" w:hAnsi="Times New Roman"/>
          <w:sz w:val="22"/>
          <w:szCs w:val="22"/>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22"/>
          <w:szCs w:val="22"/>
          <w:u w:val="single" w:color="auto"/>
          <w:color w:val="auto"/>
        </w:rPr>
        <w:t>Second Currency</w:t>
      </w:r>
      <w:r>
        <w:rPr>
          <w:rFonts w:ascii="Times New Roman" w:cs="Times New Roman" w:eastAsia="Times New Roman" w:hAnsi="Times New Roman"/>
          <w:sz w:val="22"/>
          <w:szCs w:val="22"/>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cs="Times New Roman" w:eastAsia="Times New Roman" w:hAnsi="Times New Roman"/>
          <w:sz w:val="22"/>
          <w:szCs w:val="22"/>
          <w:u w:val="single" w:color="auto"/>
          <w:color w:val="auto"/>
        </w:rPr>
        <w:t>Entitled Person</w:t>
      </w:r>
      <w:r>
        <w:rPr>
          <w:rFonts w:ascii="Times New Roman" w:cs="Times New Roman" w:eastAsia="Times New Roman" w:hAnsi="Times New Roman"/>
          <w:sz w:val="22"/>
          <w:szCs w:val="22"/>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1"/>
          <w:szCs w:val="21"/>
          <w:color w:val="auto"/>
        </w:rPr>
        <w:t>Entitled Person in the Specified Currency hereunder exceeds the amount of the Specified Currency so purchased and transferred.</w:t>
      </w:r>
    </w:p>
    <w:p>
      <w:pPr>
        <w:sectPr>
          <w:pgSz w:w="11900" w:h="16838" w:orient="portrait"/>
          <w:cols w:equalWidth="0" w:num="1">
            <w:col w:w="11240"/>
          </w:cols>
          <w:pgMar w:left="320" w:top="355" w:right="339" w:bottom="1440" w:gutter="0" w:footer="0" w:header="0"/>
        </w:sectPr>
      </w:pPr>
    </w:p>
    <w:p>
      <w:pPr>
        <w:spacing w:after="0" w:line="2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reference only, are not part</w:t>
      </w:r>
    </w:p>
    <w:p>
      <w:pPr>
        <w:spacing w:after="0"/>
        <w:rPr>
          <w:sz w:val="20"/>
          <w:szCs w:val="20"/>
          <w:color w:val="auto"/>
        </w:rPr>
      </w:pPr>
      <w:r>
        <w:rPr>
          <w:rFonts w:ascii="Times New Roman" w:cs="Times New Roman" w:eastAsia="Times New Roman" w:hAnsi="Times New Roman"/>
          <w:sz w:val="22"/>
          <w:szCs w:val="22"/>
          <w:color w:val="auto"/>
        </w:rPr>
        <w:t>interpreting, this Agreement.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firstLine="157"/>
        <w:spacing w:after="0" w:line="258" w:lineRule="auto"/>
        <w:rPr>
          <w:sz w:val="20"/>
          <w:szCs w:val="20"/>
          <w:color w:val="auto"/>
        </w:rPr>
      </w:pPr>
      <w:r>
        <w:rPr>
          <w:rFonts w:ascii="Times New Roman" w:cs="Times New Roman" w:eastAsia="Times New Roman" w:hAnsi="Times New Roman"/>
          <w:sz w:val="22"/>
          <w:szCs w:val="22"/>
          <w:color w:val="auto"/>
        </w:rPr>
        <w:t>Article and Section headings and the Table of Contents used herein are for convenience of of this Agreement and shall not affect the construction of, or be taken into consideration in</w:t>
      </w:r>
    </w:p>
    <w:p>
      <w:pPr>
        <w:spacing w:after="0" w:line="401" w:lineRule="exact"/>
        <w:rPr>
          <w:sz w:val="20"/>
          <w:szCs w:val="20"/>
          <w:color w:val="auto"/>
        </w:rPr>
      </w:pPr>
    </w:p>
    <w:p>
      <w:pPr>
        <w:sectPr>
          <w:pgSz w:w="11900" w:h="16838" w:orient="portrait"/>
          <w:cols w:equalWidth="0" w:num="2">
            <w:col w:w="2600" w:space="40"/>
            <w:col w:w="8600"/>
          </w:cols>
          <w:pgMar w:left="320" w:top="355" w:right="3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22"/>
          <w:szCs w:val="22"/>
          <w:u w:val="single" w:color="auto"/>
          <w:color w:val="auto"/>
        </w:rPr>
        <w:t>Treatment of Certain Information; No Fiduciary Duty; 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727"/>
        <w:spacing w:after="0" w:line="231" w:lineRule="auto"/>
        <w:rPr>
          <w:sz w:val="20"/>
          <w:szCs w:val="20"/>
          <w:color w:val="auto"/>
        </w:rPr>
      </w:pPr>
      <w:r>
        <w:rPr>
          <w:rFonts w:ascii="Times New Roman" w:cs="Times New Roman" w:eastAsia="Times New Roman" w:hAnsi="Times New Roman"/>
          <w:sz w:val="22"/>
          <w:szCs w:val="22"/>
          <w:u w:val="single" w:color="auto"/>
          <w:color w:val="auto"/>
        </w:rPr>
        <w:t>Treatment of Certain Information; No Fiduciary Duty; No Conflicts</w:t>
      </w:r>
      <w:r>
        <w:rPr>
          <w:rFonts w:ascii="Times New Roman" w:cs="Times New Roman" w:eastAsia="Times New Roman" w:hAnsi="Times New Roman"/>
          <w:sz w:val="22"/>
          <w:szCs w:val="22"/>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cs="Times New Roman" w:eastAsia="Times New Roman" w:hAnsi="Times New Roman"/>
          <w:sz w:val="22"/>
          <w:szCs w:val="22"/>
          <w:u w:val="single" w:color="auto"/>
          <w:color w:val="auto"/>
        </w:rPr>
        <w:t>paragraph (b)</w:t>
      </w:r>
      <w:r>
        <w:rPr>
          <w:rFonts w:ascii="Times New Roman" w:cs="Times New Roman" w:eastAsia="Times New Roman" w:hAnsi="Times New Roman"/>
          <w:sz w:val="22"/>
          <w:szCs w:val="22"/>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302" w:name="page303"/>
    <w:bookmarkEnd w:id="302"/>
    <w:p>
      <w:pPr>
        <w:spacing w:after="0" w:line="258" w:lineRule="auto"/>
        <w:rPr>
          <w:sz w:val="20"/>
          <w:szCs w:val="20"/>
          <w:color w:val="auto"/>
        </w:rPr>
      </w:pPr>
      <w:r>
        <w:rPr>
          <w:rFonts w:ascii="Times New Roman" w:cs="Times New Roman" w:eastAsia="Times New Roman" w:hAnsi="Times New Roman"/>
          <w:sz w:val="22"/>
          <w:szCs w:val="22"/>
          <w:color w:val="auto"/>
        </w:rPr>
        <w:t>nature or respect, or owes a fiduciary or similar duty to the Borrower or any of its Subsidiaries, in connection with such transaction or the process leading thereto.</w:t>
      </w:r>
    </w:p>
    <w:p>
      <w:pPr>
        <w:spacing w:after="0" w:line="158" w:lineRule="exact"/>
        <w:rPr>
          <w:sz w:val="20"/>
          <w:szCs w:val="20"/>
          <w:color w:val="auto"/>
        </w:rPr>
      </w:pPr>
    </w:p>
    <w:p>
      <w:pPr>
        <w:ind w:firstLine="1727"/>
        <w:spacing w:after="0" w:line="241" w:lineRule="auto"/>
        <w:rPr>
          <w:sz w:val="20"/>
          <w:szCs w:val="20"/>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Each of the Administrative Agent, the Lenders, the Swingline Lenders and the Issuing Banks agrees to maintain the confidentiality of the Information (as defined below), except that Information may be disclosed</w:t>
      </w:r>
    </w:p>
    <w:p>
      <w:pPr>
        <w:spacing w:after="0" w:line="2" w:lineRule="exact"/>
        <w:rPr>
          <w:sz w:val="20"/>
          <w:szCs w:val="20"/>
          <w:color w:val="auto"/>
        </w:rPr>
      </w:pPr>
    </w:p>
    <w:p>
      <w:pPr>
        <w:jc w:val="both"/>
        <w:ind w:firstLine="8"/>
        <w:spacing w:after="0" w:line="242" w:lineRule="auto"/>
        <w:tabs>
          <w:tab w:leader="none" w:pos="29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85" w:lineRule="exact"/>
        <w:rPr>
          <w:sz w:val="20"/>
          <w:szCs w:val="20"/>
          <w:color w:val="auto"/>
        </w:rPr>
      </w:pPr>
    </w:p>
    <w:p>
      <w:pPr>
        <w:jc w:val="both"/>
        <w:ind w:firstLine="1727"/>
        <w:spacing w:after="0" w:line="235"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 disclosure by the Borrower or any of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8" w:lineRule="exact"/>
        <w:rPr>
          <w:sz w:val="20"/>
          <w:szCs w:val="20"/>
          <w:color w:val="auto"/>
        </w:rPr>
      </w:pPr>
    </w:p>
    <w:p>
      <w:pPr>
        <w:jc w:val="both"/>
        <w:ind w:firstLine="1727"/>
        <w:spacing w:after="0" w:line="254" w:lineRule="exact"/>
        <w:rPr>
          <w:sz w:val="20"/>
          <w:szCs w:val="20"/>
          <w:color w:val="auto"/>
        </w:rPr>
      </w:pPr>
      <w:r>
        <w:rPr>
          <w:rFonts w:ascii="Times New Roman" w:cs="Times New Roman" w:eastAsia="Times New Roman" w:hAnsi="Times New Roman"/>
          <w:sz w:val="21"/>
          <w:szCs w:val="21"/>
          <w:u w:val="single" w:color="auto"/>
          <w:color w:val="auto"/>
        </w:rPr>
        <w:t>USA PATRIOT Act</w:t>
      </w:r>
      <w:r>
        <w:rPr>
          <w:rFonts w:ascii="Times New Roman" w:cs="Times New Roman" w:eastAsia="Times New Roman" w:hAnsi="Times New Roman"/>
          <w:sz w:val="21"/>
          <w:szCs w:val="21"/>
          <w:color w:val="auto"/>
        </w:rPr>
        <w:t>. Each Lender hereby notifies the Borrower that pursuant to the requirements of the USA PATRIOT Act (Title III of Pub. L. 107</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3" w:name="page304"/>
    <w:bookmarkEnd w:id="303"/>
    <w:p>
      <w:pPr>
        <w:jc w:val="both"/>
        <w:ind w:firstLine="1727"/>
        <w:spacing w:after="0" w:line="234" w:lineRule="auto"/>
        <w:rPr>
          <w:sz w:val="20"/>
          <w:szCs w:val="20"/>
          <w:color w:val="auto"/>
        </w:rPr>
      </w:pPr>
      <w:r>
        <w:rPr>
          <w:rFonts w:ascii="Times New Roman" w:cs="Times New Roman" w:eastAsia="Times New Roman" w:hAnsi="Times New Roman"/>
          <w:sz w:val="22"/>
          <w:szCs w:val="22"/>
          <w:u w:val="single" w:color="auto"/>
          <w:color w:val="auto"/>
        </w:rPr>
        <w:t>Effect of Amendment and Restatement of the Existing Credit Agreement</w:t>
      </w:r>
      <w:r>
        <w:rPr>
          <w:rFonts w:ascii="Times New Roman" w:cs="Times New Roman" w:eastAsia="Times New Roman" w:hAnsi="Times New Roman"/>
          <w:sz w:val="22"/>
          <w:szCs w:val="22"/>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83" w:lineRule="exact"/>
        <w:rPr>
          <w:sz w:val="20"/>
          <w:szCs w:val="20"/>
          <w:color w:val="auto"/>
        </w:rPr>
      </w:pPr>
    </w:p>
    <w:p>
      <w:pPr>
        <w:jc w:val="both"/>
        <w:ind w:firstLine="1727"/>
        <w:spacing w:after="0" w:line="244" w:lineRule="auto"/>
        <w:rPr>
          <w:sz w:val="20"/>
          <w:szCs w:val="20"/>
          <w:color w:val="auto"/>
        </w:rPr>
      </w:pPr>
      <w:r>
        <w:rPr>
          <w:rFonts w:ascii="Times New Roman" w:cs="Times New Roman" w:eastAsia="Times New Roman" w:hAnsi="Times New Roman"/>
          <w:sz w:val="22"/>
          <w:szCs w:val="22"/>
          <w:u w:val="single" w:color="auto"/>
          <w:color w:val="auto"/>
        </w:rPr>
        <w:t>Reaffirmation of Guarantee and Security Agreement</w:t>
      </w:r>
      <w:r>
        <w:rPr>
          <w:rFonts w:ascii="Times New Roman" w:cs="Times New Roman" w:eastAsia="Times New Roman" w:hAnsi="Times New Roman"/>
          <w:sz w:val="22"/>
          <w:szCs w:val="22"/>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173"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Acknowledgement and Consent to Bail-In of EEA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7" w:lineRule="exact"/>
        <w:rPr>
          <w:sz w:val="20"/>
          <w:szCs w:val="20"/>
          <w:color w:val="auto"/>
        </w:rPr>
      </w:pPr>
    </w:p>
    <w:p>
      <w:pPr>
        <w:jc w:val="both"/>
        <w:ind w:firstLine="1727"/>
        <w:spacing w:after="0" w:line="258" w:lineRule="auto"/>
        <w:rPr>
          <w:sz w:val="20"/>
          <w:szCs w:val="20"/>
          <w:color w:val="auto"/>
        </w:rPr>
      </w:pPr>
      <w:r>
        <w:rPr>
          <w:rFonts w:ascii="Times New Roman" w:cs="Times New Roman" w:eastAsia="Times New Roman" w:hAnsi="Times New Roman"/>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sz w:val="20"/>
          <w:szCs w:val="20"/>
          <w:color w:val="auto"/>
        </w:rPr>
      </w:pPr>
    </w:p>
    <w:p>
      <w:pPr>
        <w:jc w:val="both"/>
        <w:ind w:left="1740" w:firstLine="731"/>
        <w:spacing w:after="0" w:line="239" w:lineRule="auto"/>
        <w:rPr>
          <w:sz w:val="20"/>
          <w:szCs w:val="20"/>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1740" w:right="20" w:firstLine="731"/>
        <w:spacing w:after="0" w:line="258" w:lineRule="auto"/>
        <w:rPr>
          <w:sz w:val="20"/>
          <w:szCs w:val="20"/>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EEA Resolution Authority.</w:t>
      </w:r>
    </w:p>
    <w:p>
      <w:pPr>
        <w:spacing w:after="0" w:line="15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u w:val="single" w:color="auto"/>
          <w:color w:val="auto"/>
        </w:rPr>
        <w:t>Certain ERISA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727"/>
        <w:spacing w:after="0" w:line="244" w:lineRule="auto"/>
        <w:rPr>
          <w:sz w:val="20"/>
          <w:szCs w:val="20"/>
          <w:color w:val="auto"/>
        </w:rPr>
      </w:pPr>
      <w:r>
        <w:rPr>
          <w:rFonts w:ascii="Times New Roman" w:cs="Times New Roman" w:eastAsia="Times New Roman" w:hAnsi="Times New Roman"/>
          <w:sz w:val="22"/>
          <w:szCs w:val="22"/>
          <w:color w:val="auto"/>
        </w:rPr>
        <w:t>Each Lender (x) represents and warrants, as of the later of the date such Person became a Lender party hereto and the Tenth Amendment Effective Date, to, and (y) covenants, from such date to the date such Person ceases being a Lender party hereto, for the benefit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4" w:name="page305"/>
    <w:bookmarkEnd w:id="304"/>
    <w:p>
      <w:pPr>
        <w:spacing w:after="0" w:line="258" w:lineRule="auto"/>
        <w:rPr>
          <w:sz w:val="20"/>
          <w:szCs w:val="20"/>
          <w:color w:val="auto"/>
        </w:rPr>
      </w:pPr>
      <w:r>
        <w:rPr>
          <w:rFonts w:ascii="Times New Roman" w:cs="Times New Roman" w:eastAsia="Times New Roman" w:hAnsi="Times New Roman"/>
          <w:sz w:val="22"/>
          <w:szCs w:val="22"/>
          <w:color w:val="auto"/>
        </w:rPr>
        <w:t>Administrative Agent, each Joint Lead Arranger, and their respective Affiliates, and not, for the avoidance of doubt, to or for the benefit of the Borrower or any other Obligor, that at least one of the following is and will be true:</w:t>
      </w:r>
    </w:p>
    <w:p>
      <w:pPr>
        <w:spacing w:after="0" w:line="158" w:lineRule="exact"/>
        <w:rPr>
          <w:sz w:val="20"/>
          <w:szCs w:val="20"/>
          <w:color w:val="auto"/>
        </w:rPr>
      </w:pPr>
    </w:p>
    <w:p>
      <w:pPr>
        <w:jc w:val="both"/>
        <w:ind w:left="880" w:firstLine="797"/>
        <w:spacing w:after="0" w:line="282" w:lineRule="auto"/>
        <w:rPr>
          <w:sz w:val="20"/>
          <w:szCs w:val="20"/>
          <w:color w:val="auto"/>
        </w:rPr>
      </w:pPr>
      <w:r>
        <w:rPr>
          <w:rFonts w:ascii="Times New Roman" w:cs="Times New Roman" w:eastAsia="Times New Roman" w:hAnsi="Times New Roman"/>
          <w:sz w:val="21"/>
          <w:szCs w:val="21"/>
          <w:color w:val="auto"/>
        </w:rPr>
        <w:t>such Lender is not using “plan assets” (within the meaning of 29 CFR § 2510.3-101, as modified by Section 3(42) of ERISA) of one or more Benefit Plans in connection with the Loans, the Letters of Credit or the Commitments,</w:t>
      </w:r>
    </w:p>
    <w:p>
      <w:pPr>
        <w:spacing w:after="0" w:line="135" w:lineRule="exact"/>
        <w:rPr>
          <w:sz w:val="20"/>
          <w:szCs w:val="20"/>
          <w:color w:val="auto"/>
        </w:rPr>
      </w:pPr>
    </w:p>
    <w:p>
      <w:pPr>
        <w:jc w:val="both"/>
        <w:ind w:left="880" w:firstLine="797"/>
        <w:spacing w:after="0" w:line="235" w:lineRule="auto"/>
        <w:rPr>
          <w:sz w:val="20"/>
          <w:szCs w:val="20"/>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sz w:val="20"/>
          <w:szCs w:val="20"/>
          <w:color w:val="auto"/>
        </w:rPr>
      </w:pPr>
    </w:p>
    <w:p>
      <w:pPr>
        <w:jc w:val="both"/>
        <w:ind w:left="880" w:firstLine="789"/>
        <w:spacing w:after="0" w:line="235" w:lineRule="auto"/>
        <w:tabs>
          <w:tab w:leader="none" w:pos="206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8" w:lineRule="exact"/>
        <w:rPr>
          <w:sz w:val="20"/>
          <w:szCs w:val="20"/>
          <w:color w:val="auto"/>
        </w:rPr>
      </w:pPr>
    </w:p>
    <w:p>
      <w:pPr>
        <w:ind w:left="880" w:firstLine="797"/>
        <w:spacing w:after="0" w:line="258" w:lineRule="auto"/>
        <w:rPr>
          <w:sz w:val="20"/>
          <w:szCs w:val="20"/>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 with respect to the Loan Documents.</w:t>
      </w:r>
    </w:p>
    <w:p>
      <w:pPr>
        <w:spacing w:after="0" w:line="158" w:lineRule="exact"/>
        <w:rPr>
          <w:sz w:val="20"/>
          <w:szCs w:val="20"/>
          <w:color w:val="auto"/>
        </w:rPr>
      </w:pPr>
    </w:p>
    <w:p>
      <w:pPr>
        <w:jc w:val="both"/>
        <w:ind w:firstLine="1727"/>
        <w:spacing w:after="0" w:line="236" w:lineRule="auto"/>
        <w:rPr>
          <w:sz w:val="20"/>
          <w:szCs w:val="20"/>
          <w:color w:val="auto"/>
        </w:rPr>
      </w:pPr>
      <w:r>
        <w:rPr>
          <w:rFonts w:ascii="Times New Roman" w:cs="Times New Roman" w:eastAsia="Times New Roman" w:hAnsi="Times New Roman"/>
          <w:sz w:val="22"/>
          <w:szCs w:val="22"/>
          <w:color w:val="auto"/>
        </w:rPr>
        <w:t xml:space="preserve">In addition, unless </w:t>
      </w:r>
      <w:r>
        <w:rPr>
          <w:rFonts w:ascii="Times New Roman" w:cs="Times New Roman" w:eastAsia="Times New Roman" w:hAnsi="Times New Roman"/>
          <w:sz w:val="22"/>
          <w:szCs w:val="22"/>
          <w:u w:val="single" w:color="auto"/>
          <w:color w:val="auto"/>
        </w:rPr>
        <w:t>sub-clause (i)</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22"/>
          <w:szCs w:val="22"/>
          <w:u w:val="single" w:color="auto"/>
          <w:color w:val="auto"/>
        </w:rPr>
        <w:t>sub-clause (iv)</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such Lender further (x) represents and warrants, as of the later of the date such Person became a Lender party hereto and the Tenth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w:t>
      </w:r>
    </w:p>
    <w:p>
      <w:pPr>
        <w:spacing w:after="0" w:line="181" w:lineRule="exact"/>
        <w:rPr>
          <w:sz w:val="20"/>
          <w:szCs w:val="20"/>
          <w:color w:val="auto"/>
        </w:rPr>
      </w:pPr>
    </w:p>
    <w:p>
      <w:pPr>
        <w:jc w:val="both"/>
        <w:ind w:left="880" w:firstLine="797"/>
        <w:spacing w:after="0" w:line="261" w:lineRule="auto"/>
        <w:rPr>
          <w:sz w:val="20"/>
          <w:szCs w:val="20"/>
          <w:color w:val="auto"/>
        </w:rPr>
      </w:pPr>
      <w:r>
        <w:rPr>
          <w:rFonts w:ascii="Times New Roman" w:cs="Times New Roman" w:eastAsia="Times New Roman" w:hAnsi="Times New Roman"/>
          <w:sz w:val="21"/>
          <w:szCs w:val="21"/>
          <w:color w:val="auto"/>
        </w:rPr>
        <w:t>none of the Administrative Agent, the Joint Lead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5" w:name="page306"/>
    <w:bookmarkEnd w:id="305"/>
    <w:p>
      <w:pPr>
        <w:jc w:val="both"/>
        <w:ind w:left="880" w:firstLine="797"/>
        <w:spacing w:after="0" w:line="238" w:lineRule="auto"/>
        <w:rPr>
          <w:sz w:val="20"/>
          <w:szCs w:val="20"/>
          <w:color w:val="auto"/>
        </w:rPr>
      </w:pPr>
      <w:r>
        <w:rPr>
          <w:rFonts w:ascii="Times New Roman" w:cs="Times New Roman" w:eastAsia="Times New Roman" w:hAnsi="Times New Roman"/>
          <w:sz w:val="22"/>
          <w:szCs w:val="22"/>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7" w:lineRule="exact"/>
        <w:rPr>
          <w:sz w:val="20"/>
          <w:szCs w:val="20"/>
          <w:color w:val="auto"/>
        </w:rPr>
      </w:pPr>
    </w:p>
    <w:p>
      <w:pPr>
        <w:jc w:val="both"/>
        <w:ind w:left="880" w:firstLine="797"/>
        <w:spacing w:after="0" w:line="238" w:lineRule="auto"/>
        <w:rPr>
          <w:sz w:val="20"/>
          <w:szCs w:val="20"/>
          <w:color w:val="auto"/>
        </w:rPr>
      </w:pPr>
      <w:r>
        <w:rPr>
          <w:rFonts w:ascii="Times New Roman" w:cs="Times New Roman" w:eastAsia="Times New Roman" w:hAnsi="Times New Roman"/>
          <w:sz w:val="22"/>
          <w:szCs w:val="22"/>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Secured Obligations (as defined in the Guarantee and Security Agreement)),</w:t>
      </w:r>
    </w:p>
    <w:p>
      <w:pPr>
        <w:spacing w:after="0" w:line="177" w:lineRule="exact"/>
        <w:rPr>
          <w:sz w:val="20"/>
          <w:szCs w:val="20"/>
          <w:color w:val="auto"/>
        </w:rPr>
      </w:pPr>
    </w:p>
    <w:p>
      <w:pPr>
        <w:jc w:val="both"/>
        <w:ind w:left="880" w:firstLine="797"/>
        <w:spacing w:after="0" w:line="238" w:lineRule="auto"/>
        <w:rPr>
          <w:sz w:val="20"/>
          <w:szCs w:val="20"/>
          <w:color w:val="auto"/>
        </w:rPr>
      </w:pPr>
      <w:r>
        <w:rPr>
          <w:rFonts w:ascii="Times New Roman" w:cs="Times New Roman" w:eastAsia="Times New Roman" w:hAnsi="Times New Roman"/>
          <w:sz w:val="22"/>
          <w:szCs w:val="22"/>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77"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2"/>
          <w:szCs w:val="22"/>
          <w:color w:val="auto"/>
        </w:rPr>
        <w:t>no fee or other compensation is being paid directly to the Administrative Agent, any Joint Lead Arranger or any their respective Affiliates for investment advice (as opposed to other services) in connection with the Loans, the Letters of Credit, the Commitments or this Agreement.</w:t>
      </w:r>
    </w:p>
    <w:p>
      <w:pPr>
        <w:spacing w:after="0" w:line="173"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7" w:lineRule="exact"/>
        <w:rPr>
          <w:sz w:val="20"/>
          <w:szCs w:val="20"/>
          <w:color w:val="auto"/>
        </w:rPr>
      </w:pPr>
    </w:p>
    <w:p>
      <w:pPr>
        <w:jc w:val="both"/>
        <w:ind w:firstLine="1727"/>
        <w:spacing w:after="0" w:line="238" w:lineRule="auto"/>
        <w:rPr>
          <w:sz w:val="20"/>
          <w:szCs w:val="20"/>
          <w:color w:val="auto"/>
        </w:rPr>
      </w:pP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6" w:name="page307"/>
    <w:bookmarkEnd w:id="306"/>
    <w:p>
      <w:pPr>
        <w:jc w:val="both"/>
        <w:spacing w:after="0" w:line="239" w:lineRule="auto"/>
        <w:rPr>
          <w:sz w:val="20"/>
          <w:szCs w:val="20"/>
          <w:color w:val="auto"/>
        </w:rPr>
      </w:pPr>
      <w:r>
        <w:rPr>
          <w:rFonts w:ascii="Times New Roman" w:cs="Times New Roman" w:eastAsia="Times New Roman" w:hAnsi="Times New Roman"/>
          <w:sz w:val="22"/>
          <w:szCs w:val="22"/>
          <w:color w:val="auto"/>
        </w:rPr>
        <w:t>(together with the regulations promulgated thereunder, the “</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0" w:lineRule="exact"/>
        <w:rPr>
          <w:sz w:val="20"/>
          <w:szCs w:val="20"/>
          <w:color w:val="auto"/>
        </w:rPr>
      </w:pPr>
    </w:p>
    <w:p>
      <w:pPr>
        <w:jc w:val="both"/>
        <w:ind w:firstLine="1727"/>
        <w:spacing w:after="0" w:line="233" w:lineRule="auto"/>
        <w:rPr>
          <w:sz w:val="20"/>
          <w:szCs w:val="20"/>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9.19</w:t>
      </w:r>
      <w:r>
        <w:rPr>
          <w:rFonts w:ascii="Times New Roman" w:cs="Times New Roman" w:eastAsia="Times New Roman" w:hAnsi="Times New Roman"/>
          <w:sz w:val="22"/>
          <w:szCs w:val="22"/>
          <w:color w:val="auto"/>
        </w:rPr>
        <w:t>, the following terms have the following meanings:</w:t>
      </w:r>
    </w:p>
    <w:p>
      <w:pPr>
        <w:spacing w:after="0" w:line="206" w:lineRule="exact"/>
        <w:rPr>
          <w:sz w:val="20"/>
          <w:szCs w:val="20"/>
          <w:color w:val="auto"/>
        </w:rPr>
      </w:pPr>
    </w:p>
    <w:p>
      <w:pPr>
        <w:ind w:left="880" w:firstLine="797"/>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8" w:lineRule="exact"/>
        <w:rPr>
          <w:sz w:val="20"/>
          <w:szCs w:val="20"/>
          <w:color w:val="auto"/>
        </w:rPr>
      </w:pPr>
    </w:p>
    <w:p>
      <w:pPr>
        <w:ind w:left="2640" w:hanging="905"/>
        <w:spacing w:after="0"/>
        <w:tabs>
          <w:tab w:leader="none" w:pos="264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rFonts w:ascii="Times New Roman" w:cs="Times New Roman" w:eastAsia="Times New Roman" w:hAnsi="Times New Roman"/>
          <w:sz w:val="22"/>
          <w:szCs w:val="22"/>
          <w:color w:val="auto"/>
        </w:rPr>
      </w:pPr>
    </w:p>
    <w:p>
      <w:pPr>
        <w:ind w:left="2860" w:hanging="394"/>
        <w:spacing w:after="0"/>
        <w:tabs>
          <w:tab w:leader="none" w:pos="2860"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w:t>
      </w:r>
    </w:p>
    <w:p>
      <w:pPr>
        <w:spacing w:after="0" w:line="14" w:lineRule="exact"/>
        <w:rPr>
          <w:rFonts w:ascii="Times New Roman" w:cs="Times New Roman" w:eastAsia="Times New Roman" w:hAnsi="Times New Roman"/>
          <w:sz w:val="22"/>
          <w:szCs w:val="22"/>
          <w:color w:val="auto"/>
        </w:rPr>
      </w:pPr>
    </w:p>
    <w:p>
      <w:pPr>
        <w:ind w:left="1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252.82(b);</w:t>
      </w:r>
    </w:p>
    <w:p>
      <w:pPr>
        <w:spacing w:after="0" w:line="182" w:lineRule="exact"/>
        <w:rPr>
          <w:rFonts w:ascii="Times New Roman" w:cs="Times New Roman" w:eastAsia="Times New Roman" w:hAnsi="Times New Roman"/>
          <w:sz w:val="22"/>
          <w:szCs w:val="22"/>
          <w:color w:val="auto"/>
        </w:rPr>
      </w:pPr>
    </w:p>
    <w:p>
      <w:pPr>
        <w:ind w:left="2860" w:hanging="394"/>
        <w:spacing w:after="0"/>
        <w:tabs>
          <w:tab w:leader="none" w:pos="2860"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w:t>
      </w:r>
    </w:p>
    <w:p>
      <w:pPr>
        <w:spacing w:after="0" w:line="14" w:lineRule="exact"/>
        <w:rPr>
          <w:rFonts w:ascii="Times New Roman" w:cs="Times New Roman" w:eastAsia="Times New Roman" w:hAnsi="Times New Roman"/>
          <w:sz w:val="22"/>
          <w:szCs w:val="22"/>
          <w:color w:val="auto"/>
        </w:rPr>
      </w:pPr>
    </w:p>
    <w:p>
      <w:pPr>
        <w:ind w:left="1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47.3(b); or</w:t>
      </w:r>
    </w:p>
    <w:p>
      <w:pPr>
        <w:spacing w:after="0" w:line="182" w:lineRule="exact"/>
        <w:rPr>
          <w:rFonts w:ascii="Times New Roman" w:cs="Times New Roman" w:eastAsia="Times New Roman" w:hAnsi="Times New Roman"/>
          <w:sz w:val="22"/>
          <w:szCs w:val="22"/>
          <w:color w:val="auto"/>
        </w:rPr>
      </w:pPr>
    </w:p>
    <w:p>
      <w:pPr>
        <w:ind w:left="2860" w:hanging="394"/>
        <w:spacing w:after="0"/>
        <w:tabs>
          <w:tab w:leader="none" w:pos="2860" w:val="left"/>
        </w:tabs>
        <w:numPr>
          <w:ilvl w:val="2"/>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w:t>
      </w:r>
    </w:p>
    <w:p>
      <w:pPr>
        <w:spacing w:after="0" w:line="14" w:lineRule="exact"/>
        <w:rPr>
          <w:rFonts w:ascii="Times New Roman" w:cs="Times New Roman" w:eastAsia="Times New Roman" w:hAnsi="Times New Roman"/>
          <w:sz w:val="22"/>
          <w:szCs w:val="22"/>
          <w:color w:val="auto"/>
        </w:rPr>
      </w:pPr>
    </w:p>
    <w:p>
      <w:pPr>
        <w:ind w:left="1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382.2(b).</w:t>
      </w:r>
    </w:p>
    <w:p>
      <w:pPr>
        <w:spacing w:after="0" w:line="182" w:lineRule="exact"/>
        <w:rPr>
          <w:rFonts w:ascii="Times New Roman" w:cs="Times New Roman" w:eastAsia="Times New Roman" w:hAnsi="Times New Roman"/>
          <w:sz w:val="22"/>
          <w:szCs w:val="22"/>
          <w:color w:val="auto"/>
        </w:rPr>
      </w:pPr>
    </w:p>
    <w:p>
      <w:pPr>
        <w:ind w:left="880" w:right="20" w:firstLine="789"/>
        <w:spacing w:after="0" w:line="258" w:lineRule="auto"/>
        <w:tabs>
          <w:tab w:leader="none" w:pos="264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rFonts w:ascii="Times New Roman" w:cs="Times New Roman" w:eastAsia="Times New Roman" w:hAnsi="Times New Roman"/>
          <w:sz w:val="22"/>
          <w:szCs w:val="22"/>
          <w:color w:val="auto"/>
        </w:rPr>
      </w:pPr>
    </w:p>
    <w:p>
      <w:pPr>
        <w:ind w:left="880" w:right="20" w:firstLine="789"/>
        <w:spacing w:after="0" w:line="258" w:lineRule="auto"/>
        <w:tabs>
          <w:tab w:leader="none" w:pos="263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7" w:name="page308"/>
    <w:bookmarkEnd w:id="307"/>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285115</wp:posOffset>
            </wp:positionV>
            <wp:extent cx="7132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302260</wp:posOffset>
            </wp:positionV>
            <wp:extent cx="7132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9019"/>
          </w:cols>
          <w:pgMar w:left="1440" w:top="351" w:right="1440"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SIXTH STREET SPECIALTY LENDING,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Jurisdiction</w:t>
            </w:r>
          </w:p>
        </w:tc>
      </w:tr>
      <w:tr>
        <w:trPr>
          <w:trHeight w:val="191"/>
        </w:trPr>
        <w:tc>
          <w:tcPr>
            <w:tcW w:w="5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TC Lending, LLC</w:t>
            </w:r>
          </w:p>
        </w:tc>
        <w:tc>
          <w:tcPr>
            <w:tcW w:w="100" w:type="dxa"/>
            <w:vAlign w:val="bottom"/>
          </w:tcPr>
          <w:p>
            <w:pPr>
              <w:spacing w:after="0"/>
              <w:rPr>
                <w:sz w:val="16"/>
                <w:szCs w:val="16"/>
                <w:color w:val="auto"/>
              </w:rPr>
            </w:pPr>
          </w:p>
        </w:tc>
        <w:tc>
          <w:tcPr>
            <w:tcW w:w="5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Sixth Street SL SPV, LLC</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Sixth Street SL Holding, LLC</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Sixth Street Specialty Lending Sub, LLC</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bl>
    <w:p>
      <w:pPr>
        <w:sectPr>
          <w:pgSz w:w="11900" w:h="16838" w:orient="portrait"/>
          <w:cols w:equalWidth="0" w:num="1">
            <w:col w:w="11240"/>
          </w:cols>
          <w:pgMar w:left="320" w:top="333" w:right="3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97" w:lineRule="exact"/>
        <w:rPr>
          <w:sz w:val="20"/>
          <w:szCs w:val="20"/>
          <w:color w:val="auto"/>
        </w:rPr>
      </w:pPr>
    </w:p>
    <w:p>
      <w:pPr>
        <w:ind w:right="40" w:firstLine="294"/>
        <w:spacing w:after="0" w:line="25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on Form N-2 of Sixth Street Specialty Lending, Inc. of our report, dated February 17, 2021, with respect to the consolidated financial statements and the effectiveness of internal control over financial reporting, which appears in the annual report on Form 10-K of Sixth Street Specialty Lending, Inc. for the year ended December 31, 2020, and to the use of our report dated February 17, 2021 on the senior securities table included herein as an exhibit to the Form 10-K. We also consent to the references to our firm under the headings “Senior Securities” and “Controls and Procedures” in the Form 10-K.</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 KPMG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2021</w:t>
      </w:r>
    </w:p>
    <w:p>
      <w:pPr>
        <w:sectPr>
          <w:pgSz w:w="11900" w:h="16838" w:orient="portrait"/>
          <w:cols w:equalWidth="0" w:num="1">
            <w:col w:w="11240"/>
          </w:cols>
          <w:pgMar w:left="320" w:top="117" w:right="3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760" w:hanging="509"/>
        <w:spacing w:after="0"/>
        <w:tabs>
          <w:tab w:leader="none" w:pos="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2020, of Sixth Street Specialty Lending, Inc.;</w:t>
      </w:r>
    </w:p>
    <w:p>
      <w:pPr>
        <w:spacing w:after="0" w:line="144" w:lineRule="exact"/>
        <w:rPr>
          <w:rFonts w:ascii="Times New Roman" w:cs="Times New Roman" w:eastAsia="Times New Roman" w:hAnsi="Times New Roman"/>
          <w:sz w:val="18"/>
          <w:szCs w:val="18"/>
          <w:color w:val="auto"/>
        </w:rPr>
      </w:pPr>
    </w:p>
    <w:p>
      <w:pPr>
        <w:jc w:val="both"/>
        <w:ind w:left="760" w:right="20" w:hanging="509"/>
        <w:spacing w:after="0" w:line="266" w:lineRule="auto"/>
        <w:tabs>
          <w:tab w:leader="none" w:pos="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60" w:hanging="509"/>
        <w:spacing w:after="0" w:line="282" w:lineRule="auto"/>
        <w:tabs>
          <w:tab w:leader="none" w:pos="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20" w:hanging="509"/>
        <w:spacing w:after="0" w:line="266" w:lineRule="auto"/>
        <w:tabs>
          <w:tab w:leader="none" w:pos="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260" w:right="160" w:hanging="496"/>
        <w:spacing w:after="0" w:line="266" w:lineRule="auto"/>
        <w:tabs>
          <w:tab w:leader="none" w:pos="12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60" w:right="80" w:hanging="496"/>
        <w:spacing w:after="0" w:line="266" w:lineRule="auto"/>
        <w:tabs>
          <w:tab w:leader="none" w:pos="12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1260" w:right="260" w:hanging="496"/>
        <w:spacing w:after="0" w:line="312" w:lineRule="auto"/>
        <w:tabs>
          <w:tab w:leader="none" w:pos="1260"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60" w:right="120" w:hanging="496"/>
        <w:spacing w:after="0" w:line="266" w:lineRule="auto"/>
        <w:tabs>
          <w:tab w:leader="none" w:pos="12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509"/>
        <w:spacing w:after="0" w:line="282" w:lineRule="auto"/>
        <w:tabs>
          <w:tab w:leader="none" w:pos="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60" w:right="500" w:hanging="496"/>
        <w:spacing w:after="0" w:line="282" w:lineRule="auto"/>
        <w:tabs>
          <w:tab w:leader="none" w:pos="12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60" w:right="180" w:hanging="496"/>
        <w:spacing w:after="0" w:line="282" w:lineRule="auto"/>
        <w:tabs>
          <w:tab w:leader="none" w:pos="12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2021</w:t>
      </w:r>
    </w:p>
    <w:p>
      <w:pPr>
        <w:spacing w:after="0" w:line="225" w:lineRule="exact"/>
        <w:rPr>
          <w:sz w:val="20"/>
          <w:szCs w:val="20"/>
          <w:color w:val="auto"/>
        </w:rPr>
      </w:pPr>
    </w:p>
    <w:p>
      <w:pPr>
        <w:ind w:left="6200"/>
        <w:spacing w:after="0"/>
        <w:tabs>
          <w:tab w:leader="none" w:pos="666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760" w:hanging="509"/>
        <w:spacing w:after="0"/>
        <w:tabs>
          <w:tab w:leader="none" w:pos="7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2020, of Sixth Street Specialty Lending, Inc.;</w:t>
      </w:r>
    </w:p>
    <w:p>
      <w:pPr>
        <w:spacing w:after="0" w:line="144" w:lineRule="exact"/>
        <w:rPr>
          <w:rFonts w:ascii="Times New Roman" w:cs="Times New Roman" w:eastAsia="Times New Roman" w:hAnsi="Times New Roman"/>
          <w:sz w:val="18"/>
          <w:szCs w:val="18"/>
          <w:color w:val="auto"/>
        </w:rPr>
      </w:pPr>
    </w:p>
    <w:p>
      <w:pPr>
        <w:jc w:val="both"/>
        <w:ind w:left="760" w:right="20" w:hanging="509"/>
        <w:spacing w:after="0" w:line="266" w:lineRule="auto"/>
        <w:tabs>
          <w:tab w:leader="none" w:pos="7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60" w:hanging="509"/>
        <w:spacing w:after="0" w:line="282" w:lineRule="auto"/>
        <w:tabs>
          <w:tab w:leader="none" w:pos="7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right="20" w:hanging="509"/>
        <w:spacing w:after="0" w:line="266" w:lineRule="auto"/>
        <w:tabs>
          <w:tab w:leader="none" w:pos="7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260" w:right="160" w:hanging="496"/>
        <w:spacing w:after="0" w:line="266" w:lineRule="auto"/>
        <w:tabs>
          <w:tab w:leader="none" w:pos="12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60" w:right="80" w:hanging="496"/>
        <w:spacing w:after="0" w:line="266" w:lineRule="auto"/>
        <w:tabs>
          <w:tab w:leader="none" w:pos="12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1260" w:right="260" w:hanging="496"/>
        <w:spacing w:after="0" w:line="312" w:lineRule="auto"/>
        <w:tabs>
          <w:tab w:leader="none" w:pos="126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60" w:right="120" w:hanging="496"/>
        <w:spacing w:after="0" w:line="266" w:lineRule="auto"/>
        <w:tabs>
          <w:tab w:leader="none" w:pos="12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80" w:hanging="509"/>
        <w:spacing w:after="0" w:line="282" w:lineRule="auto"/>
        <w:tabs>
          <w:tab w:leader="none" w:pos="7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60" w:right="500" w:hanging="496"/>
        <w:spacing w:after="0" w:line="282" w:lineRule="auto"/>
        <w:tabs>
          <w:tab w:leader="none" w:pos="12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60" w:right="180" w:hanging="496"/>
        <w:spacing w:after="0" w:line="282" w:lineRule="auto"/>
        <w:tabs>
          <w:tab w:leader="none" w:pos="12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2021</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17145</wp:posOffset>
            </wp:positionV>
            <wp:extent cx="297434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Ian Simmonds</w:t>
      </w:r>
    </w:p>
    <w:p>
      <w:pPr>
        <w:spacing w:after="0" w:line="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Sixth Street Specialty Lending, Inc. (the “Company”) for the annual period ended December 31, 2020,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60" w:hanging="509"/>
        <w:spacing w:after="0"/>
        <w:tabs>
          <w:tab w:leader="none" w:pos="7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44" w:lineRule="exact"/>
        <w:rPr>
          <w:rFonts w:ascii="Times New Roman" w:cs="Times New Roman" w:eastAsia="Times New Roman" w:hAnsi="Times New Roman"/>
          <w:sz w:val="18"/>
          <w:szCs w:val="18"/>
          <w:color w:val="auto"/>
        </w:rPr>
      </w:pPr>
    </w:p>
    <w:p>
      <w:pPr>
        <w:ind w:left="760" w:hanging="509"/>
        <w:spacing w:after="0"/>
        <w:tabs>
          <w:tab w:leader="none" w:pos="7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3"/>
          <w:szCs w:val="13"/>
          <w:color w:val="auto"/>
        </w:rPr>
        <w:t>OSHUA</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3"/>
          <w:szCs w:val="13"/>
          <w:color w:val="auto"/>
        </w:rPr>
        <w:t>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2021</w:t>
      </w:r>
    </w:p>
    <w:p>
      <w:pPr>
        <w:spacing w:after="0" w:line="27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3"/>
          <w:szCs w:val="13"/>
          <w:color w:val="auto"/>
        </w:rPr>
        <w:t>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2021</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347"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3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 on Supplemental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138"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7"/>
          <w:szCs w:val="17"/>
          <w:color w:val="auto"/>
        </w:rPr>
        <w:t>We have audited, in accordance with the standards of the Public Company Accounting Oversight Board (United States) (the PCAOB), the consolidated financial statements of Sixth Street Specialty Lending, Inc. and subsidiaries (the Company) as of December 31, 2020 and 2019 and for each of the years in the three-year period ended December 31, 2020, and our report dated February 17, 2021 expressed an unqualified opinion on those consolidated financial statements.</w:t>
      </w:r>
    </w:p>
    <w:p>
      <w:pPr>
        <w:spacing w:after="0" w:line="9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have also previously audited, in accordance with the standards of the PCAOB, the consolidated balance sheets of the Company, including the consolidated schedules of investments, as of December 31, 2018, 2017, 2016, 2015, 2014, 2013, 2012, and 2011, and the related consolidated statements of operations, stockholders’ equity, and cash flows for the years ended December 31, 2017, 2016, 2015, 2014, 2013, 2012, and 2011 (none of which is presented herein), and we expressed unqualified opinions on those consolidated financial statements.</w:t>
      </w:r>
    </w:p>
    <w:p>
      <w:pPr>
        <w:spacing w:after="0" w:line="1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The senior securities table included in Part II, Item 5 of the Annual Report of the Company for the year ended December 31, 2020, under the caption “Senior Securities” (the Senior Securities Table) has been subjected to audit procedures performed in conjunction with the audit of the Company’s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consolidated financial statements as a whole.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 KPMG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17, 2021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1)"/>
      <w:numFmt w:val="decimal"/>
      <w:start w:val="1"/>
    </w:lvl>
  </w:abstractNum>
  <w:abstractNum w:abstractNumId="14">
    <w:nsid w:val="6FC75AF8"/>
    <w:multiLevelType w:val="hybridMultilevel"/>
    <w:lvl w:ilvl="0">
      <w:lvlJc w:val="left"/>
      <w:lvlText w:val="(%1)"/>
      <w:numFmt w:val="decimal"/>
      <w:start w:val="1"/>
    </w:lvl>
  </w:abstractNum>
  <w:abstractNum w:abstractNumId="15">
    <w:nsid w:val="6A5F7029"/>
    <w:multiLevelType w:val="hybridMultilevel"/>
    <w:lvl w:ilvl="0">
      <w:lvlJc w:val="left"/>
      <w:lvlText w:val="(%1)"/>
      <w:numFmt w:val="decimal"/>
      <w:start w:val="1"/>
    </w:lvl>
  </w:abstractNum>
  <w:abstractNum w:abstractNumId="16">
    <w:nsid w:val="7D5E18F8"/>
    <w:multiLevelType w:val="hybridMultilevel"/>
    <w:lvl w:ilvl="0">
      <w:lvlJc w:val="left"/>
      <w:lvlText w:val="(%1)"/>
      <w:numFmt w:val="decimal"/>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1)"/>
      <w:numFmt w:val="lowerRoman"/>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1)"/>
      <w:numFmt w:val="decimal"/>
    </w:lvl>
    <w:lvl w:ilvl="1">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
      <w:numFmt w:val="bullet"/>
      <w:start w:val="1"/>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6">
    <w:nsid w:val="1CA0C5FA"/>
    <w:multiLevelType w:val="hybridMultilevel"/>
    <w:lvl w:ilvl="0">
      <w:lvlJc w:val="left"/>
      <w:lvlText w:val="•"/>
      <w:numFmt w:val="bullet"/>
      <w:start w:val="1"/>
    </w:lvl>
  </w:abstractNum>
  <w:abstractNum w:abstractNumId="37">
    <w:nsid w:val="53584BCB"/>
    <w:multiLevelType w:val="hybridMultilevel"/>
    <w:lvl w:ilvl="0">
      <w:lvlJc w:val="left"/>
      <w:lvlText w:val="•"/>
      <w:numFmt w:val="bullet"/>
      <w:start w:val="1"/>
    </w:lvl>
    <w:lvl w:ilvl="1">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
      <w:numFmt w:val="bullet"/>
      <w:start w:val="1"/>
    </w:lvl>
  </w:abstractNum>
  <w:abstractNum w:abstractNumId="45">
    <w:nsid w:val="4BD8591A"/>
    <w:multiLevelType w:val="hybridMultilevel"/>
    <w:lvl w:ilvl="0">
      <w:lvlJc w:val="left"/>
      <w:lvlText w:val="(%1)"/>
      <w:numFmt w:val="decimal"/>
      <w:start w:val="1"/>
    </w:lvl>
  </w:abstractNum>
  <w:abstractNum w:abstractNumId="46">
    <w:nsid w:val="78DF6A55"/>
    <w:multiLevelType w:val="hybridMultilevel"/>
    <w:lvl w:ilvl="0">
      <w:lvlJc w:val="left"/>
      <w:lvlText w:val="•"/>
      <w:numFmt w:val="bullet"/>
      <w:start w:val="1"/>
    </w:lvl>
  </w:abstractNum>
  <w:abstractNum w:abstractNumId="47">
    <w:nsid w:val="39B7AAA2"/>
    <w:multiLevelType w:val="hybridMultilevel"/>
    <w:lvl w:ilvl="0">
      <w:lvlJc w:val="left"/>
      <w:lvlText w:val="•"/>
      <w:numFmt w:val="bullet"/>
      <w:start w:val="1"/>
    </w:lvl>
  </w:abstractNum>
  <w:abstractNum w:abstractNumId="48">
    <w:nsid w:val="2B0D8DBE"/>
    <w:multiLevelType w:val="hybridMultilevel"/>
    <w:lvl w:ilvl="0">
      <w:lvlJc w:val="left"/>
      <w:lvlText w:val="(%1)"/>
      <w:numFmt w:val="lowerLetter"/>
      <w:start w:val="2"/>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
      <w:numFmt w:val="bullet"/>
      <w:start w:val="1"/>
    </w:lvl>
  </w:abstractNum>
  <w:abstractNum w:abstractNumId="52">
    <w:nsid w:val="2C27173B"/>
    <w:multiLevelType w:val="hybridMultilevel"/>
    <w:lvl w:ilvl="0">
      <w:lvlJc w:val="left"/>
      <w:lvlText w:val="•"/>
      <w:numFmt w:val="bullet"/>
      <w:start w:val="1"/>
    </w:lvl>
  </w:abstractNum>
  <w:abstractNum w:abstractNumId="53">
    <w:nsid w:val="4C9B0904"/>
    <w:multiLevelType w:val="hybridMultilevel"/>
    <w:lvl w:ilvl="0">
      <w:lvlJc w:val="left"/>
      <w:lvlText w:val="•"/>
      <w:numFmt w:val="bullet"/>
      <w:start w:val="1"/>
    </w:lvl>
  </w:abstractNum>
  <w:abstractNum w:abstractNumId="54">
    <w:nsid w:val="6AA7B75C"/>
    <w:multiLevelType w:val="hybridMultilevel"/>
    <w:lvl w:ilvl="0">
      <w:lvlJc w:val="left"/>
      <w:lvlText w:val="•"/>
      <w:numFmt w:val="bullet"/>
      <w:start w:val="1"/>
    </w:lvl>
  </w:abstractNum>
  <w:abstractNum w:abstractNumId="55">
    <w:nsid w:val="1DF029D3"/>
    <w:multiLevelType w:val="hybridMultilevel"/>
    <w:lvl w:ilvl="0">
      <w:lvlJc w:val="left"/>
      <w:lvlText w:val="•"/>
      <w:numFmt w:val="bullet"/>
      <w:start w:val="1"/>
    </w:lvl>
  </w:abstractNum>
  <w:abstractNum w:abstractNumId="56">
    <w:nsid w:val="5675FF36"/>
    <w:multiLevelType w:val="hybridMultilevel"/>
    <w:lvl w:ilvl="0">
      <w:lvlJc w:val="left"/>
      <w:lvlText w:val="•"/>
      <w:numFmt w:val="bullet"/>
      <w:start w:val="1"/>
    </w:lvl>
  </w:abstractNum>
  <w:abstractNum w:abstractNumId="57">
    <w:nsid w:val="3DD15094"/>
    <w:multiLevelType w:val="hybridMultilevel"/>
    <w:lvl w:ilvl="0">
      <w:lvlJc w:val="left"/>
      <w:lvlText w:val="•"/>
      <w:numFmt w:val="bullet"/>
      <w:start w:val="1"/>
    </w:lvl>
  </w:abstractNum>
  <w:abstractNum w:abstractNumId="58">
    <w:nsid w:val="3DB012B3"/>
    <w:multiLevelType w:val="hybridMultilevel"/>
    <w:lvl w:ilvl="0">
      <w:lvlJc w:val="left"/>
      <w:lvlText w:val="•"/>
      <w:numFmt w:val="bullet"/>
      <w:start w:val="1"/>
    </w:lvl>
  </w:abstractNum>
  <w:abstractNum w:abstractNumId="59">
    <w:nsid w:val="2708C9AF"/>
    <w:multiLevelType w:val="hybridMultilevel"/>
    <w:lvl w:ilvl="0">
      <w:lvlJc w:val="left"/>
      <w:lvlText w:val="(%1)"/>
      <w:numFmt w:val="decimal"/>
      <w:start w:val="1"/>
    </w:lvl>
  </w:abstractNum>
  <w:abstractNum w:abstractNumId="60">
    <w:nsid w:val="5B25ACE2"/>
    <w:multiLevelType w:val="hybridMultilevel"/>
    <w:lvl w:ilvl="0">
      <w:lvlJc w:val="left"/>
      <w:lvlText w:val="(%1)"/>
      <w:numFmt w:val="decimal"/>
      <w:start w:val="1"/>
    </w:lvl>
  </w:abstractNum>
  <w:abstractNum w:abstractNumId="61">
    <w:nsid w:val="175DFCF0"/>
    <w:multiLevelType w:val="hybridMultilevel"/>
    <w:lvl w:ilvl="0">
      <w:lvlJc w:val="left"/>
      <w:lvlText w:val="(%1)"/>
      <w:numFmt w:val="decimal"/>
      <w:start w:val="3"/>
    </w:lvl>
  </w:abstractNum>
  <w:abstractNum w:abstractNumId="62">
    <w:nsid w:val="4F97E3E4"/>
    <w:multiLevelType w:val="hybridMultilevel"/>
    <w:lvl w:ilvl="0">
      <w:lvlJc w:val="left"/>
      <w:lvlText w:val="•"/>
      <w:numFmt w:val="bullet"/>
      <w:start w:val="1"/>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
      <w:numFmt w:val="bullet"/>
      <w:start w:val="1"/>
    </w:lvl>
  </w:abstractNum>
  <w:abstractNum w:abstractNumId="65">
    <w:nsid w:val="5915FF32"/>
    <w:multiLevelType w:val="hybridMultilevel"/>
    <w:lvl w:ilvl="0">
      <w:lvlJc w:val="left"/>
      <w:lvlText w:val="(%1)"/>
      <w:numFmt w:val="decimal"/>
      <w:start w:val="1"/>
    </w:lvl>
  </w:abstractNum>
  <w:abstractNum w:abstractNumId="66">
    <w:nsid w:val="56438D15"/>
    <w:multiLevelType w:val="hybridMultilevel"/>
    <w:lvl w:ilvl="0">
      <w:lvlJc w:val="left"/>
      <w:lvlText w:val="(%1)"/>
      <w:numFmt w:val="decimal"/>
      <w:start w:val="1"/>
    </w:lvl>
  </w:abstractNum>
  <w:abstractNum w:abstractNumId="67">
    <w:nsid w:val="519E3149"/>
    <w:multiLevelType w:val="hybridMultilevel"/>
    <w:lvl w:ilvl="0">
      <w:lvlJc w:val="left"/>
      <w:lvlText w:val="(%1)"/>
      <w:numFmt w:val="decimal"/>
      <w:start w:val="1"/>
    </w:lvl>
  </w:abstractNum>
  <w:abstractNum w:abstractNumId="68">
    <w:nsid w:val="2C6E4AFD"/>
    <w:multiLevelType w:val="hybridMultilevel"/>
    <w:lvl w:ilvl="0">
      <w:lvlJc w:val="left"/>
      <w:lvlText w:val="•"/>
      <w:numFmt w:val="bullet"/>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
      <w:numFmt w:val="bullet"/>
      <w:start w:val="1"/>
    </w:lvl>
  </w:abstractNum>
  <w:abstractNum w:abstractNumId="71">
    <w:nsid w:val="5046B5A9"/>
    <w:multiLevelType w:val="hybridMultilevel"/>
    <w:lvl w:ilvl="0">
      <w:lvlJc w:val="left"/>
      <w:lvlText w:val="•"/>
      <w:numFmt w:val="bullet"/>
      <w:start w:val="1"/>
    </w:lvl>
  </w:abstractNum>
  <w:abstractNum w:abstractNumId="72">
    <w:nsid w:val="5D888A08"/>
    <w:multiLevelType w:val="hybridMultilevel"/>
    <w:lvl w:ilvl="0">
      <w:lvlJc w:val="left"/>
      <w:lvlText w:val="(%1)"/>
      <w:numFmt w:val="decimal"/>
      <w:start w:val="1"/>
    </w:lvl>
  </w:abstractNum>
  <w:abstractNum w:abstractNumId="73">
    <w:nsid w:val="2A082C70"/>
    <w:multiLevelType w:val="hybridMultilevel"/>
    <w:lvl w:ilvl="0">
      <w:lvlJc w:val="left"/>
      <w:lvlText w:val="(%1)"/>
      <w:numFmt w:val="decimal"/>
      <w:start w:val="1"/>
    </w:lvl>
  </w:abstractNum>
  <w:abstractNum w:abstractNumId="74">
    <w:nsid w:val="5EC6AFD4"/>
    <w:multiLevelType w:val="hybridMultilevel"/>
    <w:lvl w:ilvl="0">
      <w:lvlJc w:val="left"/>
      <w:lvlText w:val="•"/>
      <w:numFmt w:val="bullet"/>
      <w:start w:val="1"/>
    </w:lvl>
  </w:abstractNum>
  <w:abstractNum w:abstractNumId="75">
    <w:nsid w:val="19E21BB2"/>
    <w:multiLevelType w:val="hybridMultilevel"/>
    <w:lvl w:ilvl="0">
      <w:lvlJc w:val="left"/>
      <w:lvlText w:val="(%1)"/>
      <w:numFmt w:val="decimal"/>
      <w:start w:val="1"/>
    </w:lvl>
  </w:abstractNum>
  <w:abstractNum w:abstractNumId="76">
    <w:nsid w:val="75E0858A"/>
    <w:multiLevelType w:val="hybridMultilevel"/>
    <w:lvl w:ilvl="0">
      <w:lvlJc w:val="left"/>
      <w:lvlText w:val="(%1)"/>
      <w:numFmt w:val="decimal"/>
      <w:start w:val="1"/>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
      <w:numFmt w:val="bullet"/>
      <w:start w:val="1"/>
    </w:lvl>
  </w:abstractNum>
  <w:abstractNum w:abstractNumId="79">
    <w:nsid w:val="20EE1348"/>
    <w:multiLevelType w:val="hybridMultilevel"/>
    <w:lvl w:ilvl="0">
      <w:lvlJc w:val="left"/>
      <w:lvlText w:val="•"/>
      <w:numFmt w:val="bullet"/>
      <w:start w:val="1"/>
    </w:lvl>
  </w:abstractNum>
  <w:abstractNum w:abstractNumId="80">
    <w:nsid w:val="4427069A"/>
    <w:multiLevelType w:val="hybridMultilevel"/>
    <w:lvl w:ilvl="0">
      <w:lvlJc w:val="left"/>
      <w:lvlText w:val="•"/>
      <w:numFmt w:val="bullet"/>
      <w:start w:val="1"/>
    </w:lvl>
  </w:abstractNum>
  <w:abstractNum w:abstractNumId="81">
    <w:nsid w:val="B37E80A"/>
    <w:multiLevelType w:val="hybridMultilevel"/>
    <w:lvl w:ilvl="0">
      <w:lvlJc w:val="left"/>
      <w:lvlText w:val="•"/>
      <w:numFmt w:val="bullet"/>
      <w:start w:val="1"/>
    </w:lvl>
  </w:abstractNum>
  <w:abstractNum w:abstractNumId="82">
    <w:nsid w:val="2157F6BC"/>
    <w:multiLevelType w:val="hybridMultilevel"/>
    <w:lvl w:ilvl="0">
      <w:lvlJc w:val="left"/>
      <w:lvlText w:val="•"/>
      <w:numFmt w:val="bullet"/>
      <w:start w:val="1"/>
    </w:lvl>
  </w:abstractNum>
  <w:abstractNum w:abstractNumId="83">
    <w:nsid w:val="704E1DD5"/>
    <w:multiLevelType w:val="hybridMultilevel"/>
    <w:lvl w:ilvl="0">
      <w:lvlJc w:val="left"/>
      <w:lvlText w:val="•"/>
      <w:numFmt w:val="bullet"/>
      <w:start w:val="1"/>
    </w:lvl>
  </w:abstractNum>
  <w:abstractNum w:abstractNumId="84">
    <w:nsid w:val="57D2F10E"/>
    <w:multiLevelType w:val="hybridMultilevel"/>
    <w:lvl w:ilvl="0">
      <w:lvlJc w:val="left"/>
      <w:lvlText w:val="%1"/>
      <w:numFmt w:val="decimal"/>
      <w:start w:val="1"/>
    </w:lvl>
    <w:lvl w:ilvl="1">
      <w:lvlJc w:val="left"/>
      <w:lvlText w:val="(%2)"/>
      <w:numFmt w:val="lowerLetter"/>
      <w:start w:val="1"/>
    </w:lvl>
  </w:abstractNum>
  <w:abstractNum w:abstractNumId="85">
    <w:nsid w:val="BFFAE18"/>
    <w:multiLevelType w:val="hybridMultilevel"/>
    <w:lvl w:ilvl="0">
      <w:lvlJc w:val="left"/>
      <w:lvlText w:val="(%1)"/>
      <w:numFmt w:val="decimal"/>
      <w:start w:val="1"/>
    </w:lvl>
    <w:lvl w:ilvl="1">
      <w:lvlJc w:val="left"/>
      <w:lvlText w:val="%2"/>
      <w:numFmt w:val="lowerLetter"/>
      <w:start w:val="1"/>
    </w:lvl>
  </w:abstractNum>
  <w:abstractNum w:abstractNumId="86">
    <w:nsid w:val="E3E47A8"/>
    <w:multiLevelType w:val="hybridMultilevel"/>
    <w:lvl w:ilvl="0">
      <w:lvlJc w:val="left"/>
      <w:lvlText w:val="%1"/>
      <w:numFmt w:val="decimal"/>
      <w:start w:val="1"/>
    </w:lvl>
    <w:lvl w:ilvl="1">
      <w:lvlJc w:val="left"/>
      <w:lvlText w:val="(%2)"/>
      <w:numFmt w:val="lowerLetter"/>
      <w:start w:val="1"/>
    </w:lvl>
  </w:abstractNum>
  <w:abstractNum w:abstractNumId="87">
    <w:nsid w:val="2E48F044"/>
    <w:multiLevelType w:val="hybridMultilevel"/>
    <w:lvl w:ilvl="0">
      <w:lvlJc w:val="left"/>
      <w:lvlText w:val="(%1)"/>
      <w:numFmt w:val="decimal"/>
      <w:start w:val="7"/>
    </w:lvl>
    <w:lvl w:ilvl="1">
      <w:lvlJc w:val="left"/>
      <w:lvlText w:val="%2"/>
      <w:numFmt w:val="lowerLetter"/>
      <w:start w:val="1"/>
    </w:lvl>
  </w:abstractNum>
  <w:abstractNum w:abstractNumId="88">
    <w:nsid w:val="49D0FEAC"/>
    <w:multiLevelType w:val="hybridMultilevel"/>
    <w:lvl w:ilvl="0">
      <w:lvlJc w:val="left"/>
      <w:lvlText w:val="%1"/>
      <w:numFmt w:val="decimal"/>
      <w:start w:val="1"/>
    </w:lvl>
    <w:lvl w:ilvl="1">
      <w:lvlJc w:val="left"/>
      <w:lvlText w:val="(%2)"/>
      <w:numFmt w:val="lowerLetter"/>
      <w:start w:val="1"/>
    </w:lvl>
  </w:abstractNum>
  <w:abstractNum w:abstractNumId="89">
    <w:nsid w:val="4BEE5A5B"/>
    <w:multiLevelType w:val="hybridMultilevel"/>
    <w:lvl w:ilvl="0">
      <w:lvlJc w:val="left"/>
      <w:lvlText w:val="(%1)"/>
      <w:numFmt w:val="decimal"/>
      <w:start w:val="8"/>
    </w:lvl>
    <w:lvl w:ilvl="1">
      <w:lvlJc w:val="left"/>
      <w:lvlText w:val="%2"/>
      <w:numFmt w:val="lowerLetter"/>
      <w:start w:val="1"/>
    </w:lvl>
  </w:abstractNum>
  <w:abstractNum w:abstractNumId="90">
    <w:nsid w:val="5551B9F3"/>
    <w:multiLevelType w:val="hybridMultilevel"/>
    <w:lvl w:ilvl="0">
      <w:lvlJc w:val="left"/>
      <w:lvlText w:val="%1"/>
      <w:numFmt w:val="decimal"/>
      <w:start w:val="1"/>
    </w:lvl>
    <w:lvl w:ilvl="1">
      <w:lvlJc w:val="left"/>
      <w:lvlText w:val="(%2)"/>
      <w:numFmt w:val="lowerLetter"/>
      <w:start w:val="1"/>
    </w:lvl>
  </w:abstractNum>
  <w:abstractNum w:abstractNumId="91">
    <w:nsid w:val="24F6AB8E"/>
    <w:multiLevelType w:val="hybridMultilevel"/>
    <w:lvl w:ilvl="0">
      <w:lvlJc w:val="left"/>
      <w:lvlText w:val="(%1)"/>
      <w:numFmt w:val="decimal"/>
      <w:start w:val="1"/>
    </w:lvl>
    <w:lvl w:ilvl="1">
      <w:lvlJc w:val="left"/>
      <w:lvlText w:val="%2"/>
      <w:numFmt w:val="lowerLetter"/>
      <w:start w:val="1"/>
    </w:lvl>
  </w:abstractNum>
  <w:abstractNum w:abstractNumId="92">
    <w:nsid w:val="634C574C"/>
    <w:multiLevelType w:val="hybridMultilevel"/>
    <w:lvl w:ilvl="0">
      <w:lvlJc w:val="left"/>
      <w:lvlText w:val="%1"/>
      <w:numFmt w:val="decimal"/>
      <w:start w:val="1"/>
    </w:lvl>
    <w:lvl w:ilvl="1">
      <w:lvlJc w:val="left"/>
      <w:lvlText w:val="(%2)"/>
      <w:numFmt w:val="lowerLetter"/>
      <w:start w:val="1"/>
    </w:lvl>
  </w:abstractNum>
  <w:abstractNum w:abstractNumId="93">
    <w:nsid w:val="24E99DD7"/>
    <w:multiLevelType w:val="hybridMultilevel"/>
    <w:lvl w:ilvl="0">
      <w:lvlJc w:val="left"/>
      <w:lvlText w:val="(%1)"/>
      <w:numFmt w:val="decimal"/>
      <w:start w:val="7"/>
    </w:lvl>
    <w:lvl w:ilvl="1">
      <w:lvlJc w:val="left"/>
      <w:lvlText w:val="%2"/>
      <w:numFmt w:val="lowerLetter"/>
      <w:start w:val="1"/>
    </w:lvl>
  </w:abstractNum>
  <w:abstractNum w:abstractNumId="94">
    <w:nsid w:val="2A31B62D"/>
    <w:multiLevelType w:val="hybridMultilevel"/>
    <w:lvl w:ilvl="0">
      <w:lvlJc w:val="left"/>
      <w:lvlText w:val="%1"/>
      <w:numFmt w:val="decimal"/>
      <w:start w:val="1"/>
    </w:lvl>
    <w:lvl w:ilvl="1">
      <w:lvlJc w:val="left"/>
      <w:lvlText w:val="(%2)"/>
      <w:numFmt w:val="lowerLetter"/>
      <w:start w:val="1"/>
    </w:lvl>
  </w:abstractNum>
  <w:abstractNum w:abstractNumId="95">
    <w:nsid w:val="1849C29B"/>
    <w:multiLevelType w:val="hybridMultilevel"/>
    <w:lvl w:ilvl="0">
      <w:lvlJc w:val="left"/>
      <w:lvlText w:val="(%1)"/>
      <w:numFmt w:val="decimal"/>
      <w:start w:val="8"/>
    </w:lvl>
    <w:lvl w:ilvl="1">
      <w:lvlJc w:val="left"/>
      <w:lvlText w:val="%2"/>
      <w:numFmt w:val="lowerLetter"/>
      <w:start w:val="1"/>
    </w:lvl>
  </w:abstractNum>
  <w:abstractNum w:abstractNumId="96">
    <w:nsid w:val="7DFF9D09"/>
    <w:multiLevelType w:val="hybridMultilevel"/>
    <w:lvl w:ilvl="0">
      <w:lvlJc w:val="left"/>
      <w:lvlText w:val="(%1)"/>
      <w:numFmt w:val="decimal"/>
      <w:start w:val="1"/>
    </w:lvl>
  </w:abstractNum>
  <w:abstractNum w:abstractNumId="97">
    <w:nsid w:val="754342"/>
    <w:multiLevelType w:val="hybridMultilevel"/>
    <w:lvl w:ilvl="0">
      <w:lvlJc w:val="left"/>
      <w:lvlText w:val="•"/>
      <w:numFmt w:val="bullet"/>
      <w:start w:val="1"/>
    </w:lvl>
  </w:abstractNum>
  <w:abstractNum w:abstractNumId="98">
    <w:nsid w:val="69E7F3E5"/>
    <w:multiLevelType w:val="hybridMultilevel"/>
    <w:lvl w:ilvl="0">
      <w:lvlJc w:val="left"/>
      <w:lvlText w:val="•"/>
      <w:numFmt w:val="bullet"/>
      <w:start w:val="1"/>
    </w:lvl>
  </w:abstractNum>
  <w:abstractNum w:abstractNumId="99">
    <w:nsid w:val="2A6DE806"/>
    <w:multiLevelType w:val="hybridMultilevel"/>
    <w:lvl w:ilvl="0">
      <w:lvlJc w:val="left"/>
      <w:lvlText w:val="•"/>
      <w:numFmt w:val="bullet"/>
      <w:start w:val="1"/>
    </w:lvl>
  </w:abstractNum>
  <w:abstractNum w:abstractNumId="100">
    <w:nsid w:val="1816F8C4"/>
    <w:multiLevelType w:val="hybridMultilevel"/>
    <w:lvl w:ilvl="0">
      <w:lvlJc w:val="left"/>
      <w:lvlText w:val="(%1)"/>
      <w:numFmt w:val="lowerRoman"/>
      <w:start w:val="1"/>
    </w:lvl>
  </w:abstractNum>
  <w:abstractNum w:abstractNumId="101">
    <w:nsid w:val="37DF2233"/>
    <w:multiLevelType w:val="hybridMultilevel"/>
    <w:lvl w:ilvl="0">
      <w:lvlJc w:val="left"/>
      <w:lvlText w:val="(%1)"/>
      <w:numFmt w:val="decimal"/>
      <w:start w:val="1"/>
    </w:lvl>
  </w:abstractNum>
  <w:abstractNum w:abstractNumId="102">
    <w:nsid w:val="7AB49DAF"/>
    <w:multiLevelType w:val="hybridMultilevel"/>
    <w:lvl w:ilvl="0">
      <w:lvlJc w:val="left"/>
      <w:lvlText w:val="(%1)"/>
      <w:numFmt w:val="decimal"/>
      <w:start w:val="1"/>
    </w:lvl>
  </w:abstractNum>
  <w:abstractNum w:abstractNumId="103">
    <w:nsid w:val="759F82CD"/>
    <w:multiLevelType w:val="hybridMultilevel"/>
    <w:lvl w:ilvl="0">
      <w:lvlJc w:val="left"/>
      <w:lvlText w:val="(%1)"/>
      <w:numFmt w:val="decimal"/>
      <w:start w:val="1"/>
    </w:lvl>
  </w:abstractNum>
  <w:abstractNum w:abstractNumId="104">
    <w:nsid w:val="61E74EA3"/>
    <w:multiLevelType w:val="hybridMultilevel"/>
    <w:lvl w:ilvl="0">
      <w:lvlJc w:val="left"/>
      <w:lvlText w:val="(%1)"/>
      <w:numFmt w:val="decimal"/>
      <w:start w:val="1"/>
    </w:lvl>
  </w:abstractNum>
  <w:abstractNum w:abstractNumId="105">
    <w:nsid w:val="597B4D84"/>
    <w:multiLevelType w:val="hybridMultilevel"/>
    <w:lvl w:ilvl="0">
      <w:lvlJc w:val="left"/>
      <w:lvlText w:val="(%1)"/>
      <w:numFmt w:val="decimal"/>
      <w:start w:val="1"/>
    </w:lvl>
  </w:abstractNum>
  <w:abstractNum w:abstractNumId="106">
    <w:nsid w:val="F819E7F"/>
    <w:multiLevelType w:val="hybridMultilevel"/>
    <w:lvl w:ilvl="0">
      <w:lvlJc w:val="left"/>
      <w:lvlText w:val="(%1)"/>
      <w:numFmt w:val="decimal"/>
      <w:start w:val="1"/>
    </w:lvl>
  </w:abstractNum>
  <w:abstractNum w:abstractNumId="107">
    <w:nsid w:val="57C7D42D"/>
    <w:multiLevelType w:val="hybridMultilevel"/>
    <w:lvl w:ilvl="0">
      <w:lvlJc w:val="left"/>
      <w:lvlText w:val="(%1)"/>
      <w:numFmt w:val="decimal"/>
      <w:start w:val="1"/>
    </w:lvl>
  </w:abstractNum>
  <w:abstractNum w:abstractNumId="108">
    <w:nsid w:val="312167AD"/>
    <w:multiLevelType w:val="hybridMultilevel"/>
    <w:lvl w:ilvl="0">
      <w:lvlJc w:val="left"/>
      <w:lvlText w:val="•"/>
      <w:numFmt w:val="bullet"/>
      <w:start w:val="1"/>
    </w:lvl>
  </w:abstractNum>
  <w:abstractNum w:abstractNumId="109">
    <w:nsid w:val="631B64D4"/>
    <w:multiLevelType w:val="hybridMultilevel"/>
    <w:lvl w:ilvl="0">
      <w:lvlJc w:val="left"/>
      <w:lvlText w:val="(%1)"/>
      <w:numFmt w:val="decimal"/>
      <w:start w:val="1"/>
    </w:lvl>
  </w:abstractNum>
  <w:abstractNum w:abstractNumId="110">
    <w:nsid w:val="78B5E776"/>
    <w:multiLevelType w:val="hybridMultilevel"/>
    <w:lvl w:ilvl="0">
      <w:lvlJc w:val="left"/>
      <w:lvlText w:val="(%1)"/>
      <w:numFmt w:val="decimal"/>
      <w:start w:val="1"/>
    </w:lvl>
  </w:abstractNum>
  <w:abstractNum w:abstractNumId="111">
    <w:nsid w:val="75486E47"/>
    <w:multiLevelType w:val="hybridMultilevel"/>
    <w:lvl w:ilvl="0">
      <w:lvlJc w:val="left"/>
      <w:lvlText w:val="(%1)"/>
      <w:numFmt w:val="decimal"/>
      <w:start w:val="1"/>
    </w:lvl>
  </w:abstractNum>
  <w:abstractNum w:abstractNumId="112">
    <w:nsid w:val="6E534CDE"/>
    <w:multiLevelType w:val="hybridMultilevel"/>
    <w:lvl w:ilvl="0">
      <w:lvlJc w:val="left"/>
      <w:lvlText w:val="%1."/>
      <w:numFmt w:val="decimal"/>
      <w:start w:val="10"/>
    </w:lvl>
  </w:abstractNum>
  <w:abstractNum w:abstractNumId="113">
    <w:nsid w:val="1A0DDE32"/>
    <w:multiLevelType w:val="hybridMultilevel"/>
    <w:lvl w:ilvl="0">
      <w:lvlJc w:val="left"/>
      <w:lvlText w:val="%1."/>
      <w:numFmt w:val="decimal"/>
      <w:start w:val="12"/>
    </w:lvl>
  </w:abstractNum>
  <w:abstractNum w:abstractNumId="114">
    <w:nsid w:val="65968C1C"/>
    <w:multiLevelType w:val="hybridMultilevel"/>
    <w:lvl w:ilvl="0">
      <w:lvlJc w:val="left"/>
      <w:lvlText w:val="(%1)"/>
      <w:numFmt w:val="decimal"/>
      <w:start w:val="1"/>
    </w:lvl>
  </w:abstractNum>
  <w:abstractNum w:abstractNumId="115">
    <w:nsid w:val="46263DEC"/>
    <w:multiLevelType w:val="hybridMultilevel"/>
    <w:lvl w:ilvl="0">
      <w:lvlJc w:val="left"/>
      <w:lvlText w:val="(%1)"/>
      <w:numFmt w:val="decimal"/>
      <w:start w:val="1"/>
    </w:lvl>
  </w:abstractNum>
  <w:abstractNum w:abstractNumId="116">
    <w:nsid w:val="260D8C4A"/>
    <w:multiLevelType w:val="hybridMultilevel"/>
    <w:lvl w:ilvl="0">
      <w:lvlJc w:val="left"/>
      <w:lvlText w:val="(%1)"/>
      <w:numFmt w:val="decimal"/>
      <w:start w:val="1"/>
    </w:lvl>
  </w:abstractNum>
  <w:abstractNum w:abstractNumId="117">
    <w:nsid w:val="73D4D3C4"/>
    <w:multiLevelType w:val="hybridMultilevel"/>
    <w:lvl w:ilvl="0">
      <w:lvlJc w:val="left"/>
      <w:lvlText w:val="(%1)"/>
      <w:numFmt w:val="decimal"/>
      <w:start w:val="1"/>
    </w:lvl>
  </w:abstractNum>
  <w:abstractNum w:abstractNumId="118">
    <w:nsid w:val="746F2E30"/>
    <w:multiLevelType w:val="hybridMultilevel"/>
    <w:lvl w:ilvl="0">
      <w:lvlJc w:val="left"/>
      <w:lvlText w:val="%1"/>
      <w:numFmt w:val="decimal"/>
      <w:start w:val="32"/>
    </w:lvl>
  </w:abstractNum>
  <w:abstractNum w:abstractNumId="119">
    <w:nsid w:val="6FDE8AF6"/>
    <w:multiLevelType w:val="hybridMultilevel"/>
    <w:lvl w:ilvl="0">
      <w:lvlJc w:val="left"/>
      <w:lvlText w:val="•"/>
      <w:numFmt w:val="bullet"/>
      <w:start w:val="1"/>
    </w:lvl>
  </w:abstractNum>
  <w:abstractNum w:abstractNumId="120">
    <w:nsid w:val="3FC32E20"/>
    <w:multiLevelType w:val="hybridMultilevel"/>
    <w:lvl w:ilvl="0">
      <w:lvlJc w:val="left"/>
      <w:lvlText w:val="•"/>
      <w:numFmt w:val="bullet"/>
      <w:start w:val="1"/>
    </w:lvl>
  </w:abstractNum>
  <w:abstractNum w:abstractNumId="121">
    <w:nsid w:val="49C0E823"/>
    <w:multiLevelType w:val="hybridMultilevel"/>
    <w:lvl w:ilvl="0">
      <w:lvlJc w:val="left"/>
      <w:lvlText w:val="•"/>
      <w:numFmt w:val="bullet"/>
      <w:start w:val="1"/>
    </w:lvl>
  </w:abstractNum>
  <w:abstractNum w:abstractNumId="122">
    <w:nsid w:val="14D53685"/>
    <w:multiLevelType w:val="hybridMultilevel"/>
    <w:lvl w:ilvl="0">
      <w:lvlJc w:val="left"/>
      <w:lvlText w:val="•"/>
      <w:numFmt w:val="bullet"/>
      <w:start w:val="1"/>
    </w:lvl>
  </w:abstractNum>
  <w:abstractNum w:abstractNumId="123">
    <w:nsid w:val="230F856C"/>
    <w:multiLevelType w:val="hybridMultilevel"/>
    <w:lvl w:ilvl="0">
      <w:lvlJc w:val="left"/>
      <w:lvlText w:val="(%1)"/>
      <w:numFmt w:val="lowerLetter"/>
      <w:start w:val="1"/>
    </w:lvl>
  </w:abstractNum>
  <w:abstractNum w:abstractNumId="124">
    <w:nsid w:val="6EAA85FB"/>
    <w:multiLevelType w:val="hybridMultilevel"/>
    <w:lvl w:ilvl="0">
      <w:lvlJc w:val="left"/>
      <w:lvlText w:val="(%1)"/>
      <w:numFmt w:val="lowerRoman"/>
      <w:start w:val="1"/>
    </w:lvl>
  </w:abstractNum>
  <w:abstractNum w:abstractNumId="125">
    <w:nsid w:val="3F06ECB2"/>
    <w:multiLevelType w:val="hybridMultilevel"/>
    <w:lvl w:ilvl="0">
      <w:lvlJc w:val="left"/>
      <w:lvlText w:val="(%1)"/>
      <w:numFmt w:val="lowerLetter"/>
      <w:start w:val="1"/>
    </w:lvl>
  </w:abstractNum>
  <w:abstractNum w:abstractNumId="126">
    <w:nsid w:val="3B594807"/>
    <w:multiLevelType w:val="hybridMultilevel"/>
    <w:lvl w:ilvl="0">
      <w:lvlJc w:val="left"/>
      <w:lvlText w:val="(%1)"/>
      <w:numFmt w:val="lowerLetter"/>
      <w:start w:val="2"/>
    </w:lvl>
  </w:abstractNum>
  <w:abstractNum w:abstractNumId="127">
    <w:nsid w:val="6CAA2304"/>
    <w:multiLevelType w:val="hybridMultilevel"/>
    <w:lvl w:ilvl="0">
      <w:lvlJc w:val="left"/>
      <w:lvlText w:val="(%1)"/>
      <w:numFmt w:val="lowerLetter"/>
      <w:start w:val="5"/>
    </w:lvl>
  </w:abstractNum>
  <w:abstractNum w:abstractNumId="128">
    <w:nsid w:val="3F7C2FF4"/>
    <w:multiLevelType w:val="hybridMultilevel"/>
    <w:lvl w:ilvl="0">
      <w:lvlJc w:val="left"/>
      <w:lvlText w:val="(%1)"/>
      <w:numFmt w:val="lowerLetter"/>
      <w:start w:val="26"/>
    </w:lvl>
  </w:abstractNum>
  <w:abstractNum w:abstractNumId="129">
    <w:nsid w:val="25413BEC"/>
    <w:multiLevelType w:val="hybridMultilevel"/>
    <w:lvl w:ilvl="0">
      <w:lvlJc w:val="left"/>
      <w:lvlText w:val="(%1)"/>
      <w:numFmt w:val="decimal"/>
      <w:start w:val="9"/>
    </w:lvl>
  </w:abstractNum>
  <w:abstractNum w:abstractNumId="130">
    <w:nsid w:val="17180B0B"/>
    <w:multiLevelType w:val="hybridMultilevel"/>
    <w:lvl w:ilvl="0">
      <w:lvlJc w:val="left"/>
      <w:lvlText w:val="(%1)"/>
      <w:numFmt w:val="lowerRoman"/>
      <w:start w:val="1"/>
    </w:lvl>
  </w:abstractNum>
  <w:abstractNum w:abstractNumId="131">
    <w:nsid w:val="579328B9"/>
    <w:multiLevelType w:val="hybridMultilevel"/>
    <w:lvl w:ilvl="0">
      <w:lvlJc w:val="left"/>
      <w:lvlText w:val="(%1)"/>
      <w:numFmt w:val="lowerLetter"/>
      <w:start w:val="25"/>
    </w:lvl>
  </w:abstractNum>
  <w:abstractNum w:abstractNumId="132">
    <w:nsid w:val="5D205E20"/>
    <w:multiLevelType w:val="hybridMultilevel"/>
    <w:lvl w:ilvl="0">
      <w:lvlJc w:val="left"/>
      <w:lvlText w:val="(%1)"/>
      <w:numFmt w:val="lowerLetter"/>
      <w:start w:val="1"/>
    </w:lvl>
  </w:abstractNum>
  <w:abstractNum w:abstractNumId="133">
    <w:nsid w:val="11CCA8BA"/>
    <w:multiLevelType w:val="hybridMultilevel"/>
    <w:lvl w:ilvl="0">
      <w:lvlJc w:val="left"/>
      <w:lvlText w:val="(%1)"/>
      <w:numFmt w:val="lowerLetter"/>
      <w:start w:val="4"/>
    </w:lvl>
  </w:abstractNum>
  <w:abstractNum w:abstractNumId="134">
    <w:nsid w:val="4D32AB86"/>
    <w:multiLevelType w:val="hybridMultilevel"/>
    <w:lvl w:ilvl="0">
      <w:lvlJc w:val="left"/>
      <w:lvlText w:val="(%1)"/>
      <w:numFmt w:val="lowerLetter"/>
      <w:start w:val="1"/>
    </w:lvl>
  </w:abstractNum>
  <w:abstractNum w:abstractNumId="135">
    <w:nsid w:val="3F07ACC3"/>
    <w:multiLevelType w:val="hybridMultilevel"/>
    <w:lvl w:ilvl="0">
      <w:lvlJc w:val="left"/>
      <w:lvlText w:val="(%1)"/>
      <w:numFmt w:val="lowerLetter"/>
      <w:start w:val="5"/>
    </w:lvl>
  </w:abstractNum>
  <w:abstractNum w:abstractNumId="136">
    <w:nsid w:val="6B47F63E"/>
    <w:multiLevelType w:val="hybridMultilevel"/>
    <w:lvl w:ilvl="0">
      <w:lvlJc w:val="left"/>
      <w:lvlText w:val="(%1)"/>
      <w:numFmt w:val="lowerLetter"/>
      <w:start w:val="1"/>
    </w:lvl>
  </w:abstractNum>
  <w:abstractNum w:abstractNumId="137">
    <w:nsid w:val="5CB44A05"/>
    <w:multiLevelType w:val="hybridMultilevel"/>
    <w:lvl w:ilvl="0">
      <w:lvlJc w:val="left"/>
      <w:lvlText w:val="(%1)"/>
      <w:numFmt w:val="lowerLetter"/>
      <w:start w:val="3"/>
    </w:lvl>
  </w:abstractNum>
  <w:abstractNum w:abstractNumId="138">
    <w:nsid w:val="16CF80F1"/>
    <w:multiLevelType w:val="hybridMultilevel"/>
    <w:lvl w:ilvl="0">
      <w:lvlJc w:val="left"/>
      <w:lvlText w:val="(%1)"/>
      <w:numFmt w:val="lowerLetter"/>
      <w:start w:val="2"/>
    </w:lvl>
  </w:abstractNum>
  <w:abstractNum w:abstractNumId="139">
    <w:nsid w:val="1C695DEC"/>
    <w:multiLevelType w:val="hybridMultilevel"/>
    <w:lvl w:ilvl="0">
      <w:lvlJc w:val="left"/>
      <w:lvlText w:val="(%1)"/>
      <w:numFmt w:val="lowerRoman"/>
      <w:start w:val="2"/>
    </w:lvl>
  </w:abstractNum>
  <w:abstractNum w:abstractNumId="140">
    <w:nsid w:val="3FCFAED9"/>
    <w:multiLevelType w:val="hybridMultilevel"/>
    <w:lvl w:ilvl="0">
      <w:lvlJc w:val="left"/>
      <w:lvlText w:val="(%1)"/>
      <w:numFmt w:val="lowerLetter"/>
      <w:start w:val="1"/>
    </w:lvl>
  </w:abstractNum>
  <w:abstractNum w:abstractNumId="141">
    <w:nsid w:val="F856867"/>
    <w:multiLevelType w:val="hybridMultilevel"/>
    <w:lvl w:ilvl="0">
      <w:lvlJc w:val="left"/>
      <w:lvlText w:val="(%1)"/>
      <w:numFmt w:val="lowerRoman"/>
      <w:start w:val="3"/>
    </w:lvl>
  </w:abstractNum>
  <w:abstractNum w:abstractNumId="142">
    <w:nsid w:val="11B1CC33"/>
    <w:multiLevelType w:val="hybridMultilevel"/>
    <w:lvl w:ilvl="0">
      <w:lvlJc w:val="left"/>
      <w:lvlText w:val="(%1)"/>
      <w:numFmt w:val="lowerRoman"/>
      <w:start w:val="2"/>
    </w:lvl>
  </w:abstractNum>
  <w:abstractNum w:abstractNumId="143">
    <w:nsid w:val="2E22FBB7"/>
    <w:multiLevelType w:val="hybridMultilevel"/>
    <w:lvl w:ilvl="0">
      <w:lvlJc w:val="left"/>
      <w:lvlText w:val="(%1)"/>
      <w:numFmt w:val="lowerLetter"/>
      <w:start w:val="6"/>
    </w:lvl>
  </w:abstractNum>
  <w:abstractNum w:abstractNumId="144">
    <w:nsid w:val="29934699"/>
    <w:multiLevelType w:val="hybridMultilevel"/>
    <w:lvl w:ilvl="0">
      <w:lvlJc w:val="left"/>
      <w:lvlText w:val="(%1)"/>
      <w:numFmt w:val="lowerLetter"/>
      <w:start w:val="6"/>
    </w:lvl>
  </w:abstractNum>
  <w:abstractNum w:abstractNumId="145">
    <w:nsid w:val="77485850"/>
    <w:multiLevelType w:val="hybridMultilevel"/>
    <w:lvl w:ilvl="0">
      <w:lvlJc w:val="left"/>
      <w:lvlText w:val="(%1)"/>
      <w:numFmt w:val="lowerLetter"/>
      <w:start w:val="24"/>
    </w:lvl>
  </w:abstractNum>
  <w:abstractNum w:abstractNumId="146">
    <w:nsid w:val="744939A3"/>
    <w:multiLevelType w:val="hybridMultilevel"/>
    <w:lvl w:ilvl="0">
      <w:lvlJc w:val="left"/>
      <w:lvlText w:val="(%1)"/>
      <w:numFmt w:val="lowerRoman"/>
      <w:start w:val="2"/>
    </w:lvl>
  </w:abstractNum>
  <w:abstractNum w:abstractNumId="147">
    <w:nsid w:val="4FA0D2E3"/>
    <w:multiLevelType w:val="hybridMultilevel"/>
    <w:lvl w:ilvl="0">
      <w:lvlJc w:val="left"/>
      <w:lvlText w:val="(%1)"/>
      <w:numFmt w:val="upperLetter"/>
      <w:start w:val="1"/>
    </w:lvl>
  </w:abstractNum>
  <w:abstractNum w:abstractNumId="148">
    <w:nsid w:val="6B1D2C14"/>
    <w:multiLevelType w:val="hybridMultilevel"/>
    <w:lvl w:ilvl="0">
      <w:lvlJc w:val="left"/>
      <w:lvlText w:val="(%1)"/>
      <w:numFmt w:val="lowerRoman"/>
      <w:start w:val="2"/>
    </w:lvl>
    <w:lvl w:ilvl="1">
      <w:lvlJc w:val="left"/>
      <w:lvlText w:val="(%2)"/>
      <w:numFmt w:val="upperLetter"/>
      <w:start w:val="1"/>
    </w:lvl>
  </w:abstractNum>
  <w:abstractNum w:abstractNumId="149">
    <w:nsid w:val="68B867D3"/>
    <w:multiLevelType w:val="hybridMultilevel"/>
    <w:lvl w:ilvl="0">
      <w:lvlJc w:val="left"/>
      <w:lvlText w:val="%1"/>
      <w:numFmt w:val="decimal"/>
      <w:start w:val="1"/>
    </w:lvl>
    <w:lvl w:ilvl="1">
      <w:lvlJc w:val="left"/>
      <w:lvlText w:val="(%2)"/>
      <w:numFmt w:val="lowerLetter"/>
      <w:start w:val="23"/>
    </w:lvl>
  </w:abstractNum>
  <w:abstractNum w:abstractNumId="150">
    <w:nsid w:val="3F7F5DD9"/>
    <w:multiLevelType w:val="hybridMultilevel"/>
    <w:lvl w:ilvl="0">
      <w:lvlJc w:val="left"/>
      <w:lvlText w:val="(%1)"/>
      <w:numFmt w:val="decimal"/>
      <w:start w:val="3"/>
    </w:lvl>
    <w:lvl w:ilvl="1">
      <w:lvlJc w:val="left"/>
      <w:lvlText w:val="(%2)"/>
      <w:numFmt w:val="lowerLetter"/>
      <w:start w:val="26"/>
    </w:lvl>
  </w:abstractNum>
  <w:abstractNum w:abstractNumId="151">
    <w:nsid w:val="2AE05A34"/>
    <w:multiLevelType w:val="hybridMultilevel"/>
    <w:lvl w:ilvl="0">
      <w:lvlJc w:val="left"/>
      <w:lvlText w:val="(%1)"/>
      <w:numFmt w:val="upperLetter"/>
      <w:start w:val="2"/>
    </w:lvl>
  </w:abstractNum>
  <w:abstractNum w:abstractNumId="152">
    <w:nsid w:val="32794FF7"/>
    <w:multiLevelType w:val="hybridMultilevel"/>
    <w:lvl w:ilvl="0">
      <w:lvlJc w:val="left"/>
      <w:lvlText w:val="(%1)"/>
      <w:numFmt w:val="upperLetter"/>
      <w:start w:val="2"/>
    </w:lvl>
  </w:abstractNum>
  <w:abstractNum w:abstractNumId="153">
    <w:nsid w:val="5454945E"/>
    <w:multiLevelType w:val="hybridMultilevel"/>
    <w:lvl w:ilvl="0">
      <w:lvlJc w:val="left"/>
      <w:lvlText w:val="(%1)"/>
      <w:numFmt w:val="lowerRoman"/>
      <w:start w:val="4"/>
    </w:lvl>
  </w:abstractNum>
  <w:abstractNum w:abstractNumId="154">
    <w:nsid w:val="4DEFDFA0"/>
    <w:multiLevelType w:val="hybridMultilevel"/>
    <w:lvl w:ilvl="0">
      <w:lvlJc w:val="left"/>
      <w:lvlText w:val="(%1)"/>
      <w:numFmt w:val="lowerLetter"/>
      <w:start w:val="23"/>
    </w:lvl>
  </w:abstractNum>
  <w:abstractNum w:abstractNumId="155">
    <w:nsid w:val="2123D5F2"/>
    <w:multiLevelType w:val="hybridMultilevel"/>
    <w:lvl w:ilvl="0">
      <w:lvlJc w:val="left"/>
      <w:lvlText w:val="(%1)"/>
      <w:numFmt w:val="lowerLetter"/>
      <w:start w:val="24"/>
    </w:lvl>
  </w:abstractNum>
  <w:abstractNum w:abstractNumId="156">
    <w:nsid w:val="135B8110"/>
    <w:multiLevelType w:val="hybridMultilevel"/>
    <w:lvl w:ilvl="0">
      <w:lvlJc w:val="left"/>
      <w:lvlText w:val="(%1)"/>
      <w:numFmt w:val="upperLetter"/>
      <w:start w:val="1"/>
    </w:lvl>
  </w:abstractNum>
  <w:abstractNum w:abstractNumId="157">
    <w:nsid w:val="94927A8"/>
    <w:multiLevelType w:val="hybridMultilevel"/>
    <w:lvl w:ilvl="0">
      <w:lvlJc w:val="left"/>
      <w:lvlText w:val="(%1)"/>
      <w:numFmt w:val="lowerLetter"/>
      <w:start w:val="24"/>
    </w:lvl>
  </w:abstractNum>
  <w:abstractNum w:abstractNumId="158">
    <w:nsid w:val="DCDF8F6"/>
    <w:multiLevelType w:val="hybridMultilevel"/>
    <w:lvl w:ilvl="0">
      <w:lvlJc w:val="left"/>
      <w:lvlText w:val="(%1)"/>
      <w:numFmt w:val="lowerLetter"/>
      <w:start w:val="2"/>
    </w:lvl>
  </w:abstractNum>
  <w:abstractNum w:abstractNumId="159">
    <w:nsid w:val="52D7B105"/>
    <w:multiLevelType w:val="hybridMultilevel"/>
    <w:lvl w:ilvl="0">
      <w:lvlJc w:val="left"/>
      <w:lvlText w:val="(%1)"/>
      <w:numFmt w:val="lowerRoman"/>
      <w:start w:val="1"/>
    </w:lvl>
  </w:abstractNum>
  <w:abstractNum w:abstractNumId="160">
    <w:nsid w:val="2E8A6394"/>
    <w:multiLevelType w:val="hybridMultilevel"/>
    <w:lvl w:ilvl="0">
      <w:lvlJc w:val="left"/>
      <w:lvlText w:val="(%1)"/>
      <w:numFmt w:val="lowerRoman"/>
      <w:start w:val="10"/>
    </w:lvl>
  </w:abstractNum>
  <w:abstractNum w:abstractNumId="161">
    <w:nsid w:val="24E60401"/>
    <w:multiLevelType w:val="hybridMultilevel"/>
    <w:lvl w:ilvl="0">
      <w:lvlJc w:val="left"/>
      <w:lvlText w:val="(%1)"/>
      <w:numFmt w:val="lowerLetter"/>
      <w:start w:val="4"/>
    </w:lvl>
  </w:abstractNum>
  <w:abstractNum w:abstractNumId="162">
    <w:nsid w:val="2A6AD9BE"/>
    <w:multiLevelType w:val="hybridMultilevel"/>
    <w:lvl w:ilvl="0">
      <w:lvlJc w:val="left"/>
      <w:lvlText w:val="(%1)"/>
      <w:numFmt w:val="lowerLetter"/>
      <w:start w:val="1"/>
    </w:lvl>
  </w:abstractNum>
  <w:abstractNum w:abstractNumId="163">
    <w:nsid w:val="BAAC1B4"/>
    <w:multiLevelType w:val="hybridMultilevel"/>
    <w:lvl w:ilvl="0">
      <w:lvlJc w:val="left"/>
      <w:lvlText w:val="(%1)"/>
      <w:numFmt w:val="lowerRoman"/>
      <w:start w:val="1"/>
    </w:lvl>
  </w:abstractNum>
  <w:abstractNum w:abstractNumId="164">
    <w:nsid w:val="36B2ACBC"/>
    <w:multiLevelType w:val="hybridMultilevel"/>
    <w:lvl w:ilvl="0">
      <w:lvlJc w:val="left"/>
      <w:lvlText w:val="(%1)"/>
      <w:numFmt w:val="lowerRoman"/>
      <w:start w:val="1"/>
    </w:lvl>
  </w:abstractNum>
  <w:abstractNum w:abstractNumId="165">
    <w:nsid w:val="779D8544"/>
    <w:multiLevelType w:val="hybridMultilevel"/>
    <w:lvl w:ilvl="0">
      <w:lvlJc w:val="left"/>
      <w:lvlText w:val="(%1)"/>
      <w:numFmt w:val="lowerLetter"/>
      <w:start w:val="10"/>
    </w:lvl>
  </w:abstractNum>
  <w:abstractNum w:abstractNumId="166">
    <w:nsid w:val="4AB26E78"/>
    <w:multiLevelType w:val="hybridMultilevel"/>
    <w:lvl w:ilvl="0">
      <w:lvlJc w:val="left"/>
      <w:lvlText w:val="(%1)"/>
      <w:numFmt w:val="lowerLetter"/>
      <w:start w:val="1"/>
    </w:lvl>
  </w:abstractNum>
  <w:abstractNum w:abstractNumId="167">
    <w:nsid w:val="21FAA2FA"/>
    <w:multiLevelType w:val="hybridMultilevel"/>
    <w:lvl w:ilvl="0">
      <w:lvlJc w:val="left"/>
      <w:lvlText w:val="(%1)"/>
      <w:numFmt w:val="lowerRoman"/>
      <w:start w:val="1"/>
    </w:lvl>
  </w:abstractNum>
  <w:abstractNum w:abstractNumId="168">
    <w:nsid w:val="5451CF49"/>
    <w:multiLevelType w:val="hybridMultilevel"/>
    <w:lvl w:ilvl="0">
      <w:lvlJc w:val="left"/>
      <w:lvlText w:val="(%1)"/>
      <w:numFmt w:val="lowerRoman"/>
      <w:start w:val="3"/>
    </w:lvl>
  </w:abstractNum>
  <w:abstractNum w:abstractNumId="169">
    <w:nsid w:val="6181EF69"/>
    <w:multiLevelType w:val="hybridMultilevel"/>
    <w:lvl w:ilvl="0">
      <w:lvlJc w:val="left"/>
      <w:lvlText w:val="(%1)"/>
      <w:numFmt w:val="lowerLetter"/>
      <w:start w:val="1"/>
    </w:lvl>
  </w:abstractNum>
  <w:abstractNum w:abstractNumId="170">
    <w:nsid w:val="3E6400E6"/>
    <w:multiLevelType w:val="hybridMultilevel"/>
    <w:lvl w:ilvl="0">
      <w:lvlJc w:val="left"/>
      <w:lvlText w:val="(%1)"/>
      <w:numFmt w:val="lowerLetter"/>
      <w:start w:val="2"/>
    </w:lvl>
  </w:abstractNum>
  <w:abstractNum w:abstractNumId="171">
    <w:nsid w:val="14217E23"/>
    <w:multiLevelType w:val="hybridMultilevel"/>
    <w:lvl w:ilvl="0">
      <w:lvlJc w:val="left"/>
      <w:lvlText w:val="(%1)"/>
      <w:numFmt w:val="lowerLetter"/>
      <w:start w:val="5"/>
    </w:lvl>
  </w:abstractNum>
  <w:abstractNum w:abstractNumId="172">
    <w:nsid w:val="710757D0"/>
    <w:multiLevelType w:val="hybridMultilevel"/>
    <w:lvl w:ilvl="0">
      <w:lvlJc w:val="left"/>
      <w:lvlText w:val="(%1)"/>
      <w:numFmt w:val="lowerRoman"/>
      <w:start w:val="1"/>
    </w:lvl>
  </w:abstractNum>
  <w:abstractNum w:abstractNumId="173">
    <w:nsid w:val="5015CD1A"/>
    <w:multiLevelType w:val="hybridMultilevel"/>
    <w:lvl w:ilvl="0">
      <w:lvlJc w:val="left"/>
      <w:lvlText w:val="(%1)"/>
      <w:numFmt w:val="lowerRoman"/>
      <w:start w:val="1"/>
    </w:lvl>
  </w:abstractNum>
  <w:abstractNum w:abstractNumId="174">
    <w:nsid w:val="424479DA"/>
    <w:multiLevelType w:val="hybridMultilevel"/>
    <w:lvl w:ilvl="0">
      <w:lvlJc w:val="left"/>
      <w:lvlText w:val="(%1)"/>
      <w:numFmt w:val="lowerRoman"/>
      <w:start w:val="2"/>
    </w:lvl>
  </w:abstractNum>
  <w:abstractNum w:abstractNumId="175">
    <w:nsid w:val="1A9A9E69"/>
    <w:multiLevelType w:val="hybridMultilevel"/>
    <w:lvl w:ilvl="0">
      <w:lvlJc w:val="left"/>
      <w:lvlText w:val="(%1)"/>
      <w:numFmt w:val="lowerRoman"/>
      <w:start w:val="1"/>
    </w:lvl>
  </w:abstractNum>
  <w:abstractNum w:abstractNumId="176">
    <w:nsid w:val="475E256A"/>
    <w:multiLevelType w:val="hybridMultilevel"/>
    <w:lvl w:ilvl="0">
      <w:lvlJc w:val="left"/>
      <w:lvlText w:val="(%1)"/>
      <w:numFmt w:val="upperLetter"/>
      <w:start w:val="2"/>
    </w:lvl>
  </w:abstractNum>
  <w:abstractNum w:abstractNumId="177">
    <w:nsid w:val="368DB37E"/>
    <w:multiLevelType w:val="hybridMultilevel"/>
    <w:lvl w:ilvl="0">
      <w:lvlJc w:val="left"/>
      <w:lvlText w:val="(%1)"/>
      <w:numFmt w:val="lowerRoman"/>
      <w:start w:val="1"/>
    </w:lvl>
  </w:abstractNum>
  <w:abstractNum w:abstractNumId="178">
    <w:nsid w:val="6A3B714C"/>
    <w:multiLevelType w:val="hybridMultilevel"/>
    <w:lvl w:ilvl="0">
      <w:lvlJc w:val="left"/>
      <w:lvlText w:val="(%1)"/>
      <w:numFmt w:val="upperLetter"/>
      <w:start w:val="1"/>
    </w:lvl>
  </w:abstractNum>
  <w:abstractNum w:abstractNumId="179">
    <w:nsid w:val="327B517E"/>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80">
    <w:nsid w:val="1F461B51"/>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lvl w:ilvl="1">
      <w:lvlJc w:val="left"/>
      <w:lvlText w:val="(%2)"/>
      <w:numFmt w:val="lowerLetter"/>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93"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540" Type="http://schemas.openxmlformats.org/officeDocument/2006/relationships/image" Target="media/image507.png"/><Relationship Id="rId541" Type="http://schemas.openxmlformats.org/officeDocument/2006/relationships/image" Target="media/image508.png"/><Relationship Id="rId542" Type="http://schemas.openxmlformats.org/officeDocument/2006/relationships/image" Target="media/image509.png"/><Relationship Id="rId543"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6"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6" Type="http://schemas.openxmlformats.org/officeDocument/2006/relationships/image" Target="media/image533.png"/><Relationship Id="rId567" Type="http://schemas.openxmlformats.org/officeDocument/2006/relationships/image" Target="media/image534.png"/><Relationship Id="rId568" Type="http://schemas.openxmlformats.org/officeDocument/2006/relationships/image" Target="media/image535.png"/><Relationship Id="rId569" Type="http://schemas.openxmlformats.org/officeDocument/2006/relationships/image" Target="media/image536.png"/><Relationship Id="rId570" Type="http://schemas.openxmlformats.org/officeDocument/2006/relationships/image" Target="media/image537.png"/><Relationship Id="rId571" Type="http://schemas.openxmlformats.org/officeDocument/2006/relationships/image" Target="media/image538.png"/><Relationship Id="rId572" Type="http://schemas.openxmlformats.org/officeDocument/2006/relationships/image" Target="media/image539.png"/><Relationship Id="rId573"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6" Type="http://schemas.openxmlformats.org/officeDocument/2006/relationships/image" Target="media/image543.png"/><Relationship Id="rId577" Type="http://schemas.openxmlformats.org/officeDocument/2006/relationships/image" Target="media/image544.png"/><Relationship Id="rId578" Type="http://schemas.openxmlformats.org/officeDocument/2006/relationships/image" Target="media/image545.png"/><Relationship Id="rId579" Type="http://schemas.openxmlformats.org/officeDocument/2006/relationships/image" Target="media/image546.png"/><Relationship Id="rId580" Type="http://schemas.openxmlformats.org/officeDocument/2006/relationships/image" Target="media/image547.png"/><Relationship Id="rId581" Type="http://schemas.openxmlformats.org/officeDocument/2006/relationships/image" Target="media/image548.png"/><Relationship Id="rId582" Type="http://schemas.openxmlformats.org/officeDocument/2006/relationships/image" Target="media/image549.png"/><Relationship Id="rId583" Type="http://schemas.openxmlformats.org/officeDocument/2006/relationships/image" Target="media/image550.png"/><Relationship Id="rId584" Type="http://schemas.openxmlformats.org/officeDocument/2006/relationships/image" Target="media/image551.png"/><Relationship Id="rId585" Type="http://schemas.openxmlformats.org/officeDocument/2006/relationships/image" Target="media/image552.png"/><Relationship Id="rId586" Type="http://schemas.openxmlformats.org/officeDocument/2006/relationships/image" Target="media/image553.png"/><Relationship Id="rId587" Type="http://schemas.openxmlformats.org/officeDocument/2006/relationships/image" Target="media/image554.png"/><Relationship Id="rId588" Type="http://schemas.openxmlformats.org/officeDocument/2006/relationships/image" Target="media/image555.png"/><Relationship Id="rId589" Type="http://schemas.openxmlformats.org/officeDocument/2006/relationships/image" Target="media/image556.png"/><Relationship Id="rId590" Type="http://schemas.openxmlformats.org/officeDocument/2006/relationships/image" Target="media/image557.png"/><Relationship Id="rId591" Type="http://schemas.openxmlformats.org/officeDocument/2006/relationships/image" Target="media/image558.png"/><Relationship Id="rId592" Type="http://schemas.openxmlformats.org/officeDocument/2006/relationships/image" Target="media/image559.png"/><Relationship Id="rId593" Type="http://schemas.openxmlformats.org/officeDocument/2006/relationships/image" Target="media/image560.png"/><Relationship Id="rId594" Type="http://schemas.openxmlformats.org/officeDocument/2006/relationships/image" Target="media/image561.png"/><Relationship Id="rId595" Type="http://schemas.openxmlformats.org/officeDocument/2006/relationships/image" Target="media/image562.png"/><Relationship Id="rId596" Type="http://schemas.openxmlformats.org/officeDocument/2006/relationships/image" Target="media/image563.png"/><Relationship Id="rId597" Type="http://schemas.openxmlformats.org/officeDocument/2006/relationships/image" Target="media/image564.png"/><Relationship Id="rId598" Type="http://schemas.openxmlformats.org/officeDocument/2006/relationships/image" Target="media/image565.png"/><Relationship Id="rId599" Type="http://schemas.openxmlformats.org/officeDocument/2006/relationships/image" Target="media/image566.png"/><Relationship Id="rId600" Type="http://schemas.openxmlformats.org/officeDocument/2006/relationships/image" Target="media/image567.png"/><Relationship Id="rId601" Type="http://schemas.openxmlformats.org/officeDocument/2006/relationships/image" Target="media/image568.png"/><Relationship Id="rId602" Type="http://schemas.openxmlformats.org/officeDocument/2006/relationships/image" Target="media/image569.png"/><Relationship Id="rId603" Type="http://schemas.openxmlformats.org/officeDocument/2006/relationships/image" Target="media/image570.png"/><Relationship Id="rId604" Type="http://schemas.openxmlformats.org/officeDocument/2006/relationships/image" Target="media/image571.png"/><Relationship Id="rId605" Type="http://schemas.openxmlformats.org/officeDocument/2006/relationships/image" Target="media/image572.png"/><Relationship Id="rId606" Type="http://schemas.openxmlformats.org/officeDocument/2006/relationships/image" Target="media/image573.png"/><Relationship Id="rId607" Type="http://schemas.openxmlformats.org/officeDocument/2006/relationships/image" Target="media/image574.png"/><Relationship Id="rId608" Type="http://schemas.openxmlformats.org/officeDocument/2006/relationships/image" Target="media/image575.png"/><Relationship Id="rId609" Type="http://schemas.openxmlformats.org/officeDocument/2006/relationships/image" Target="media/image576.png"/><Relationship Id="rId610" Type="http://schemas.openxmlformats.org/officeDocument/2006/relationships/image" Target="media/image577.png"/><Relationship Id="rId611" Type="http://schemas.openxmlformats.org/officeDocument/2006/relationships/image" Target="media/image578.png"/><Relationship Id="rId612" Type="http://schemas.openxmlformats.org/officeDocument/2006/relationships/image" Target="media/image579.png"/><Relationship Id="rId613" Type="http://schemas.openxmlformats.org/officeDocument/2006/relationships/image" Target="media/image580.png"/><Relationship Id="rId614" Type="http://schemas.openxmlformats.org/officeDocument/2006/relationships/image" Target="media/image581.png"/><Relationship Id="rId615" Type="http://schemas.openxmlformats.org/officeDocument/2006/relationships/image" Target="media/image582.png"/><Relationship Id="rId616" Type="http://schemas.openxmlformats.org/officeDocument/2006/relationships/image" Target="media/image583.png"/><Relationship Id="rId617" Type="http://schemas.openxmlformats.org/officeDocument/2006/relationships/image" Target="media/image584.png"/><Relationship Id="rId618" Type="http://schemas.openxmlformats.org/officeDocument/2006/relationships/image" Target="media/image585.png"/><Relationship Id="rId619" Type="http://schemas.openxmlformats.org/officeDocument/2006/relationships/image" Target="media/image586.png"/><Relationship Id="rId620" Type="http://schemas.openxmlformats.org/officeDocument/2006/relationships/image" Target="media/image587.png"/><Relationship Id="rId621" Type="http://schemas.openxmlformats.org/officeDocument/2006/relationships/image" Target="media/image588.png"/><Relationship Id="rId622" Type="http://schemas.openxmlformats.org/officeDocument/2006/relationships/image" Target="media/image589.png"/><Relationship Id="rId623" Type="http://schemas.openxmlformats.org/officeDocument/2006/relationships/image" Target="media/image590.png"/><Relationship Id="rId624" Type="http://schemas.openxmlformats.org/officeDocument/2006/relationships/image" Target="media/image591.png"/><Relationship Id="rId625" Type="http://schemas.openxmlformats.org/officeDocument/2006/relationships/image" Target="media/image592.png"/><Relationship Id="rId626" Type="http://schemas.openxmlformats.org/officeDocument/2006/relationships/image" Target="media/image593.png"/><Relationship Id="rId627" Type="http://schemas.openxmlformats.org/officeDocument/2006/relationships/image" Target="media/image594.png"/><Relationship Id="rId628" Type="http://schemas.openxmlformats.org/officeDocument/2006/relationships/image" Target="media/image595.png"/><Relationship Id="rId629" Type="http://schemas.openxmlformats.org/officeDocument/2006/relationships/image" Target="media/image596.png"/><Relationship Id="rId630" Type="http://schemas.openxmlformats.org/officeDocument/2006/relationships/image" Target="media/image597.png"/><Relationship Id="rId631" Type="http://schemas.openxmlformats.org/officeDocument/2006/relationships/image" Target="media/image598.png"/><Relationship Id="rId632" Type="http://schemas.openxmlformats.org/officeDocument/2006/relationships/image" Target="media/image599.png"/><Relationship Id="rId633" Type="http://schemas.openxmlformats.org/officeDocument/2006/relationships/image" Target="media/image600.png"/><Relationship Id="rId634" Type="http://schemas.openxmlformats.org/officeDocument/2006/relationships/image" Target="media/image601.png"/><Relationship Id="rId635" Type="http://schemas.openxmlformats.org/officeDocument/2006/relationships/image" Target="media/image602.png"/><Relationship Id="rId636" Type="http://schemas.openxmlformats.org/officeDocument/2006/relationships/image" Target="media/image603.png"/><Relationship Id="rId637" Type="http://schemas.openxmlformats.org/officeDocument/2006/relationships/image" Target="media/image604.png"/><Relationship Id="rId638" Type="http://schemas.openxmlformats.org/officeDocument/2006/relationships/image" Target="media/image605.png"/><Relationship Id="rId639" Type="http://schemas.openxmlformats.org/officeDocument/2006/relationships/image" Target="media/image606.png"/><Relationship Id="rId640" Type="http://schemas.openxmlformats.org/officeDocument/2006/relationships/image" Target="media/image607.png"/><Relationship Id="rId641" Type="http://schemas.openxmlformats.org/officeDocument/2006/relationships/image" Target="media/image608.png"/><Relationship Id="rId642" Type="http://schemas.openxmlformats.org/officeDocument/2006/relationships/image" Target="media/image609.png"/><Relationship Id="rId643" Type="http://schemas.openxmlformats.org/officeDocument/2006/relationships/image" Target="media/image610.png"/><Relationship Id="rId644" Type="http://schemas.openxmlformats.org/officeDocument/2006/relationships/image" Target="media/image611.png"/><Relationship Id="rId645" Type="http://schemas.openxmlformats.org/officeDocument/2006/relationships/image" Target="media/image612.png"/><Relationship Id="rId646" Type="http://schemas.openxmlformats.org/officeDocument/2006/relationships/image" Target="media/image613.png"/><Relationship Id="rId647" Type="http://schemas.openxmlformats.org/officeDocument/2006/relationships/image" Target="media/image614.png"/><Relationship Id="rId648" Type="http://schemas.openxmlformats.org/officeDocument/2006/relationships/image" Target="media/image615.png"/><Relationship Id="rId649" Type="http://schemas.openxmlformats.org/officeDocument/2006/relationships/image" Target="media/image616.png"/><Relationship Id="rId650" Type="http://schemas.openxmlformats.org/officeDocument/2006/relationships/image" Target="media/image617.png"/><Relationship Id="rId651" Type="http://schemas.openxmlformats.org/officeDocument/2006/relationships/image" Target="media/image618.png"/><Relationship Id="rId652" Type="http://schemas.openxmlformats.org/officeDocument/2006/relationships/image" Target="media/image619.png"/><Relationship Id="rId653" Type="http://schemas.openxmlformats.org/officeDocument/2006/relationships/image" Target="media/image620.png"/><Relationship Id="rId654" Type="http://schemas.openxmlformats.org/officeDocument/2006/relationships/image" Target="media/image621.png"/><Relationship Id="rId655" Type="http://schemas.openxmlformats.org/officeDocument/2006/relationships/image" Target="media/image622.png"/><Relationship Id="rId656" Type="http://schemas.openxmlformats.org/officeDocument/2006/relationships/image" Target="media/image623.png"/><Relationship Id="rId657" Type="http://schemas.openxmlformats.org/officeDocument/2006/relationships/image" Target="media/image624.png"/><Relationship Id="rId658" Type="http://schemas.openxmlformats.org/officeDocument/2006/relationships/image" Target="media/image625.png"/><Relationship Id="rId659" Type="http://schemas.openxmlformats.org/officeDocument/2006/relationships/image" Target="media/image626.png"/><Relationship Id="rId660" Type="http://schemas.openxmlformats.org/officeDocument/2006/relationships/image" Target="media/image627.png"/><Relationship Id="rId661" Type="http://schemas.openxmlformats.org/officeDocument/2006/relationships/image" Target="media/image628.png"/><Relationship Id="rId662" Type="http://schemas.openxmlformats.org/officeDocument/2006/relationships/image" Target="media/image629.png"/><Relationship Id="rId663" Type="http://schemas.openxmlformats.org/officeDocument/2006/relationships/image" Target="media/image630.png"/><Relationship Id="rId664" Type="http://schemas.openxmlformats.org/officeDocument/2006/relationships/image" Target="media/image631.png"/><Relationship Id="rId665" Type="http://schemas.openxmlformats.org/officeDocument/2006/relationships/image" Target="media/image632.png"/><Relationship Id="rId666" Type="http://schemas.openxmlformats.org/officeDocument/2006/relationships/image" Target="media/image633.png"/><Relationship Id="rId667" Type="http://schemas.openxmlformats.org/officeDocument/2006/relationships/image" Target="media/image634.png"/><Relationship Id="rId668" Type="http://schemas.openxmlformats.org/officeDocument/2006/relationships/image" Target="media/image635.png"/><Relationship Id="rId669" Type="http://schemas.openxmlformats.org/officeDocument/2006/relationships/image" Target="media/image636.png"/><Relationship Id="rId670" Type="http://schemas.openxmlformats.org/officeDocument/2006/relationships/image" Target="media/image637.png"/><Relationship Id="rId671" Type="http://schemas.openxmlformats.org/officeDocument/2006/relationships/image" Target="media/image638.png"/><Relationship Id="rId672" Type="http://schemas.openxmlformats.org/officeDocument/2006/relationships/image" Target="media/image639.png"/><Relationship Id="rId673" Type="http://schemas.openxmlformats.org/officeDocument/2006/relationships/image" Target="media/image640.png"/><Relationship Id="rId674" Type="http://schemas.openxmlformats.org/officeDocument/2006/relationships/image" Target="media/image641.png"/><Relationship Id="rId166" Type="http://schemas.openxmlformats.org/officeDocument/2006/relationships/hyperlink" Target="http://www.sec.gov/Archives/edgar/data/1508655/000119312520174009/d936084dex32.htm" TargetMode="External"/><Relationship Id="rId167" Type="http://schemas.openxmlformats.org/officeDocument/2006/relationships/hyperlink" Target="http://www.sec.gov/Archives/edgar/data/1508655/000119312520174009/d936084dex33.htm" TargetMode="External"/><Relationship Id="rId168" Type="http://schemas.openxmlformats.org/officeDocument/2006/relationships/hyperlink" Target="http://www.sec.gov/Archives/edgar/data/1508655/000119312512127485/d318388dex42.htm" TargetMode="External"/><Relationship Id="rId169" Type="http://schemas.openxmlformats.org/officeDocument/2006/relationships/hyperlink" Target="http://www.sec.gov/Archives/edgar/data/0001508655/000119312517027505/d341977dex41.htm" TargetMode="External"/><Relationship Id="rId170" Type="http://schemas.openxmlformats.org/officeDocument/2006/relationships/hyperlink" Target="http://www.sec.gov/Archives/edgar/data/0001508655/000119312518016134/d428064dex41.htm" TargetMode="External"/><Relationship Id="rId171" Type="http://schemas.openxmlformats.org/officeDocument/2006/relationships/hyperlink" Target="http://www.sec.gov/Archives/edgar/data/0001508655/000119312518016134/d428064dex42.htm" TargetMode="External"/><Relationship Id="rId172" Type="http://schemas.openxmlformats.org/officeDocument/2006/relationships/hyperlink" Target="http://www.sec.gov/Archives/edgar/data/1508655/000119312518196892/d612351dex41.htm" TargetMode="External"/><Relationship Id="rId173" Type="http://schemas.openxmlformats.org/officeDocument/2006/relationships/hyperlink" Target="http://www.sec.gov/Archives/edgar/data/1508655/000119312519281943/d828545dex42.htm" TargetMode="External"/><Relationship Id="rId174" Type="http://schemas.openxmlformats.org/officeDocument/2006/relationships/hyperlink" Target="http://www.sec.gov/Archives/edgar/data/1508655/000119312521027315/d114372dex42.htm" TargetMode="External"/><Relationship Id="rId175" Type="http://schemas.openxmlformats.org/officeDocument/2006/relationships/hyperlink" Target="http://www.sec.gov/Archives/edgar/data/1508655/000095012311025019/y90239exv10w3.htm" TargetMode="External"/><Relationship Id="rId179" Type="http://schemas.openxmlformats.org/officeDocument/2006/relationships/hyperlink" Target="http://www.sec.gov/Archives/edgar/data/1508655/000119312511339263/d269504dex101.htm" TargetMode="External"/><Relationship Id="rId180" Type="http://schemas.openxmlformats.org/officeDocument/2006/relationships/hyperlink" Target="http://www.sec.gov/Archives/edgar/data/1508655/000119312512490609/d446947dex101.htm" TargetMode="External"/><Relationship Id="rId181" Type="http://schemas.openxmlformats.org/officeDocument/2006/relationships/hyperlink" Target="http://www.sec.gov/Archives/edgar/data/1508655/000119312514082476/d673597dex1020.htm" TargetMode="External"/><Relationship Id="rId182" Type="http://schemas.openxmlformats.org/officeDocument/2006/relationships/hyperlink" Target="http://www.sec.gov/Archives/edgar/data/1508655/000119312514102674/d630521dex99e.htm" TargetMode="External"/><Relationship Id="rId183" Type="http://schemas.openxmlformats.org/officeDocument/2006/relationships/hyperlink" Target="http://www.sec.gov/Archives/edgar/data/1508655/000119312514293593/d769019dex103.htm" TargetMode="External"/><Relationship Id="rId184" Type="http://schemas.openxmlformats.org/officeDocument/2006/relationships/hyperlink" Target="http://www.sec.gov/Archives/edgar/data/1508655/000119312514293593/d769019dex104.htm" TargetMode="External"/><Relationship Id="rId185" Type="http://schemas.openxmlformats.org/officeDocument/2006/relationships/hyperlink" Target="http://www.sec.gov/Archives/edgar/data/1508655/000119312514293593/d769019dex105.htm" TargetMode="External"/><Relationship Id="rId186" Type="http://schemas.openxmlformats.org/officeDocument/2006/relationships/hyperlink" Target="http://www.sec.gov/Archives/edgar/data/0001508655/000119312514394267/d813731dex101.htm" TargetMode="External"/><Relationship Id="rId187" Type="http://schemas.openxmlformats.org/officeDocument/2006/relationships/hyperlink" Target="http://www.sec.gov/Archives/edgar/data/0001508655/000119312515111830/d899694dex101.htm" TargetMode="External"/><Relationship Id="rId188" Type="http://schemas.openxmlformats.org/officeDocument/2006/relationships/hyperlink" Target="http://www.sec.gov/Archives/edgar/data/0001508655/000156459015009165/tslx-ex101_394.htm" TargetMode="External"/><Relationship Id="rId189" Type="http://schemas.openxmlformats.org/officeDocument/2006/relationships/hyperlink" Target="http://www.sec.gov/Archives/edgar/data/0001508655/000156459017002010/tslx-ex1015_196.htm" TargetMode="External"/><Relationship Id="rId190" Type="http://schemas.openxmlformats.org/officeDocument/2006/relationships/hyperlink" Target="http://www.sec.gov/Archives/edgar/data/0001508655/000156459017002010/tslx-ex1016_267.htm" TargetMode="External"/><Relationship Id="rId191" Type="http://schemas.openxmlformats.org/officeDocument/2006/relationships/hyperlink" Target="http://www.sec.gov/Archives/edgar/data/1508655/000156459018002665/tslx-ex1016_374.htm" TargetMode="External"/><Relationship Id="rId192" Type="http://schemas.openxmlformats.org/officeDocument/2006/relationships/hyperlink" Target="http://www.sec.gov/Archives/edgar/data/1508655/000156459018027390/tslx-ex101_128.htm" TargetMode="External"/><Relationship Id="rId194" Type="http://schemas.openxmlformats.org/officeDocument/2006/relationships/hyperlink" Target="http://www.sec.gov/Archives/edgar/data/1508655/000156459019003442/tslx-ex1016_204.htm" TargetMode="External"/><Relationship Id="rId195" Type="http://schemas.openxmlformats.org/officeDocument/2006/relationships/hyperlink" Target="http://www.sec.gov/Archives/edgar/data/1508655/000156459020005268/tslx-ex1017_1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2021-02-17T15:06:15Z</dcterms:created>
  <dcterms:modified xsi:type="dcterms:W3CDTF">2021-02-17T15:06:15Z</dcterms:modified>
</cp:coreProperties>
</file>