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Easterly Joshua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1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TPG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94"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06/17/2011</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11"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FORT WORTH</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73102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Comon Stock</w:t>
            </w:r>
          </w:p>
        </w:tc>
        <w:tc>
          <w:tcPr>
            <w:tcW w:w="1140" w:type="dxa"/>
            <w:vAlign w:val="bottom"/>
          </w:tcPr>
          <w:p>
            <w:pPr>
              <w:spacing w:after="0"/>
              <w:rPr>
                <w:sz w:val="18"/>
                <w:szCs w:val="18"/>
                <w:color w:val="auto"/>
              </w:rPr>
            </w:pP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0000FF"/>
              </w:rPr>
              <w:t>06/17/2011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0000FF"/>
              </w:rPr>
              <w:t>13.1</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1,000</w:t>
            </w:r>
          </w:p>
        </w:tc>
        <w:tc>
          <w:tcPr>
            <w:tcW w:w="13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color w:val="0000FF"/>
              </w:rPr>
              <w:t>13.1</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Explanation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of</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8"/>
                <w:szCs w:val="18"/>
                <w:color w:val="0000FF"/>
              </w:rPr>
              <w:t>Responses</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TSL Advisers, LLC ("TSL Advisers") directly holds 2,868 shares of Common Stock of the Issuer (the "TSL Shares"), including 13.1 shares of Common Stock of the Issuer indirectly beneficially owned by Mr. Easterly (through his limited partnership interest in TSL Equity Partners, L.P., which is a member of TSL Advisers).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41" w:lineRule="auto"/>
        <w:tabs>
          <w:tab w:leader="none" w:pos="231"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Ronald Cami is signing on behalf of Mr. Easterly pursuant to the authorization and designation letter dated March 10, 2011, which was previously filed with the Securities and Exchange Commission as an exhibit to a Form 3 filed by Mr. Easterly on March 15, 2011 (SEC File No. 000-54245).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Ronald Cami, on behalf of</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2"/>
              </w:rPr>
              <w:t>06/21/2011</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Joshua Easterly (2)</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2019-12-17T05:07:09Z</dcterms:created>
  <dcterms:modified xsi:type="dcterms:W3CDTF">2019-12-17T05:07:09Z</dcterms:modified>
</cp:coreProperties>
</file>