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03/03/2016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Pr>
          <w:p>
            <w:pPr>
              <w:ind w:left="200"/>
              <w:spacing w:after="0"/>
              <w:rPr>
                <w:sz w:val="20"/>
                <w:szCs w:val="20"/>
                <w:color w:val="auto"/>
              </w:rPr>
            </w:pPr>
            <w:r>
              <w:rPr>
                <w:rFonts w:ascii="Arial" w:cs="Arial" w:eastAsia="Arial" w:hAnsi="Arial"/>
                <w:sz w:val="18"/>
                <w:szCs w:val="18"/>
                <w:color w:val="0000FF"/>
              </w:rPr>
              <w:t>6,500</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20" w:type="dxa"/>
            <w:vAlign w:val="bottom"/>
          </w:tcPr>
          <w:p>
            <w:pPr>
              <w:spacing w:after="0"/>
              <w:rPr>
                <w:sz w:val="23"/>
                <w:szCs w:val="23"/>
                <w:color w:val="auto"/>
              </w:rPr>
            </w:pPr>
          </w:p>
        </w:tc>
        <w:tc>
          <w:tcPr>
            <w:tcW w:w="1320" w:type="dxa"/>
            <w:vAlign w:val="bottom"/>
            <w:gridSpan w:val="3"/>
          </w:tcPr>
          <w:p>
            <w:pPr>
              <w:jc w:val="right"/>
              <w:ind w:right="359"/>
              <w:spacing w:after="0"/>
              <w:rPr>
                <w:sz w:val="20"/>
                <w:szCs w:val="20"/>
                <w:color w:val="auto"/>
              </w:rPr>
            </w:pPr>
            <w:r>
              <w:rPr>
                <w:rFonts w:ascii="Arial" w:cs="Arial" w:eastAsia="Arial" w:hAnsi="Arial"/>
                <w:sz w:val="18"/>
                <w:szCs w:val="18"/>
                <w:color w:val="0000FF"/>
              </w:rPr>
              <w:t>23,187</w:t>
            </w:r>
          </w:p>
        </w:tc>
        <w:tc>
          <w:tcPr>
            <w:tcW w:w="32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vMerge w:val="restart"/>
          </w:tcPr>
          <w:p>
            <w:pPr>
              <w:jc w:val="right"/>
              <w:ind w:right="279"/>
              <w:spacing w:after="0"/>
              <w:rPr>
                <w:sz w:val="20"/>
                <w:szCs w:val="20"/>
                <w:color w:val="auto"/>
              </w:rPr>
            </w:pPr>
            <w:r>
              <w:rPr>
                <w:rFonts w:ascii="Arial" w:cs="Arial" w:eastAsia="Arial" w:hAnsi="Arial"/>
                <w:sz w:val="18"/>
                <w:szCs w:val="18"/>
                <w:color w:val="0000FF"/>
              </w:rPr>
              <w:t>6,996.09</w:t>
            </w:r>
          </w:p>
        </w:tc>
        <w:tc>
          <w:tcPr>
            <w:tcW w:w="32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2,772,889 shares of Common Stock of TPG Specialty Lending, Inc. (the "Issuer"), including 6,996.09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8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Jennifer Gordon is signing on behalf of Mr. Easterly pursuant to the authorization and designation letter dated May 20, 2015, which was previously filed with the Securities and Exchange Commission as an exhibit to a Form 4 filed by Mr. Easterly on November 12, 2015 (SEC File No. 001-36364).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1"/>
              </w:rPr>
              <w:t>/s/ Jennifer Gordon,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03/07/2016</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of Joshua Easterly (2)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2019-12-08T20:05:32Z</dcterms:created>
  <dcterms:modified xsi:type="dcterms:W3CDTF">2019-12-08T20:05:32Z</dcterms:modified>
</cp:coreProperties>
</file>