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2893060</wp:posOffset>
            </wp:positionH>
            <wp:positionV relativeFrom="page">
              <wp:posOffset>157480</wp:posOffset>
            </wp:positionV>
            <wp:extent cx="1775460" cy="754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75460" cy="75438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March 21, 2019</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16" w:lineRule="exact"/>
        <w:rPr>
          <w:sz w:val="24"/>
          <w:szCs w:val="24"/>
          <w:color w:val="auto"/>
        </w:rPr>
      </w:pPr>
    </w:p>
    <w:p>
      <w:pPr>
        <w:ind w:left="880"/>
        <w:spacing w:after="0"/>
        <w:tabs>
          <w:tab w:leader="none" w:pos="1400" w:val="left"/>
        </w:tabs>
        <w:rPr>
          <w:sz w:val="20"/>
          <w:szCs w:val="20"/>
          <w:color w:val="auto"/>
        </w:rPr>
      </w:pPr>
      <w:r>
        <w:rPr>
          <w:rFonts w:ascii="Arial" w:cs="Arial" w:eastAsia="Arial" w:hAnsi="Arial"/>
          <w:sz w:val="18"/>
          <w:szCs w:val="18"/>
          <w:color w:val="auto"/>
        </w:rPr>
        <w:t>Re:</w:t>
        <w:tab/>
        <w:t>TPG Specialty Lending, Inc.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Rule 17g-1(g) Fidelity Bond Filing</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 xml:space="preserve">On behalf of TPG Specialty Lending,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enclosed herewith for filing, pursuant to Rule 17g-1(g) under the Investment Company Act of 1940, are the following:</w:t>
      </w:r>
    </w:p>
    <w:p>
      <w:pPr>
        <w:spacing w:after="0" w:line="76" w:lineRule="exact"/>
        <w:rPr>
          <w:sz w:val="24"/>
          <w:szCs w:val="24"/>
          <w:color w:val="auto"/>
        </w:rPr>
      </w:pPr>
    </w:p>
    <w:p>
      <w:pPr>
        <w:ind w:left="860" w:hanging="424"/>
        <w:spacing w:after="0"/>
        <w:tabs>
          <w:tab w:leader="none" w:pos="86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copy of the fidelity bond covering the Company, which includes a statement as to the period for which premiums have been paid; and</w:t>
      </w:r>
    </w:p>
    <w:p>
      <w:pPr>
        <w:spacing w:after="0" w:line="142" w:lineRule="exact"/>
        <w:rPr>
          <w:rFonts w:ascii="Arial" w:cs="Arial" w:eastAsia="Arial" w:hAnsi="Arial"/>
          <w:sz w:val="17"/>
          <w:szCs w:val="17"/>
          <w:color w:val="auto"/>
        </w:rPr>
      </w:pPr>
    </w:p>
    <w:p>
      <w:pPr>
        <w:ind w:left="860" w:right="320" w:hanging="424"/>
        <w:spacing w:after="0" w:line="277"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Certificate of the Secretary of the Company containing the resolutions of the Board of Directors approving the amount, type, form and coverage of the fidelity bond and a statement as to the period for which premiums have been paid.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If you have any questions regarding this submission, please do not hesitate to call me at (212) 601-4741.</w:t>
      </w:r>
    </w:p>
    <w:p>
      <w:pPr>
        <w:spacing w:after="0" w:line="252"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/s/ Ken Burke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Ken Burke</w:t>
      </w:r>
    </w:p>
    <w:p>
      <w:pPr>
        <w:spacing w:after="0" w:line="23" w:lineRule="exact"/>
        <w:rPr>
          <w:sz w:val="24"/>
          <w:szCs w:val="24"/>
          <w:color w:val="auto"/>
        </w:rPr>
      </w:pPr>
    </w:p>
    <w:p>
      <w:pPr>
        <w:ind w:left="6620"/>
        <w:spacing w:after="0"/>
        <w:rPr>
          <w:sz w:val="20"/>
          <w:szCs w:val="20"/>
          <w:color w:val="auto"/>
        </w:rPr>
      </w:pPr>
      <w:r>
        <w:rPr>
          <w:rFonts w:ascii="Arial" w:cs="Arial" w:eastAsia="Arial" w:hAnsi="Arial"/>
          <w:sz w:val="17"/>
          <w:szCs w:val="17"/>
          <w:color w:val="auto"/>
        </w:rPr>
        <w:t>Chief Compliance Officer, Vice President and Secretary</w:t>
      </w: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color w:val="auto"/>
        </w:rPr>
        <w:t>Enclosures</w:t>
      </w:r>
    </w:p>
    <w:p>
      <w:pPr>
        <w:sectPr>
          <w:pgSz w:w="11900" w:h="16838" w:orient="portrait"/>
          <w:cols w:equalWidth="0" w:num="1">
            <w:col w:w="11000"/>
          </w:cols>
          <w:pgMar w:left="440" w:top="1440" w:right="459" w:bottom="1440" w:gutter="0" w:footer="0" w:header="0"/>
        </w:sectPr>
      </w:pPr>
    </w:p>
    <w:bookmarkStart w:id="1" w:name="page2"/>
    <w:bookmarkEnd w:id="1"/>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SECRETARY</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The undersigned, Ken Burke, Chief Compliance Officer, Vice President and Secretary of TPG Specialty Lending,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does hereby certify that:</w:t>
      </w:r>
    </w:p>
    <w:p>
      <w:pPr>
        <w:spacing w:after="0" w:line="76" w:lineRule="exact"/>
        <w:rPr>
          <w:sz w:val="20"/>
          <w:szCs w:val="20"/>
          <w:color w:val="auto"/>
        </w:rPr>
      </w:pPr>
    </w:p>
    <w:p>
      <w:pPr>
        <w:jc w:val="both"/>
        <w:ind w:left="860" w:hanging="424"/>
        <w:spacing w:after="0" w:line="264"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This certificate is being delivered to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xml:space="preserve">) in connection with the filing of the Company’s fidelity bond (the </w:t>
      </w:r>
      <w:r>
        <w:rPr>
          <w:rFonts w:ascii="Arial" w:cs="Arial" w:eastAsia="Arial" w:hAnsi="Arial"/>
          <w:sz w:val="18"/>
          <w:szCs w:val="18"/>
          <w:b w:val="1"/>
          <w:bCs w:val="1"/>
          <w:i w:val="1"/>
          <w:iCs w:val="1"/>
          <w:color w:val="auto"/>
        </w:rPr>
        <w:t>“Bond”</w:t>
      </w:r>
      <w:r>
        <w:rPr>
          <w:rFonts w:ascii="Arial" w:cs="Arial" w:eastAsia="Arial" w:hAnsi="Arial"/>
          <w:sz w:val="18"/>
          <w:szCs w:val="18"/>
          <w:color w:val="auto"/>
        </w:rPr>
        <w:t>) pursuant to Rule 17g-1 of the Investment Company Act of 1940, as amended, and the SEC is entitled to rely on this certificate for purposes of the filing.</w:t>
      </w:r>
    </w:p>
    <w:p>
      <w:pPr>
        <w:spacing w:after="0" w:line="86" w:lineRule="exact"/>
        <w:rPr>
          <w:rFonts w:ascii="Arial" w:cs="Arial" w:eastAsia="Arial" w:hAnsi="Arial"/>
          <w:sz w:val="18"/>
          <w:szCs w:val="18"/>
          <w:color w:val="auto"/>
        </w:rPr>
      </w:pPr>
    </w:p>
    <w:p>
      <w:pPr>
        <w:ind w:left="860" w:right="540" w:hanging="4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is the duly elected, qualified and acting Secretary of the Company, and has custody of the corporate records of the Company and is a proper officer to make this certification.</w:t>
      </w:r>
    </w:p>
    <w:p>
      <w:pPr>
        <w:spacing w:after="0" w:line="75" w:lineRule="exact"/>
        <w:rPr>
          <w:rFonts w:ascii="Arial" w:cs="Arial" w:eastAsia="Arial" w:hAnsi="Arial"/>
          <w:sz w:val="18"/>
          <w:szCs w:val="18"/>
          <w:color w:val="auto"/>
        </w:rPr>
      </w:pPr>
    </w:p>
    <w:p>
      <w:pPr>
        <w:ind w:left="860" w:right="140" w:hanging="424"/>
        <w:spacing w:after="0" w:line="342" w:lineRule="auto"/>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is a copy of the resolutions approved by the Board of Directors of the Company, including a majority of the Board of the Directors who are not “interested persons” of the Company, approving the amount, type, form and coverage of the Bond.</w:t>
      </w:r>
    </w:p>
    <w:p>
      <w:pPr>
        <w:spacing w:after="0" w:line="29" w:lineRule="exact"/>
        <w:rPr>
          <w:rFonts w:ascii="Arial" w:cs="Arial" w:eastAsia="Arial" w:hAnsi="Arial"/>
          <w:sz w:val="16"/>
          <w:szCs w:val="16"/>
          <w:color w:val="auto"/>
        </w:rPr>
      </w:pPr>
    </w:p>
    <w:p>
      <w:pPr>
        <w:ind w:left="860" w:hanging="4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Premiums have been paid for the period March 8, 2019 to March 8,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certificate to be executed this 21</w:t>
      </w:r>
      <w:r>
        <w:rPr>
          <w:rFonts w:ascii="Arial" w:cs="Arial" w:eastAsia="Arial" w:hAnsi="Arial"/>
          <w:sz w:val="15"/>
          <w:szCs w:val="15"/>
          <w:color w:val="auto"/>
        </w:rPr>
        <w:t>st</w:t>
      </w:r>
      <w:r>
        <w:rPr>
          <w:rFonts w:ascii="Arial" w:cs="Arial" w:eastAsia="Arial" w:hAnsi="Arial"/>
          <w:sz w:val="18"/>
          <w:szCs w:val="18"/>
          <w:color w:val="auto"/>
        </w:rPr>
        <w:t xml:space="preserve"> day of March, 2019.</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Ken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Ken Burke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Chief Compliance Officer, Vice President and Secretary</w:t>
      </w:r>
    </w:p>
    <w:p>
      <w:pPr>
        <w:sectPr>
          <w:pgSz w:w="11900" w:h="16838" w:orient="portrait"/>
          <w:cols w:equalWidth="0" w:num="1">
            <w:col w:w="10860"/>
          </w:cols>
          <w:pgMar w:left="440" w:top="270" w:right="5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Approval of the Fidelity Bond</w:t>
      </w:r>
    </w:p>
    <w:p>
      <w:pPr>
        <w:spacing w:after="0" w:line="11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17(g) of the Investment Company Act of 1940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“1940 Act”</w:t>
      </w:r>
      <w:r>
        <w:rPr>
          <w:rFonts w:ascii="Arial" w:cs="Arial" w:eastAsia="Arial" w:hAnsi="Arial"/>
          <w:sz w:val="18"/>
          <w:szCs w:val="18"/>
          <w:color w:val="auto"/>
        </w:rPr>
        <w:t>) and Rule 17g-1(a) thereunder require a BDC, such as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to provide and maintain a bond which shall be issued by a reputable fidelity insurance company, authorized to do business in the place where the bond is issued, to protect the Company against larceny and embezzlement, covering each officer and employee of the BDC who may singly, or jointly with others, have access to the securities or funds of the BDC, either directly or through authority to draw upon such funds of, or to direct generally, the disposition of such securities, unless the officer or employee has such access solely through his position as an officer or employee of a bank (each, a </w:t>
      </w:r>
      <w:r>
        <w:rPr>
          <w:rFonts w:ascii="Arial" w:cs="Arial" w:eastAsia="Arial" w:hAnsi="Arial"/>
          <w:sz w:val="18"/>
          <w:szCs w:val="18"/>
          <w:b w:val="1"/>
          <w:bCs w:val="1"/>
          <w:i w:val="1"/>
          <w:iCs w:val="1"/>
          <w:color w:val="auto"/>
        </w:rPr>
        <w:t>“covered person”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w:t>
      </w:r>
    </w:p>
    <w:p>
      <w:pPr>
        <w:spacing w:after="0" w:line="188" w:lineRule="exact"/>
        <w:rPr>
          <w:sz w:val="20"/>
          <w:szCs w:val="20"/>
          <w:color w:val="auto"/>
        </w:rPr>
      </w:pPr>
    </w:p>
    <w:p>
      <w:pPr>
        <w:jc w:val="both"/>
        <w:ind w:right="340"/>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Rule 17g-1 specifies that the bond may be in the form of (i) an individual bond for each covered person, or a schedule or blanket bond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covering such persons, (ii) a blanket bond which names the Company as the only insured (a </w:t>
      </w:r>
      <w:r>
        <w:rPr>
          <w:rFonts w:ascii="Arial" w:cs="Arial" w:eastAsia="Arial" w:hAnsi="Arial"/>
          <w:sz w:val="17"/>
          <w:szCs w:val="17"/>
          <w:b w:val="1"/>
          <w:bCs w:val="1"/>
          <w:i w:val="1"/>
          <w:iCs w:val="1"/>
          <w:color w:val="auto"/>
        </w:rPr>
        <w:t>“single insured bond”</w:t>
      </w:r>
      <w:r>
        <w:rPr>
          <w:rFonts w:ascii="Arial" w:cs="Arial" w:eastAsia="Arial" w:hAnsi="Arial"/>
          <w:sz w:val="17"/>
          <w:szCs w:val="17"/>
          <w:color w:val="auto"/>
        </w:rPr>
        <w:t xml:space="preserve">), </w:t>
      </w:r>
      <w:r>
        <w:rPr>
          <w:rFonts w:ascii="Arial" w:cs="Arial" w:eastAsia="Arial" w:hAnsi="Arial"/>
          <w:sz w:val="17"/>
          <w:szCs w:val="17"/>
          <w:u w:val="single" w:color="auto"/>
          <w:color w:val="auto"/>
        </w:rPr>
        <w:t>or</w:t>
      </w:r>
      <w:r>
        <w:rPr>
          <w:rFonts w:ascii="Arial" w:cs="Arial" w:eastAsia="Arial" w:hAnsi="Arial"/>
          <w:sz w:val="17"/>
          <w:szCs w:val="17"/>
          <w:color w:val="auto"/>
        </w:rPr>
        <w:t xml:space="preserve"> (iii) a bond which names the Company and one or more other parties as insureds (a </w:t>
      </w:r>
      <w:r>
        <w:rPr>
          <w:rFonts w:ascii="Arial" w:cs="Arial" w:eastAsia="Arial" w:hAnsi="Arial"/>
          <w:sz w:val="17"/>
          <w:szCs w:val="17"/>
          <w:b w:val="1"/>
          <w:bCs w:val="1"/>
          <w:i w:val="1"/>
          <w:iCs w:val="1"/>
          <w:color w:val="auto"/>
        </w:rPr>
        <w:t>“joint insured bond”</w:t>
      </w:r>
      <w:r>
        <w:rPr>
          <w:rFonts w:ascii="Arial" w:cs="Arial" w:eastAsia="Arial" w:hAnsi="Arial"/>
          <w:sz w:val="17"/>
          <w:szCs w:val="17"/>
          <w:color w:val="auto"/>
        </w:rPr>
        <w:t xml:space="preserve">), as permitted by Rule 17g-1; </w:t>
      </w:r>
      <w:r>
        <w:rPr>
          <w:rFonts w:ascii="Arial" w:cs="Arial" w:eastAsia="Arial" w:hAnsi="Arial"/>
          <w:sz w:val="17"/>
          <w:szCs w:val="17"/>
          <w:u w:val="single" w:color="auto"/>
          <w:color w:val="auto"/>
        </w:rPr>
        <w:t>and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Rule 17g-1 requires that a majority of the Board of Directors who are not “interested persons” of the Company as defined in Section 2(a)</w:t>
      </w:r>
    </w:p>
    <w:p>
      <w:pPr>
        <w:spacing w:after="0" w:line="50" w:lineRule="exact"/>
        <w:rPr>
          <w:sz w:val="20"/>
          <w:szCs w:val="20"/>
          <w:color w:val="auto"/>
        </w:rPr>
      </w:pPr>
    </w:p>
    <w:p>
      <w:pPr>
        <w:ind w:right="40" w:firstLine="4"/>
        <w:spacing w:after="0" w:line="273" w:lineRule="auto"/>
        <w:tabs>
          <w:tab w:leader="none" w:pos="345"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of the 1940 Act approve periodically (but not less than once every 12 months) the reasonableness of the form and amount of the bond, with due consideration to the value of the aggregate assets of the Company to which any covered person may have access, the type and terms of the arrangements made for the custody and safekeeping of such assets, and the nature of securities and other investments to be held by the Company, and pursuant to factors contained in the Rule which are described in the accompanying memorandum attached hereto; </w:t>
      </w:r>
      <w:r>
        <w:rPr>
          <w:rFonts w:ascii="Arial" w:cs="Arial" w:eastAsia="Arial" w:hAnsi="Arial"/>
          <w:sz w:val="17"/>
          <w:szCs w:val="17"/>
          <w:u w:val="single" w:color="auto"/>
          <w:color w:val="auto"/>
        </w:rPr>
        <w:t>and</w:t>
      </w:r>
    </w:p>
    <w:p>
      <w:pPr>
        <w:spacing w:after="0" w:line="173"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under Rule 17g-1, the Company is required to make certain filings with the SEC and give certain notices to each member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Directors in connection with the bond, and designate an officer who shall make such filings and give such notices; </w:t>
      </w:r>
      <w:r>
        <w:rPr>
          <w:rFonts w:ascii="Arial" w:cs="Arial" w:eastAsia="Arial" w:hAnsi="Arial"/>
          <w:sz w:val="18"/>
          <w:szCs w:val="18"/>
          <w:u w:val="single" w:color="auto"/>
          <w:color w:val="auto"/>
        </w:rPr>
        <w:t>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is presently a party to a single insured bond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“Current Fidelity Bond”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intends to enter into a new bond upon expiration of the Current Fidelity Bond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“New Fidelity Bond”</w:t>
      </w:r>
      <w:r>
        <w:rPr>
          <w:rFonts w:ascii="Arial" w:cs="Arial" w:eastAsia="Arial" w:hAnsi="Arial"/>
          <w:sz w:val="18"/>
          <w:szCs w:val="18"/>
          <w:color w:val="auto"/>
        </w:rPr>
        <w:t>);</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color w:val="auto"/>
        </w:rPr>
        <w:t>NOW THEREFORE BE IT RESOLVED</w:t>
      </w:r>
      <w:r>
        <w:rPr>
          <w:rFonts w:ascii="Arial" w:cs="Arial" w:eastAsia="Arial" w:hAnsi="Arial"/>
          <w:sz w:val="16"/>
          <w:szCs w:val="16"/>
          <w:color w:val="auto"/>
        </w:rPr>
        <w:t>, that having considered the expected aggregate value of the securities and funds of the Company to which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officers or employees of the Company may have access (either directly or through authority to draw upon such funds or to direct generally the disposition of such securities), the type and terms of the arrangements made for the custody of such securities and funds, the nature of securities and other investments to be held by the Company, the accounting procedures and controls of the Company, the nature and method of conducting the operations of the Company, and the requirements of Section 17(g) of the 1940 Act and Rule 17g-1 thereunder, it is determined that the amount, type, form, premium and coverage of the Current Fidelity Bond, covering the Officers and employees of the Company and insuring the Company against loss from fraudulent or dishonest acts, including larceny and embezzlement, issued by Marsh, having an aggregate coverage of $10,000,000 (the </w:t>
      </w:r>
      <w:r>
        <w:rPr>
          <w:rFonts w:ascii="Arial" w:cs="Arial" w:eastAsia="Arial" w:hAnsi="Arial"/>
          <w:sz w:val="16"/>
          <w:szCs w:val="16"/>
          <w:b w:val="1"/>
          <w:bCs w:val="1"/>
          <w:i w:val="1"/>
          <w:iCs w:val="1"/>
          <w:color w:val="auto"/>
        </w:rPr>
        <w:t>“Fidelity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Bond”</w:t>
      </w:r>
      <w:r>
        <w:rPr>
          <w:rFonts w:ascii="Arial" w:cs="Arial" w:eastAsia="Arial" w:hAnsi="Arial"/>
          <w:sz w:val="16"/>
          <w:szCs w:val="16"/>
          <w:color w:val="auto"/>
        </w:rPr>
        <w:t>), is reasonable, and the Current Fidelity Bond be, and hereby is, approved, ratified and confirmed by the Board of Directors of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including a majority of the Directors that are not “interested persons” of the Company under the 1940 Act (the </w:t>
      </w:r>
      <w:r>
        <w:rPr>
          <w:rFonts w:ascii="Arial" w:cs="Arial" w:eastAsia="Arial" w:hAnsi="Arial"/>
          <w:sz w:val="16"/>
          <w:szCs w:val="16"/>
          <w:b w:val="1"/>
          <w:bCs w:val="1"/>
          <w:i w:val="1"/>
          <w:iCs w:val="1"/>
          <w:color w:val="auto"/>
        </w:rPr>
        <w:t>“Independent Directors”</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w:t>
      </w:r>
    </w:p>
    <w:p>
      <w:pPr>
        <w:spacing w:after="0" w:line="160"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negotiation, execution and delivery of the New Fidelity Bond by any Authorized Officer of the Company, 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substantially the same terms and with the same coverage as the Current Fidelity Bond and with annual premiums of up to 110% of the Current Fidelity Bond, be and hereby is approved by the Board of Directors of the Company, including a majority of the Independent Directors; </w:t>
      </w:r>
      <w:r>
        <w:rPr>
          <w:rFonts w:ascii="Arial" w:cs="Arial" w:eastAsia="Arial" w:hAnsi="Arial"/>
          <w:sz w:val="17"/>
          <w:szCs w:val="17"/>
          <w:u w:val="single" w:color="auto"/>
          <w:color w:val="auto"/>
        </w:rPr>
        <w:t>and</w:t>
      </w:r>
    </w:p>
    <w:p>
      <w:pPr>
        <w:sectPr>
          <w:pgSz w:w="11900" w:h="16838" w:orient="portrait"/>
          <w:cols w:equalWidth="0" w:num="1">
            <w:col w:w="11020"/>
          </w:cols>
          <w:pgMar w:left="440" w:top="270" w:right="439" w:bottom="1440" w:gutter="0" w:footer="0" w:header="0"/>
        </w:sectPr>
      </w:pPr>
    </w:p>
    <w:bookmarkStart w:id="3" w:name="page4"/>
    <w:bookmarkEnd w:id="3"/>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 RESOLVED</w:t>
      </w:r>
      <w:r>
        <w:rPr>
          <w:rFonts w:ascii="Arial" w:cs="Arial" w:eastAsia="Arial" w:hAnsi="Arial"/>
          <w:sz w:val="18"/>
          <w:szCs w:val="18"/>
          <w:color w:val="auto"/>
        </w:rPr>
        <w:t>, that the Authorized Officers of the Company be, and hereby are, authorized to take all appropriate actions, with the advice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legal counsel to the Company, to provide and maintain the Fidelity Bond on behalf of the Company; </w:t>
      </w:r>
      <w:r>
        <w:rPr>
          <w:rFonts w:ascii="Arial" w:cs="Arial" w:eastAsia="Arial" w:hAnsi="Arial"/>
          <w:sz w:val="18"/>
          <w:szCs w:val="18"/>
          <w:u w:val="single" w:color="auto"/>
          <w:color w:val="auto"/>
        </w:rPr>
        <w:t>and</w:t>
      </w:r>
    </w:p>
    <w:p>
      <w:pPr>
        <w:spacing w:after="0" w:line="162" w:lineRule="exact"/>
        <w:rPr>
          <w:sz w:val="20"/>
          <w:szCs w:val="20"/>
          <w:color w:val="auto"/>
        </w:rPr>
      </w:pPr>
    </w:p>
    <w:p>
      <w:pPr>
        <w:ind w:right="360"/>
        <w:spacing w:after="0" w:line="313"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Chief Compliance Officer of the Company be, and hereby is, designated as the party responsible for making the</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necessary filings and giving the notices with respect to such bond required by paragraph (g) of Rule 17g-1 under the 1940 Act.</w:t>
      </w:r>
    </w:p>
    <w:p>
      <w:pPr>
        <w:sectPr>
          <w:pgSz w:w="11900" w:h="16838" w:orient="portrait"/>
          <w:cols w:equalWidth="0" w:num="1">
            <w:col w:w="10980"/>
          </w:cols>
          <w:pgMar w:left="440" w:top="270" w:right="47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tcBorders>
          </w:tcPr>
          <w:p>
            <w:pPr>
              <w:spacing w:after="0"/>
              <w:rPr>
                <w:sz w:val="19"/>
                <w:szCs w:val="19"/>
                <w:color w:val="auto"/>
              </w:rPr>
            </w:pPr>
          </w:p>
        </w:tc>
        <w:tc>
          <w:tcPr>
            <w:tcW w:w="7300" w:type="dxa"/>
            <w:vAlign w:val="bottom"/>
            <w:tcBorders>
              <w:top w:val="single" w:sz="8" w:color="auto"/>
              <w:right w:val="single" w:sz="8" w:color="auto"/>
            </w:tcBorders>
          </w:tcPr>
          <w:p>
            <w:pPr>
              <w:jc w:val="center"/>
              <w:ind w:right="3550"/>
              <w:spacing w:after="0"/>
              <w:rPr>
                <w:sz w:val="20"/>
                <w:szCs w:val="20"/>
                <w:color w:val="auto"/>
              </w:rPr>
            </w:pPr>
            <w:r>
              <w:rPr>
                <w:rFonts w:ascii="Arial" w:cs="Arial" w:eastAsia="Arial" w:hAnsi="Arial"/>
                <w:sz w:val="18"/>
                <w:szCs w:val="18"/>
                <w:b w:val="1"/>
                <w:bCs w:val="1"/>
                <w:color w:val="auto"/>
              </w:rPr>
              <w:t>FINANCIAL INSTITUTION BOND</w:t>
            </w:r>
          </w:p>
        </w:tc>
        <w:tc>
          <w:tcPr>
            <w:tcW w:w="0" w:type="dxa"/>
            <w:vAlign w:val="bottom"/>
          </w:tcPr>
          <w:p>
            <w:pPr>
              <w:spacing w:after="0"/>
              <w:rPr>
                <w:sz w:val="1"/>
                <w:szCs w:val="1"/>
                <w:color w:val="auto"/>
              </w:rPr>
            </w:pPr>
          </w:p>
        </w:tc>
      </w:tr>
      <w:tr>
        <w:trPr>
          <w:trHeight w:val="230"/>
        </w:trPr>
        <w:tc>
          <w:tcPr>
            <w:tcW w:w="374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jc w:val="center"/>
              <w:ind w:right="3550"/>
              <w:spacing w:after="0"/>
              <w:rPr>
                <w:sz w:val="20"/>
                <w:szCs w:val="20"/>
                <w:color w:val="auto"/>
              </w:rPr>
            </w:pPr>
            <w:r>
              <w:rPr>
                <w:rFonts w:ascii="Arial" w:cs="Arial" w:eastAsia="Arial" w:hAnsi="Arial"/>
                <w:sz w:val="18"/>
                <w:szCs w:val="18"/>
                <w:color w:val="auto"/>
                <w:w w:val="90"/>
              </w:rPr>
              <w:t>Standard Form No. 14, Revised to October, 1987</w:t>
            </w:r>
          </w:p>
        </w:tc>
        <w:tc>
          <w:tcPr>
            <w:tcW w:w="0" w:type="dxa"/>
            <w:vAlign w:val="bottom"/>
          </w:tcPr>
          <w:p>
            <w:pPr>
              <w:spacing w:after="0"/>
              <w:rPr>
                <w:sz w:val="1"/>
                <w:szCs w:val="1"/>
                <w:color w:val="auto"/>
              </w:rPr>
            </w:pPr>
          </w:p>
        </w:tc>
      </w:tr>
      <w:tr>
        <w:trPr>
          <w:trHeight w:val="432"/>
        </w:trPr>
        <w:tc>
          <w:tcPr>
            <w:tcW w:w="3740" w:type="dxa"/>
            <w:vAlign w:val="bottom"/>
            <w:tcBorders>
              <w:left w:val="single" w:sz="8" w:color="auto"/>
            </w:tcBorders>
            <w:vMerge w:val="restart"/>
          </w:tcPr>
          <w:p>
            <w:pPr>
              <w:ind w:left="160"/>
              <w:spacing w:after="0"/>
              <w:rPr>
                <w:sz w:val="20"/>
                <w:szCs w:val="20"/>
                <w:color w:val="auto"/>
              </w:rPr>
            </w:pPr>
            <w:r>
              <w:rPr>
                <w:rFonts w:ascii="Arial" w:cs="Arial" w:eastAsia="Arial" w:hAnsi="Arial"/>
                <w:sz w:val="18"/>
                <w:szCs w:val="18"/>
                <w:b w:val="1"/>
                <w:bCs w:val="1"/>
                <w:color w:val="auto"/>
              </w:rPr>
              <w:t>ACE American Insurance Company</w:t>
            </w:r>
          </w:p>
        </w:tc>
        <w:tc>
          <w:tcPr>
            <w:tcW w:w="7300" w:type="dxa"/>
            <w:vAlign w:val="bottom"/>
            <w:tcBorders>
              <w:right w:val="single" w:sz="8" w:color="auto"/>
            </w:tcBorders>
          </w:tcPr>
          <w:p>
            <w:pPr>
              <w:ind w:left="4320"/>
              <w:spacing w:after="0"/>
              <w:rPr>
                <w:sz w:val="20"/>
                <w:szCs w:val="20"/>
                <w:color w:val="auto"/>
              </w:rPr>
            </w:pPr>
            <w:r>
              <w:rPr>
                <w:rFonts w:ascii="Arial" w:cs="Arial" w:eastAsia="Arial" w:hAnsi="Arial"/>
                <w:sz w:val="18"/>
                <w:szCs w:val="18"/>
                <w:b w:val="1"/>
                <w:bCs w:val="1"/>
                <w:color w:val="auto"/>
              </w:rPr>
              <w:t>Bond No. DON G25562823 005</w:t>
            </w:r>
          </w:p>
        </w:tc>
        <w:tc>
          <w:tcPr>
            <w:tcW w:w="0" w:type="dxa"/>
            <w:vAlign w:val="bottom"/>
          </w:tcPr>
          <w:p>
            <w:pPr>
              <w:spacing w:after="0"/>
              <w:rPr>
                <w:sz w:val="1"/>
                <w:szCs w:val="1"/>
                <w:color w:val="auto"/>
              </w:rPr>
            </w:pPr>
          </w:p>
        </w:tc>
      </w:tr>
      <w:tr>
        <w:trPr>
          <w:trHeight w:val="216"/>
        </w:trPr>
        <w:tc>
          <w:tcPr>
            <w:tcW w:w="3740" w:type="dxa"/>
            <w:vAlign w:val="bottom"/>
            <w:tcBorders>
              <w:left w:val="single" w:sz="8" w:color="auto"/>
            </w:tcBorders>
            <w:vMerge w:val="continue"/>
          </w:tcPr>
          <w:p>
            <w:pPr>
              <w:spacing w:after="0"/>
              <w:rPr>
                <w:sz w:val="18"/>
                <w:szCs w:val="18"/>
                <w:color w:val="auto"/>
              </w:rPr>
            </w:pPr>
          </w:p>
        </w:tc>
        <w:tc>
          <w:tcPr>
            <w:tcW w:w="7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740" w:type="dxa"/>
            <w:vAlign w:val="bottom"/>
            <w:tcBorders>
              <w:left w:val="single" w:sz="8" w:color="auto"/>
            </w:tcBorders>
            <w:vMerge w:val="restart"/>
          </w:tcPr>
          <w:p>
            <w:pPr>
              <w:ind w:left="160"/>
              <w:spacing w:after="0"/>
              <w:rPr>
                <w:sz w:val="20"/>
                <w:szCs w:val="20"/>
                <w:color w:val="auto"/>
              </w:rPr>
            </w:pPr>
            <w:r>
              <w:rPr>
                <w:rFonts w:ascii="Arial" w:cs="Arial" w:eastAsia="Arial" w:hAnsi="Arial"/>
                <w:sz w:val="18"/>
                <w:szCs w:val="18"/>
                <w:b w:val="1"/>
                <w:bCs w:val="1"/>
                <w:color w:val="auto"/>
              </w:rPr>
              <w:t>DECLARATIONS</w:t>
            </w:r>
          </w:p>
        </w:tc>
        <w:tc>
          <w:tcPr>
            <w:tcW w:w="7300" w:type="dxa"/>
            <w:vAlign w:val="bottom"/>
            <w:tcBorders>
              <w:right w:val="single" w:sz="8" w:color="auto"/>
            </w:tcBorders>
          </w:tcPr>
          <w:p>
            <w:pPr>
              <w:jc w:val="center"/>
              <w:ind w:right="3590"/>
              <w:spacing w:after="0"/>
              <w:rPr>
                <w:sz w:val="20"/>
                <w:szCs w:val="20"/>
                <w:color w:val="auto"/>
              </w:rPr>
            </w:pPr>
            <w:r>
              <w:rPr>
                <w:rFonts w:ascii="Arial" w:cs="Arial" w:eastAsia="Arial" w:hAnsi="Arial"/>
                <w:sz w:val="18"/>
                <w:szCs w:val="18"/>
                <w:color w:val="auto"/>
                <w:w w:val="93"/>
              </w:rPr>
              <w:t>(Herein called Underwriter)</w:t>
            </w:r>
          </w:p>
        </w:tc>
        <w:tc>
          <w:tcPr>
            <w:tcW w:w="0" w:type="dxa"/>
            <w:vAlign w:val="bottom"/>
          </w:tcPr>
          <w:p>
            <w:pPr>
              <w:spacing w:after="0"/>
              <w:rPr>
                <w:sz w:val="1"/>
                <w:szCs w:val="1"/>
                <w:color w:val="auto"/>
              </w:rPr>
            </w:pPr>
          </w:p>
        </w:tc>
      </w:tr>
      <w:tr>
        <w:trPr>
          <w:trHeight w:val="198"/>
        </w:trPr>
        <w:tc>
          <w:tcPr>
            <w:tcW w:w="3740" w:type="dxa"/>
            <w:vAlign w:val="bottom"/>
            <w:tcBorders>
              <w:left w:val="single" w:sz="8" w:color="auto"/>
            </w:tcBorders>
            <w:vMerge w:val="continue"/>
          </w:tcPr>
          <w:p>
            <w:pPr>
              <w:spacing w:after="0"/>
              <w:rPr>
                <w:sz w:val="17"/>
                <w:szCs w:val="17"/>
                <w:color w:val="auto"/>
              </w:rPr>
            </w:pPr>
          </w:p>
        </w:tc>
        <w:tc>
          <w:tcPr>
            <w:tcW w:w="7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tcBorders>
              <w:left w:val="single" w:sz="8" w:color="auto"/>
            </w:tcBorders>
          </w:tcPr>
          <w:p>
            <w:pPr>
              <w:ind w:left="160"/>
              <w:spacing w:after="0"/>
              <w:rPr>
                <w:sz w:val="20"/>
                <w:szCs w:val="20"/>
                <w:color w:val="auto"/>
              </w:rPr>
            </w:pPr>
            <w:r>
              <w:rPr>
                <w:rFonts w:ascii="Arial" w:cs="Arial" w:eastAsia="Arial" w:hAnsi="Arial"/>
                <w:sz w:val="18"/>
                <w:szCs w:val="18"/>
                <w:b w:val="1"/>
                <w:bCs w:val="1"/>
                <w:color w:val="auto"/>
                <w:w w:val="92"/>
              </w:rPr>
              <w:t xml:space="preserve">Item 1. </w:t>
            </w:r>
            <w:r>
              <w:rPr>
                <w:rFonts w:ascii="Arial" w:cs="Arial" w:eastAsia="Arial" w:hAnsi="Arial"/>
                <w:sz w:val="18"/>
                <w:szCs w:val="18"/>
                <w:color w:val="auto"/>
                <w:w w:val="92"/>
              </w:rPr>
              <w:t>Name of Insured (herein called Insured):</w:t>
            </w:r>
          </w:p>
        </w:tc>
        <w:tc>
          <w:tcPr>
            <w:tcW w:w="73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TPG Specialty Lending, Inc.</w:t>
            </w:r>
          </w:p>
        </w:tc>
        <w:tc>
          <w:tcPr>
            <w:tcW w:w="0" w:type="dxa"/>
            <w:vAlign w:val="bottom"/>
          </w:tcPr>
          <w:p>
            <w:pPr>
              <w:spacing w:after="0"/>
              <w:rPr>
                <w:sz w:val="1"/>
                <w:szCs w:val="1"/>
                <w:color w:val="auto"/>
              </w:rPr>
            </w:pPr>
          </w:p>
        </w:tc>
      </w:tr>
      <w:tr>
        <w:trPr>
          <w:trHeight w:val="418"/>
        </w:trPr>
        <w:tc>
          <w:tcPr>
            <w:tcW w:w="3740" w:type="dxa"/>
            <w:vAlign w:val="bottom"/>
            <w:tcBorders>
              <w:left w:val="single" w:sz="8" w:color="auto"/>
            </w:tcBorders>
          </w:tcPr>
          <w:p>
            <w:pPr>
              <w:ind w:left="700"/>
              <w:spacing w:after="0"/>
              <w:rPr>
                <w:sz w:val="20"/>
                <w:szCs w:val="20"/>
                <w:color w:val="auto"/>
              </w:rPr>
            </w:pPr>
            <w:r>
              <w:rPr>
                <w:rFonts w:ascii="Arial" w:cs="Arial" w:eastAsia="Arial" w:hAnsi="Arial"/>
                <w:sz w:val="18"/>
                <w:szCs w:val="18"/>
                <w:color w:val="auto"/>
              </w:rPr>
              <w:t>Principal Address:</w:t>
            </w:r>
          </w:p>
        </w:tc>
        <w:tc>
          <w:tcPr>
            <w:tcW w:w="73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301 Commerce Street, Suite 3300</w:t>
            </w:r>
          </w:p>
        </w:tc>
        <w:tc>
          <w:tcPr>
            <w:tcW w:w="0" w:type="dxa"/>
            <w:vAlign w:val="bottom"/>
          </w:tcPr>
          <w:p>
            <w:pPr>
              <w:spacing w:after="0"/>
              <w:rPr>
                <w:sz w:val="1"/>
                <w:szCs w:val="1"/>
                <w:color w:val="auto"/>
              </w:rPr>
            </w:pPr>
          </w:p>
        </w:tc>
      </w:tr>
      <w:tr>
        <w:trPr>
          <w:trHeight w:val="230"/>
        </w:trPr>
        <w:tc>
          <w:tcPr>
            <w:tcW w:w="374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Fort Worth, TX 76102</w:t>
            </w:r>
          </w:p>
        </w:tc>
        <w:tc>
          <w:tcPr>
            <w:tcW w:w="0" w:type="dxa"/>
            <w:vAlign w:val="bottom"/>
          </w:tcPr>
          <w:p>
            <w:pPr>
              <w:spacing w:after="0"/>
              <w:rPr>
                <w:sz w:val="1"/>
                <w:szCs w:val="1"/>
                <w:color w:val="auto"/>
              </w:rPr>
            </w:pPr>
          </w:p>
        </w:tc>
      </w:tr>
      <w:tr>
        <w:trPr>
          <w:trHeight w:val="507"/>
        </w:trPr>
        <w:tc>
          <w:tcPr>
            <w:tcW w:w="3740" w:type="dxa"/>
            <w:vAlign w:val="bottom"/>
            <w:tcBorders>
              <w:left w:val="single" w:sz="8" w:color="auto"/>
              <w:bottom w:val="single" w:sz="8" w:color="auto"/>
            </w:tcBorders>
          </w:tcPr>
          <w:p>
            <w:pPr>
              <w:spacing w:after="0"/>
              <w:rPr>
                <w:sz w:val="24"/>
                <w:szCs w:val="24"/>
                <w:color w:val="auto"/>
              </w:rPr>
            </w:pPr>
          </w:p>
        </w:tc>
        <w:tc>
          <w:tcPr>
            <w:tcW w:w="7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3600" w:type="dxa"/>
            <w:vAlign w:val="bottom"/>
          </w:tcPr>
          <w:p>
            <w:pPr>
              <w:ind w:left="180"/>
              <w:spacing w:after="0"/>
              <w:rPr>
                <w:sz w:val="20"/>
                <w:szCs w:val="20"/>
                <w:color w:val="auto"/>
              </w:rPr>
            </w:pPr>
            <w:r>
              <w:rPr>
                <w:rFonts w:ascii="Arial" w:cs="Arial" w:eastAsia="Arial" w:hAnsi="Arial"/>
                <w:sz w:val="18"/>
                <w:szCs w:val="18"/>
                <w:color w:val="auto"/>
              </w:rPr>
              <w:t>Bond Period: from 12:01 a.m. on</w:t>
            </w:r>
          </w:p>
        </w:tc>
        <w:tc>
          <w:tcPr>
            <w:tcW w:w="2160" w:type="dxa"/>
            <w:vAlign w:val="bottom"/>
          </w:tcPr>
          <w:p>
            <w:pPr>
              <w:jc w:val="right"/>
              <w:ind w:right="710"/>
              <w:spacing w:after="0"/>
              <w:rPr>
                <w:sz w:val="20"/>
                <w:szCs w:val="20"/>
                <w:color w:val="auto"/>
              </w:rPr>
            </w:pPr>
            <w:r>
              <w:rPr>
                <w:rFonts w:ascii="Arial" w:cs="Arial" w:eastAsia="Arial" w:hAnsi="Arial"/>
                <w:sz w:val="18"/>
                <w:szCs w:val="18"/>
                <w:color w:val="auto"/>
              </w:rPr>
              <w:t>03/08/2019</w:t>
            </w:r>
          </w:p>
        </w:tc>
        <w:tc>
          <w:tcPr>
            <w:tcW w:w="1620" w:type="dxa"/>
            <w:vAlign w:val="bottom"/>
          </w:tcPr>
          <w:p>
            <w:pPr>
              <w:ind w:left="160"/>
              <w:spacing w:after="0"/>
              <w:rPr>
                <w:sz w:val="20"/>
                <w:szCs w:val="20"/>
                <w:color w:val="auto"/>
              </w:rPr>
            </w:pPr>
            <w:r>
              <w:rPr>
                <w:rFonts w:ascii="Arial" w:cs="Arial" w:eastAsia="Arial" w:hAnsi="Arial"/>
                <w:sz w:val="18"/>
                <w:szCs w:val="18"/>
                <w:color w:val="auto"/>
              </w:rPr>
              <w:t>to 12:01 a.m. on</w:t>
            </w:r>
          </w:p>
        </w:tc>
        <w:tc>
          <w:tcPr>
            <w:tcW w:w="1360" w:type="dxa"/>
            <w:vAlign w:val="bottom"/>
          </w:tcPr>
          <w:p>
            <w:pPr>
              <w:ind w:left="300"/>
              <w:spacing w:after="0"/>
              <w:rPr>
                <w:sz w:val="20"/>
                <w:szCs w:val="20"/>
                <w:color w:val="auto"/>
              </w:rPr>
            </w:pPr>
            <w:r>
              <w:rPr>
                <w:rFonts w:ascii="Arial" w:cs="Arial" w:eastAsia="Arial" w:hAnsi="Arial"/>
                <w:sz w:val="18"/>
                <w:szCs w:val="18"/>
                <w:color w:val="auto"/>
              </w:rPr>
              <w:t>03/08/2020</w:t>
            </w:r>
          </w:p>
        </w:tc>
        <w:tc>
          <w:tcPr>
            <w:tcW w:w="1580" w:type="dxa"/>
            <w:vAlign w:val="bottom"/>
          </w:tcPr>
          <w:p>
            <w:pPr>
              <w:ind w:left="240"/>
              <w:spacing w:after="0"/>
              <w:rPr>
                <w:sz w:val="20"/>
                <w:szCs w:val="20"/>
                <w:color w:val="auto"/>
              </w:rPr>
            </w:pPr>
            <w:r>
              <w:rPr>
                <w:rFonts w:ascii="Arial" w:cs="Arial" w:eastAsia="Arial" w:hAnsi="Arial"/>
                <w:sz w:val="18"/>
                <w:szCs w:val="18"/>
                <w:color w:val="auto"/>
              </w:rPr>
              <w:t>Standard time.</w:t>
            </w: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160" w:type="dxa"/>
            <w:vAlign w:val="bottom"/>
          </w:tcPr>
          <w:p>
            <w:pPr>
              <w:jc w:val="right"/>
              <w:ind w:right="270"/>
              <w:spacing w:after="0"/>
              <w:rPr>
                <w:sz w:val="20"/>
                <w:szCs w:val="20"/>
                <w:color w:val="auto"/>
              </w:rPr>
            </w:pPr>
            <w:r>
              <w:rPr>
                <w:rFonts w:ascii="Arial" w:cs="Arial" w:eastAsia="Arial" w:hAnsi="Arial"/>
                <w:sz w:val="18"/>
                <w:szCs w:val="18"/>
                <w:color w:val="auto"/>
                <w:w w:val="96"/>
              </w:rPr>
              <w:t>(MONTH. DAY. YEAR)</w:t>
            </w:r>
          </w:p>
        </w:tc>
        <w:tc>
          <w:tcPr>
            <w:tcW w:w="1620" w:type="dxa"/>
            <w:vAlign w:val="bottom"/>
          </w:tcPr>
          <w:p>
            <w:pPr>
              <w:spacing w:after="0"/>
              <w:rPr>
                <w:sz w:val="20"/>
                <w:szCs w:val="20"/>
                <w:color w:val="auto"/>
              </w:rPr>
            </w:pPr>
          </w:p>
        </w:tc>
        <w:tc>
          <w:tcPr>
            <w:tcW w:w="2940" w:type="dxa"/>
            <w:vAlign w:val="bottom"/>
            <w:gridSpan w:val="2"/>
          </w:tcPr>
          <w:p>
            <w:pPr>
              <w:ind w:left="300"/>
              <w:spacing w:after="0"/>
              <w:rPr>
                <w:sz w:val="20"/>
                <w:szCs w:val="20"/>
                <w:color w:val="auto"/>
              </w:rPr>
            </w:pPr>
            <w:r>
              <w:rPr>
                <w:rFonts w:ascii="Arial" w:cs="Arial" w:eastAsia="Arial" w:hAnsi="Arial"/>
                <w:sz w:val="18"/>
                <w:szCs w:val="18"/>
                <w:color w:val="auto"/>
              </w:rPr>
              <w:t>(MONTH. DAY. YEAR)</w:t>
            </w:r>
          </w:p>
        </w:tc>
      </w:tr>
      <w:tr>
        <w:trPr>
          <w:trHeight w:val="135"/>
        </w:trPr>
        <w:tc>
          <w:tcPr>
            <w:tcW w:w="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760" w:type="dxa"/>
            <w:vAlign w:val="bottom"/>
            <w:tcBorders>
              <w:bottom w:val="single" w:sz="8" w:color="auto"/>
            </w:tcBorders>
            <w:gridSpan w:val="2"/>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r>
      <w:tr>
        <w:trPr>
          <w:trHeight w:val="236"/>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3.</w:t>
            </w:r>
          </w:p>
        </w:tc>
        <w:tc>
          <w:tcPr>
            <w:tcW w:w="5760" w:type="dxa"/>
            <w:vAlign w:val="bottom"/>
            <w:gridSpan w:val="2"/>
          </w:tcPr>
          <w:p>
            <w:pPr>
              <w:ind w:left="160"/>
              <w:spacing w:after="0"/>
              <w:rPr>
                <w:sz w:val="20"/>
                <w:szCs w:val="20"/>
                <w:color w:val="auto"/>
              </w:rPr>
            </w:pPr>
            <w:r>
              <w:rPr>
                <w:rFonts w:ascii="Arial" w:cs="Arial" w:eastAsia="Arial" w:hAnsi="Arial"/>
                <w:sz w:val="18"/>
                <w:szCs w:val="18"/>
                <w:color w:val="auto"/>
                <w:w w:val="94"/>
              </w:rPr>
              <w:t>The Aggregate Liability of the Underwriter during the Bond Period shall be</w:t>
            </w:r>
          </w:p>
        </w:tc>
        <w:tc>
          <w:tcPr>
            <w:tcW w:w="16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$5,000,000</w:t>
            </w:r>
          </w:p>
        </w:tc>
        <w:tc>
          <w:tcPr>
            <w:tcW w:w="2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135"/>
        </w:trPr>
        <w:tc>
          <w:tcPr>
            <w:tcW w:w="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60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r>
      <w:tr>
        <w:trPr>
          <w:trHeight w:val="236"/>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4.</w:t>
            </w:r>
          </w:p>
        </w:tc>
        <w:tc>
          <w:tcPr>
            <w:tcW w:w="3600" w:type="dxa"/>
            <w:vAlign w:val="bottom"/>
          </w:tcPr>
          <w:p>
            <w:pPr>
              <w:ind w:left="160"/>
              <w:spacing w:after="0"/>
              <w:rPr>
                <w:sz w:val="20"/>
                <w:szCs w:val="20"/>
                <w:color w:val="auto"/>
              </w:rPr>
            </w:pPr>
            <w:r>
              <w:rPr>
                <w:rFonts w:ascii="Arial" w:cs="Arial" w:eastAsia="Arial" w:hAnsi="Arial"/>
                <w:sz w:val="18"/>
                <w:szCs w:val="18"/>
                <w:color w:val="auto"/>
              </w:rPr>
              <w:t>Subject to Sections 4 and 11 hereof,</w:t>
            </w:r>
          </w:p>
        </w:tc>
        <w:tc>
          <w:tcPr>
            <w:tcW w:w="2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w w:val="93"/>
              </w:rPr>
              <w:t>the Single Loss Limit of Liability is $5,000,000</w:t>
            </w:r>
          </w:p>
        </w:tc>
        <w:tc>
          <w:tcPr>
            <w:tcW w:w="2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and the Single Loss Deductible is $50,000</w:t>
            </w:r>
          </w:p>
        </w:tc>
        <w:tc>
          <w:tcPr>
            <w:tcW w:w="2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pacing w:after="0" w:line="202" w:lineRule="exact"/>
        <w:rPr>
          <w:sz w:val="20"/>
          <w:szCs w:val="20"/>
          <w:color w:val="auto"/>
        </w:rPr>
      </w:pPr>
    </w:p>
    <w:p>
      <w:pPr>
        <w:ind w:left="880" w:right="400"/>
        <w:spacing w:after="0" w:line="264" w:lineRule="auto"/>
        <w:rPr>
          <w:sz w:val="20"/>
          <w:szCs w:val="20"/>
          <w:color w:val="auto"/>
        </w:rPr>
      </w:pPr>
      <w:r>
        <w:rPr>
          <w:rFonts w:ascii="Arial" w:cs="Arial" w:eastAsia="Arial" w:hAnsi="Arial"/>
          <w:sz w:val="18"/>
          <w:szCs w:val="18"/>
          <w:color w:val="auto"/>
        </w:rPr>
        <w:t>Provided, however, that if any amounts are inserted below opposite specified Insuring Agreements or Coverage, those amounts shall be controlling. Any amount set forth below shall be part of and not in addition to amounts set forth above. (If an Insuring Agreement or Coverage is to be deleted, insert Not Covered”.)</w:t>
      </w:r>
    </w:p>
    <w:p>
      <w:pPr>
        <w:spacing w:after="0" w:line="19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w w:val="96"/>
              </w:rPr>
              <w:t>Single Loss</w:t>
            </w:r>
          </w:p>
        </w:tc>
        <w:tc>
          <w:tcPr>
            <w:tcW w:w="1240" w:type="dxa"/>
            <w:vAlign w:val="bottom"/>
            <w:gridSpan w:val="4"/>
          </w:tcPr>
          <w:p>
            <w:pPr>
              <w:ind w:left="500"/>
              <w:spacing w:after="0"/>
              <w:rPr>
                <w:sz w:val="20"/>
                <w:szCs w:val="20"/>
                <w:color w:val="auto"/>
              </w:rPr>
            </w:pPr>
            <w:r>
              <w:rPr>
                <w:rFonts w:ascii="Arial" w:cs="Arial" w:eastAsia="Arial" w:hAnsi="Arial"/>
                <w:sz w:val="14"/>
                <w:szCs w:val="14"/>
                <w:color w:val="auto"/>
                <w:w w:val="99"/>
              </w:rPr>
              <w:t>Single Loss</w:t>
            </w:r>
          </w:p>
        </w:tc>
      </w:tr>
      <w:tr>
        <w:trPr>
          <w:trHeight w:val="167"/>
        </w:trPr>
        <w:tc>
          <w:tcPr>
            <w:tcW w:w="4960" w:type="dxa"/>
            <w:vAlign w:val="bottom"/>
            <w:gridSpan w:val="2"/>
          </w:tcPr>
          <w:p>
            <w:pPr>
              <w:spacing w:after="0"/>
              <w:rPr>
                <w:sz w:val="20"/>
                <w:szCs w:val="20"/>
                <w:color w:val="auto"/>
              </w:rPr>
            </w:pPr>
            <w:r>
              <w:rPr>
                <w:rFonts w:ascii="Arial" w:cs="Arial" w:eastAsia="Arial" w:hAnsi="Arial"/>
                <w:sz w:val="14"/>
                <w:szCs w:val="14"/>
                <w:color w:val="auto"/>
              </w:rPr>
              <w:t>Amount applicable to:</w:t>
            </w:r>
          </w:p>
        </w:tc>
        <w:tc>
          <w:tcPr>
            <w:tcW w:w="2180" w:type="dxa"/>
            <w:vAlign w:val="bottom"/>
            <w:gridSpan w:val="3"/>
          </w:tcPr>
          <w:p>
            <w:pPr>
              <w:jc w:val="right"/>
              <w:spacing w:after="0"/>
              <w:rPr>
                <w:sz w:val="20"/>
                <w:szCs w:val="20"/>
                <w:color w:val="auto"/>
              </w:rPr>
            </w:pPr>
            <w:r>
              <w:rPr>
                <w:rFonts w:ascii="Arial" w:cs="Arial" w:eastAsia="Arial" w:hAnsi="Arial"/>
                <w:sz w:val="14"/>
                <w:szCs w:val="14"/>
                <w:color w:val="auto"/>
              </w:rPr>
              <w:t>Limit of Liability</w:t>
            </w:r>
          </w:p>
        </w:tc>
        <w:tc>
          <w:tcPr>
            <w:tcW w:w="5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color w:val="auto"/>
              </w:rPr>
              <w:t>Deductible</w:t>
            </w: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Insuring Agreements (A) Employee Dishonesty</w:t>
            </w:r>
          </w:p>
        </w:tc>
        <w:tc>
          <w:tcPr>
            <w:tcW w:w="1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50,000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Insuring Agreement (B) Premises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5,000,000</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50,000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Insuring Agreement (C) Transit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50,000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Insuring Agreement (D) Forgery or Alteration</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5,000,000</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50,000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Insuring Agreement (E) Securities Forgery</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50,000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Computer Insuring Agreements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5,000,000</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50,000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Claims Expense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880" w:right="120"/>
        <w:spacing w:after="0" w:line="277" w:lineRule="auto"/>
        <w:rPr>
          <w:sz w:val="20"/>
          <w:szCs w:val="20"/>
          <w:color w:val="auto"/>
        </w:rPr>
      </w:pPr>
      <w:r>
        <w:rPr>
          <w:rFonts w:ascii="Arial" w:cs="Arial" w:eastAsia="Arial" w:hAnsi="Arial"/>
          <w:sz w:val="18"/>
          <w:szCs w:val="18"/>
          <w:color w:val="auto"/>
        </w:rPr>
        <w:t>If “Not Covered” is inserted above opposite any specified Insuring Agreement or Coverage, such Insuring Agreement or Coverage and any other reference thereto in this bond shall be deemed to be deleted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color w:val="auto"/>
        </w:rPr>
        <w:t>The liability of the Underwriter is subject to the terms of the following riders attached hereto:</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Endorsements #1 - 20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0" w:lineRule="exact"/>
        <w:rPr>
          <w:sz w:val="20"/>
          <w:szCs w:val="20"/>
          <w:color w:val="auto"/>
        </w:rPr>
      </w:pPr>
    </w:p>
    <w:p>
      <w:pPr>
        <w:ind w:left="880" w:right="1980" w:hanging="880"/>
        <w:spacing w:after="0" w:line="261" w:lineRule="auto"/>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color w:val="auto"/>
        </w:rPr>
        <w:t>The Insured by the acceptance of this bond gives notice to the Underwriter terminating or canceling prior bond(s) or policy(ies) No.(s) G25562823 004</w:t>
      </w:r>
    </w:p>
    <w:p>
      <w:pPr>
        <w:ind w:left="880"/>
        <w:spacing w:after="0"/>
        <w:rPr>
          <w:sz w:val="20"/>
          <w:szCs w:val="20"/>
          <w:color w:val="auto"/>
        </w:rPr>
      </w:pPr>
      <w:r>
        <w:rPr>
          <w:rFonts w:ascii="Arial" w:cs="Arial" w:eastAsia="Arial" w:hAnsi="Arial"/>
          <w:sz w:val="18"/>
          <w:szCs w:val="18"/>
          <w:color w:val="auto"/>
        </w:rPr>
        <w:t>such termination or cancelation to be effective as of the time this bond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134620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268" w:right="419" w:bottom="1440" w:gutter="0" w:footer="0" w:header="0"/>
        </w:sectPr>
      </w:pPr>
    </w:p>
    <w:bookmarkStart w:id="5" w:name="page6"/>
    <w:bookmarkEnd w:id="5"/>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4968240</wp:posOffset>
            </wp:positionH>
            <wp:positionV relativeFrom="page">
              <wp:posOffset>243205</wp:posOffset>
            </wp:positionV>
            <wp:extent cx="1835150" cy="702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835150" cy="702945"/>
                    </a:xfrm>
                    <a:prstGeom prst="rect">
                      <a:avLst/>
                    </a:prstGeom>
                    <a:noFill/>
                  </pic:spPr>
                </pic:pic>
              </a:graphicData>
            </a:graphic>
          </wp:anchor>
        </w:drawing>
      </w:r>
    </w:p>
    <w:p>
      <w:pPr>
        <w:ind w:left="8580"/>
        <w:spacing w:after="0"/>
        <w:rPr>
          <w:sz w:val="20"/>
          <w:szCs w:val="20"/>
          <w:color w:val="auto"/>
        </w:rPr>
      </w:pPr>
      <w:r>
        <w:rPr>
          <w:rFonts w:ascii="Arial" w:cs="Arial" w:eastAsia="Arial" w:hAnsi="Arial"/>
          <w:sz w:val="18"/>
          <w:szCs w:val="18"/>
          <w:color w:val="auto"/>
        </w:rPr>
        <w:t>JOHN J. LUPICA,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152400</wp:posOffset>
            </wp:positionV>
            <wp:extent cx="27959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32"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tabs>
          <w:tab w:leader="none" w:pos="3600" w:val="left"/>
          <w:tab w:leader="none" w:pos="10180" w:val="left"/>
        </w:tabs>
        <w:rPr>
          <w:sz w:val="20"/>
          <w:szCs w:val="20"/>
          <w:color w:val="auto"/>
        </w:rPr>
      </w:pPr>
      <w:r>
        <w:rPr>
          <w:rFonts w:ascii="Arial" w:cs="Arial" w:eastAsia="Arial" w:hAnsi="Arial"/>
          <w:sz w:val="18"/>
          <w:szCs w:val="18"/>
          <w:color w:val="auto"/>
        </w:rPr>
        <w:t>TSB 5062b</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1 of 6</w:t>
      </w:r>
    </w:p>
    <w:p>
      <w:pPr>
        <w:sectPr>
          <w:pgSz w:w="11900" w:h="16838" w:orient="portrait"/>
          <w:cols w:equalWidth="0" w:num="1">
            <w:col w:w="11020"/>
          </w:cols>
          <w:pgMar w:left="440" w:top="1440" w:right="439" w:bottom="1440" w:gutter="0" w:footer="0" w:header="0"/>
        </w:sectPr>
      </w:pPr>
    </w:p>
    <w:bookmarkStart w:id="6" w:name="page7"/>
    <w:bookmarkEnd w:id="6"/>
    <w:p>
      <w:pPr>
        <w:ind w:right="16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Underwriter, in consideration of an agreed premium, and in reliance upon all statements made and information furnished to the Underwriter by the Insured in applying for this bond, and subject to the Declarations, Insuring Agreements, General Agreements, Conditions and Limitations and other terms hereof, agrees to indemnify the Insured for:</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INSURING AGREEMENTS</w:t>
      </w:r>
    </w:p>
    <w:p>
      <w:pPr>
        <w:sectPr>
          <w:pgSz w:w="11900" w:h="16838" w:orient="portrait"/>
          <w:cols w:equalWidth="0" w:num="1">
            <w:col w:w="11000"/>
          </w:cols>
          <w:pgMar w:left="440" w:top="274" w:right="459" w:bottom="0" w:gutter="0" w:footer="0" w:header="0"/>
        </w:sectPr>
      </w:pPr>
    </w:p>
    <w:p>
      <w:pPr>
        <w:spacing w:after="0" w:line="310"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FIDELITY</w:t>
      </w:r>
    </w:p>
    <w:p>
      <w:pPr>
        <w:spacing w:after="0" w:line="225" w:lineRule="exact"/>
        <w:rPr>
          <w:sz w:val="20"/>
          <w:szCs w:val="20"/>
          <w:color w:val="auto"/>
        </w:rPr>
      </w:pPr>
    </w:p>
    <w:p>
      <w:pPr>
        <w:ind w:right="20" w:firstLine="364"/>
        <w:spacing w:after="0" w:line="342"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Loss resulting directly from dishonest or fraudulent acts committed by an Employee acting alone or in collusion with others.</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Such dishonest or fraudulent acts must be committed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Employee with the manifest intent:</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1100" w:right="560" w:hanging="367"/>
        <w:spacing w:after="0" w:line="308" w:lineRule="auto"/>
        <w:tabs>
          <w:tab w:leader="none" w:pos="110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Negotiable Instruments not payable to bearer or not endorsed, or with restrictive endorsements.</w:t>
      </w:r>
    </w:p>
    <w:p>
      <w:pPr>
        <w:spacing w:after="0" w:line="147"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Coverage under this Insuring Agreement begins immediately upon the receipt of such Property by the natural person or Transportation Company and ends immediately upon delivery to the designated recipient or its agent.</w:t>
      </w:r>
    </w:p>
    <w:p>
      <w:pPr>
        <w:spacing w:after="0" w:line="92" w:lineRule="exact"/>
        <w:rPr>
          <w:sz w:val="20"/>
          <w:szCs w:val="20"/>
          <w:color w:val="auto"/>
        </w:rPr>
      </w:pPr>
    </w:p>
    <w:p>
      <w:pPr>
        <w:sectPr>
          <w:pgSz w:w="11900" w:h="16838" w:orient="portrait"/>
          <w:cols w:equalWidth="0" w:num="2">
            <w:col w:w="4900" w:space="720"/>
            <w:col w:w="5380"/>
          </w:cols>
          <w:pgMar w:left="440" w:top="274" w:right="459" w:bottom="0" w:gutter="0" w:footer="0" w:header="0"/>
          <w:type w:val="continuous"/>
        </w:sectPr>
      </w:pPr>
    </w:p>
    <w:p>
      <w:pPr>
        <w:ind w:left="740" w:hanging="371"/>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cause the Insured to sustain such loss; and</w:t>
      </w:r>
    </w:p>
    <w:p>
      <w:pPr>
        <w:spacing w:after="0" w:line="130" w:lineRule="exact"/>
        <w:rPr>
          <w:rFonts w:ascii="Arial" w:cs="Arial" w:eastAsia="Arial" w:hAnsi="Arial"/>
          <w:sz w:val="18"/>
          <w:szCs w:val="18"/>
          <w:color w:val="auto"/>
        </w:rPr>
      </w:pPr>
    </w:p>
    <w:p>
      <w:pPr>
        <w:ind w:left="740" w:right="40" w:hanging="371"/>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obtain financial benefit for the Employee and which, in fact, result in obtaining such benefit.</w:t>
      </w:r>
    </w:p>
    <w:p>
      <w:pPr>
        <w:spacing w:after="0" w:line="170"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As used in this Insuring Agreement financial benefit does not include any employee benefits earned in the normal course of employment, including salaries, commissions, fees, bonuses, promotions, awards, profit sharing or pensions.</w:t>
      </w:r>
    </w:p>
    <w:p>
      <w:pPr>
        <w:spacing w:after="0" w:line="200" w:lineRule="exact"/>
        <w:rPr>
          <w:sz w:val="20"/>
          <w:szCs w:val="20"/>
          <w:color w:val="auto"/>
        </w:rPr>
      </w:pPr>
    </w:p>
    <w:p>
      <w:pPr>
        <w:spacing w:after="0" w:line="20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ON PREMISES</w:t>
      </w:r>
    </w:p>
    <w:p>
      <w:pPr>
        <w:spacing w:after="0" w:line="225" w:lineRule="exact"/>
        <w:rPr>
          <w:sz w:val="20"/>
          <w:szCs w:val="20"/>
          <w:color w:val="auto"/>
        </w:rPr>
      </w:pPr>
    </w:p>
    <w:p>
      <w:pPr>
        <w:ind w:left="640" w:hanging="27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(1) Loss of Property resulting directly from</w:t>
      </w:r>
    </w:p>
    <w:p>
      <w:pPr>
        <w:spacing w:after="0" w:line="130" w:lineRule="exact"/>
        <w:rPr>
          <w:rFonts w:ascii="Arial" w:cs="Arial" w:eastAsia="Arial" w:hAnsi="Arial"/>
          <w:sz w:val="18"/>
          <w:szCs w:val="18"/>
          <w:color w:val="auto"/>
        </w:rPr>
      </w:pPr>
    </w:p>
    <w:p>
      <w:pPr>
        <w:ind w:left="1460" w:right="120" w:hanging="362"/>
        <w:spacing w:after="0" w:line="264" w:lineRule="auto"/>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robbery, burglary, misplacement, mysterious unexplainable disappearance and damage thereto or destruction thereof, or</w:t>
      </w:r>
    </w:p>
    <w:p>
      <w:pPr>
        <w:spacing w:after="0" w:line="86" w:lineRule="exact"/>
        <w:rPr>
          <w:rFonts w:ascii="Arial" w:cs="Arial" w:eastAsia="Arial" w:hAnsi="Arial"/>
          <w:sz w:val="18"/>
          <w:szCs w:val="18"/>
          <w:color w:val="auto"/>
        </w:rPr>
      </w:pPr>
    </w:p>
    <w:p>
      <w:pPr>
        <w:ind w:left="1460" w:right="160" w:hanging="362"/>
        <w:spacing w:after="0" w:line="286" w:lineRule="auto"/>
        <w:tabs>
          <w:tab w:leader="none" w:pos="1460"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theft, false pretenses, common-law or statutory larceny, committed by a person present in an office or on the premises of the Insured.</w:t>
      </w:r>
    </w:p>
    <w:p>
      <w:pPr>
        <w:spacing w:after="0" w:line="57" w:lineRule="exact"/>
        <w:rPr>
          <w:sz w:val="20"/>
          <w:szCs w:val="20"/>
          <w:color w:val="auto"/>
        </w:rPr>
      </w:pPr>
    </w:p>
    <w:p>
      <w:pPr>
        <w:ind w:left="1080" w:right="20"/>
        <w:spacing w:after="0" w:line="277" w:lineRule="auto"/>
        <w:rPr>
          <w:sz w:val="20"/>
          <w:szCs w:val="20"/>
          <w:color w:val="auto"/>
        </w:rPr>
      </w:pPr>
      <w:r>
        <w:rPr>
          <w:rFonts w:ascii="Arial" w:cs="Arial" w:eastAsia="Arial" w:hAnsi="Arial"/>
          <w:sz w:val="18"/>
          <w:szCs w:val="18"/>
          <w:color w:val="auto"/>
        </w:rPr>
        <w:t>while the Property is lodged or deposited within offices or premises located anywhere.</w:t>
      </w:r>
    </w:p>
    <w:p>
      <w:pPr>
        <w:spacing w:after="0" w:line="6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 Loss of or damage to</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FORGERY OR ALTERATION</w:t>
      </w:r>
    </w:p>
    <w:p>
      <w:pPr>
        <w:spacing w:after="0" w:line="225" w:lineRule="exact"/>
        <w:rPr>
          <w:sz w:val="20"/>
          <w:szCs w:val="20"/>
          <w:color w:val="auto"/>
        </w:rPr>
      </w:pPr>
    </w:p>
    <w:p>
      <w:pPr>
        <w:ind w:left="660" w:hanging="29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resulting directly from</w:t>
      </w:r>
    </w:p>
    <w:p>
      <w:pPr>
        <w:spacing w:after="0" w:line="225" w:lineRule="exact"/>
        <w:rPr>
          <w:rFonts w:ascii="Arial" w:cs="Arial" w:eastAsia="Arial" w:hAnsi="Arial"/>
          <w:sz w:val="18"/>
          <w:szCs w:val="18"/>
          <w:color w:val="auto"/>
        </w:rPr>
      </w:pPr>
    </w:p>
    <w:p>
      <w:pPr>
        <w:jc w:val="both"/>
        <w:ind w:right="100" w:firstLine="724"/>
        <w:spacing w:after="0" w:line="312" w:lineRule="auto"/>
        <w:tabs>
          <w:tab w:leader="none" w:pos="975" w:val="left"/>
        </w:tabs>
        <w:numPr>
          <w:ilvl w:val="1"/>
          <w:numId w:val="8"/>
        </w:numPr>
        <w:rPr>
          <w:rFonts w:ascii="Arial" w:cs="Arial" w:eastAsia="Arial" w:hAnsi="Arial"/>
          <w:sz w:val="16"/>
          <w:szCs w:val="16"/>
          <w:color w:val="auto"/>
        </w:rPr>
      </w:pPr>
      <w:r>
        <w:rPr>
          <w:rFonts w:ascii="Arial" w:cs="Arial" w:eastAsia="Arial" w:hAnsi="Arial"/>
          <w:sz w:val="16"/>
          <w:szCs w:val="16"/>
          <w:color w:val="auto"/>
        </w:rPr>
        <w:t>Forgery or alteration of, on or in any Negotiable Instrument (except an Evidence of Debt), Acceptance, Withdrawal Order, receipt for the withdrawal of Property, Certificate of Deposit or Letter of Credit.</w:t>
      </w:r>
    </w:p>
    <w:p>
      <w:pPr>
        <w:spacing w:after="0" w:line="146" w:lineRule="exact"/>
        <w:rPr>
          <w:rFonts w:ascii="Arial" w:cs="Arial" w:eastAsia="Arial" w:hAnsi="Arial"/>
          <w:sz w:val="16"/>
          <w:szCs w:val="16"/>
          <w:color w:val="auto"/>
        </w:rPr>
      </w:pPr>
    </w:p>
    <w:p>
      <w:pPr>
        <w:ind w:firstLine="724"/>
        <w:spacing w:after="0" w:line="270" w:lineRule="auto"/>
        <w:tabs>
          <w:tab w:leader="none" w:pos="975" w:val="left"/>
        </w:tabs>
        <w:numPr>
          <w:ilvl w:val="1"/>
          <w:numId w:val="8"/>
        </w:numPr>
        <w:rPr>
          <w:rFonts w:ascii="Arial" w:cs="Arial" w:eastAsia="Arial" w:hAnsi="Arial"/>
          <w:sz w:val="17"/>
          <w:szCs w:val="17"/>
          <w:color w:val="auto"/>
        </w:rPr>
      </w:pPr>
      <w:r>
        <w:rPr>
          <w:rFonts w:ascii="Arial" w:cs="Arial" w:eastAsia="Arial" w:hAnsi="Arial"/>
          <w:sz w:val="17"/>
          <w:szCs w:val="17"/>
          <w:color w:val="auto"/>
        </w:rPr>
        <w:t>transferring, paying or delivering any funds or Property or establishing any credit or giving any value on the faith of any written instructions or advices directed to the Insured and authorizing or acknowledging the transfer, payment, delivery or receipt of funds or Property, which instructions or advices purport to have been signed or endorsed by any customer of the Insured or by any financial institution but which instructions or advices either bear a signature which is a Forgery or have been altered without the knowledge and consent of such customer or financial institution.</w:t>
      </w:r>
    </w:p>
    <w:p>
      <w:pPr>
        <w:spacing w:after="0" w:line="182"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A mechanically reproduced facsimile signature is treated the same as a handwritten signature.</w:t>
      </w:r>
    </w:p>
    <w:p>
      <w:pPr>
        <w:spacing w:after="0" w:line="387"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SECURITIES</w:t>
      </w:r>
    </w:p>
    <w:p>
      <w:pPr>
        <w:spacing w:after="0" w:line="185" w:lineRule="exact"/>
        <w:rPr>
          <w:sz w:val="20"/>
          <w:szCs w:val="20"/>
          <w:color w:val="auto"/>
        </w:rPr>
      </w:pPr>
    </w:p>
    <w:p>
      <w:pPr>
        <w:sectPr>
          <w:pgSz w:w="11900" w:h="16838" w:orient="portrait"/>
          <w:cols w:equalWidth="0" w:num="2">
            <w:col w:w="5300" w:space="320"/>
            <w:col w:w="5380"/>
          </w:cols>
          <w:pgMar w:left="440" w:top="274" w:right="459" w:bottom="0" w:gutter="0" w:footer="0" w:header="0"/>
          <w:type w:val="continuous"/>
        </w:sectPr>
      </w:pPr>
    </w:p>
    <w:p>
      <w:pPr>
        <w:ind w:left="1460" w:right="180" w:hanging="362"/>
        <w:spacing w:after="0" w:line="297" w:lineRule="auto"/>
        <w:tabs>
          <w:tab w:leader="none" w:pos="1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furnishings, fixtures, supplies or equipment within an office of the Insured covered under this bond resulting directly from larceny or theft in, or by burglary or robbery of, such office, or attempt thereat, or by vandalism or malicious mischief, or</w:t>
      </w:r>
    </w:p>
    <w:p>
      <w:pPr>
        <w:spacing w:after="0" w:line="63" w:lineRule="exact"/>
        <w:rPr>
          <w:rFonts w:ascii="Arial" w:cs="Arial" w:eastAsia="Arial" w:hAnsi="Arial"/>
          <w:sz w:val="16"/>
          <w:szCs w:val="16"/>
          <w:color w:val="auto"/>
        </w:rPr>
      </w:pPr>
    </w:p>
    <w:p>
      <w:pPr>
        <w:ind w:left="1460" w:right="20" w:hanging="362"/>
        <w:spacing w:after="0" w:line="259" w:lineRule="auto"/>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office resulting from larceny or theft in, or by burglary or robbery of such office or attempt thereat, or to the interior of such office by vandalism or malicious mischief,</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provided that</w:t>
      </w:r>
    </w:p>
    <w:p>
      <w:pPr>
        <w:spacing w:after="0" w:line="131" w:lineRule="exact"/>
        <w:rPr>
          <w:sz w:val="20"/>
          <w:szCs w:val="20"/>
          <w:color w:val="auto"/>
        </w:rPr>
      </w:pPr>
    </w:p>
    <w:p>
      <w:pPr>
        <w:jc w:val="both"/>
        <w:ind w:left="1840" w:right="240" w:hanging="378"/>
        <w:spacing w:after="0" w:line="312" w:lineRule="auto"/>
        <w:tabs>
          <w:tab w:leader="none" w:pos="18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Insured is the owner of such furnishings, fixtures, supplies, equipment, or office or is liable for such loss or damage, and</w:t>
      </w:r>
    </w:p>
    <w:p>
      <w:pPr>
        <w:spacing w:after="0" w:line="52" w:lineRule="exact"/>
        <w:rPr>
          <w:rFonts w:ascii="Arial" w:cs="Arial" w:eastAsia="Arial" w:hAnsi="Arial"/>
          <w:sz w:val="16"/>
          <w:szCs w:val="16"/>
          <w:color w:val="auto"/>
        </w:rPr>
      </w:pPr>
    </w:p>
    <w:p>
      <w:pPr>
        <w:ind w:left="1840" w:hanging="378"/>
        <w:spacing w:after="0"/>
        <w:tabs>
          <w:tab w:leader="none" w:pos="1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loss is not caused by fire.</w:t>
      </w:r>
    </w:p>
    <w:p>
      <w:pPr>
        <w:spacing w:after="0" w:line="200" w:lineRule="exact"/>
        <w:rPr>
          <w:sz w:val="20"/>
          <w:szCs w:val="20"/>
          <w:color w:val="auto"/>
        </w:rPr>
      </w:pPr>
    </w:p>
    <w:p>
      <w:pPr>
        <w:spacing w:after="0" w:line="241"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IN TRANSIT</w:t>
      </w:r>
    </w:p>
    <w:p>
      <w:pPr>
        <w:spacing w:after="0" w:line="225" w:lineRule="exact"/>
        <w:rPr>
          <w:sz w:val="20"/>
          <w:szCs w:val="20"/>
          <w:color w:val="auto"/>
        </w:rPr>
      </w:pPr>
    </w:p>
    <w:p>
      <w:pPr>
        <w:ind w:right="140" w:firstLine="364"/>
        <w:spacing w:after="0" w:line="257" w:lineRule="auto"/>
        <w:tabs>
          <w:tab w:leader="none" w:pos="6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Property resulting directly from robbery, common-law or statutory larceny, theft, misplacement, mysterious unexplainable disappearance, being lost or made away with, and damage thereto or destruction thereof, while the Property is in transit anywhere in the custody of</w:t>
      </w:r>
    </w:p>
    <w:p>
      <w:pPr>
        <w:spacing w:after="0" w:line="94" w:lineRule="exact"/>
        <w:rPr>
          <w:sz w:val="20"/>
          <w:szCs w:val="20"/>
          <w:color w:val="auto"/>
        </w:rPr>
      </w:pPr>
    </w:p>
    <w:p>
      <w:pPr>
        <w:ind w:left="740" w:hanging="371"/>
        <w:spacing w:after="0" w:line="259"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natural person acting as a messenger of the Insured (or another natural person acting as messenger or custodian during an emergency arising from the incapacity of the original messenger), or</w:t>
      </w:r>
    </w:p>
    <w:p>
      <w:pPr>
        <w:spacing w:after="0" w:line="92" w:lineRule="exact"/>
        <w:rPr>
          <w:rFonts w:ascii="Arial" w:cs="Arial" w:eastAsia="Arial" w:hAnsi="Arial"/>
          <w:sz w:val="18"/>
          <w:szCs w:val="18"/>
          <w:color w:val="auto"/>
        </w:rPr>
      </w:pPr>
    </w:p>
    <w:p>
      <w:pPr>
        <w:ind w:left="740" w:right="620" w:hanging="371"/>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Transportation Company and being transported in an armored motor vehicle, or</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40" w:firstLine="364"/>
        <w:spacing w:after="0" w:line="277"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resulting directly from the Insured having, in good faith, for its own account or for the account of others,</w:t>
      </w:r>
    </w:p>
    <w:p>
      <w:pPr>
        <w:spacing w:after="0" w:line="170" w:lineRule="exact"/>
        <w:rPr>
          <w:rFonts w:ascii="Arial" w:cs="Arial" w:eastAsia="Arial" w:hAnsi="Arial"/>
          <w:sz w:val="18"/>
          <w:szCs w:val="18"/>
          <w:color w:val="auto"/>
        </w:rPr>
      </w:pPr>
    </w:p>
    <w:p>
      <w:pPr>
        <w:ind w:right="160" w:firstLine="724"/>
        <w:spacing w:after="0" w:line="277" w:lineRule="auto"/>
        <w:tabs>
          <w:tab w:leader="none" w:pos="97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acquired, sold or delivered, or given value, extended credit or assumed liability, on the faith of, any original</w:t>
      </w:r>
    </w:p>
    <w:p>
      <w:pPr>
        <w:spacing w:after="0" w:line="75" w:lineRule="exact"/>
        <w:rPr>
          <w:rFonts w:ascii="Arial" w:cs="Arial" w:eastAsia="Arial" w:hAnsi="Arial"/>
          <w:sz w:val="18"/>
          <w:szCs w:val="18"/>
          <w:color w:val="auto"/>
        </w:rPr>
      </w:pPr>
    </w:p>
    <w:p>
      <w:pPr>
        <w:ind w:left="1460" w:hanging="362"/>
        <w:spacing w:after="0"/>
        <w:tabs>
          <w:tab w:leader="none" w:pos="14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Certificated Security,</w:t>
      </w:r>
    </w:p>
    <w:p>
      <w:pPr>
        <w:spacing w:after="0" w:line="130" w:lineRule="exact"/>
        <w:rPr>
          <w:rFonts w:ascii="Arial" w:cs="Arial" w:eastAsia="Arial" w:hAnsi="Arial"/>
          <w:sz w:val="18"/>
          <w:szCs w:val="18"/>
          <w:color w:val="auto"/>
        </w:rPr>
      </w:pPr>
    </w:p>
    <w:p>
      <w:pPr>
        <w:ind w:left="1460" w:right="40" w:hanging="362"/>
        <w:spacing w:after="0" w:line="342" w:lineRule="auto"/>
        <w:tabs>
          <w:tab w:leader="none" w:pos="1460" w:val="left"/>
        </w:tabs>
        <w:numPr>
          <w:ilvl w:val="2"/>
          <w:numId w:val="13"/>
        </w:numPr>
        <w:rPr>
          <w:rFonts w:ascii="Arial" w:cs="Arial" w:eastAsia="Arial" w:hAnsi="Arial"/>
          <w:sz w:val="16"/>
          <w:szCs w:val="16"/>
          <w:color w:val="auto"/>
        </w:rPr>
      </w:pPr>
      <w:r>
        <w:rPr>
          <w:rFonts w:ascii="Arial" w:cs="Arial" w:eastAsia="Arial" w:hAnsi="Arial"/>
          <w:sz w:val="16"/>
          <w:szCs w:val="16"/>
          <w:color w:val="auto"/>
        </w:rPr>
        <w:t>deed, mortgage or other instrument conveying title to, or creating or discharging a lien upon, real property,</w:t>
      </w:r>
    </w:p>
    <w:p>
      <w:pPr>
        <w:spacing w:after="0" w:line="29" w:lineRule="exact"/>
        <w:rPr>
          <w:rFonts w:ascii="Arial" w:cs="Arial" w:eastAsia="Arial" w:hAnsi="Arial"/>
          <w:sz w:val="16"/>
          <w:szCs w:val="16"/>
          <w:color w:val="auto"/>
        </w:rPr>
      </w:pPr>
    </w:p>
    <w:p>
      <w:pPr>
        <w:ind w:left="1460" w:hanging="362"/>
        <w:spacing w:after="0"/>
        <w:tabs>
          <w:tab w:leader="none" w:pos="14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Evidence of Debt,</w:t>
      </w:r>
    </w:p>
    <w:p>
      <w:pPr>
        <w:spacing w:after="0" w:line="130" w:lineRule="exact"/>
        <w:rPr>
          <w:rFonts w:ascii="Arial" w:cs="Arial" w:eastAsia="Arial" w:hAnsi="Arial"/>
          <w:sz w:val="18"/>
          <w:szCs w:val="18"/>
          <w:color w:val="auto"/>
        </w:rPr>
      </w:pPr>
    </w:p>
    <w:p>
      <w:pPr>
        <w:ind w:left="1460" w:right="200" w:hanging="362"/>
        <w:spacing w:after="0" w:line="277" w:lineRule="auto"/>
        <w:tabs>
          <w:tab w:leader="none" w:pos="14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Instruction to a Federal Reserve Bank of the United States, or</w:t>
      </w:r>
    </w:p>
    <w:p>
      <w:pPr>
        <w:spacing w:after="0" w:line="75" w:lineRule="exact"/>
        <w:rPr>
          <w:rFonts w:ascii="Arial" w:cs="Arial" w:eastAsia="Arial" w:hAnsi="Arial"/>
          <w:sz w:val="18"/>
          <w:szCs w:val="18"/>
          <w:color w:val="auto"/>
        </w:rPr>
      </w:pPr>
    </w:p>
    <w:p>
      <w:pPr>
        <w:ind w:left="1460" w:right="200" w:hanging="362"/>
        <w:spacing w:after="0" w:line="277" w:lineRule="auto"/>
        <w:tabs>
          <w:tab w:leader="none" w:pos="14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Statement of Uncertificated Security of any Federal Reserve Bank of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which</w:t>
      </w:r>
    </w:p>
    <w:p>
      <w:pPr>
        <w:spacing w:after="0" w:line="131" w:lineRule="exact"/>
        <w:rPr>
          <w:sz w:val="20"/>
          <w:szCs w:val="20"/>
          <w:color w:val="auto"/>
        </w:rPr>
      </w:pPr>
    </w:p>
    <w:p>
      <w:pPr>
        <w:ind w:left="1840" w:right="160" w:hanging="377"/>
        <w:spacing w:after="0" w:line="257" w:lineRule="auto"/>
        <w:tabs>
          <w:tab w:leader="none" w:pos="18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bears a signature of any maker, drawer, issuer, endorser, assignor, lessee, transfer agent, registrar, acceptor, surety, guarantor, or of any person signing in any other capacity which is a Forgery, or</w:t>
      </w:r>
    </w:p>
    <w:p>
      <w:pPr>
        <w:spacing w:after="0" w:line="93" w:lineRule="exact"/>
        <w:rPr>
          <w:rFonts w:ascii="Arial" w:cs="Arial" w:eastAsia="Arial" w:hAnsi="Arial"/>
          <w:sz w:val="18"/>
          <w:szCs w:val="18"/>
          <w:color w:val="auto"/>
        </w:rPr>
      </w:pPr>
    </w:p>
    <w:p>
      <w:pPr>
        <w:ind w:left="1840" w:hanging="377"/>
        <w:spacing w:after="0"/>
        <w:tabs>
          <w:tab w:leader="none" w:pos="18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is altered, or</w:t>
      </w:r>
    </w:p>
    <w:p>
      <w:pPr>
        <w:spacing w:after="0" w:line="130" w:lineRule="exact"/>
        <w:rPr>
          <w:rFonts w:ascii="Arial" w:cs="Arial" w:eastAsia="Arial" w:hAnsi="Arial"/>
          <w:sz w:val="18"/>
          <w:szCs w:val="18"/>
          <w:color w:val="auto"/>
        </w:rPr>
      </w:pPr>
    </w:p>
    <w:p>
      <w:pPr>
        <w:ind w:left="1840" w:hanging="377"/>
        <w:spacing w:after="0"/>
        <w:tabs>
          <w:tab w:leader="none" w:pos="18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is lost or stolen;</w:t>
      </w:r>
    </w:p>
    <w:p>
      <w:pPr>
        <w:spacing w:after="0" w:line="225" w:lineRule="exact"/>
        <w:rPr>
          <w:rFonts w:ascii="Arial" w:cs="Arial" w:eastAsia="Arial" w:hAnsi="Arial"/>
          <w:sz w:val="18"/>
          <w:szCs w:val="18"/>
          <w:color w:val="auto"/>
        </w:rPr>
      </w:pPr>
    </w:p>
    <w:p>
      <w:pPr>
        <w:ind w:right="200" w:firstLine="724"/>
        <w:spacing w:after="0" w:line="264"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guaranteed in writing or witnessed any signature upon any transfer, assignment, bill of sale, power of attorney, Guarantee, or any items listed in (a) through (c) above;</w:t>
      </w:r>
    </w:p>
    <w:p>
      <w:pPr>
        <w:spacing w:after="0" w:line="181" w:lineRule="exact"/>
        <w:rPr>
          <w:rFonts w:ascii="Arial" w:cs="Arial" w:eastAsia="Arial" w:hAnsi="Arial"/>
          <w:sz w:val="18"/>
          <w:szCs w:val="18"/>
          <w:color w:val="auto"/>
        </w:rPr>
      </w:pPr>
    </w:p>
    <w:p>
      <w:pPr>
        <w:ind w:right="160" w:firstLine="724"/>
        <w:spacing w:after="0" w:line="264"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acquired, sold or delivered, or given value, extended credit or assumed liability, on the faith of any item listed in (a) and (b) above which is a Counterfeit.</w:t>
      </w:r>
    </w:p>
    <w:p>
      <w:pPr>
        <w:sectPr>
          <w:pgSz w:w="11900" w:h="16838" w:orient="portrait"/>
          <w:cols w:equalWidth="0" w:num="2">
            <w:col w:w="5280" w:space="340"/>
            <w:col w:w="5380"/>
          </w:cols>
          <w:pgMar w:left="440" w:top="274" w:right="459" w:bottom="0" w:gutter="0" w:footer="0" w:header="0"/>
          <w:type w:val="continuous"/>
        </w:sectPr>
      </w:pPr>
    </w:p>
    <w:bookmarkStart w:id="7" w:name="page8"/>
    <w:bookmarkEnd w:id="7"/>
    <w:p>
      <w:pPr>
        <w:ind w:left="740" w:right="20" w:hanging="371"/>
        <w:spacing w:after="0" w:line="259"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Transportation Company and being transported in a conveyance other than an armored motor vehicle provided that covered Property transported in such manner is limited to the following:</w:t>
      </w:r>
    </w:p>
    <w:p>
      <w:pPr>
        <w:spacing w:after="0" w:line="92" w:lineRule="exact"/>
        <w:rPr>
          <w:rFonts w:ascii="Arial" w:cs="Arial" w:eastAsia="Arial" w:hAnsi="Arial"/>
          <w:sz w:val="18"/>
          <w:szCs w:val="18"/>
          <w:color w:val="auto"/>
        </w:rPr>
      </w:pPr>
    </w:p>
    <w:p>
      <w:pPr>
        <w:ind w:left="1100" w:hanging="367"/>
        <w:spacing w:after="0"/>
        <w:tabs>
          <w:tab w:leader="none" w:pos="11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records, whether recorded in writing or electronically, and</w:t>
      </w:r>
    </w:p>
    <w:p>
      <w:pPr>
        <w:spacing w:after="0" w:line="20" w:lineRule="exact"/>
        <w:rPr>
          <w:sz w:val="20"/>
          <w:szCs w:val="20"/>
          <w:color w:val="auto"/>
        </w:rPr>
      </w:pPr>
      <w:r>
        <w:rPr>
          <w:sz w:val="20"/>
          <w:szCs w:val="20"/>
          <w:color w:val="auto"/>
        </w:rPr>
        <w:br w:type="column"/>
      </w:r>
    </w:p>
    <w:p>
      <w:pPr>
        <w:ind w:right="60" w:firstLine="360"/>
        <w:spacing w:after="0" w:line="277" w:lineRule="auto"/>
        <w:rPr>
          <w:sz w:val="20"/>
          <w:szCs w:val="20"/>
          <w:color w:val="auto"/>
        </w:rPr>
      </w:pPr>
      <w:r>
        <w:rPr>
          <w:rFonts w:ascii="Arial" w:cs="Arial" w:eastAsia="Arial" w:hAnsi="Arial"/>
          <w:sz w:val="18"/>
          <w:szCs w:val="18"/>
          <w:color w:val="auto"/>
        </w:rPr>
        <w:t>A mechanically reproduced facsimile signature is treated the same as a handwritten signature.</w:t>
      </w:r>
    </w:p>
    <w:p>
      <w:pPr>
        <w:spacing w:after="0" w:line="387"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COUNTERFEIT CURRENCY</w:t>
      </w:r>
    </w:p>
    <w:p>
      <w:pPr>
        <w:spacing w:after="0" w:line="225" w:lineRule="exact"/>
        <w:rPr>
          <w:sz w:val="20"/>
          <w:szCs w:val="20"/>
          <w:color w:val="auto"/>
        </w:rPr>
      </w:pPr>
    </w:p>
    <w:p>
      <w:pPr>
        <w:sectPr>
          <w:pgSz w:w="11900" w:h="16838" w:orient="portrait"/>
          <w:cols w:equalWidth="0" w:num="2">
            <w:col w:w="5280" w:space="340"/>
            <w:col w:w="5400"/>
          </w:cols>
          <w:pgMar w:left="440" w:top="125" w:right="439" w:bottom="1440" w:gutter="0" w:footer="0" w:header="0"/>
        </w:sectPr>
      </w:pPr>
    </w:p>
    <w:p>
      <w:pPr>
        <w:spacing w:after="0" w:line="27" w:lineRule="exact"/>
        <w:rPr>
          <w:sz w:val="20"/>
          <w:szCs w:val="20"/>
          <w:color w:val="auto"/>
        </w:rPr>
      </w:pPr>
    </w:p>
    <w:p>
      <w:pPr>
        <w:ind w:left="1100" w:right="144" w:hanging="367"/>
        <w:spacing w:after="0" w:line="308" w:lineRule="auto"/>
        <w:tabs>
          <w:tab w:leader="none" w:pos="11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Certificated Securities issued in registered form and not endorsed, or with restrictive endorsements, and</w:t>
      </w:r>
    </w:p>
    <w:p>
      <w:pPr>
        <w:spacing w:after="0" w:line="20" w:lineRule="exact"/>
        <w:rPr>
          <w:sz w:val="20"/>
          <w:szCs w:val="20"/>
          <w:color w:val="auto"/>
        </w:rPr>
      </w:pPr>
      <w:r>
        <w:rPr>
          <w:sz w:val="20"/>
          <w:szCs w:val="20"/>
          <w:color w:val="auto"/>
        </w:rPr>
        <w:br w:type="column"/>
      </w:r>
    </w:p>
    <w:p>
      <w:pPr>
        <w:ind w:left="-364" w:right="140" w:firstLine="364"/>
        <w:spacing w:after="0" w:line="312" w:lineRule="auto"/>
        <w:tabs>
          <w:tab w:leader="none" w:pos="261" w:val="left"/>
        </w:tabs>
        <w:numPr>
          <w:ilvl w:val="0"/>
          <w:numId w:val="18"/>
        </w:numPr>
        <w:rPr>
          <w:rFonts w:ascii="Arial" w:cs="Arial" w:eastAsia="Arial" w:hAnsi="Arial"/>
          <w:sz w:val="16"/>
          <w:szCs w:val="16"/>
          <w:color w:val="auto"/>
        </w:rPr>
      </w:pPr>
      <w:r>
        <w:rPr>
          <w:rFonts w:ascii="Arial" w:cs="Arial" w:eastAsia="Arial" w:hAnsi="Arial"/>
          <w:sz w:val="16"/>
          <w:szCs w:val="16"/>
          <w:color w:val="auto"/>
        </w:rPr>
        <w:t>Loss resulting directly from the receipt by the Insured, in good faith, of any Counterfeit Money of the United States of America, Canada or of any other country in which the Insured maintains a branch office.</w:t>
      </w:r>
    </w:p>
    <w:p>
      <w:pPr>
        <w:spacing w:after="0" w:line="200" w:lineRule="exact"/>
        <w:rPr>
          <w:sz w:val="20"/>
          <w:szCs w:val="20"/>
          <w:color w:val="auto"/>
        </w:rPr>
      </w:pPr>
    </w:p>
    <w:p>
      <w:pPr>
        <w:sectPr>
          <w:pgSz w:w="11900" w:h="16838" w:orient="portrait"/>
          <w:cols w:equalWidth="0" w:num="2">
            <w:col w:w="5264" w:space="720"/>
            <w:col w:w="5036"/>
          </w:cols>
          <w:pgMar w:left="440" w:top="125" w:right="439" w:bottom="1440" w:gutter="0" w:footer="0" w:header="0"/>
          <w:type w:val="continuous"/>
        </w:sect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AGREEMENTS</w:t>
      </w:r>
    </w:p>
    <w:p>
      <w:pPr>
        <w:sectPr>
          <w:pgSz w:w="11900" w:h="16838" w:orient="portrait"/>
          <w:cols w:equalWidth="0" w:num="1">
            <w:col w:w="11020"/>
          </w:cols>
          <w:pgMar w:left="440" w:top="125" w:right="439" w:bottom="1440" w:gutter="0" w:footer="0" w:header="0"/>
          <w:type w:val="continuous"/>
        </w:sectPr>
      </w:pPr>
    </w:p>
    <w:p>
      <w:pPr>
        <w:spacing w:after="0" w:line="310"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NOMINEES</w:t>
      </w:r>
    </w:p>
    <w:p>
      <w:pPr>
        <w:spacing w:after="0" w:line="225"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A. Loss sustained by any nominee organized by the Insured for the purpose of handling certain of its business transactions and composed exclusively of its Employees shall, for all the purposes of this bond and whether or not any partner of such nominee is implicated in such loss. be deemed to be loss sustained by the Insured.</w:t>
      </w:r>
    </w:p>
    <w:p>
      <w:pPr>
        <w:spacing w:after="0" w:line="374" w:lineRule="exact"/>
        <w:rPr>
          <w:sz w:val="20"/>
          <w:szCs w:val="20"/>
          <w:color w:val="auto"/>
        </w:rPr>
      </w:pPr>
    </w:p>
    <w:p>
      <w:pPr>
        <w:jc w:val="center"/>
        <w:spacing w:after="0" w:line="308" w:lineRule="auto"/>
        <w:rPr>
          <w:sz w:val="20"/>
          <w:szCs w:val="20"/>
          <w:color w:val="auto"/>
        </w:rPr>
      </w:pPr>
      <w:r>
        <w:rPr>
          <w:rFonts w:ascii="Arial" w:cs="Arial" w:eastAsia="Arial" w:hAnsi="Arial"/>
          <w:sz w:val="17"/>
          <w:szCs w:val="17"/>
          <w:color w:val="auto"/>
        </w:rPr>
        <w:t>ADDITIONAL OFFICES OR EMPLOYEES – CONSOLIDATION, MERGER OR PURCHASE OF ASSETS – NOTICE</w:t>
      </w:r>
    </w:p>
    <w:p>
      <w:pPr>
        <w:spacing w:after="0" w:line="147"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B. If the Insured shall, while this bond is in force, establish any additional offices, other than by consolidation or merger with, or purchase or acquisition of assets or liabilities of, another institution, such offices shall be automatically covered hereunder from the date of such establishment without the requirement of notice to the Underwriter or the Payment of additional premium for the remainder of the premium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If the Insured shall, while this bond is in force, consolidate or merge with, or purchase or acquire assets or liabilities of, another institution, the Insured shall not have such coverage as is afforded under this bond for loss which</w:t>
      </w:r>
    </w:p>
    <w:p>
      <w:pPr>
        <w:spacing w:after="0" w:line="187" w:lineRule="exact"/>
        <w:rPr>
          <w:sz w:val="20"/>
          <w:szCs w:val="20"/>
          <w:color w:val="auto"/>
        </w:rPr>
      </w:pPr>
    </w:p>
    <w:p>
      <w:pPr>
        <w:ind w:left="600" w:hanging="236"/>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has occurred or will occur in offices or premises, or</w:t>
      </w:r>
    </w:p>
    <w:p>
      <w:pPr>
        <w:spacing w:after="0" w:line="225" w:lineRule="exact"/>
        <w:rPr>
          <w:rFonts w:ascii="Arial" w:cs="Arial" w:eastAsia="Arial" w:hAnsi="Arial"/>
          <w:sz w:val="18"/>
          <w:szCs w:val="18"/>
          <w:color w:val="auto"/>
        </w:rPr>
      </w:pPr>
    </w:p>
    <w:p>
      <w:pPr>
        <w:ind w:right="160" w:firstLine="364"/>
        <w:spacing w:after="0" w:line="277" w:lineRule="auto"/>
        <w:tabs>
          <w:tab w:leader="none" w:pos="6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has been caused or will be caused by an employee or employees of such institution, or</w:t>
      </w:r>
    </w:p>
    <w:p>
      <w:pPr>
        <w:spacing w:after="0" w:line="170" w:lineRule="exact"/>
        <w:rPr>
          <w:rFonts w:ascii="Arial" w:cs="Arial" w:eastAsia="Arial" w:hAnsi="Arial"/>
          <w:sz w:val="18"/>
          <w:szCs w:val="18"/>
          <w:color w:val="auto"/>
        </w:rPr>
      </w:pPr>
    </w:p>
    <w:p>
      <w:pPr>
        <w:ind w:right="180" w:firstLine="364"/>
        <w:spacing w:after="0" w:line="286" w:lineRule="auto"/>
        <w:tabs>
          <w:tab w:leader="none" w:pos="605" w:val="left"/>
        </w:tabs>
        <w:numPr>
          <w:ilvl w:val="0"/>
          <w:numId w:val="19"/>
        </w:numPr>
        <w:rPr>
          <w:rFonts w:ascii="Arial" w:cs="Arial" w:eastAsia="Arial" w:hAnsi="Arial"/>
          <w:sz w:val="17"/>
          <w:szCs w:val="17"/>
          <w:color w:val="auto"/>
        </w:rPr>
      </w:pPr>
      <w:r>
        <w:rPr>
          <w:rFonts w:ascii="Arial" w:cs="Arial" w:eastAsia="Arial" w:hAnsi="Arial"/>
          <w:sz w:val="17"/>
          <w:szCs w:val="17"/>
          <w:color w:val="auto"/>
        </w:rPr>
        <w:t>has arisen or will arise out of the assets or liabilities acquired by the Insured as a result of such consolidation, merger or purchase or acquisition of assets or liabilities unless the Insured shall</w:t>
      </w:r>
    </w:p>
    <w:p>
      <w:pPr>
        <w:spacing w:after="0" w:line="70" w:lineRule="exact"/>
        <w:rPr>
          <w:rFonts w:ascii="Arial" w:cs="Arial" w:eastAsia="Arial" w:hAnsi="Arial"/>
          <w:sz w:val="17"/>
          <w:szCs w:val="17"/>
          <w:color w:val="auto"/>
        </w:rPr>
      </w:pPr>
    </w:p>
    <w:p>
      <w:pPr>
        <w:ind w:left="1100" w:right="160" w:hanging="367"/>
        <w:spacing w:after="0" w:line="259" w:lineRule="auto"/>
        <w:tabs>
          <w:tab w:leader="none" w:pos="11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give the Underwriter written notice of the proposed consolidation, merger or purchase or acquisition of assets or liabilities prior to the proposed effective date of such action and</w:t>
      </w:r>
    </w:p>
    <w:p>
      <w:pPr>
        <w:spacing w:after="0" w:line="92" w:lineRule="exact"/>
        <w:rPr>
          <w:rFonts w:ascii="Arial" w:cs="Arial" w:eastAsia="Arial" w:hAnsi="Arial"/>
          <w:sz w:val="18"/>
          <w:szCs w:val="18"/>
          <w:color w:val="auto"/>
        </w:rPr>
      </w:pPr>
    </w:p>
    <w:p>
      <w:pPr>
        <w:ind w:left="1100" w:right="80" w:hanging="367"/>
        <w:spacing w:after="0" w:line="312" w:lineRule="auto"/>
        <w:tabs>
          <w:tab w:leader="none" w:pos="11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obtain the written consent of the Underwriter to extend the coverage provided by this bond to such additional offices or premises, Employees and other exposures, and</w:t>
      </w:r>
    </w:p>
    <w:p>
      <w:pPr>
        <w:spacing w:after="0" w:line="200" w:lineRule="exact"/>
        <w:rPr>
          <w:sz w:val="20"/>
          <w:szCs w:val="20"/>
          <w:color w:val="auto"/>
        </w:rPr>
      </w:pPr>
    </w:p>
    <w:p>
      <w:pPr>
        <w:sectPr>
          <w:pgSz w:w="11900" w:h="16838" w:orient="portrait"/>
          <w:cols w:equalWidth="0" w:num="2">
            <w:col w:w="5280" w:space="340"/>
            <w:col w:w="5400"/>
          </w:cols>
          <w:pgMar w:left="440" w:top="125" w:right="439" w:bottom="1440" w:gutter="0" w:footer="0" w:header="0"/>
          <w:type w:val="continuous"/>
        </w:sectPr>
      </w:pPr>
    </w:p>
    <w:p>
      <w:pPr>
        <w:spacing w:after="0" w:line="14" w:lineRule="exact"/>
        <w:rPr>
          <w:sz w:val="20"/>
          <w:szCs w:val="20"/>
          <w:color w:val="auto"/>
        </w:rPr>
      </w:pPr>
    </w:p>
    <w:p>
      <w:pPr>
        <w:spacing w:after="0"/>
        <w:tabs>
          <w:tab w:leader="none" w:pos="3600" w:val="left"/>
          <w:tab w:leader="none" w:pos="10180" w:val="left"/>
        </w:tabs>
        <w:rPr>
          <w:sz w:val="20"/>
          <w:szCs w:val="20"/>
          <w:color w:val="auto"/>
        </w:rPr>
      </w:pPr>
      <w:r>
        <w:rPr>
          <w:rFonts w:ascii="Arial" w:cs="Arial" w:eastAsia="Arial" w:hAnsi="Arial"/>
          <w:sz w:val="18"/>
          <w:szCs w:val="18"/>
          <w:color w:val="auto"/>
        </w:rPr>
        <w:t>TSB 5026b</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2 of 6</w:t>
      </w:r>
    </w:p>
    <w:p>
      <w:pPr>
        <w:sectPr>
          <w:pgSz w:w="11900" w:h="16838" w:orient="portrait"/>
          <w:cols w:equalWidth="0" w:num="1">
            <w:col w:w="11020"/>
          </w:cols>
          <w:pgMar w:left="440" w:top="125" w:right="439" w:bottom="1440" w:gutter="0" w:footer="0" w:header="0"/>
          <w:type w:val="continuous"/>
        </w:sectPr>
      </w:pPr>
    </w:p>
    <w:bookmarkStart w:id="8" w:name="page9"/>
    <w:bookmarkEnd w:id="8"/>
    <w:p>
      <w:pPr>
        <w:ind w:left="1100" w:right="200" w:hanging="367"/>
        <w:spacing w:after="0" w:line="277"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obtaining such consent, pay to the Underwriter an additional premium.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CHANGE OF CONTROL—NOTICE</w:t>
      </w:r>
    </w:p>
    <w:p>
      <w:pPr>
        <w:spacing w:after="0" w:line="225" w:lineRule="exact"/>
        <w:rPr>
          <w:sz w:val="20"/>
          <w:szCs w:val="20"/>
          <w:color w:val="auto"/>
        </w:rPr>
      </w:pPr>
    </w:p>
    <w:p>
      <w:pPr>
        <w:ind w:left="20" w:right="420" w:firstLine="353"/>
        <w:spacing w:after="0" w:line="277" w:lineRule="auto"/>
        <w:rPr>
          <w:sz w:val="20"/>
          <w:szCs w:val="20"/>
          <w:color w:val="auto"/>
        </w:rPr>
      </w:pPr>
      <w:r>
        <w:rPr>
          <w:rFonts w:ascii="Arial" w:cs="Arial" w:eastAsia="Arial" w:hAnsi="Arial"/>
          <w:sz w:val="18"/>
          <w:szCs w:val="18"/>
          <w:color w:val="auto"/>
        </w:rPr>
        <w:t>C. When the Insured learns of a change in control, it shall give written notice to the Underwriter.</w:t>
      </w:r>
    </w:p>
    <w:p>
      <w:pPr>
        <w:spacing w:after="0" w:line="170" w:lineRule="exact"/>
        <w:rPr>
          <w:sz w:val="20"/>
          <w:szCs w:val="20"/>
          <w:color w:val="auto"/>
        </w:rPr>
      </w:pPr>
    </w:p>
    <w:p>
      <w:pPr>
        <w:ind w:left="20" w:firstLine="353"/>
        <w:spacing w:after="0" w:line="289" w:lineRule="auto"/>
        <w:rPr>
          <w:sz w:val="20"/>
          <w:szCs w:val="20"/>
          <w:color w:val="auto"/>
        </w:rPr>
      </w:pPr>
      <w:r>
        <w:rPr>
          <w:rFonts w:ascii="Arial" w:cs="Arial" w:eastAsia="Arial" w:hAnsi="Arial"/>
          <w:sz w:val="16"/>
          <w:szCs w:val="16"/>
          <w:color w:val="auto"/>
        </w:rPr>
        <w:t>As used in this General Agreement, control means the power to determine the management or policy of a controlling holding company or the Insured by virtue of voting stock ownership. A change in ownership of voting stock which results in direct or indirect ownership by a stockholder or an affiliated group of stockholders of ten percent (10%) or more of such stock shall be presumed to result in a change of control for the purpose of the required notice. Failure to give the required notice shall result in termination of coverage for any loss involving a transferee. to be effective upon the date of the stock transfer.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 OF INSURED</w:t>
      </w:r>
    </w:p>
    <w:p>
      <w:pPr>
        <w:spacing w:after="0" w:line="225" w:lineRule="exact"/>
        <w:rPr>
          <w:sz w:val="20"/>
          <w:szCs w:val="20"/>
          <w:color w:val="auto"/>
        </w:rPr>
      </w:pPr>
    </w:p>
    <w:p>
      <w:pPr>
        <w:ind w:left="20" w:right="140" w:firstLine="353"/>
        <w:spacing w:after="0" w:line="297" w:lineRule="auto"/>
        <w:rPr>
          <w:sz w:val="20"/>
          <w:szCs w:val="20"/>
          <w:color w:val="auto"/>
        </w:rPr>
      </w:pPr>
      <w:r>
        <w:rPr>
          <w:rFonts w:ascii="Arial" w:cs="Arial" w:eastAsia="Arial" w:hAnsi="Arial"/>
          <w:sz w:val="16"/>
          <w:szCs w:val="16"/>
          <w:color w:val="auto"/>
        </w:rPr>
        <w:t>D. The Insured represents that the information furnished in the application for this bond is complete, true and correct. Such application constitutes part of this bond. Any misrepresentation, omission, concealment or incorrect statement of a material fact, in the application or otherwise, shall be grounds for the rescission of this bond.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INSURED</w:t>
      </w:r>
    </w:p>
    <w:p>
      <w:pPr>
        <w:spacing w:after="0" w:line="225" w:lineRule="exact"/>
        <w:rPr>
          <w:sz w:val="20"/>
          <w:szCs w:val="20"/>
          <w:color w:val="auto"/>
        </w:rPr>
      </w:pPr>
    </w:p>
    <w:p>
      <w:pPr>
        <w:ind w:left="20" w:right="60" w:firstLine="353"/>
        <w:spacing w:after="0" w:line="287" w:lineRule="auto"/>
        <w:rPr>
          <w:sz w:val="20"/>
          <w:szCs w:val="20"/>
          <w:color w:val="auto"/>
        </w:rPr>
      </w:pPr>
      <w:r>
        <w:rPr>
          <w:rFonts w:ascii="Arial" w:cs="Arial" w:eastAsia="Arial" w:hAnsi="Arial"/>
          <w:sz w:val="16"/>
          <w:szCs w:val="16"/>
          <w:color w:val="auto"/>
        </w:rPr>
        <w:t>E. If two or more Insureds are covered under this bond, the first named Insured shall act for all Insureds. Payment by the Underwriter to the first named Insured of loss sustained by any Insured shall fully release the Underwriter on account of such loss. If the first named Insured ceases to be covered under this bond, the Insured next named shall thereafter be considered as the first named Insured. Knowledge possessed or discovery made by any Insured shall constitute knowledge or discovery by all Insureds for all purposes of this bond. The liability of the Underwriter for loss or losses sustained by all Insureds shall not exceed the amount for which the Underwriter would have been liable had all such loss or losses been sustained by one Insured.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LEGAL PROCEEDINGS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-704850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INSURED—ELECTION TO DEFEND</w:t>
      </w:r>
    </w:p>
    <w:p>
      <w:pPr>
        <w:spacing w:after="0" w:line="211" w:lineRule="exact"/>
        <w:rPr>
          <w:sz w:val="20"/>
          <w:szCs w:val="20"/>
          <w:color w:val="auto"/>
        </w:rPr>
      </w:pPr>
    </w:p>
    <w:p>
      <w:pPr>
        <w:ind w:right="80" w:firstLine="355"/>
        <w:spacing w:after="0" w:line="273" w:lineRule="auto"/>
        <w:rPr>
          <w:sz w:val="20"/>
          <w:szCs w:val="20"/>
          <w:color w:val="auto"/>
        </w:rPr>
      </w:pPr>
      <w:r>
        <w:rPr>
          <w:rFonts w:ascii="Arial" w:cs="Arial" w:eastAsia="Arial" w:hAnsi="Arial"/>
          <w:sz w:val="17"/>
          <w:szCs w:val="17"/>
          <w:color w:val="auto"/>
        </w:rPr>
        <w:t>F. The Insured shall notify the Underwriter at the earliest practicable moment, not to exceed 30 days after notice thereof, of any legal proceeding brought to determine the Insured’s liability for any loss, claim or damage, which, if established, would constitute a collectible loss under this bond. Concurrently, the Insured shall furnish copies of all pleadings and pertinent papers to the Underwriter.</w:t>
      </w:r>
    </w:p>
    <w:p>
      <w:pPr>
        <w:spacing w:after="0" w:line="178" w:lineRule="exact"/>
        <w:rPr>
          <w:sz w:val="20"/>
          <w:szCs w:val="20"/>
          <w:color w:val="auto"/>
        </w:rPr>
      </w:pPr>
    </w:p>
    <w:p>
      <w:pPr>
        <w:ind w:right="80" w:firstLine="355"/>
        <w:spacing w:after="0" w:line="297" w:lineRule="auto"/>
        <w:rPr>
          <w:sz w:val="20"/>
          <w:szCs w:val="20"/>
          <w:color w:val="auto"/>
        </w:rPr>
      </w:pPr>
      <w:r>
        <w:rPr>
          <w:rFonts w:ascii="Arial" w:cs="Arial" w:eastAsia="Arial" w:hAnsi="Arial"/>
          <w:sz w:val="16"/>
          <w:szCs w:val="16"/>
          <w:color w:val="auto"/>
        </w:rPr>
        <w:t>The Underwriter, at its sole option, may elect to conduct the defense of such legal proceeding, in whole or in part. The defense by the Underwriter shall be in the Insured’s name through attorneys selected by the Underwriter. The Insured shall provide all reasonable information and assistance required by the Underwriter for such defense.</w:t>
      </w:r>
    </w:p>
    <w:p>
      <w:pPr>
        <w:spacing w:after="0" w:line="158" w:lineRule="exact"/>
        <w:rPr>
          <w:sz w:val="20"/>
          <w:szCs w:val="20"/>
          <w:color w:val="auto"/>
        </w:rPr>
      </w:pPr>
    </w:p>
    <w:p>
      <w:pPr>
        <w:ind w:right="20" w:firstLine="355"/>
        <w:spacing w:after="0" w:line="255" w:lineRule="auto"/>
        <w:rPr>
          <w:sz w:val="20"/>
          <w:szCs w:val="20"/>
          <w:color w:val="auto"/>
        </w:rPr>
      </w:pPr>
      <w:r>
        <w:rPr>
          <w:rFonts w:ascii="Arial" w:cs="Arial" w:eastAsia="Arial" w:hAnsi="Arial"/>
          <w:sz w:val="18"/>
          <w:szCs w:val="18"/>
          <w:color w:val="auto"/>
        </w:rPr>
        <w:t>If the Underwriter elects to defend the Insured, in whole or in part, any judgment against the Insured on those counts or causes of action which the Underwriter defended on behalf of the Insured or any settlement in which the Underwriter participates and all attorneys’ fees, costs and expenses incurred by the Underwriter in the defense of the litigation shall be a loss covered by this bond.</w:t>
      </w:r>
    </w:p>
    <w:p>
      <w:pPr>
        <w:spacing w:after="0" w:line="193" w:lineRule="exact"/>
        <w:rPr>
          <w:sz w:val="20"/>
          <w:szCs w:val="20"/>
          <w:color w:val="auto"/>
        </w:rPr>
      </w:pPr>
    </w:p>
    <w:p>
      <w:pPr>
        <w:ind w:right="20" w:firstLine="355"/>
        <w:spacing w:after="0" w:line="271" w:lineRule="auto"/>
        <w:rPr>
          <w:sz w:val="20"/>
          <w:szCs w:val="20"/>
          <w:color w:val="auto"/>
        </w:rPr>
      </w:pPr>
      <w:r>
        <w:rPr>
          <w:rFonts w:ascii="Arial" w:cs="Arial" w:eastAsia="Arial" w:hAnsi="Arial"/>
          <w:sz w:val="17"/>
          <w:szCs w:val="17"/>
          <w:color w:val="auto"/>
        </w:rPr>
        <w:t>If the Insured does not give the notices required in subsection (a) of Section 5 of this bond and in the first paragraph of this General Agreement, or if the Underwriter elects not to defend any causes of action, neither a judgment against the Insured, nor a settlement of any legal proceeding by the Insured, shall determine the existence, extent or amount of coverage under this bond for loss sustained by the Insured, and the Underwriter shall not be liable for any attorneys’ fees, costs and expenses incurred by the Insured.</w:t>
      </w:r>
    </w:p>
    <w:p>
      <w:pPr>
        <w:spacing w:after="0" w:line="179" w:lineRule="exact"/>
        <w:rPr>
          <w:sz w:val="20"/>
          <w:szCs w:val="20"/>
          <w:color w:val="auto"/>
        </w:rPr>
      </w:pPr>
    </w:p>
    <w:p>
      <w:pPr>
        <w:ind w:firstLine="355"/>
        <w:spacing w:after="0" w:line="253" w:lineRule="auto"/>
        <w:rPr>
          <w:sz w:val="20"/>
          <w:szCs w:val="20"/>
          <w:color w:val="auto"/>
        </w:rPr>
      </w:pPr>
      <w:r>
        <w:rPr>
          <w:rFonts w:ascii="Arial" w:cs="Arial" w:eastAsia="Arial" w:hAnsi="Arial"/>
          <w:sz w:val="18"/>
          <w:szCs w:val="18"/>
          <w:color w:val="auto"/>
        </w:rPr>
        <w:t>With respect to this General Agreement, subsections (b) and (d) of Section 5 of this bond apply upon the entry of such judgment or the occurrence of such settlement instead of upon discovery of loss. In addition, the Insured must notify the Underwriter within 30 days after such judgment is entered against it or after the Insured settles such legal proceeding, and, subject to subsection (e) of Section 5, the Insured may not bring legal proceedings for the recovery of such loss after the expiration of 24 months from the date of such final judgment or settlement.</w:t>
      </w:r>
    </w:p>
    <w:p>
      <w:pPr>
        <w:spacing w:after="0" w:line="200" w:lineRule="exact"/>
        <w:rPr>
          <w:sz w:val="20"/>
          <w:szCs w:val="20"/>
          <w:color w:val="auto"/>
        </w:rPr>
      </w:pPr>
    </w:p>
    <w:p>
      <w:pPr>
        <w:sectPr>
          <w:pgSz w:w="11900" w:h="16838" w:orient="portrait"/>
          <w:cols w:equalWidth="0" w:num="2">
            <w:col w:w="5300" w:space="320"/>
            <w:col w:w="5400"/>
          </w:cols>
          <w:pgMar w:left="440" w:top="328" w:right="439"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AND LIMITATIONS</w:t>
      </w:r>
    </w:p>
    <w:p>
      <w:pPr>
        <w:sectPr>
          <w:pgSz w:w="11900" w:h="16838" w:orient="portrait"/>
          <w:cols w:equalWidth="0" w:num="1">
            <w:col w:w="11020"/>
          </w:cols>
          <w:pgMar w:left="440" w:top="328" w:right="439" w:bottom="0" w:gutter="0" w:footer="0" w:header="0"/>
          <w:type w:val="continuous"/>
        </w:sectPr>
      </w:pPr>
    </w:p>
    <w:p>
      <w:pPr>
        <w:spacing w:after="0" w:line="31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 As used in this bond:</w:t>
      </w:r>
    </w:p>
    <w:p>
      <w:pPr>
        <w:spacing w:after="0" w:line="117" w:lineRule="exact"/>
        <w:rPr>
          <w:sz w:val="20"/>
          <w:szCs w:val="20"/>
          <w:color w:val="auto"/>
        </w:rPr>
      </w:pPr>
    </w:p>
    <w:p>
      <w:pPr>
        <w:ind w:right="260" w:firstLine="364"/>
        <w:spacing w:after="0" w:line="277" w:lineRule="auto"/>
        <w:tabs>
          <w:tab w:leader="none" w:pos="5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means a draft which the drawee has, by signature written thereon, engaged to honor as presented.</w:t>
      </w:r>
    </w:p>
    <w:p>
      <w:pPr>
        <w:spacing w:after="0" w:line="170" w:lineRule="exact"/>
        <w:rPr>
          <w:rFonts w:ascii="Arial" w:cs="Arial" w:eastAsia="Arial" w:hAnsi="Arial"/>
          <w:sz w:val="18"/>
          <w:szCs w:val="18"/>
          <w:color w:val="auto"/>
        </w:rPr>
      </w:pPr>
    </w:p>
    <w:p>
      <w:pPr>
        <w:ind w:firstLine="364"/>
        <w:spacing w:after="0" w:line="342" w:lineRule="auto"/>
        <w:tabs>
          <w:tab w:leader="none" w:pos="6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Certificate of Deposit means an acknowledgment in writing by a financial institution of receipt of Money with an engagement to repay it.</w:t>
      </w:r>
    </w:p>
    <w:p>
      <w:pPr>
        <w:spacing w:after="0" w:line="123" w:lineRule="exact"/>
        <w:rPr>
          <w:rFonts w:ascii="Arial" w:cs="Arial" w:eastAsia="Arial" w:hAnsi="Arial"/>
          <w:sz w:val="16"/>
          <w:szCs w:val="16"/>
          <w:color w:val="auto"/>
        </w:rPr>
      </w:pPr>
    </w:p>
    <w:p>
      <w:pPr>
        <w:ind w:right="240" w:firstLine="364"/>
        <w:spacing w:after="0" w:line="264" w:lineRule="auto"/>
        <w:tabs>
          <w:tab w:leader="none" w:pos="6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Certificated Security means a share, participation or other interest in property of or an enterprise of the issuer or an obligation of the issuer, which is:</w:t>
      </w:r>
    </w:p>
    <w:p>
      <w:pPr>
        <w:spacing w:after="0" w:line="86" w:lineRule="exact"/>
        <w:rPr>
          <w:rFonts w:ascii="Arial" w:cs="Arial" w:eastAsia="Arial" w:hAnsi="Arial"/>
          <w:sz w:val="18"/>
          <w:szCs w:val="18"/>
          <w:color w:val="auto"/>
        </w:rPr>
      </w:pPr>
    </w:p>
    <w:p>
      <w:pPr>
        <w:ind w:left="1100" w:right="720" w:hanging="367"/>
        <w:spacing w:after="0" w:line="277" w:lineRule="auto"/>
        <w:tabs>
          <w:tab w:leader="none" w:pos="11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represented by an instrument issued in bearer or registered form;</w:t>
      </w:r>
    </w:p>
    <w:p>
      <w:pPr>
        <w:spacing w:after="0" w:line="75" w:lineRule="exact"/>
        <w:rPr>
          <w:rFonts w:ascii="Arial" w:cs="Arial" w:eastAsia="Arial" w:hAnsi="Arial"/>
          <w:sz w:val="18"/>
          <w:szCs w:val="18"/>
          <w:color w:val="auto"/>
        </w:rPr>
      </w:pPr>
    </w:p>
    <w:p>
      <w:pPr>
        <w:ind w:left="1100" w:right="120" w:hanging="367"/>
        <w:spacing w:after="0" w:line="312" w:lineRule="auto"/>
        <w:tabs>
          <w:tab w:leader="none" w:pos="11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of a type commonly dealt in on securities exchanges or markets or commonly recognized in any area in which it is issued or dealt in as a medium for investment; and</w:t>
      </w:r>
    </w:p>
    <w:p>
      <w:pPr>
        <w:spacing w:after="0" w:line="52" w:lineRule="exact"/>
        <w:rPr>
          <w:rFonts w:ascii="Arial" w:cs="Arial" w:eastAsia="Arial" w:hAnsi="Arial"/>
          <w:sz w:val="16"/>
          <w:szCs w:val="16"/>
          <w:color w:val="auto"/>
        </w:rPr>
      </w:pPr>
    </w:p>
    <w:p>
      <w:pPr>
        <w:ind w:left="1100" w:right="40" w:hanging="367"/>
        <w:spacing w:after="0" w:line="264" w:lineRule="auto"/>
        <w:tabs>
          <w:tab w:leader="none" w:pos="11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either one of a class or series or by its terms divisible into a class or series of shares, participations, interests or obligations.</w:t>
      </w:r>
    </w:p>
    <w:p>
      <w:pPr>
        <w:spacing w:after="0" w:line="181" w:lineRule="exact"/>
        <w:rPr>
          <w:rFonts w:ascii="Arial" w:cs="Arial" w:eastAsia="Arial" w:hAnsi="Arial"/>
          <w:sz w:val="18"/>
          <w:szCs w:val="18"/>
          <w:color w:val="auto"/>
        </w:rPr>
      </w:pPr>
    </w:p>
    <w:p>
      <w:pPr>
        <w:ind w:right="40" w:firstLine="364"/>
        <w:spacing w:after="0" w:line="277" w:lineRule="auto"/>
        <w:tabs>
          <w:tab w:leader="none" w:pos="6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Counterfeit means an imitation of an actual valid original which is intended to deceive and to be taken as the original.</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736" w:right="340" w:hanging="367"/>
        <w:spacing w:after="0" w:line="277" w:lineRule="auto"/>
        <w:tabs>
          <w:tab w:leader="none" w:pos="736"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Partner of the Insured, unless not covered as stated in item 4 of the Declarations.</w:t>
      </w:r>
    </w:p>
    <w:p>
      <w:pPr>
        <w:spacing w:after="0" w:line="170" w:lineRule="exact"/>
        <w:rPr>
          <w:rFonts w:ascii="Arial" w:cs="Arial" w:eastAsia="Arial" w:hAnsi="Arial"/>
          <w:sz w:val="18"/>
          <w:szCs w:val="18"/>
          <w:color w:val="auto"/>
        </w:rPr>
      </w:pPr>
    </w:p>
    <w:p>
      <w:pPr>
        <w:ind w:left="-364" w:right="60" w:firstLine="364"/>
        <w:spacing w:after="0" w:line="259" w:lineRule="auto"/>
        <w:tabs>
          <w:tab w:leader="none" w:pos="221"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Evidence of Debt means an instrument, including a Negotiable Instrument, executed by a customer of the Insured and held by the Insured which in the regular course of business is treated as evidencing the customer’s debt to the Insured.</w:t>
      </w:r>
    </w:p>
    <w:p>
      <w:pPr>
        <w:spacing w:after="0" w:line="186" w:lineRule="exact"/>
        <w:rPr>
          <w:rFonts w:ascii="Arial" w:cs="Arial" w:eastAsia="Arial" w:hAnsi="Arial"/>
          <w:sz w:val="18"/>
          <w:szCs w:val="18"/>
          <w:color w:val="auto"/>
        </w:rPr>
      </w:pPr>
    </w:p>
    <w:p>
      <w:pPr>
        <w:ind w:left="-364" w:right="200" w:firstLine="364"/>
        <w:spacing w:after="0" w:line="286" w:lineRule="auto"/>
        <w:tabs>
          <w:tab w:leader="none" w:pos="251" w:val="left"/>
        </w:tabs>
        <w:numPr>
          <w:ilvl w:val="0"/>
          <w:numId w:val="23"/>
        </w:numPr>
        <w:rPr>
          <w:rFonts w:ascii="Arial" w:cs="Arial" w:eastAsia="Arial" w:hAnsi="Arial"/>
          <w:sz w:val="17"/>
          <w:szCs w:val="17"/>
          <w:color w:val="auto"/>
        </w:rPr>
      </w:pPr>
      <w:r>
        <w:rPr>
          <w:rFonts w:ascii="Arial" w:cs="Arial" w:eastAsia="Arial" w:hAnsi="Arial"/>
          <w:sz w:val="17"/>
          <w:szCs w:val="17"/>
          <w:color w:val="auto"/>
        </w:rPr>
        <w:t>Financial Interest in the Insured of the Insured’s general partner(s), or limited partner(s), committing dishonest or fraudulent acts covered by this bond or concerned or implicated therein means:</w:t>
      </w:r>
    </w:p>
    <w:p>
      <w:pPr>
        <w:spacing w:after="0" w:line="70" w:lineRule="exact"/>
        <w:rPr>
          <w:rFonts w:ascii="Arial" w:cs="Arial" w:eastAsia="Arial" w:hAnsi="Arial"/>
          <w:sz w:val="17"/>
          <w:szCs w:val="17"/>
          <w:color w:val="auto"/>
        </w:rPr>
      </w:pPr>
    </w:p>
    <w:p>
      <w:pPr>
        <w:ind w:left="736" w:right="140" w:hanging="367"/>
        <w:spacing w:after="0" w:line="279" w:lineRule="auto"/>
        <w:tabs>
          <w:tab w:leader="none" w:pos="736" w:val="left"/>
        </w:tabs>
        <w:numPr>
          <w:ilvl w:val="1"/>
          <w:numId w:val="23"/>
        </w:numPr>
        <w:rPr>
          <w:rFonts w:ascii="Arial" w:cs="Arial" w:eastAsia="Arial" w:hAnsi="Arial"/>
          <w:sz w:val="17"/>
          <w:szCs w:val="17"/>
          <w:color w:val="auto"/>
        </w:rPr>
      </w:pPr>
      <w:r>
        <w:rPr>
          <w:rFonts w:ascii="Arial" w:cs="Arial" w:eastAsia="Arial" w:hAnsi="Arial"/>
          <w:sz w:val="17"/>
          <w:szCs w:val="17"/>
          <w:color w:val="auto"/>
        </w:rPr>
        <w:t>as respects general partners the value of all right, title and interest of such general partner(s), determined as of the close of business on the date of discovery of loss covered by this bond, in the aggregate of:</w:t>
      </w:r>
    </w:p>
    <w:p>
      <w:pPr>
        <w:sectPr>
          <w:pgSz w:w="11900" w:h="16838" w:orient="portrait"/>
          <w:cols w:equalWidth="0" w:num="2">
            <w:col w:w="5280" w:space="704"/>
            <w:col w:w="5036"/>
          </w:cols>
          <w:pgMar w:left="440" w:top="328" w:right="439" w:bottom="0" w:gutter="0" w:footer="0" w:header="0"/>
          <w:type w:val="continuous"/>
        </w:sectPr>
      </w:pPr>
    </w:p>
    <w:bookmarkStart w:id="9" w:name="page10"/>
    <w:bookmarkEnd w:id="9"/>
    <w:p>
      <w:pPr>
        <w:ind w:left="600" w:hanging="236"/>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Employee means</w:t>
      </w:r>
    </w:p>
    <w:p>
      <w:pPr>
        <w:spacing w:after="0" w:line="130" w:lineRule="exact"/>
        <w:rPr>
          <w:rFonts w:ascii="Arial" w:cs="Arial" w:eastAsia="Arial" w:hAnsi="Arial"/>
          <w:sz w:val="18"/>
          <w:szCs w:val="18"/>
          <w:color w:val="auto"/>
        </w:rPr>
      </w:pPr>
    </w:p>
    <w:p>
      <w:pPr>
        <w:ind w:left="1460" w:right="740" w:hanging="362"/>
        <w:spacing w:after="0" w:line="273" w:lineRule="auto"/>
        <w:tabs>
          <w:tab w:leader="none" w:pos="14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 natural person in the service of the Insured at any of the Insured’s offices or premises covered hereunder whom the Insured compensates directly by salary or commissions and whom the Insured has the right to direct and control while performing services for the Insured;</w:t>
      </w:r>
    </w:p>
    <w:p>
      <w:pPr>
        <w:spacing w:after="0" w:line="83" w:lineRule="exact"/>
        <w:rPr>
          <w:rFonts w:ascii="Arial" w:cs="Arial" w:eastAsia="Arial" w:hAnsi="Arial"/>
          <w:sz w:val="17"/>
          <w:szCs w:val="17"/>
          <w:color w:val="auto"/>
        </w:rPr>
      </w:pPr>
    </w:p>
    <w:p>
      <w:pPr>
        <w:ind w:left="1460" w:right="740" w:hanging="362"/>
        <w:spacing w:after="0" w:line="264" w:lineRule="auto"/>
        <w:tabs>
          <w:tab w:leader="none" w:pos="14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 attorney retained by the Insured and an employee of such attorney while either is performing legal services for the Insured;</w:t>
      </w:r>
    </w:p>
    <w:p>
      <w:pPr>
        <w:spacing w:after="0" w:line="86" w:lineRule="exact"/>
        <w:rPr>
          <w:rFonts w:ascii="Arial" w:cs="Arial" w:eastAsia="Arial" w:hAnsi="Arial"/>
          <w:sz w:val="18"/>
          <w:szCs w:val="18"/>
          <w:color w:val="auto"/>
        </w:rPr>
      </w:pPr>
    </w:p>
    <w:p>
      <w:pPr>
        <w:ind w:left="1460" w:right="800" w:hanging="362"/>
        <w:spacing w:after="0" w:line="273" w:lineRule="auto"/>
        <w:tabs>
          <w:tab w:leader="none" w:pos="14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 person provided by an employment contractor to perform employee duties for the Insured under the Insured’s supervision at any of the Insured’s offices or premises covered hereunder; and a guest student pursuing studies or duties in any of said offices or premises;</w:t>
      </w:r>
    </w:p>
    <w:p>
      <w:pPr>
        <w:spacing w:after="0" w:line="83" w:lineRule="exact"/>
        <w:rPr>
          <w:rFonts w:ascii="Arial" w:cs="Arial" w:eastAsia="Arial" w:hAnsi="Arial"/>
          <w:sz w:val="17"/>
          <w:szCs w:val="17"/>
          <w:color w:val="auto"/>
        </w:rPr>
      </w:pPr>
    </w:p>
    <w:p>
      <w:pPr>
        <w:ind w:left="1460" w:right="880" w:hanging="362"/>
        <w:spacing w:after="0" w:line="264" w:lineRule="auto"/>
        <w:tabs>
          <w:tab w:leader="none" w:pos="14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 employee of an institution merged or consolidated with the Insured prior to the effective date of this bond;</w:t>
      </w:r>
    </w:p>
    <w:p>
      <w:pPr>
        <w:spacing w:after="0" w:line="86" w:lineRule="exact"/>
        <w:rPr>
          <w:rFonts w:ascii="Arial" w:cs="Arial" w:eastAsia="Arial" w:hAnsi="Arial"/>
          <w:sz w:val="18"/>
          <w:szCs w:val="18"/>
          <w:color w:val="auto"/>
        </w:rPr>
      </w:pPr>
    </w:p>
    <w:p>
      <w:pPr>
        <w:ind w:left="1460" w:right="700" w:hanging="362"/>
        <w:spacing w:after="0" w:line="287" w:lineRule="auto"/>
        <w:tabs>
          <w:tab w:leader="none" w:pos="14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each natural person, partnership or corporation authorized by the Insured to perform services as data processor of checks or other accounting records of the Insured (not including preparation or modification of computer software or programs), herein called Processor. (Each such Processor, and the partners. officers and employees of such Processor shall, collectively, be deemed to be one Employee for all the purposes of this bond, excepting, however, the second paragraph of Section 12. A Federal Reserve Bank or clearing house shall not be construed to be a processor.) and</w:t>
      </w:r>
    </w:p>
    <w:p>
      <w:pPr>
        <w:spacing w:after="0" w:line="20" w:lineRule="exact"/>
        <w:rPr>
          <w:sz w:val="20"/>
          <w:szCs w:val="20"/>
          <w:color w:val="auto"/>
        </w:rPr>
      </w:pPr>
      <w:r>
        <w:rPr>
          <w:sz w:val="20"/>
          <w:szCs w:val="20"/>
          <w:color w:val="auto"/>
        </w:rPr>
        <w:br w:type="column"/>
      </w:r>
    </w:p>
    <w:p>
      <w:pPr>
        <w:ind w:left="380" w:right="20" w:hanging="362"/>
        <w:spacing w:after="0" w:line="285" w:lineRule="auto"/>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“net worth” of the Insured, which for the purposes of this bond, shall be deemed to be the excess of its total assets over its total liabilities, without adjustment to give effect to loss covered by this bond, (except that credit balances and equities in proprietary accounts of the Insured, which shall include capital accounts of partners, investment and trading accounts of the Insured, participations of the Insured in joint accounts. and accounts of partners which are covered by agreements providing for the inclusion of equities therein as partnership property, shall not be considered as liabilities) with securities, spot commodities, commodity future contracts in such proprietary accounts and all other assets marked to market or fair value and with adjustment for profits and losses at the market of contractual commitments for such proprietary accounts of the Insured; and</w:t>
      </w:r>
    </w:p>
    <w:p>
      <w:pPr>
        <w:spacing w:after="0" w:line="80" w:lineRule="exact"/>
        <w:rPr>
          <w:rFonts w:ascii="Arial" w:cs="Arial" w:eastAsia="Arial" w:hAnsi="Arial"/>
          <w:sz w:val="16"/>
          <w:szCs w:val="16"/>
          <w:color w:val="auto"/>
        </w:rPr>
      </w:pPr>
    </w:p>
    <w:p>
      <w:pPr>
        <w:ind w:left="380" w:right="60" w:hanging="362"/>
        <w:spacing w:after="0" w:line="297" w:lineRule="auto"/>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value of all other Money, securities and property belonging to such general partner(s), or in which such general partner(s) have a pecuniary interest, held by or in the custody of and legally available to the Insured as set-off against loss covered by this bond;</w:t>
      </w:r>
    </w:p>
    <w:p>
      <w:pPr>
        <w:spacing w:after="0" w:line="5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provided, however, that if such “net worth” adjusted to give effect to loss covered by this bond and such value of all other Money, securities and property as set forth in (g)(1)</w:t>
      </w:r>
    </w:p>
    <w:p>
      <w:pPr>
        <w:jc w:val="both"/>
        <w:ind w:right="40" w:firstLine="4"/>
        <w:spacing w:after="0" w:line="255"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preceding, plus the amount of coverage afforded by this bond on account of such loss, is not sufficient to enable the Insured</w:t>
      </w:r>
    </w:p>
    <w:p>
      <w:pPr>
        <w:spacing w:after="0" w:line="1234" w:lineRule="exact"/>
        <w:rPr>
          <w:sz w:val="20"/>
          <w:szCs w:val="20"/>
          <w:color w:val="auto"/>
        </w:rPr>
      </w:pPr>
    </w:p>
    <w:p>
      <w:pPr>
        <w:sectPr>
          <w:pgSz w:w="11900" w:h="16838" w:orient="portrait"/>
          <w:cols w:equalWidth="0" w:num="2">
            <w:col w:w="5980" w:space="720"/>
            <w:col w:w="4320"/>
          </w:cols>
          <w:pgMar w:left="440" w:top="125" w:right="439" w:bottom="1440" w:gutter="0" w:footer="0" w:header="0"/>
        </w:sectPr>
      </w:pPr>
    </w:p>
    <w:p>
      <w:pPr>
        <w:spacing w:after="0" w:line="50" w:lineRule="exact"/>
        <w:rPr>
          <w:sz w:val="20"/>
          <w:szCs w:val="20"/>
          <w:color w:val="auto"/>
        </w:rPr>
      </w:pPr>
    </w:p>
    <w:p>
      <w:pPr>
        <w:spacing w:after="0"/>
        <w:tabs>
          <w:tab w:leader="none" w:pos="3600" w:val="left"/>
          <w:tab w:leader="none" w:pos="10180" w:val="left"/>
        </w:tabs>
        <w:rPr>
          <w:sz w:val="20"/>
          <w:szCs w:val="20"/>
          <w:color w:val="auto"/>
        </w:rPr>
      </w:pPr>
      <w:r>
        <w:rPr>
          <w:rFonts w:ascii="Arial" w:cs="Arial" w:eastAsia="Arial" w:hAnsi="Arial"/>
          <w:sz w:val="18"/>
          <w:szCs w:val="18"/>
          <w:color w:val="auto"/>
        </w:rPr>
        <w:t>TSB 5026b</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3 of 6</w:t>
      </w:r>
    </w:p>
    <w:p>
      <w:pPr>
        <w:sectPr>
          <w:pgSz w:w="11900" w:h="16838" w:orient="portrait"/>
          <w:cols w:equalWidth="0" w:num="1">
            <w:col w:w="11020"/>
          </w:cols>
          <w:pgMar w:left="440" w:top="125" w:right="439" w:bottom="1440" w:gutter="0" w:footer="0" w:header="0"/>
          <w:type w:val="continuous"/>
        </w:sectPr>
      </w:pPr>
    </w:p>
    <w:bookmarkStart w:id="10" w:name="page11"/>
    <w:bookmarkEnd w:id="10"/>
    <w:p>
      <w:pPr>
        <w:spacing w:after="0" w:line="26" w:lineRule="exact"/>
        <w:rPr>
          <w:sz w:val="20"/>
          <w:szCs w:val="20"/>
          <w:color w:val="auto"/>
        </w:rPr>
      </w:pPr>
    </w:p>
    <w:p>
      <w:pPr>
        <w:ind w:left="1076" w:right="20"/>
        <w:spacing w:after="0" w:line="288" w:lineRule="auto"/>
        <w:rPr>
          <w:sz w:val="20"/>
          <w:szCs w:val="20"/>
          <w:color w:val="auto"/>
        </w:rPr>
      </w:pPr>
      <w:r>
        <w:rPr>
          <w:rFonts w:ascii="Arial" w:cs="Arial" w:eastAsia="Arial" w:hAnsi="Arial"/>
          <w:sz w:val="16"/>
          <w:szCs w:val="16"/>
          <w:color w:val="auto"/>
        </w:rPr>
        <w:t>to meet its obligations, including its obligations to its partners other than to such general partner(s), then the Financial Interest in the Insured, as above defined, of such general partner(s) shall be reduced in an amount necessary, or eliminated if need be, in order to enable the Insured upon payment of loss under this bond to meet such obligations, to the extent that such payment will enable the Insured to meet such obligations, without any benefit accruing to such general partner(s) from such payment; and</w:t>
      </w:r>
    </w:p>
    <w:p>
      <w:pPr>
        <w:spacing w:after="0" w:line="75" w:lineRule="exact"/>
        <w:rPr>
          <w:sz w:val="20"/>
          <w:szCs w:val="20"/>
          <w:color w:val="auto"/>
        </w:rPr>
      </w:pPr>
    </w:p>
    <w:p>
      <w:pPr>
        <w:ind w:left="736" w:right="400" w:hanging="367"/>
        <w:spacing w:after="0" w:line="277" w:lineRule="auto"/>
        <w:tabs>
          <w:tab w:leader="none" w:pos="736" w:val="left"/>
        </w:tabs>
        <w:numPr>
          <w:ilvl w:val="1"/>
          <w:numId w:val="27"/>
        </w:numPr>
        <w:rPr>
          <w:rFonts w:ascii="Arial" w:cs="Arial" w:eastAsia="Arial" w:hAnsi="Arial"/>
          <w:sz w:val="18"/>
          <w:szCs w:val="18"/>
          <w:color w:val="auto"/>
        </w:rPr>
      </w:pPr>
      <w:r>
        <w:rPr>
          <w:rFonts w:ascii="Arial" w:cs="Arial" w:eastAsia="Arial" w:hAnsi="Arial"/>
          <w:sz w:val="18"/>
          <w:szCs w:val="18"/>
          <w:color w:val="auto"/>
        </w:rPr>
        <w:t>as respects limited partners the value of such limited partner’s(’) investment in the Insured.</w:t>
      </w:r>
    </w:p>
    <w:p>
      <w:pPr>
        <w:spacing w:after="0" w:line="170" w:lineRule="exact"/>
        <w:rPr>
          <w:rFonts w:ascii="Arial" w:cs="Arial" w:eastAsia="Arial" w:hAnsi="Arial"/>
          <w:sz w:val="18"/>
          <w:szCs w:val="18"/>
          <w:color w:val="auto"/>
        </w:rPr>
      </w:pPr>
    </w:p>
    <w:p>
      <w:pPr>
        <w:ind w:left="-344" w:right="180" w:firstLine="344"/>
        <w:spacing w:after="0" w:line="279" w:lineRule="auto"/>
        <w:tabs>
          <w:tab w:leader="none" w:pos="264" w:val="left"/>
        </w:tabs>
        <w:numPr>
          <w:ilvl w:val="0"/>
          <w:numId w:val="28"/>
        </w:numPr>
        <w:rPr>
          <w:rFonts w:ascii="Arial" w:cs="Arial" w:eastAsia="Arial" w:hAnsi="Arial"/>
          <w:sz w:val="17"/>
          <w:szCs w:val="17"/>
          <w:color w:val="auto"/>
        </w:rPr>
      </w:pPr>
      <w:r>
        <w:rPr>
          <w:rFonts w:ascii="Arial" w:cs="Arial" w:eastAsia="Arial" w:hAnsi="Arial"/>
          <w:sz w:val="17"/>
          <w:szCs w:val="17"/>
          <w:color w:val="auto"/>
        </w:rPr>
        <w:t>Forgery means the signing of the name of another person or organization with intent to deceive; it does not mean a signature which consists in whole or in part of one’s own name signed with or without authority, in any capacity, for any purpose.</w:t>
      </w:r>
    </w:p>
    <w:p>
      <w:pPr>
        <w:spacing w:after="0" w:line="171" w:lineRule="exact"/>
        <w:rPr>
          <w:rFonts w:ascii="Arial" w:cs="Arial" w:eastAsia="Arial" w:hAnsi="Arial"/>
          <w:sz w:val="17"/>
          <w:szCs w:val="17"/>
          <w:color w:val="auto"/>
        </w:rPr>
      </w:pPr>
    </w:p>
    <w:p>
      <w:pPr>
        <w:ind w:left="-344" w:right="160" w:firstLine="344"/>
        <w:spacing w:after="0" w:line="302" w:lineRule="auto"/>
        <w:tabs>
          <w:tab w:leader="none" w:pos="224" w:val="left"/>
        </w:tabs>
        <w:numPr>
          <w:ilvl w:val="0"/>
          <w:numId w:val="28"/>
        </w:numPr>
        <w:rPr>
          <w:rFonts w:ascii="Arial" w:cs="Arial" w:eastAsia="Arial" w:hAnsi="Arial"/>
          <w:sz w:val="16"/>
          <w:szCs w:val="16"/>
          <w:color w:val="auto"/>
        </w:rPr>
      </w:pPr>
      <w:r>
        <w:rPr>
          <w:rFonts w:ascii="Arial" w:cs="Arial" w:eastAsia="Arial" w:hAnsi="Arial"/>
          <w:sz w:val="16"/>
          <w:szCs w:val="16"/>
          <w:color w:val="auto"/>
        </w:rPr>
        <w:t>Guarantee means a written undertaking obligating the signer to pay the debt of another to the Insured or its assignee or to a financial institution from which the Insured has purchased participation in the debt, if the debt is not paid in accordance with its terms.</w:t>
      </w:r>
    </w:p>
    <w:p>
      <w:pPr>
        <w:spacing w:after="0" w:line="154" w:lineRule="exact"/>
        <w:rPr>
          <w:rFonts w:ascii="Arial" w:cs="Arial" w:eastAsia="Arial" w:hAnsi="Arial"/>
          <w:sz w:val="16"/>
          <w:szCs w:val="16"/>
          <w:color w:val="auto"/>
        </w:rPr>
      </w:pPr>
    </w:p>
    <w:p>
      <w:pPr>
        <w:ind w:left="-344" w:right="280" w:firstLine="344"/>
        <w:spacing w:after="0" w:line="312" w:lineRule="auto"/>
        <w:tabs>
          <w:tab w:leader="none" w:pos="224"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Instruction means a written order to the issuer of an Uncertificated Security requesting that the transfer, pledge, or release from pledge of the Uncertificated Security specified be registered.</w:t>
      </w:r>
    </w:p>
    <w:p>
      <w:pPr>
        <w:spacing w:after="0" w:line="146" w:lineRule="exact"/>
        <w:rPr>
          <w:rFonts w:ascii="Arial" w:cs="Arial" w:eastAsia="Arial" w:hAnsi="Arial"/>
          <w:sz w:val="16"/>
          <w:szCs w:val="16"/>
          <w:color w:val="auto"/>
        </w:rPr>
      </w:pPr>
    </w:p>
    <w:p>
      <w:pPr>
        <w:ind w:left="-344" w:right="60" w:firstLine="344"/>
        <w:spacing w:after="0" w:line="279" w:lineRule="auto"/>
        <w:tabs>
          <w:tab w:leader="none" w:pos="264" w:val="left"/>
        </w:tabs>
        <w:numPr>
          <w:ilvl w:val="0"/>
          <w:numId w:val="28"/>
        </w:numPr>
        <w:rPr>
          <w:rFonts w:ascii="Arial" w:cs="Arial" w:eastAsia="Arial" w:hAnsi="Arial"/>
          <w:sz w:val="17"/>
          <w:szCs w:val="17"/>
          <w:color w:val="auto"/>
        </w:rPr>
      </w:pPr>
      <w:r>
        <w:rPr>
          <w:rFonts w:ascii="Arial" w:cs="Arial" w:eastAsia="Arial" w:hAnsi="Arial"/>
          <w:sz w:val="17"/>
          <w:szCs w:val="17"/>
          <w:color w:val="auto"/>
        </w:rPr>
        <w:t>Letter of Credit means an engagement in writing by a bank or other person made at the request of a customer that the bank or other person will honor drafts or other demands for payment upon compliance with the conditions specified in the Letter of Credit.</w:t>
      </w:r>
    </w:p>
    <w:p>
      <w:pPr>
        <w:spacing w:after="0" w:line="171" w:lineRule="exact"/>
        <w:rPr>
          <w:sz w:val="20"/>
          <w:szCs w:val="20"/>
          <w:color w:val="auto"/>
        </w:rPr>
      </w:pPr>
    </w:p>
    <w:p>
      <w:pPr>
        <w:ind w:left="-344" w:right="40" w:firstLine="344"/>
        <w:spacing w:after="0" w:line="342" w:lineRule="auto"/>
        <w:tabs>
          <w:tab w:leader="none" w:pos="234" w:val="left"/>
        </w:tabs>
        <w:numPr>
          <w:ilvl w:val="0"/>
          <w:numId w:val="29"/>
        </w:numPr>
        <w:rPr>
          <w:rFonts w:ascii="Arial" w:cs="Arial" w:eastAsia="Arial" w:hAnsi="Arial"/>
          <w:sz w:val="16"/>
          <w:szCs w:val="16"/>
          <w:color w:val="auto"/>
        </w:rPr>
      </w:pPr>
      <w:r>
        <w:rPr>
          <w:rFonts w:ascii="Arial" w:cs="Arial" w:eastAsia="Arial" w:hAnsi="Arial"/>
          <w:sz w:val="16"/>
          <w:szCs w:val="16"/>
          <w:color w:val="auto"/>
        </w:rPr>
        <w:t>Money means a medium of exchange in current use authorized or adopted by a domestic or foreign government as a part of its currency.</w:t>
      </w:r>
    </w:p>
    <w:p>
      <w:pPr>
        <w:spacing w:after="0" w:line="124" w:lineRule="exact"/>
        <w:rPr>
          <w:sz w:val="20"/>
          <w:szCs w:val="20"/>
          <w:color w:val="auto"/>
        </w:rPr>
      </w:pPr>
    </w:p>
    <w:p>
      <w:pPr>
        <w:ind w:left="296" w:hanging="296"/>
        <w:spacing w:after="0"/>
        <w:tabs>
          <w:tab w:leader="none" w:pos="296"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Negotiable Instrument means any writing</w:t>
      </w:r>
    </w:p>
    <w:p>
      <w:pPr>
        <w:spacing w:after="0" w:line="130" w:lineRule="exact"/>
        <w:rPr>
          <w:rFonts w:ascii="Arial" w:cs="Arial" w:eastAsia="Arial" w:hAnsi="Arial"/>
          <w:sz w:val="18"/>
          <w:szCs w:val="18"/>
          <w:color w:val="auto"/>
        </w:rPr>
      </w:pPr>
    </w:p>
    <w:p>
      <w:pPr>
        <w:ind w:left="1096" w:hanging="362"/>
        <w:spacing w:after="0"/>
        <w:tabs>
          <w:tab w:leader="none" w:pos="1096" w:val="left"/>
        </w:tabs>
        <w:numPr>
          <w:ilvl w:val="1"/>
          <w:numId w:val="30"/>
        </w:numPr>
        <w:rPr>
          <w:rFonts w:ascii="Arial" w:cs="Arial" w:eastAsia="Arial" w:hAnsi="Arial"/>
          <w:sz w:val="18"/>
          <w:szCs w:val="18"/>
          <w:color w:val="auto"/>
        </w:rPr>
      </w:pPr>
      <w:r>
        <w:rPr>
          <w:rFonts w:ascii="Arial" w:cs="Arial" w:eastAsia="Arial" w:hAnsi="Arial"/>
          <w:sz w:val="18"/>
          <w:szCs w:val="18"/>
          <w:color w:val="auto"/>
        </w:rPr>
        <w:t>signed by the maker or drawer; and</w:t>
      </w:r>
    </w:p>
    <w:p>
      <w:pPr>
        <w:spacing w:after="0" w:line="130" w:lineRule="exact"/>
        <w:rPr>
          <w:rFonts w:ascii="Arial" w:cs="Arial" w:eastAsia="Arial" w:hAnsi="Arial"/>
          <w:sz w:val="18"/>
          <w:szCs w:val="18"/>
          <w:color w:val="auto"/>
        </w:rPr>
      </w:pPr>
    </w:p>
    <w:p>
      <w:pPr>
        <w:ind w:left="1096" w:right="200" w:hanging="362"/>
        <w:spacing w:after="0" w:line="259" w:lineRule="auto"/>
        <w:tabs>
          <w:tab w:leader="none" w:pos="1096"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containing any unconditional promise or order to pay a sum certain in Money and no other promise, order, obligation or power given by the maker or drawer; and</w:t>
      </w:r>
    </w:p>
    <w:p>
      <w:pPr>
        <w:spacing w:after="0" w:line="92" w:lineRule="exact"/>
        <w:rPr>
          <w:rFonts w:ascii="Arial" w:cs="Arial" w:eastAsia="Arial" w:hAnsi="Arial"/>
          <w:sz w:val="18"/>
          <w:szCs w:val="18"/>
          <w:color w:val="auto"/>
        </w:rPr>
      </w:pPr>
    </w:p>
    <w:p>
      <w:pPr>
        <w:ind w:left="1096" w:hanging="362"/>
        <w:spacing w:after="0"/>
        <w:tabs>
          <w:tab w:leader="none" w:pos="1096" w:val="left"/>
        </w:tabs>
        <w:numPr>
          <w:ilvl w:val="1"/>
          <w:numId w:val="30"/>
        </w:numPr>
        <w:rPr>
          <w:rFonts w:ascii="Arial" w:cs="Arial" w:eastAsia="Arial" w:hAnsi="Arial"/>
          <w:sz w:val="18"/>
          <w:szCs w:val="18"/>
          <w:color w:val="auto"/>
        </w:rPr>
      </w:pPr>
      <w:r>
        <w:rPr>
          <w:rFonts w:ascii="Arial" w:cs="Arial" w:eastAsia="Arial" w:hAnsi="Arial"/>
          <w:sz w:val="18"/>
          <w:szCs w:val="18"/>
          <w:color w:val="auto"/>
        </w:rPr>
        <w:t>is payable on demand or at a definite time; and</w:t>
      </w:r>
    </w:p>
    <w:p>
      <w:pPr>
        <w:spacing w:after="0" w:line="130" w:lineRule="exact"/>
        <w:rPr>
          <w:rFonts w:ascii="Arial" w:cs="Arial" w:eastAsia="Arial" w:hAnsi="Arial"/>
          <w:sz w:val="18"/>
          <w:szCs w:val="18"/>
          <w:color w:val="auto"/>
        </w:rPr>
      </w:pPr>
    </w:p>
    <w:p>
      <w:pPr>
        <w:ind w:left="1096" w:hanging="362"/>
        <w:spacing w:after="0"/>
        <w:tabs>
          <w:tab w:leader="none" w:pos="1096" w:val="left"/>
        </w:tabs>
        <w:numPr>
          <w:ilvl w:val="1"/>
          <w:numId w:val="30"/>
        </w:numPr>
        <w:rPr>
          <w:rFonts w:ascii="Arial" w:cs="Arial" w:eastAsia="Arial" w:hAnsi="Arial"/>
          <w:sz w:val="18"/>
          <w:szCs w:val="18"/>
          <w:color w:val="auto"/>
        </w:rPr>
      </w:pPr>
      <w:r>
        <w:rPr>
          <w:rFonts w:ascii="Arial" w:cs="Arial" w:eastAsia="Arial" w:hAnsi="Arial"/>
          <w:sz w:val="18"/>
          <w:szCs w:val="18"/>
          <w:color w:val="auto"/>
        </w:rPr>
        <w:t>is payable to order or bearer.</w:t>
      </w:r>
    </w:p>
    <w:p>
      <w:pPr>
        <w:spacing w:after="0" w:line="225" w:lineRule="exact"/>
        <w:rPr>
          <w:rFonts w:ascii="Arial" w:cs="Arial" w:eastAsia="Arial" w:hAnsi="Arial"/>
          <w:sz w:val="18"/>
          <w:szCs w:val="18"/>
          <w:color w:val="auto"/>
        </w:rPr>
      </w:pPr>
    </w:p>
    <w:p>
      <w:pPr>
        <w:ind w:left="256" w:hanging="256"/>
        <w:spacing w:after="0"/>
        <w:tabs>
          <w:tab w:leader="none" w:pos="256"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Partner means a natural person who</w:t>
      </w:r>
    </w:p>
    <w:p>
      <w:pPr>
        <w:spacing w:after="0" w:line="130" w:lineRule="exact"/>
        <w:rPr>
          <w:rFonts w:ascii="Arial" w:cs="Arial" w:eastAsia="Arial" w:hAnsi="Arial"/>
          <w:sz w:val="18"/>
          <w:szCs w:val="18"/>
          <w:color w:val="auto"/>
        </w:rPr>
      </w:pPr>
    </w:p>
    <w:p>
      <w:pPr>
        <w:ind w:left="1096" w:hanging="362"/>
        <w:spacing w:after="0"/>
        <w:tabs>
          <w:tab w:leader="none" w:pos="1096" w:val="left"/>
        </w:tabs>
        <w:numPr>
          <w:ilvl w:val="1"/>
          <w:numId w:val="30"/>
        </w:numPr>
        <w:rPr>
          <w:rFonts w:ascii="Arial" w:cs="Arial" w:eastAsia="Arial" w:hAnsi="Arial"/>
          <w:sz w:val="18"/>
          <w:szCs w:val="18"/>
          <w:color w:val="auto"/>
        </w:rPr>
      </w:pPr>
      <w:r>
        <w:rPr>
          <w:rFonts w:ascii="Arial" w:cs="Arial" w:eastAsia="Arial" w:hAnsi="Arial"/>
          <w:sz w:val="18"/>
          <w:szCs w:val="18"/>
          <w:color w:val="auto"/>
        </w:rPr>
        <w:t>is a general partner of the Insured, or</w:t>
      </w:r>
    </w:p>
    <w:p>
      <w:pPr>
        <w:spacing w:after="0" w:line="130" w:lineRule="exact"/>
        <w:rPr>
          <w:rFonts w:ascii="Arial" w:cs="Arial" w:eastAsia="Arial" w:hAnsi="Arial"/>
          <w:sz w:val="18"/>
          <w:szCs w:val="18"/>
          <w:color w:val="auto"/>
        </w:rPr>
      </w:pPr>
    </w:p>
    <w:p>
      <w:pPr>
        <w:ind w:left="1096" w:right="140" w:hanging="362"/>
        <w:spacing w:after="0" w:line="308" w:lineRule="auto"/>
        <w:tabs>
          <w:tab w:leader="none" w:pos="1096" w:val="left"/>
        </w:tabs>
        <w:numPr>
          <w:ilvl w:val="1"/>
          <w:numId w:val="30"/>
        </w:numPr>
        <w:rPr>
          <w:rFonts w:ascii="Arial" w:cs="Arial" w:eastAsia="Arial" w:hAnsi="Arial"/>
          <w:sz w:val="17"/>
          <w:szCs w:val="17"/>
          <w:color w:val="auto"/>
        </w:rPr>
      </w:pPr>
      <w:r>
        <w:rPr>
          <w:rFonts w:ascii="Arial" w:cs="Arial" w:eastAsia="Arial" w:hAnsi="Arial"/>
          <w:sz w:val="17"/>
          <w:szCs w:val="17"/>
          <w:color w:val="auto"/>
        </w:rPr>
        <w:t>is a limited partner and an Employee (as defined in Section 1 (e) (1) of the bond) of the Insured.</w:t>
      </w:r>
    </w:p>
    <w:p>
      <w:pPr>
        <w:spacing w:after="0" w:line="146" w:lineRule="exact"/>
        <w:rPr>
          <w:rFonts w:ascii="Arial" w:cs="Arial" w:eastAsia="Arial" w:hAnsi="Arial"/>
          <w:sz w:val="17"/>
          <w:szCs w:val="17"/>
          <w:color w:val="auto"/>
        </w:rPr>
      </w:pPr>
    </w:p>
    <w:p>
      <w:pPr>
        <w:ind w:left="-344" w:right="80" w:firstLine="344"/>
        <w:spacing w:after="0" w:line="288" w:lineRule="auto"/>
        <w:tabs>
          <w:tab w:leader="none" w:pos="264"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Property means Money, Certificated Securities, Uncertificated Securities of any Federal Reserve Bank of the United States, Negotiable Instruments, Certificates of Deposit, documents of title, Acceptances, Evidences of Debt, security agreements, Withdrawal Orders, certificates of origin or title, Letters of Credit, insurance policies, abstracts of title, deeds and mortgages on real estate, revenue and other stamps, tokens, unsold state lottery tickets, books of account and other records whether recorded in writing or electronically, gems, jewelry, precious metals of all kinds and in any form, and tangible items of personal property which are not hereinbefore enumerated.</w:t>
      </w:r>
    </w:p>
    <w:p>
      <w:pPr>
        <w:spacing w:after="0" w:line="169" w:lineRule="exact"/>
        <w:rPr>
          <w:rFonts w:ascii="Arial" w:cs="Arial" w:eastAsia="Arial" w:hAnsi="Arial"/>
          <w:sz w:val="16"/>
          <w:szCs w:val="16"/>
          <w:color w:val="auto"/>
        </w:rPr>
      </w:pPr>
    </w:p>
    <w:p>
      <w:pPr>
        <w:ind w:left="-344" w:right="100" w:firstLine="344"/>
        <w:spacing w:after="0" w:line="277" w:lineRule="auto"/>
        <w:tabs>
          <w:tab w:leader="none" w:pos="2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Statement of Uncertificated Security means a written statement of the issuer of an Uncertificated Security containing:</w:t>
      </w:r>
    </w:p>
    <w:p>
      <w:pPr>
        <w:spacing w:after="0" w:line="75" w:lineRule="exact"/>
        <w:rPr>
          <w:rFonts w:ascii="Arial" w:cs="Arial" w:eastAsia="Arial" w:hAnsi="Arial"/>
          <w:sz w:val="18"/>
          <w:szCs w:val="18"/>
          <w:color w:val="auto"/>
        </w:rPr>
      </w:pPr>
    </w:p>
    <w:p>
      <w:pPr>
        <w:ind w:left="1096" w:hanging="362"/>
        <w:spacing w:after="0" w:line="277" w:lineRule="auto"/>
        <w:tabs>
          <w:tab w:leader="none" w:pos="1096"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description of the Issue of which the Uncertificated Security is a part;</w:t>
      </w:r>
    </w:p>
    <w:p>
      <w:pPr>
        <w:spacing w:after="0" w:line="75" w:lineRule="exact"/>
        <w:rPr>
          <w:rFonts w:ascii="Arial" w:cs="Arial" w:eastAsia="Arial" w:hAnsi="Arial"/>
          <w:sz w:val="18"/>
          <w:szCs w:val="18"/>
          <w:color w:val="auto"/>
        </w:rPr>
      </w:pPr>
    </w:p>
    <w:p>
      <w:pPr>
        <w:ind w:left="1096" w:hanging="362"/>
        <w:spacing w:after="0"/>
        <w:tabs>
          <w:tab w:leader="none" w:pos="1096"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number of shares or units:</w:t>
      </w:r>
    </w:p>
    <w:p>
      <w:pPr>
        <w:spacing w:after="0" w:line="130" w:lineRule="exact"/>
        <w:rPr>
          <w:rFonts w:ascii="Arial" w:cs="Arial" w:eastAsia="Arial" w:hAnsi="Arial"/>
          <w:sz w:val="18"/>
          <w:szCs w:val="18"/>
          <w:color w:val="auto"/>
        </w:rPr>
      </w:pPr>
    </w:p>
    <w:p>
      <w:pPr>
        <w:ind w:left="1476" w:hanging="378"/>
        <w:spacing w:after="0"/>
        <w:tabs>
          <w:tab w:leader="none" w:pos="1476" w:val="left"/>
        </w:tabs>
        <w:numPr>
          <w:ilvl w:val="2"/>
          <w:numId w:val="30"/>
        </w:numPr>
        <w:rPr>
          <w:rFonts w:ascii="Arial" w:cs="Arial" w:eastAsia="Arial" w:hAnsi="Arial"/>
          <w:sz w:val="18"/>
          <w:szCs w:val="18"/>
          <w:color w:val="auto"/>
        </w:rPr>
      </w:pPr>
      <w:r>
        <w:rPr>
          <w:rFonts w:ascii="Arial" w:cs="Arial" w:eastAsia="Arial" w:hAnsi="Arial"/>
          <w:sz w:val="18"/>
          <w:szCs w:val="18"/>
          <w:color w:val="auto"/>
        </w:rPr>
        <w:t>transferred to the registered owner;</w:t>
      </w:r>
    </w:p>
    <w:p>
      <w:pPr>
        <w:spacing w:after="0" w:line="130" w:lineRule="exact"/>
        <w:rPr>
          <w:rFonts w:ascii="Arial" w:cs="Arial" w:eastAsia="Arial" w:hAnsi="Arial"/>
          <w:sz w:val="18"/>
          <w:szCs w:val="18"/>
          <w:color w:val="auto"/>
        </w:rPr>
      </w:pPr>
    </w:p>
    <w:p>
      <w:pPr>
        <w:ind w:left="1476" w:right="680" w:hanging="378"/>
        <w:spacing w:after="0" w:line="277" w:lineRule="auto"/>
        <w:tabs>
          <w:tab w:leader="none" w:pos="1476" w:val="left"/>
        </w:tabs>
        <w:numPr>
          <w:ilvl w:val="2"/>
          <w:numId w:val="30"/>
        </w:numPr>
        <w:rPr>
          <w:rFonts w:ascii="Arial" w:cs="Arial" w:eastAsia="Arial" w:hAnsi="Arial"/>
          <w:sz w:val="18"/>
          <w:szCs w:val="18"/>
          <w:color w:val="auto"/>
        </w:rPr>
      </w:pPr>
      <w:r>
        <w:rPr>
          <w:rFonts w:ascii="Arial" w:cs="Arial" w:eastAsia="Arial" w:hAnsi="Arial"/>
          <w:sz w:val="18"/>
          <w:szCs w:val="18"/>
          <w:color w:val="auto"/>
        </w:rPr>
        <w:t>pledged by the registered owner to the registered pledgee;</w:t>
      </w:r>
    </w:p>
    <w:p>
      <w:pPr>
        <w:spacing w:after="0" w:line="75" w:lineRule="exact"/>
        <w:rPr>
          <w:rFonts w:ascii="Arial" w:cs="Arial" w:eastAsia="Arial" w:hAnsi="Arial"/>
          <w:sz w:val="18"/>
          <w:szCs w:val="18"/>
          <w:color w:val="auto"/>
        </w:rPr>
      </w:pPr>
    </w:p>
    <w:p>
      <w:pPr>
        <w:ind w:left="1476" w:hanging="378"/>
        <w:spacing w:after="0"/>
        <w:tabs>
          <w:tab w:leader="none" w:pos="1476" w:val="left"/>
        </w:tabs>
        <w:numPr>
          <w:ilvl w:val="2"/>
          <w:numId w:val="30"/>
        </w:numPr>
        <w:rPr>
          <w:rFonts w:ascii="Arial" w:cs="Arial" w:eastAsia="Arial" w:hAnsi="Arial"/>
          <w:sz w:val="16"/>
          <w:szCs w:val="16"/>
          <w:color w:val="auto"/>
        </w:rPr>
      </w:pPr>
      <w:r>
        <w:rPr>
          <w:rFonts w:ascii="Arial" w:cs="Arial" w:eastAsia="Arial" w:hAnsi="Arial"/>
          <w:sz w:val="16"/>
          <w:szCs w:val="16"/>
          <w:color w:val="auto"/>
        </w:rPr>
        <w:t>released from pledge by the registered pledgee;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1460" w:right="20" w:hanging="362"/>
        <w:spacing w:after="0" w:line="264" w:lineRule="auto"/>
        <w:tabs>
          <w:tab w:leader="none" w:pos="14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either one of a class or series or by its terms divisible into a class or series of shares, participations, interests or obligations.</w:t>
      </w:r>
    </w:p>
    <w:p>
      <w:pPr>
        <w:spacing w:after="0" w:line="181" w:lineRule="exact"/>
        <w:rPr>
          <w:rFonts w:ascii="Arial" w:cs="Arial" w:eastAsia="Arial" w:hAnsi="Arial"/>
          <w:sz w:val="18"/>
          <w:szCs w:val="18"/>
          <w:color w:val="auto"/>
        </w:rPr>
      </w:pPr>
    </w:p>
    <w:p>
      <w:pPr>
        <w:ind w:firstLine="364"/>
        <w:spacing w:after="0" w:line="312" w:lineRule="auto"/>
        <w:tabs>
          <w:tab w:leader="none" w:pos="595" w:val="left"/>
        </w:tabs>
        <w:numPr>
          <w:ilvl w:val="0"/>
          <w:numId w:val="32"/>
        </w:numPr>
        <w:rPr>
          <w:rFonts w:ascii="Arial" w:cs="Arial" w:eastAsia="Arial" w:hAnsi="Arial"/>
          <w:sz w:val="16"/>
          <w:szCs w:val="16"/>
          <w:color w:val="auto"/>
        </w:rPr>
      </w:pPr>
      <w:r>
        <w:rPr>
          <w:rFonts w:ascii="Arial" w:cs="Arial" w:eastAsia="Arial" w:hAnsi="Arial"/>
          <w:sz w:val="16"/>
          <w:szCs w:val="16"/>
          <w:color w:val="auto"/>
        </w:rPr>
        <w:t>Withdrawal Order means a non-negotiable instrument, other than an Instruction, signed by a customer of the Insured authorizing the Insured to debit the customer’s account in the amount of funds stated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-1123315</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43"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EXCLUSIONS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2. This bond does not cover:</w:t>
      </w:r>
    </w:p>
    <w:p>
      <w:pPr>
        <w:spacing w:after="0" w:line="117" w:lineRule="exact"/>
        <w:rPr>
          <w:sz w:val="20"/>
          <w:szCs w:val="20"/>
          <w:color w:val="auto"/>
        </w:rPr>
      </w:pPr>
    </w:p>
    <w:p>
      <w:pPr>
        <w:ind w:right="360" w:firstLine="364"/>
        <w:spacing w:after="0" w:line="342" w:lineRule="auto"/>
        <w:tabs>
          <w:tab w:leader="none" w:pos="605" w:val="left"/>
        </w:tabs>
        <w:numPr>
          <w:ilvl w:val="0"/>
          <w:numId w:val="33"/>
        </w:numPr>
        <w:rPr>
          <w:rFonts w:ascii="Arial" w:cs="Arial" w:eastAsia="Arial" w:hAnsi="Arial"/>
          <w:sz w:val="16"/>
          <w:szCs w:val="16"/>
          <w:color w:val="auto"/>
        </w:rPr>
      </w:pPr>
      <w:r>
        <w:rPr>
          <w:rFonts w:ascii="Arial" w:cs="Arial" w:eastAsia="Arial" w:hAnsi="Arial"/>
          <w:sz w:val="16"/>
          <w:szCs w:val="16"/>
          <w:color w:val="auto"/>
        </w:rPr>
        <w:t>loss resulting directly or indirectly from forgery or alteration, except when covered under Insuring Agreements (A), (D) or (E);</w:t>
      </w:r>
    </w:p>
    <w:p>
      <w:pPr>
        <w:spacing w:after="0" w:line="123" w:lineRule="exact"/>
        <w:rPr>
          <w:rFonts w:ascii="Arial" w:cs="Arial" w:eastAsia="Arial" w:hAnsi="Arial"/>
          <w:sz w:val="16"/>
          <w:szCs w:val="16"/>
          <w:color w:val="auto"/>
        </w:rPr>
      </w:pPr>
    </w:p>
    <w:p>
      <w:pPr>
        <w:ind w:right="60" w:firstLine="364"/>
        <w:spacing w:after="0" w:line="272" w:lineRule="auto"/>
        <w:tabs>
          <w:tab w:leader="none" w:pos="615" w:val="left"/>
        </w:tabs>
        <w:numPr>
          <w:ilvl w:val="0"/>
          <w:numId w:val="33"/>
        </w:numPr>
        <w:rPr>
          <w:rFonts w:ascii="Arial" w:cs="Arial" w:eastAsia="Arial" w:hAnsi="Arial"/>
          <w:sz w:val="17"/>
          <w:szCs w:val="17"/>
          <w:color w:val="auto"/>
        </w:rPr>
      </w:pPr>
      <w:r>
        <w:rPr>
          <w:rFonts w:ascii="Arial" w:cs="Arial" w:eastAsia="Arial" w:hAnsi="Arial"/>
          <w:sz w:val="17"/>
          <w:szCs w:val="17"/>
          <w:color w:val="auto"/>
        </w:rPr>
        <w:t>loss due to riot or civil commotion outside the United States of America and Canada; or loss due to military, naval or usurped power, war or insurrection unless such loss occurs in transit in the circumstances recited in Insuring Agreement (C), and unless, when such transit was initiated, there was no knowledge of such riot, civil commotion, military, naval or usurped power, war or insurrection on the part of any person acting for the Insured in initiating such transit;</w:t>
      </w:r>
    </w:p>
    <w:p>
      <w:pPr>
        <w:spacing w:after="0" w:line="177" w:lineRule="exact"/>
        <w:rPr>
          <w:rFonts w:ascii="Arial" w:cs="Arial" w:eastAsia="Arial" w:hAnsi="Arial"/>
          <w:sz w:val="17"/>
          <w:szCs w:val="17"/>
          <w:color w:val="auto"/>
        </w:rPr>
      </w:pPr>
    </w:p>
    <w:p>
      <w:pPr>
        <w:ind w:right="180" w:firstLine="364"/>
        <w:spacing w:after="0" w:line="312" w:lineRule="auto"/>
        <w:tabs>
          <w:tab w:leader="none" w:pos="605" w:val="left"/>
        </w:tabs>
        <w:numPr>
          <w:ilvl w:val="0"/>
          <w:numId w:val="33"/>
        </w:numPr>
        <w:rPr>
          <w:rFonts w:ascii="Arial" w:cs="Arial" w:eastAsia="Arial" w:hAnsi="Arial"/>
          <w:sz w:val="16"/>
          <w:szCs w:val="16"/>
          <w:color w:val="auto"/>
        </w:rPr>
      </w:pPr>
      <w:r>
        <w:rPr>
          <w:rFonts w:ascii="Arial" w:cs="Arial" w:eastAsia="Arial" w:hAnsi="Arial"/>
          <w:sz w:val="16"/>
          <w:szCs w:val="16"/>
          <w:color w:val="auto"/>
        </w:rPr>
        <w:t>loss resulting directly or indirectly from the effects of nuclear fission or fusion or radioactivity; provided, however, that this paragraph shall not apply to loss resulting from industrial uses of nuclear energy;</w:t>
      </w:r>
    </w:p>
    <w:p>
      <w:pPr>
        <w:spacing w:after="0" w:line="146" w:lineRule="exact"/>
        <w:rPr>
          <w:rFonts w:ascii="Arial" w:cs="Arial" w:eastAsia="Arial" w:hAnsi="Arial"/>
          <w:sz w:val="16"/>
          <w:szCs w:val="16"/>
          <w:color w:val="auto"/>
        </w:rPr>
      </w:pPr>
    </w:p>
    <w:p>
      <w:pPr>
        <w:ind w:right="20" w:firstLine="364"/>
        <w:spacing w:after="0" w:line="293" w:lineRule="auto"/>
        <w:tabs>
          <w:tab w:leader="none" w:pos="615" w:val="left"/>
        </w:tabs>
        <w:numPr>
          <w:ilvl w:val="0"/>
          <w:numId w:val="33"/>
        </w:numPr>
        <w:rPr>
          <w:rFonts w:ascii="Arial" w:cs="Arial" w:eastAsia="Arial" w:hAnsi="Arial"/>
          <w:sz w:val="16"/>
          <w:szCs w:val="16"/>
          <w:color w:val="auto"/>
        </w:rPr>
      </w:pPr>
      <w:r>
        <w:rPr>
          <w:rFonts w:ascii="Arial" w:cs="Arial" w:eastAsia="Arial" w:hAnsi="Arial"/>
          <w:sz w:val="16"/>
          <w:szCs w:val="16"/>
          <w:color w:val="auto"/>
        </w:rPr>
        <w:t>loss resulting from any act or acts of any person who is a member of the Board of Directors of the Insured or a member of any equivalent body by whatsoever name known unless such person is also an Employee or an elected official of the Insured in some other capacity, nor, in any event, loss resulting from the act or acts of any person while acting in the capacity of a member of such Board or equivalent body;</w:t>
      </w:r>
    </w:p>
    <w:p>
      <w:pPr>
        <w:spacing w:after="0" w:line="164" w:lineRule="exact"/>
        <w:rPr>
          <w:rFonts w:ascii="Arial" w:cs="Arial" w:eastAsia="Arial" w:hAnsi="Arial"/>
          <w:sz w:val="16"/>
          <w:szCs w:val="16"/>
          <w:color w:val="auto"/>
        </w:rPr>
      </w:pPr>
    </w:p>
    <w:p>
      <w:pPr>
        <w:ind w:right="220" w:firstLine="364"/>
        <w:spacing w:after="0" w:line="271" w:lineRule="auto"/>
        <w:tabs>
          <w:tab w:leader="none" w:pos="605" w:val="left"/>
        </w:tabs>
        <w:numPr>
          <w:ilvl w:val="0"/>
          <w:numId w:val="33"/>
        </w:numPr>
        <w:rPr>
          <w:rFonts w:ascii="Arial" w:cs="Arial" w:eastAsia="Arial" w:hAnsi="Arial"/>
          <w:sz w:val="17"/>
          <w:szCs w:val="17"/>
          <w:color w:val="auto"/>
        </w:rPr>
      </w:pPr>
      <w:r>
        <w:rPr>
          <w:rFonts w:ascii="Arial" w:cs="Arial" w:eastAsia="Arial" w:hAnsi="Arial"/>
          <w:sz w:val="17"/>
          <w:szCs w:val="17"/>
          <w:color w:val="auto"/>
        </w:rPr>
        <w:t>loss resulting directly or indirectly from the complete or partial non-payment of, or default upon, any loan or transaction involving the Insured as a lender or borrower, or extension of credit, including the purchase, discounting or other acquisition of false or genuine accounts, invoices, notes, agreements or Evidences of Debt, whether such loan, transaction or extension was procured in good faith or through trick, artifice, fraud or false pretenses: except when covered under Insuring Agreements (A), (D) or (E);</w:t>
      </w:r>
    </w:p>
    <w:p>
      <w:pPr>
        <w:spacing w:after="0" w:line="178" w:lineRule="exact"/>
        <w:rPr>
          <w:rFonts w:ascii="Arial" w:cs="Arial" w:eastAsia="Arial" w:hAnsi="Arial"/>
          <w:sz w:val="17"/>
          <w:szCs w:val="17"/>
          <w:color w:val="auto"/>
        </w:rPr>
      </w:pPr>
    </w:p>
    <w:p>
      <w:pPr>
        <w:ind w:right="660" w:firstLine="364"/>
        <w:spacing w:after="0" w:line="277" w:lineRule="auto"/>
        <w:tabs>
          <w:tab w:leader="none" w:pos="585"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resulting from any violation by the Insured or by any Employee</w:t>
      </w:r>
    </w:p>
    <w:p>
      <w:pPr>
        <w:spacing w:after="0" w:line="197" w:lineRule="exact"/>
        <w:rPr>
          <w:rFonts w:ascii="Arial" w:cs="Arial" w:eastAsia="Arial" w:hAnsi="Arial"/>
          <w:sz w:val="18"/>
          <w:szCs w:val="18"/>
          <w:color w:val="auto"/>
        </w:rPr>
      </w:pPr>
    </w:p>
    <w:p>
      <w:pPr>
        <w:ind w:left="1100" w:right="380" w:hanging="367"/>
        <w:spacing w:after="0" w:line="302" w:lineRule="auto"/>
        <w:tabs>
          <w:tab w:leader="none" w:pos="11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of law regulating (i) the issuance, purchase or sale of securities. (ii) securities transactions upon security exchanges or over the counter market, (iii) investment companies, or (iv) investment advisers, or</w:t>
      </w:r>
    </w:p>
    <w:p>
      <w:pPr>
        <w:spacing w:after="0" w:line="59" w:lineRule="exact"/>
        <w:rPr>
          <w:rFonts w:ascii="Arial" w:cs="Arial" w:eastAsia="Arial" w:hAnsi="Arial"/>
          <w:sz w:val="16"/>
          <w:szCs w:val="16"/>
          <w:color w:val="auto"/>
        </w:rPr>
      </w:pPr>
    </w:p>
    <w:p>
      <w:pPr>
        <w:ind w:left="1100" w:hanging="367"/>
        <w:spacing w:after="0" w:line="255" w:lineRule="auto"/>
        <w:tabs>
          <w:tab w:leader="none" w:pos="11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of any rule or regulation made pursuant to any such law, unless it is established by the Insured that the act or acts which caused the said loss involved fraudulent or dishonest conduct which would have caused a loss to the Insured in a similar amount in the absence of such laws, rules or regulations;</w:t>
      </w:r>
    </w:p>
    <w:p>
      <w:pPr>
        <w:spacing w:after="0" w:line="193" w:lineRule="exact"/>
        <w:rPr>
          <w:rFonts w:ascii="Arial" w:cs="Arial" w:eastAsia="Arial" w:hAnsi="Arial"/>
          <w:sz w:val="18"/>
          <w:szCs w:val="18"/>
          <w:color w:val="auto"/>
        </w:rPr>
      </w:pPr>
    </w:p>
    <w:p>
      <w:pPr>
        <w:jc w:val="both"/>
        <w:ind w:right="100" w:firstLine="364"/>
        <w:spacing w:after="0" w:line="257" w:lineRule="auto"/>
        <w:tabs>
          <w:tab w:leader="none" w:pos="6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resulting directly or indirectly from the failure of a financial or depository institution, or its receiver or liquidator, to pay or deliver, on demand of the Insured, funds or Property of the Insured held by it in any capacity, except when covered under Insuring Agreements (A) or (B)(1) (a);</w:t>
      </w:r>
    </w:p>
    <w:p>
      <w:pPr>
        <w:spacing w:after="0" w:line="188" w:lineRule="exact"/>
        <w:rPr>
          <w:rFonts w:ascii="Arial" w:cs="Arial" w:eastAsia="Arial" w:hAnsi="Arial"/>
          <w:sz w:val="18"/>
          <w:szCs w:val="18"/>
          <w:color w:val="auto"/>
        </w:rPr>
      </w:pPr>
    </w:p>
    <w:p>
      <w:pPr>
        <w:jc w:val="both"/>
        <w:ind w:right="20" w:firstLine="364"/>
        <w:spacing w:after="0" w:line="279" w:lineRule="auto"/>
        <w:tabs>
          <w:tab w:leader="none" w:pos="615" w:val="left"/>
        </w:tabs>
        <w:numPr>
          <w:ilvl w:val="0"/>
          <w:numId w:val="33"/>
        </w:numPr>
        <w:rPr>
          <w:rFonts w:ascii="Arial" w:cs="Arial" w:eastAsia="Arial" w:hAnsi="Arial"/>
          <w:sz w:val="17"/>
          <w:szCs w:val="17"/>
          <w:color w:val="auto"/>
        </w:rPr>
      </w:pPr>
      <w:r>
        <w:rPr>
          <w:rFonts w:ascii="Arial" w:cs="Arial" w:eastAsia="Arial" w:hAnsi="Arial"/>
          <w:sz w:val="17"/>
          <w:szCs w:val="17"/>
          <w:color w:val="auto"/>
        </w:rPr>
        <w:t>loss caused by an Employee, except when covered under Insuring Agreement (A) or when covered under Insuring Agreement (B) or (C) and resulting directly from misplacement, mysterious unexplainable disappearance or destruction of or damage to Property:</w:t>
      </w:r>
    </w:p>
    <w:p>
      <w:pPr>
        <w:spacing w:after="0" w:line="171" w:lineRule="exact"/>
        <w:rPr>
          <w:rFonts w:ascii="Arial" w:cs="Arial" w:eastAsia="Arial" w:hAnsi="Arial"/>
          <w:sz w:val="17"/>
          <w:szCs w:val="17"/>
          <w:color w:val="auto"/>
        </w:rPr>
      </w:pPr>
    </w:p>
    <w:p>
      <w:pPr>
        <w:ind w:right="20" w:firstLine="364"/>
        <w:spacing w:after="0" w:line="255" w:lineRule="auto"/>
        <w:tabs>
          <w:tab w:leader="none" w:pos="5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resulting directly or indirectly from transactions in a customer’s account, whether authorized or unauthorized, except the unlawful withdrawal and conversion of Money, securities or precious metals, directly from a customer’s account by an Employee provided such unlawful withdrawal and conversion is covered under Insuring Agreement (A):</w:t>
      </w:r>
    </w:p>
    <w:p>
      <w:pPr>
        <w:sectPr>
          <w:pgSz w:w="11900" w:h="16864" w:orient="portrait"/>
          <w:cols w:equalWidth="0" w:num="2">
            <w:col w:w="4916" w:space="340"/>
            <w:col w:w="5380"/>
          </w:cols>
          <w:pgMar w:left="804" w:top="328" w:right="459" w:bottom="0" w:gutter="0" w:footer="0" w:header="0"/>
        </w:sectPr>
      </w:pPr>
    </w:p>
    <w:bookmarkStart w:id="11" w:name="page12"/>
    <w:bookmarkEnd w:id="11"/>
    <w:p>
      <w:pPr>
        <w:spacing w:after="0" w:line="122" w:lineRule="exact"/>
        <w:rPr>
          <w:sz w:val="20"/>
          <w:szCs w:val="20"/>
          <w:color w:val="auto"/>
        </w:rPr>
      </w:pPr>
    </w:p>
    <w:p>
      <w:pPr>
        <w:ind w:left="1840" w:right="124" w:hanging="378"/>
        <w:spacing w:after="0" w:line="277" w:lineRule="auto"/>
        <w:tabs>
          <w:tab w:leader="none" w:pos="1840" w:val="left"/>
        </w:tabs>
        <w:numPr>
          <w:ilvl w:val="2"/>
          <w:numId w:val="34"/>
        </w:numPr>
        <w:rPr>
          <w:rFonts w:ascii="Arial" w:cs="Arial" w:eastAsia="Arial" w:hAnsi="Arial"/>
          <w:sz w:val="18"/>
          <w:szCs w:val="18"/>
          <w:color w:val="auto"/>
        </w:rPr>
      </w:pPr>
      <w:r>
        <w:rPr>
          <w:rFonts w:ascii="Arial" w:cs="Arial" w:eastAsia="Arial" w:hAnsi="Arial"/>
          <w:sz w:val="18"/>
          <w:szCs w:val="18"/>
          <w:color w:val="auto"/>
        </w:rPr>
        <w:t>registered in the name of the registered owner on the date of the statement; or</w:t>
      </w:r>
    </w:p>
    <w:p>
      <w:pPr>
        <w:spacing w:after="0" w:line="75" w:lineRule="exact"/>
        <w:rPr>
          <w:rFonts w:ascii="Arial" w:cs="Arial" w:eastAsia="Arial" w:hAnsi="Arial"/>
          <w:sz w:val="18"/>
          <w:szCs w:val="18"/>
          <w:color w:val="auto"/>
        </w:rPr>
      </w:pPr>
    </w:p>
    <w:p>
      <w:pPr>
        <w:ind w:left="1840" w:hanging="378"/>
        <w:spacing w:after="0"/>
        <w:tabs>
          <w:tab w:leader="none" w:pos="1840" w:val="left"/>
        </w:tabs>
        <w:numPr>
          <w:ilvl w:val="2"/>
          <w:numId w:val="34"/>
        </w:numPr>
        <w:rPr>
          <w:rFonts w:ascii="Arial" w:cs="Arial" w:eastAsia="Arial" w:hAnsi="Arial"/>
          <w:sz w:val="16"/>
          <w:szCs w:val="16"/>
          <w:color w:val="auto"/>
        </w:rPr>
      </w:pPr>
      <w:r>
        <w:rPr>
          <w:rFonts w:ascii="Arial" w:cs="Arial" w:eastAsia="Arial" w:hAnsi="Arial"/>
          <w:sz w:val="16"/>
          <w:szCs w:val="16"/>
          <w:color w:val="auto"/>
        </w:rPr>
        <w:t>subject to pledge on the date of the statement;</w:t>
      </w:r>
    </w:p>
    <w:p>
      <w:pPr>
        <w:spacing w:after="0" w:line="153" w:lineRule="exact"/>
        <w:rPr>
          <w:rFonts w:ascii="Arial" w:cs="Arial" w:eastAsia="Arial" w:hAnsi="Arial"/>
          <w:sz w:val="16"/>
          <w:szCs w:val="16"/>
          <w:color w:val="auto"/>
        </w:rPr>
      </w:pPr>
    </w:p>
    <w:p>
      <w:pPr>
        <w:ind w:left="1460" w:right="244" w:hanging="362"/>
        <w:spacing w:after="0" w:line="277" w:lineRule="auto"/>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name and address of the registered owner and registered pledge;</w:t>
      </w:r>
    </w:p>
    <w:p>
      <w:pPr>
        <w:spacing w:after="0" w:line="75" w:lineRule="exact"/>
        <w:rPr>
          <w:rFonts w:ascii="Arial" w:cs="Arial" w:eastAsia="Arial" w:hAnsi="Arial"/>
          <w:sz w:val="18"/>
          <w:szCs w:val="18"/>
          <w:color w:val="auto"/>
        </w:rPr>
      </w:pPr>
    </w:p>
    <w:p>
      <w:pPr>
        <w:ind w:left="1460" w:right="104" w:hanging="362"/>
        <w:spacing w:after="0" w:line="257" w:lineRule="auto"/>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 notation of any liens and restrictions of the issuer and any adverse claims to which the Uncertificated Security is or may be subject or a statement that there are none of those liens, restrictions or adverse claims; and</w:t>
      </w:r>
    </w:p>
    <w:p>
      <w:pPr>
        <w:spacing w:after="0" w:line="93" w:lineRule="exact"/>
        <w:rPr>
          <w:rFonts w:ascii="Arial" w:cs="Arial" w:eastAsia="Arial" w:hAnsi="Arial"/>
          <w:sz w:val="18"/>
          <w:szCs w:val="18"/>
          <w:color w:val="auto"/>
        </w:rPr>
      </w:pPr>
    </w:p>
    <w:p>
      <w:pPr>
        <w:ind w:left="1460" w:hanging="362"/>
        <w:spacing w:after="0"/>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date:</w:t>
      </w:r>
    </w:p>
    <w:p>
      <w:pPr>
        <w:spacing w:after="0" w:line="130" w:lineRule="exact"/>
        <w:rPr>
          <w:rFonts w:ascii="Arial" w:cs="Arial" w:eastAsia="Arial" w:hAnsi="Arial"/>
          <w:sz w:val="18"/>
          <w:szCs w:val="18"/>
          <w:color w:val="auto"/>
        </w:rPr>
      </w:pPr>
    </w:p>
    <w:p>
      <w:pPr>
        <w:ind w:left="1840" w:right="264" w:hanging="378"/>
        <w:spacing w:after="0" w:line="264" w:lineRule="auto"/>
        <w:tabs>
          <w:tab w:leader="none" w:pos="1840" w:val="left"/>
        </w:tabs>
        <w:numPr>
          <w:ilvl w:val="2"/>
          <w:numId w:val="35"/>
        </w:numPr>
        <w:rPr>
          <w:rFonts w:ascii="Arial" w:cs="Arial" w:eastAsia="Arial" w:hAnsi="Arial"/>
          <w:sz w:val="18"/>
          <w:szCs w:val="18"/>
          <w:color w:val="auto"/>
        </w:rPr>
      </w:pPr>
      <w:r>
        <w:rPr>
          <w:rFonts w:ascii="Arial" w:cs="Arial" w:eastAsia="Arial" w:hAnsi="Arial"/>
          <w:sz w:val="18"/>
          <w:szCs w:val="18"/>
          <w:color w:val="auto"/>
        </w:rPr>
        <w:t>the transfer of the shares or units to the new registered owner of the shares or units was registered;</w:t>
      </w:r>
    </w:p>
    <w:p>
      <w:pPr>
        <w:spacing w:after="0" w:line="86" w:lineRule="exact"/>
        <w:rPr>
          <w:rFonts w:ascii="Arial" w:cs="Arial" w:eastAsia="Arial" w:hAnsi="Arial"/>
          <w:sz w:val="18"/>
          <w:szCs w:val="18"/>
          <w:color w:val="auto"/>
        </w:rPr>
      </w:pPr>
    </w:p>
    <w:p>
      <w:pPr>
        <w:ind w:left="1840" w:right="544" w:hanging="378"/>
        <w:spacing w:after="0" w:line="277" w:lineRule="auto"/>
        <w:tabs>
          <w:tab w:leader="none" w:pos="1840" w:val="left"/>
        </w:tabs>
        <w:numPr>
          <w:ilvl w:val="2"/>
          <w:numId w:val="35"/>
        </w:numPr>
        <w:rPr>
          <w:rFonts w:ascii="Arial" w:cs="Arial" w:eastAsia="Arial" w:hAnsi="Arial"/>
          <w:sz w:val="18"/>
          <w:szCs w:val="18"/>
          <w:color w:val="auto"/>
        </w:rPr>
      </w:pPr>
      <w:r>
        <w:rPr>
          <w:rFonts w:ascii="Arial" w:cs="Arial" w:eastAsia="Arial" w:hAnsi="Arial"/>
          <w:sz w:val="18"/>
          <w:szCs w:val="18"/>
          <w:color w:val="auto"/>
        </w:rPr>
        <w:t>the pledge of the registered pledgee was registered, or</w:t>
      </w:r>
    </w:p>
    <w:p>
      <w:pPr>
        <w:spacing w:after="0" w:line="75" w:lineRule="exact"/>
        <w:rPr>
          <w:rFonts w:ascii="Arial" w:cs="Arial" w:eastAsia="Arial" w:hAnsi="Arial"/>
          <w:sz w:val="18"/>
          <w:szCs w:val="18"/>
          <w:color w:val="auto"/>
        </w:rPr>
      </w:pPr>
    </w:p>
    <w:p>
      <w:pPr>
        <w:ind w:left="1840" w:right="284" w:hanging="378"/>
        <w:spacing w:after="0" w:line="277" w:lineRule="auto"/>
        <w:tabs>
          <w:tab w:leader="none" w:pos="1840" w:val="left"/>
        </w:tabs>
        <w:numPr>
          <w:ilvl w:val="2"/>
          <w:numId w:val="35"/>
        </w:numPr>
        <w:rPr>
          <w:rFonts w:ascii="Arial" w:cs="Arial" w:eastAsia="Arial" w:hAnsi="Arial"/>
          <w:sz w:val="18"/>
          <w:szCs w:val="18"/>
          <w:color w:val="auto"/>
        </w:rPr>
      </w:pPr>
      <w:r>
        <w:rPr>
          <w:rFonts w:ascii="Arial" w:cs="Arial" w:eastAsia="Arial" w:hAnsi="Arial"/>
          <w:sz w:val="18"/>
          <w:szCs w:val="18"/>
          <w:color w:val="auto"/>
        </w:rPr>
        <w:t>of the statement, if it is a periodic or annual statement.</w:t>
      </w:r>
    </w:p>
    <w:p>
      <w:pPr>
        <w:spacing w:after="0" w:line="170" w:lineRule="exact"/>
        <w:rPr>
          <w:rFonts w:ascii="Arial" w:cs="Arial" w:eastAsia="Arial" w:hAnsi="Arial"/>
          <w:sz w:val="18"/>
          <w:szCs w:val="18"/>
          <w:color w:val="auto"/>
        </w:rPr>
      </w:pPr>
    </w:p>
    <w:p>
      <w:pPr>
        <w:ind w:left="20" w:right="104" w:firstLine="344"/>
        <w:spacing w:after="0" w:line="264" w:lineRule="auto"/>
        <w:tabs>
          <w:tab w:leader="none" w:pos="6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Transportation Company means any organization which provides its own or leased vehicles for transportation or which provides freight forwarding or air express services.</w:t>
      </w:r>
    </w:p>
    <w:p>
      <w:pPr>
        <w:spacing w:after="0" w:line="181" w:lineRule="exact"/>
        <w:rPr>
          <w:rFonts w:ascii="Arial" w:cs="Arial" w:eastAsia="Arial" w:hAnsi="Arial"/>
          <w:sz w:val="18"/>
          <w:szCs w:val="18"/>
          <w:color w:val="auto"/>
        </w:rPr>
      </w:pPr>
    </w:p>
    <w:p>
      <w:pPr>
        <w:ind w:left="20" w:right="224" w:firstLine="344"/>
        <w:spacing w:after="0" w:line="264" w:lineRule="auto"/>
        <w:tabs>
          <w:tab w:leader="none" w:pos="598"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Uncertificated Security means a share, participation or other interest in property of or an enterprise of the issuer or an obligation of the issuer, which is:</w:t>
      </w:r>
    </w:p>
    <w:p>
      <w:pPr>
        <w:spacing w:after="0" w:line="86" w:lineRule="exact"/>
        <w:rPr>
          <w:rFonts w:ascii="Arial" w:cs="Arial" w:eastAsia="Arial" w:hAnsi="Arial"/>
          <w:sz w:val="18"/>
          <w:szCs w:val="18"/>
          <w:color w:val="auto"/>
        </w:rPr>
      </w:pPr>
    </w:p>
    <w:p>
      <w:pPr>
        <w:ind w:left="1460" w:right="84" w:hanging="362"/>
        <w:spacing w:after="0" w:line="312" w:lineRule="auto"/>
        <w:tabs>
          <w:tab w:leader="none" w:pos="14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not represented by an instrument and the transfer of which is registered upon books maintained for that purpose by or on behalf of the issuer;</w:t>
      </w:r>
    </w:p>
    <w:p>
      <w:pPr>
        <w:spacing w:after="0" w:line="52" w:lineRule="exact"/>
        <w:rPr>
          <w:rFonts w:ascii="Arial" w:cs="Arial" w:eastAsia="Arial" w:hAnsi="Arial"/>
          <w:sz w:val="16"/>
          <w:szCs w:val="16"/>
          <w:color w:val="auto"/>
        </w:rPr>
      </w:pPr>
    </w:p>
    <w:p>
      <w:pPr>
        <w:ind w:left="1460" w:right="24" w:hanging="362"/>
        <w:spacing w:after="0" w:line="277" w:lineRule="auto"/>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and</w:t>
      </w:r>
    </w:p>
    <w:p>
      <w:pPr>
        <w:spacing w:after="0" w:line="20" w:lineRule="exact"/>
        <w:rPr>
          <w:sz w:val="20"/>
          <w:szCs w:val="20"/>
          <w:color w:val="auto"/>
        </w:rPr>
      </w:pPr>
      <w:r>
        <w:rPr>
          <w:sz w:val="20"/>
          <w:szCs w:val="20"/>
          <w:color w:val="auto"/>
        </w:rPr>
        <w:br w:type="column"/>
      </w:r>
    </w:p>
    <w:p>
      <w:pPr>
        <w:ind w:left="-364" w:right="20" w:firstLine="364"/>
        <w:spacing w:after="0" w:line="291" w:lineRule="auto"/>
        <w:tabs>
          <w:tab w:leader="none" w:pos="211" w:val="left"/>
        </w:tabs>
        <w:numPr>
          <w:ilvl w:val="0"/>
          <w:numId w:val="37"/>
        </w:numPr>
        <w:rPr>
          <w:rFonts w:ascii="Arial" w:cs="Arial" w:eastAsia="Arial" w:hAnsi="Arial"/>
          <w:sz w:val="16"/>
          <w:szCs w:val="16"/>
          <w:color w:val="auto"/>
        </w:rPr>
      </w:pPr>
      <w:r>
        <w:rPr>
          <w:rFonts w:ascii="Arial" w:cs="Arial" w:eastAsia="Arial" w:hAnsi="Arial"/>
          <w:sz w:val="16"/>
          <w:szCs w:val="16"/>
          <w:color w:val="auto"/>
        </w:rPr>
        <w:t>damages resulting from any civil, criminal or other legal proceeding in which the Insured is alleged to have engaged in racketeering activity except when the Insured establishes that the act or acts giving rise to such damages were committed by an Employee under circumstances which result directly in a loss to the Insured covered by Insuring Agreement (A). For the purposes of this exclusion, “racketeering activity” is defined in 18 United States Code 1961 et seq., as amended;</w:t>
      </w:r>
    </w:p>
    <w:p>
      <w:pPr>
        <w:spacing w:after="0" w:line="167" w:lineRule="exact"/>
        <w:rPr>
          <w:rFonts w:ascii="Arial" w:cs="Arial" w:eastAsia="Arial" w:hAnsi="Arial"/>
          <w:sz w:val="16"/>
          <w:szCs w:val="16"/>
          <w:color w:val="auto"/>
        </w:rPr>
      </w:pPr>
    </w:p>
    <w:p>
      <w:pPr>
        <w:ind w:left="-364" w:right="140" w:firstLine="364"/>
        <w:spacing w:after="0" w:line="264" w:lineRule="auto"/>
        <w:tabs>
          <w:tab w:leader="none" w:pos="251"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resulting directly or indirectly from the use or purported use of credit, debit, charge, access, convenience, identification, cash management or other cards</w:t>
      </w:r>
    </w:p>
    <w:p>
      <w:pPr>
        <w:spacing w:after="0" w:line="86" w:lineRule="exact"/>
        <w:rPr>
          <w:rFonts w:ascii="Arial" w:cs="Arial" w:eastAsia="Arial" w:hAnsi="Arial"/>
          <w:sz w:val="18"/>
          <w:szCs w:val="18"/>
          <w:color w:val="auto"/>
        </w:rPr>
      </w:pPr>
    </w:p>
    <w:p>
      <w:pPr>
        <w:ind w:left="1096" w:hanging="362"/>
        <w:spacing w:after="0"/>
        <w:tabs>
          <w:tab w:leader="none" w:pos="1096"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 obtaining credit or funds, or</w:t>
      </w:r>
    </w:p>
    <w:p>
      <w:pPr>
        <w:spacing w:after="0" w:line="130" w:lineRule="exact"/>
        <w:rPr>
          <w:rFonts w:ascii="Arial" w:cs="Arial" w:eastAsia="Arial" w:hAnsi="Arial"/>
          <w:sz w:val="18"/>
          <w:szCs w:val="18"/>
          <w:color w:val="auto"/>
        </w:rPr>
      </w:pPr>
    </w:p>
    <w:p>
      <w:pPr>
        <w:ind w:left="1096" w:right="100" w:hanging="362"/>
        <w:spacing w:after="0" w:line="302" w:lineRule="auto"/>
        <w:tabs>
          <w:tab w:leader="none" w:pos="1096" w:val="left"/>
        </w:tabs>
        <w:numPr>
          <w:ilvl w:val="1"/>
          <w:numId w:val="37"/>
        </w:numPr>
        <w:rPr>
          <w:rFonts w:ascii="Arial" w:cs="Arial" w:eastAsia="Arial" w:hAnsi="Arial"/>
          <w:sz w:val="16"/>
          <w:szCs w:val="16"/>
          <w:color w:val="auto"/>
        </w:rPr>
      </w:pPr>
      <w:r>
        <w:rPr>
          <w:rFonts w:ascii="Arial" w:cs="Arial" w:eastAsia="Arial" w:hAnsi="Arial"/>
          <w:sz w:val="16"/>
          <w:szCs w:val="16"/>
          <w:color w:val="auto"/>
        </w:rPr>
        <w:t>in gaining access to automated mechanical devices which, on behalf of the Insured, disburse Money, accept deposits, cash checks, drafts or similar written instruments or make credit card loans, or</w:t>
      </w:r>
    </w:p>
    <w:p>
      <w:pPr>
        <w:spacing w:after="0" w:line="59" w:lineRule="exact"/>
        <w:rPr>
          <w:rFonts w:ascii="Arial" w:cs="Arial" w:eastAsia="Arial" w:hAnsi="Arial"/>
          <w:sz w:val="16"/>
          <w:szCs w:val="16"/>
          <w:color w:val="auto"/>
        </w:rPr>
      </w:pPr>
    </w:p>
    <w:p>
      <w:pPr>
        <w:ind w:left="1096" w:right="60" w:hanging="362"/>
        <w:spacing w:after="0" w:line="272" w:lineRule="auto"/>
        <w:tabs>
          <w:tab w:leader="none" w:pos="1096" w:val="left"/>
        </w:tabs>
        <w:numPr>
          <w:ilvl w:val="1"/>
          <w:numId w:val="37"/>
        </w:numPr>
        <w:rPr>
          <w:rFonts w:ascii="Arial" w:cs="Arial" w:eastAsia="Arial" w:hAnsi="Arial"/>
          <w:sz w:val="17"/>
          <w:szCs w:val="17"/>
          <w:color w:val="auto"/>
        </w:rPr>
      </w:pPr>
      <w:r>
        <w:rPr>
          <w:rFonts w:ascii="Arial" w:cs="Arial" w:eastAsia="Arial" w:hAnsi="Arial"/>
          <w:sz w:val="17"/>
          <w:szCs w:val="17"/>
          <w:color w:val="auto"/>
        </w:rPr>
        <w:t>in gaining access to point of sale terminals, customer-bank communication terminals, or similar electronic terminals of electronic funds transfer systems, whether such cards were issued, or purport to have been issued, by the Insured or by anyone other than the Insured, except when covered under Insuring Agreement (A);</w:t>
      </w:r>
    </w:p>
    <w:p>
      <w:pPr>
        <w:spacing w:after="0" w:line="178" w:lineRule="exact"/>
        <w:rPr>
          <w:sz w:val="20"/>
          <w:szCs w:val="20"/>
          <w:color w:val="auto"/>
        </w:rPr>
      </w:pPr>
    </w:p>
    <w:p>
      <w:pPr>
        <w:ind w:left="-364" w:right="100" w:firstLine="364"/>
        <w:spacing w:after="0" w:line="259" w:lineRule="auto"/>
        <w:tabs>
          <w:tab w:leader="none" w:pos="221"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involving automated mechanical devices which, on behalf of the Insured, disburse Money, accept deposits, cash checks, drafts or similar written instruments or make credit card loans, except when covered under Insuring Agreement (A);</w:t>
      </w:r>
    </w:p>
    <w:p>
      <w:pPr>
        <w:spacing w:after="0" w:line="1715" w:lineRule="exact"/>
        <w:rPr>
          <w:sz w:val="20"/>
          <w:szCs w:val="20"/>
          <w:color w:val="auto"/>
        </w:rPr>
      </w:pPr>
    </w:p>
    <w:p>
      <w:pPr>
        <w:sectPr>
          <w:pgSz w:w="11900" w:h="16838" w:orient="portrait"/>
          <w:cols w:equalWidth="0" w:num="2">
            <w:col w:w="5264" w:space="720"/>
            <w:col w:w="5036"/>
          </w:cols>
          <w:pgMar w:left="440" w:top="125" w:right="439" w:bottom="1440" w:gutter="0" w:footer="0" w:header="0"/>
        </w:sectPr>
      </w:pPr>
    </w:p>
    <w:p>
      <w:pPr>
        <w:spacing w:after="0" w:line="51" w:lineRule="exact"/>
        <w:rPr>
          <w:sz w:val="20"/>
          <w:szCs w:val="20"/>
          <w:color w:val="auto"/>
        </w:rPr>
      </w:pPr>
    </w:p>
    <w:p>
      <w:pPr>
        <w:spacing w:after="0"/>
        <w:tabs>
          <w:tab w:leader="none" w:pos="3600" w:val="left"/>
          <w:tab w:leader="none" w:pos="10180" w:val="left"/>
        </w:tabs>
        <w:rPr>
          <w:sz w:val="20"/>
          <w:szCs w:val="20"/>
          <w:color w:val="auto"/>
        </w:rPr>
      </w:pPr>
      <w:r>
        <w:rPr>
          <w:rFonts w:ascii="Arial" w:cs="Arial" w:eastAsia="Arial" w:hAnsi="Arial"/>
          <w:sz w:val="18"/>
          <w:szCs w:val="18"/>
          <w:color w:val="auto"/>
        </w:rPr>
        <w:t>TSB 5026b</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4 of 6</w:t>
      </w:r>
    </w:p>
    <w:p>
      <w:pPr>
        <w:sectPr>
          <w:pgSz w:w="11900" w:h="16838" w:orient="portrait"/>
          <w:cols w:equalWidth="0" w:num="1">
            <w:col w:w="11020"/>
          </w:cols>
          <w:pgMar w:left="440" w:top="125" w:right="439" w:bottom="1440" w:gutter="0" w:footer="0" w:header="0"/>
          <w:type w:val="continuous"/>
        </w:sectPr>
      </w:pPr>
    </w:p>
    <w:bookmarkStart w:id="12" w:name="page13"/>
    <w:bookmarkEnd w:id="12"/>
    <w:p>
      <w:pPr>
        <w:ind w:right="180" w:firstLine="344"/>
        <w:spacing w:after="0" w:line="277" w:lineRule="auto"/>
        <w:tabs>
          <w:tab w:leader="none" w:pos="658"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loss through the surrender of Property away from an office of the Insured as a result of a threat</w:t>
      </w:r>
    </w:p>
    <w:p>
      <w:pPr>
        <w:spacing w:after="0" w:line="197" w:lineRule="exact"/>
        <w:rPr>
          <w:rFonts w:ascii="Arial" w:cs="Arial" w:eastAsia="Arial" w:hAnsi="Arial"/>
          <w:sz w:val="18"/>
          <w:szCs w:val="18"/>
          <w:color w:val="auto"/>
        </w:rPr>
      </w:pPr>
    </w:p>
    <w:p>
      <w:pPr>
        <w:ind w:left="1440" w:right="40" w:hanging="362"/>
        <w:spacing w:after="0" w:line="257" w:lineRule="auto"/>
        <w:tabs>
          <w:tab w:leader="none" w:pos="14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do bodily harm to any person, except loss of Property in transit in the custody of any person acting as messenger provided that when such transit was initiated there was no knowledge by the Insured of any such threat, or</w:t>
      </w:r>
    </w:p>
    <w:p>
      <w:pPr>
        <w:spacing w:after="0" w:line="93" w:lineRule="exact"/>
        <w:rPr>
          <w:rFonts w:ascii="Arial" w:cs="Arial" w:eastAsia="Arial" w:hAnsi="Arial"/>
          <w:sz w:val="18"/>
          <w:szCs w:val="18"/>
          <w:color w:val="auto"/>
        </w:rPr>
      </w:pPr>
    </w:p>
    <w:p>
      <w:pPr>
        <w:ind w:left="1440" w:right="400" w:hanging="362"/>
        <w:spacing w:after="0" w:line="264" w:lineRule="auto"/>
        <w:tabs>
          <w:tab w:leader="none" w:pos="14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do damage to the premises or property of the Insured, except when covered under Insuring Agreement (A);</w:t>
      </w:r>
    </w:p>
    <w:p>
      <w:pPr>
        <w:spacing w:after="0" w:line="181" w:lineRule="exact"/>
        <w:rPr>
          <w:rFonts w:ascii="Arial" w:cs="Arial" w:eastAsia="Arial" w:hAnsi="Arial"/>
          <w:sz w:val="18"/>
          <w:szCs w:val="18"/>
          <w:color w:val="auto"/>
        </w:rPr>
      </w:pPr>
    </w:p>
    <w:p>
      <w:pPr>
        <w:ind w:right="100" w:firstLine="344"/>
        <w:spacing w:after="0" w:line="272" w:lineRule="auto"/>
        <w:tabs>
          <w:tab w:leader="none" w:pos="608" w:val="left"/>
        </w:tabs>
        <w:numPr>
          <w:ilvl w:val="0"/>
          <w:numId w:val="39"/>
        </w:numPr>
        <w:rPr>
          <w:rFonts w:ascii="Arial" w:cs="Arial" w:eastAsia="Arial" w:hAnsi="Arial"/>
          <w:sz w:val="17"/>
          <w:szCs w:val="17"/>
          <w:color w:val="auto"/>
        </w:rPr>
      </w:pPr>
      <w:r>
        <w:rPr>
          <w:rFonts w:ascii="Arial" w:cs="Arial" w:eastAsia="Arial" w:hAnsi="Arial"/>
          <w:sz w:val="17"/>
          <w:szCs w:val="17"/>
          <w:color w:val="auto"/>
        </w:rPr>
        <w:t>loss resulting directly or indirectly from payments made or withdrawals from a depositor’s or customer’s account involving erroneous credits to such account, unless such payments or withdrawals are physically received by such depositor or customer or representative of such depositor or customer who is within the office of the Insured at the time of such payment or withdrawal, or except when covered under Insuring Agreement (A);</w:t>
      </w:r>
    </w:p>
    <w:p>
      <w:pPr>
        <w:spacing w:after="0" w:line="177" w:lineRule="exact"/>
        <w:rPr>
          <w:rFonts w:ascii="Arial" w:cs="Arial" w:eastAsia="Arial" w:hAnsi="Arial"/>
          <w:sz w:val="17"/>
          <w:szCs w:val="17"/>
          <w:color w:val="auto"/>
        </w:rPr>
      </w:pPr>
    </w:p>
    <w:p>
      <w:pPr>
        <w:ind w:firstLine="344"/>
        <w:spacing w:after="0" w:line="264" w:lineRule="auto"/>
        <w:tabs>
          <w:tab w:leader="none" w:pos="608"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loss involving items of deposit which are not finally paid for any reason, including but not limited to Forgery or any other fraud, except when covered under Insuring Agreement (A);</w:t>
      </w:r>
    </w:p>
    <w:p>
      <w:pPr>
        <w:spacing w:after="0" w:line="181" w:lineRule="exact"/>
        <w:rPr>
          <w:rFonts w:ascii="Arial" w:cs="Arial" w:eastAsia="Arial" w:hAnsi="Arial"/>
          <w:sz w:val="18"/>
          <w:szCs w:val="18"/>
          <w:color w:val="auto"/>
        </w:rPr>
      </w:pPr>
    </w:p>
    <w:p>
      <w:pPr>
        <w:ind w:right="180" w:firstLine="344"/>
        <w:spacing w:after="0" w:line="308" w:lineRule="auto"/>
        <w:tabs>
          <w:tab w:leader="none" w:pos="608" w:val="left"/>
        </w:tabs>
        <w:numPr>
          <w:ilvl w:val="0"/>
          <w:numId w:val="39"/>
        </w:numPr>
        <w:rPr>
          <w:rFonts w:ascii="Arial" w:cs="Arial" w:eastAsia="Arial" w:hAnsi="Arial"/>
          <w:sz w:val="17"/>
          <w:szCs w:val="17"/>
          <w:color w:val="auto"/>
        </w:rPr>
      </w:pPr>
      <w:r>
        <w:rPr>
          <w:rFonts w:ascii="Arial" w:cs="Arial" w:eastAsia="Arial" w:hAnsi="Arial"/>
          <w:sz w:val="17"/>
          <w:szCs w:val="17"/>
          <w:color w:val="auto"/>
        </w:rPr>
        <w:t>loss resulting directly or indirectly from counterfeiting, except when covered under Insuring Agreements (A), (E) or (F);</w:t>
      </w:r>
    </w:p>
    <w:p>
      <w:pPr>
        <w:spacing w:after="0" w:line="146" w:lineRule="exact"/>
        <w:rPr>
          <w:rFonts w:ascii="Arial" w:cs="Arial" w:eastAsia="Arial" w:hAnsi="Arial"/>
          <w:sz w:val="17"/>
          <w:szCs w:val="17"/>
          <w:color w:val="auto"/>
        </w:rPr>
      </w:pPr>
    </w:p>
    <w:p>
      <w:pPr>
        <w:ind w:firstLine="344"/>
        <w:spacing w:after="0" w:line="293" w:lineRule="auto"/>
        <w:tabs>
          <w:tab w:leader="none" w:pos="608" w:val="left"/>
        </w:tabs>
        <w:numPr>
          <w:ilvl w:val="0"/>
          <w:numId w:val="39"/>
        </w:numPr>
        <w:rPr>
          <w:rFonts w:ascii="Arial" w:cs="Arial" w:eastAsia="Arial" w:hAnsi="Arial"/>
          <w:sz w:val="16"/>
          <w:szCs w:val="16"/>
          <w:color w:val="auto"/>
        </w:rPr>
      </w:pPr>
      <w:r>
        <w:rPr>
          <w:rFonts w:ascii="Arial" w:cs="Arial" w:eastAsia="Arial" w:hAnsi="Arial"/>
          <w:sz w:val="16"/>
          <w:szCs w:val="16"/>
          <w:color w:val="auto"/>
        </w:rPr>
        <w:t>loss of any tangible item of personal property which is not specifically enumerated in the paragraph defining Property it such property is specifically insured by other insurance of any kind and in any amount obtained by the Insured, and in any event, loss of such property occurring more than 60 days after the Insured takes possession of such property, except when covered under Insuring Agreements (A) or (BX2);</w:t>
      </w:r>
    </w:p>
    <w:p>
      <w:pPr>
        <w:spacing w:after="0" w:line="164" w:lineRule="exact"/>
        <w:rPr>
          <w:rFonts w:ascii="Arial" w:cs="Arial" w:eastAsia="Arial" w:hAnsi="Arial"/>
          <w:sz w:val="16"/>
          <w:szCs w:val="16"/>
          <w:color w:val="auto"/>
        </w:rPr>
      </w:pPr>
    </w:p>
    <w:p>
      <w:pPr>
        <w:ind w:left="560" w:hanging="216"/>
        <w:spacing w:after="0"/>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loss of Property while</w:t>
      </w:r>
    </w:p>
    <w:p>
      <w:pPr>
        <w:spacing w:after="0" w:line="130" w:lineRule="exact"/>
        <w:rPr>
          <w:rFonts w:ascii="Arial" w:cs="Arial" w:eastAsia="Arial" w:hAnsi="Arial"/>
          <w:sz w:val="18"/>
          <w:szCs w:val="18"/>
          <w:color w:val="auto"/>
        </w:rPr>
      </w:pPr>
    </w:p>
    <w:p>
      <w:pPr>
        <w:ind w:left="1440" w:hanging="362"/>
        <w:spacing w:after="0"/>
        <w:tabs>
          <w:tab w:leader="none" w:pos="14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 the mail, or</w:t>
      </w:r>
    </w:p>
    <w:p>
      <w:pPr>
        <w:spacing w:after="0" w:line="130" w:lineRule="exact"/>
        <w:rPr>
          <w:rFonts w:ascii="Arial" w:cs="Arial" w:eastAsia="Arial" w:hAnsi="Arial"/>
          <w:sz w:val="18"/>
          <w:szCs w:val="18"/>
          <w:color w:val="auto"/>
        </w:rPr>
      </w:pPr>
    </w:p>
    <w:p>
      <w:pPr>
        <w:jc w:val="both"/>
        <w:ind w:left="1440" w:right="440" w:hanging="362"/>
        <w:spacing w:after="0" w:line="342" w:lineRule="auto"/>
        <w:tabs>
          <w:tab w:leader="none" w:pos="14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in the custody of any Transportation Company, unless covered under Insuring Agreement (C),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except when covered under Insuring Agreement (A);</w:t>
      </w:r>
    </w:p>
    <w:p>
      <w:pPr>
        <w:spacing w:after="0" w:line="225" w:lineRule="exact"/>
        <w:rPr>
          <w:sz w:val="20"/>
          <w:szCs w:val="20"/>
          <w:color w:val="auto"/>
        </w:rPr>
      </w:pPr>
    </w:p>
    <w:p>
      <w:pPr>
        <w:ind w:right="40" w:firstLine="344"/>
        <w:spacing w:after="0" w:line="342" w:lineRule="auto"/>
        <w:tabs>
          <w:tab w:leader="none" w:pos="588" w:val="left"/>
        </w:tabs>
        <w:numPr>
          <w:ilvl w:val="0"/>
          <w:numId w:val="40"/>
        </w:numPr>
        <w:rPr>
          <w:rFonts w:ascii="Arial" w:cs="Arial" w:eastAsia="Arial" w:hAnsi="Arial"/>
          <w:sz w:val="16"/>
          <w:szCs w:val="16"/>
          <w:color w:val="auto"/>
        </w:rPr>
      </w:pPr>
      <w:r>
        <w:rPr>
          <w:rFonts w:ascii="Arial" w:cs="Arial" w:eastAsia="Arial" w:hAnsi="Arial"/>
          <w:sz w:val="16"/>
          <w:szCs w:val="16"/>
          <w:color w:val="auto"/>
        </w:rPr>
        <w:t>potential income, including but not limited to interest and dividends, not realized by the Insured or by any customer of the Insured;</w:t>
      </w:r>
    </w:p>
    <w:p>
      <w:pPr>
        <w:spacing w:after="0" w:line="123" w:lineRule="exact"/>
        <w:rPr>
          <w:rFonts w:ascii="Arial" w:cs="Arial" w:eastAsia="Arial" w:hAnsi="Arial"/>
          <w:sz w:val="16"/>
          <w:szCs w:val="16"/>
          <w:color w:val="auto"/>
        </w:rPr>
      </w:pPr>
    </w:p>
    <w:p>
      <w:pPr>
        <w:ind w:right="40" w:firstLine="344"/>
        <w:spacing w:after="0" w:line="264" w:lineRule="auto"/>
        <w:tabs>
          <w:tab w:leader="none" w:pos="568" w:val="left"/>
        </w:tabs>
        <w:numPr>
          <w:ilvl w:val="0"/>
          <w:numId w:val="40"/>
        </w:numPr>
        <w:rPr>
          <w:rFonts w:ascii="Arial" w:cs="Arial" w:eastAsia="Arial" w:hAnsi="Arial"/>
          <w:sz w:val="18"/>
          <w:szCs w:val="18"/>
          <w:color w:val="auto"/>
        </w:rPr>
      </w:pPr>
      <w:r>
        <w:rPr>
          <w:rFonts w:ascii="Arial" w:cs="Arial" w:eastAsia="Arial" w:hAnsi="Arial"/>
          <w:sz w:val="18"/>
          <w:szCs w:val="18"/>
          <w:color w:val="auto"/>
        </w:rPr>
        <w:t>damages of any type for which the Insured is legally liable, except compensatory damages, but not multiples thereof, arising directly from a loss covered under this bond;</w:t>
      </w:r>
    </w:p>
    <w:p>
      <w:pPr>
        <w:spacing w:after="0" w:line="181" w:lineRule="exact"/>
        <w:rPr>
          <w:rFonts w:ascii="Arial" w:cs="Arial" w:eastAsia="Arial" w:hAnsi="Arial"/>
          <w:sz w:val="18"/>
          <w:szCs w:val="18"/>
          <w:color w:val="auto"/>
        </w:rPr>
      </w:pPr>
    </w:p>
    <w:p>
      <w:pPr>
        <w:ind w:left="600" w:hanging="256"/>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fees, costs and expenses incurred by the Insured</w:t>
      </w:r>
    </w:p>
    <w:p>
      <w:pPr>
        <w:spacing w:after="0" w:line="130" w:lineRule="exact"/>
        <w:rPr>
          <w:rFonts w:ascii="Arial" w:cs="Arial" w:eastAsia="Arial" w:hAnsi="Arial"/>
          <w:sz w:val="18"/>
          <w:szCs w:val="18"/>
          <w:color w:val="auto"/>
        </w:rPr>
      </w:pPr>
    </w:p>
    <w:p>
      <w:pPr>
        <w:ind w:left="1440" w:right="300" w:hanging="362"/>
        <w:spacing w:after="0" w:line="277" w:lineRule="auto"/>
        <w:tabs>
          <w:tab w:leader="none" w:pos="14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 establishing the existence of or amount of loss covered under this bond, or</w:t>
      </w:r>
    </w:p>
    <w:p>
      <w:pPr>
        <w:spacing w:after="0" w:line="75" w:lineRule="exact"/>
        <w:rPr>
          <w:rFonts w:ascii="Arial" w:cs="Arial" w:eastAsia="Arial" w:hAnsi="Arial"/>
          <w:sz w:val="18"/>
          <w:szCs w:val="18"/>
          <w:color w:val="auto"/>
        </w:rPr>
      </w:pPr>
    </w:p>
    <w:p>
      <w:pPr>
        <w:jc w:val="both"/>
        <w:ind w:left="1440" w:right="280" w:hanging="362"/>
        <w:spacing w:after="0" w:line="264" w:lineRule="auto"/>
        <w:tabs>
          <w:tab w:leader="none" w:pos="14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as a party to any legal proceeding whether or not such legal proceeding exposes the Insured to loss covered by this bond;</w:t>
      </w:r>
    </w:p>
    <w:p>
      <w:pPr>
        <w:spacing w:after="0" w:line="181" w:lineRule="exact"/>
        <w:rPr>
          <w:rFonts w:ascii="Arial" w:cs="Arial" w:eastAsia="Arial" w:hAnsi="Arial"/>
          <w:sz w:val="18"/>
          <w:szCs w:val="18"/>
          <w:color w:val="auto"/>
        </w:rPr>
      </w:pPr>
    </w:p>
    <w:p>
      <w:pPr>
        <w:ind w:left="600" w:hanging="256"/>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indirect or consequential loss of any nature;</w:t>
      </w:r>
    </w:p>
    <w:p>
      <w:pPr>
        <w:spacing w:after="0" w:line="225" w:lineRule="exact"/>
        <w:rPr>
          <w:rFonts w:ascii="Arial" w:cs="Arial" w:eastAsia="Arial" w:hAnsi="Arial"/>
          <w:sz w:val="18"/>
          <w:szCs w:val="18"/>
          <w:color w:val="auto"/>
        </w:rPr>
      </w:pPr>
    </w:p>
    <w:p>
      <w:pPr>
        <w:ind w:firstLine="344"/>
        <w:spacing w:after="0" w:line="264" w:lineRule="auto"/>
        <w:tabs>
          <w:tab w:leader="none" w:pos="6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 involving any Uncertificated Security except an Uncertificated Security of any Federal Reserve Bank of the United States or when covered under Insuring Agreement (A);</w:t>
      </w:r>
    </w:p>
    <w:p>
      <w:pPr>
        <w:spacing w:after="0" w:line="181" w:lineRule="exact"/>
        <w:rPr>
          <w:rFonts w:ascii="Arial" w:cs="Arial" w:eastAsia="Arial" w:hAnsi="Arial"/>
          <w:sz w:val="18"/>
          <w:szCs w:val="18"/>
          <w:color w:val="auto"/>
        </w:rPr>
      </w:pPr>
    </w:p>
    <w:p>
      <w:pPr>
        <w:ind w:right="200" w:firstLine="344"/>
        <w:spacing w:after="0" w:line="257" w:lineRule="auto"/>
        <w:tabs>
          <w:tab w:leader="none" w:pos="608"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 resulting directly or indirectly from any dishonest or fraudulent act or acts committed by any non-Employee who is a securities, commodities, money. mortgage, real estate, loan, insurance, property management, investment banking broker, agent or other representative of the same general character;</w:t>
      </w:r>
    </w:p>
    <w:p>
      <w:pPr>
        <w:spacing w:after="0" w:line="188" w:lineRule="exact"/>
        <w:rPr>
          <w:rFonts w:ascii="Arial" w:cs="Arial" w:eastAsia="Arial" w:hAnsi="Arial"/>
          <w:sz w:val="18"/>
          <w:szCs w:val="18"/>
          <w:color w:val="auto"/>
        </w:rPr>
      </w:pPr>
    </w:p>
    <w:p>
      <w:pPr>
        <w:ind w:right="280" w:firstLine="344"/>
        <w:spacing w:after="0" w:line="259" w:lineRule="auto"/>
        <w:tabs>
          <w:tab w:leader="none" w:pos="608"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 caused directly or indirectly by a Partner of the Insured unless the amount of such loss exceeds the Financial Interest in the Insured of such Partner and the Deductible Amount applicable to this bond, and then for the excess only;</w:t>
      </w:r>
    </w:p>
    <w:p>
      <w:pPr>
        <w:spacing w:after="0" w:line="20" w:lineRule="exact"/>
        <w:rPr>
          <w:sz w:val="20"/>
          <w:szCs w:val="20"/>
          <w:color w:val="auto"/>
        </w:rPr>
      </w:pPr>
      <w:r>
        <w:rPr>
          <w:sz w:val="20"/>
          <w:szCs w:val="20"/>
          <w:color w:val="auto"/>
        </w:rPr>
        <w:br w:type="column"/>
      </w:r>
    </w:p>
    <w:p>
      <w:pPr>
        <w:ind w:left="740" w:right="80" w:hanging="371"/>
        <w:spacing w:after="0" w:line="264" w:lineRule="auto"/>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Underwriter shall have no further liability for loss or losses regardless of when discovered and whether or not previously reported to the Underwriter, and</w:t>
      </w:r>
    </w:p>
    <w:p>
      <w:pPr>
        <w:spacing w:after="0" w:line="86" w:lineRule="exact"/>
        <w:rPr>
          <w:rFonts w:ascii="Arial" w:cs="Arial" w:eastAsia="Arial" w:hAnsi="Arial"/>
          <w:sz w:val="18"/>
          <w:szCs w:val="18"/>
          <w:color w:val="auto"/>
        </w:rPr>
      </w:pPr>
    </w:p>
    <w:p>
      <w:pPr>
        <w:ind w:left="740" w:right="120" w:hanging="371"/>
        <w:spacing w:after="0" w:line="276" w:lineRule="auto"/>
        <w:tabs>
          <w:tab w:leader="none" w:pos="7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Underwriter shall have no obligation under General Agreement F to continue the defense of the Insured, and upon notice by the Underwriter to the Insured that the Aggregate Limit of Liability has been exhausted, the Insured shall assume all responsibility for its defense at its own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-1321435</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3" w:lineRule="exact"/>
        <w:rPr>
          <w:sz w:val="20"/>
          <w:szCs w:val="20"/>
          <w:color w:val="auto"/>
        </w:rPr>
      </w:pPr>
    </w:p>
    <w:p>
      <w:pPr>
        <w:ind w:right="100" w:firstLine="355"/>
        <w:spacing w:after="0" w:line="297" w:lineRule="auto"/>
        <w:rPr>
          <w:sz w:val="20"/>
          <w:szCs w:val="20"/>
          <w:color w:val="auto"/>
        </w:rPr>
      </w:pPr>
      <w:r>
        <w:rPr>
          <w:rFonts w:ascii="Arial" w:cs="Arial" w:eastAsia="Arial" w:hAnsi="Arial"/>
          <w:sz w:val="16"/>
          <w:szCs w:val="16"/>
          <w:color w:val="auto"/>
        </w:rPr>
        <w:t>The Aggregate Limit of Liability shall not be increased or reinstated by any recovery made and applied in accordance with subsections (a), (b) and (c) of Section 7. In the event that a loss of Property is settled by the Underwriter through the use of a lost instrument bond, such loss shall not reduce the Aggregate Limit of Liability.</w:t>
      </w:r>
    </w:p>
    <w:p>
      <w:pPr>
        <w:spacing w:after="0" w:line="37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Single Loss Limit of Liability</w:t>
      </w:r>
    </w:p>
    <w:p>
      <w:pPr>
        <w:spacing w:after="0" w:line="225" w:lineRule="exact"/>
        <w:rPr>
          <w:sz w:val="20"/>
          <w:szCs w:val="20"/>
          <w:color w:val="auto"/>
        </w:rPr>
      </w:pPr>
    </w:p>
    <w:p>
      <w:pPr>
        <w:ind w:right="120" w:firstLine="355"/>
        <w:spacing w:after="0" w:line="255" w:lineRule="auto"/>
        <w:rPr>
          <w:sz w:val="20"/>
          <w:szCs w:val="20"/>
          <w:color w:val="auto"/>
        </w:rPr>
      </w:pPr>
      <w:r>
        <w:rPr>
          <w:rFonts w:ascii="Arial" w:cs="Arial" w:eastAsia="Arial" w:hAnsi="Arial"/>
          <w:sz w:val="18"/>
          <w:szCs w:val="18"/>
          <w:color w:val="auto"/>
        </w:rPr>
        <w:t>Subject to the Aggregate Limit of Liability, the Underwriter’s liability for each Single Loss shall not exceed the applicable Single Loss Limit of Liability shown in Item 4 of the Declarations. If a Single Loss is covered under more than one Insuring Agreement or Coverage, the maximum payable shall not exceed the largest applicable Single Loss Limit of Liability.</w:t>
      </w:r>
    </w:p>
    <w:p>
      <w:pPr>
        <w:spacing w:after="0" w:line="200" w:lineRule="exact"/>
        <w:rPr>
          <w:sz w:val="20"/>
          <w:szCs w:val="20"/>
          <w:color w:val="auto"/>
        </w:rPr>
      </w:pPr>
    </w:p>
    <w:p>
      <w:pPr>
        <w:spacing w:after="0" w:line="20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Single Loss Defined</w:t>
      </w:r>
    </w:p>
    <w:p>
      <w:pPr>
        <w:spacing w:after="0" w:line="225" w:lineRule="exact"/>
        <w:rPr>
          <w:sz w:val="20"/>
          <w:szCs w:val="20"/>
          <w:color w:val="auto"/>
        </w:rPr>
      </w:pPr>
    </w:p>
    <w:p>
      <w:pPr>
        <w:ind w:right="200" w:firstLine="355"/>
        <w:spacing w:after="0" w:line="264" w:lineRule="auto"/>
        <w:rPr>
          <w:sz w:val="20"/>
          <w:szCs w:val="20"/>
          <w:color w:val="auto"/>
        </w:rPr>
      </w:pPr>
      <w:r>
        <w:rPr>
          <w:rFonts w:ascii="Arial" w:cs="Arial" w:eastAsia="Arial" w:hAnsi="Arial"/>
          <w:sz w:val="18"/>
          <w:szCs w:val="18"/>
          <w:color w:val="auto"/>
        </w:rPr>
        <w:t>Single Loss means all covered loss, including court costs and attorneys’ fees incurred by the Underwriter under General Agreement F, resulting from</w:t>
      </w:r>
    </w:p>
    <w:p>
      <w:pPr>
        <w:spacing w:after="0" w:line="87" w:lineRule="exact"/>
        <w:rPr>
          <w:sz w:val="20"/>
          <w:szCs w:val="20"/>
          <w:color w:val="auto"/>
        </w:rPr>
      </w:pPr>
    </w:p>
    <w:p>
      <w:pPr>
        <w:ind w:left="740" w:right="460" w:hanging="371"/>
        <w:spacing w:after="0" w:line="342" w:lineRule="auto"/>
        <w:tabs>
          <w:tab w:leader="none" w:pos="7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one act or series of related acts of burglary, robbery or attempt thereat, in which no Employee is implicated, or</w:t>
      </w:r>
    </w:p>
    <w:p>
      <w:pPr>
        <w:spacing w:after="0" w:line="29" w:lineRule="exact"/>
        <w:rPr>
          <w:rFonts w:ascii="Arial" w:cs="Arial" w:eastAsia="Arial" w:hAnsi="Arial"/>
          <w:sz w:val="16"/>
          <w:szCs w:val="16"/>
          <w:color w:val="auto"/>
        </w:rPr>
      </w:pPr>
    </w:p>
    <w:p>
      <w:pPr>
        <w:ind w:left="740" w:right="40" w:hanging="371"/>
        <w:spacing w:after="0" w:line="259"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one act or series of related unintentional or negligent acts or omissions on the part of any person (whether an Employee or not) resulting in damage to or destruction or misplacement of Property, or</w:t>
      </w:r>
    </w:p>
    <w:p>
      <w:pPr>
        <w:spacing w:after="0" w:line="92" w:lineRule="exact"/>
        <w:rPr>
          <w:rFonts w:ascii="Arial" w:cs="Arial" w:eastAsia="Arial" w:hAnsi="Arial"/>
          <w:sz w:val="18"/>
          <w:szCs w:val="18"/>
          <w:color w:val="auto"/>
        </w:rPr>
      </w:pPr>
    </w:p>
    <w:p>
      <w:pPr>
        <w:ind w:left="740" w:right="120" w:hanging="371"/>
        <w:spacing w:after="0" w:line="286" w:lineRule="auto"/>
        <w:tabs>
          <w:tab w:leader="none" w:pos="7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all acts or omissions other than those specified in (a) and (b) preceding, caused by any person (whether an Employee or not) or in which such person is implicated, or</w:t>
      </w:r>
    </w:p>
    <w:p>
      <w:pPr>
        <w:spacing w:after="0" w:line="70" w:lineRule="exact"/>
        <w:rPr>
          <w:rFonts w:ascii="Arial" w:cs="Arial" w:eastAsia="Arial" w:hAnsi="Arial"/>
          <w:sz w:val="17"/>
          <w:szCs w:val="17"/>
          <w:color w:val="auto"/>
        </w:rPr>
      </w:pPr>
    </w:p>
    <w:p>
      <w:pPr>
        <w:ind w:left="740" w:hanging="371"/>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one casualty or event not specified in (a), (b) or</w:t>
      </w:r>
    </w:p>
    <w:p>
      <w:pPr>
        <w:spacing w:after="0" w:line="23"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(c) preceding.</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NOTICE/PRO OF—LEGAL PROCEEDINGS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AGAINST UNDERWRITER</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5.</w:t>
      </w:r>
    </w:p>
    <w:p>
      <w:pPr>
        <w:spacing w:after="0" w:line="225" w:lineRule="exact"/>
        <w:rPr>
          <w:sz w:val="20"/>
          <w:szCs w:val="20"/>
          <w:color w:val="auto"/>
        </w:rPr>
      </w:pPr>
    </w:p>
    <w:p>
      <w:pPr>
        <w:jc w:val="both"/>
        <w:ind w:right="240" w:firstLine="364"/>
        <w:spacing w:after="0" w:line="342" w:lineRule="auto"/>
        <w:tabs>
          <w:tab w:leader="none" w:pos="6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At the earliest practicable moment, not to exceed 30 days, after discovery of loss, the Insured shall give the Underwriter notice thereof,</w:t>
      </w:r>
    </w:p>
    <w:p>
      <w:pPr>
        <w:spacing w:after="0" w:line="123" w:lineRule="exact"/>
        <w:rPr>
          <w:rFonts w:ascii="Arial" w:cs="Arial" w:eastAsia="Arial" w:hAnsi="Arial"/>
          <w:sz w:val="16"/>
          <w:szCs w:val="16"/>
          <w:color w:val="auto"/>
        </w:rPr>
      </w:pPr>
    </w:p>
    <w:p>
      <w:pPr>
        <w:ind w:right="80" w:firstLine="364"/>
        <w:spacing w:after="0" w:line="308" w:lineRule="auto"/>
        <w:tabs>
          <w:tab w:leader="none" w:pos="607" w:val="left"/>
        </w:tabs>
        <w:numPr>
          <w:ilvl w:val="0"/>
          <w:numId w:val="43"/>
        </w:numPr>
        <w:rPr>
          <w:rFonts w:ascii="Arial" w:cs="Arial" w:eastAsia="Arial" w:hAnsi="Arial"/>
          <w:sz w:val="17"/>
          <w:szCs w:val="17"/>
          <w:color w:val="auto"/>
        </w:rPr>
      </w:pPr>
      <w:r>
        <w:rPr>
          <w:rFonts w:ascii="Arial" w:cs="Arial" w:eastAsia="Arial" w:hAnsi="Arial"/>
          <w:sz w:val="17"/>
          <w:szCs w:val="17"/>
          <w:color w:val="auto"/>
        </w:rPr>
        <w:t>Within 6 months after such discovery, the Insured shall furnish to the Underwriter proof of loss, duly sworn to, with full particulars.</w:t>
      </w:r>
    </w:p>
    <w:p>
      <w:pPr>
        <w:spacing w:after="0" w:line="146" w:lineRule="exact"/>
        <w:rPr>
          <w:rFonts w:ascii="Arial" w:cs="Arial" w:eastAsia="Arial" w:hAnsi="Arial"/>
          <w:sz w:val="17"/>
          <w:szCs w:val="17"/>
          <w:color w:val="auto"/>
        </w:rPr>
      </w:pPr>
    </w:p>
    <w:p>
      <w:pPr>
        <w:ind w:right="320" w:firstLine="364"/>
        <w:spacing w:after="0" w:line="264" w:lineRule="auto"/>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Lost Certificated Securities listed in a proof of loss shall be identified by certificate or bond numbers ii such securities were issued therewith.</w:t>
      </w:r>
    </w:p>
    <w:p>
      <w:pPr>
        <w:spacing w:after="0" w:line="181" w:lineRule="exact"/>
        <w:rPr>
          <w:rFonts w:ascii="Arial" w:cs="Arial" w:eastAsia="Arial" w:hAnsi="Arial"/>
          <w:sz w:val="18"/>
          <w:szCs w:val="18"/>
          <w:color w:val="auto"/>
        </w:rPr>
      </w:pPr>
    </w:p>
    <w:p>
      <w:pPr>
        <w:jc w:val="both"/>
        <w:ind w:firstLine="364"/>
        <w:spacing w:after="0" w:line="259" w:lineRule="auto"/>
        <w:tabs>
          <w:tab w:leader="none" w:pos="61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Legal proceedings for the recovery of any loss hereunder shall not be brought prior to the expiration of 60 days after the original proof of loss is filed with the Underwriter or after the expiration of 24 months from the discovery of such loss.</w:t>
      </w:r>
    </w:p>
    <w:p>
      <w:pPr>
        <w:spacing w:after="0" w:line="186" w:lineRule="exact"/>
        <w:rPr>
          <w:rFonts w:ascii="Arial" w:cs="Arial" w:eastAsia="Arial" w:hAnsi="Arial"/>
          <w:sz w:val="18"/>
          <w:szCs w:val="18"/>
          <w:color w:val="auto"/>
        </w:rPr>
      </w:pPr>
    </w:p>
    <w:p>
      <w:pPr>
        <w:jc w:val="both"/>
        <w:ind w:right="140" w:firstLine="364"/>
        <w:spacing w:after="0" w:line="259" w:lineRule="auto"/>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any limitation embodied in this bond is prohibited by any law controlling the construction hereof, such limitation shall be deemed to be amended so as to equal the minimum period of limitation provided by such law.</w:t>
      </w:r>
    </w:p>
    <w:p>
      <w:pPr>
        <w:spacing w:after="0" w:line="187" w:lineRule="exact"/>
        <w:rPr>
          <w:sz w:val="20"/>
          <w:szCs w:val="20"/>
          <w:color w:val="auto"/>
        </w:rPr>
      </w:pPr>
    </w:p>
    <w:p>
      <w:pPr>
        <w:jc w:val="both"/>
        <w:ind w:right="180" w:firstLine="364"/>
        <w:spacing w:after="0" w:line="264" w:lineRule="auto"/>
        <w:tabs>
          <w:tab w:leader="none" w:pos="57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bond affords coverage only in favor of the Insured. No suit, action or legal proceedings shall be brought hereunder by any one other than the named Insured.</w:t>
      </w:r>
    </w:p>
    <w:p>
      <w:pPr>
        <w:sectPr>
          <w:pgSz w:w="11900" w:h="16838" w:orient="portrait"/>
          <w:cols w:equalWidth="0" w:num="2">
            <w:col w:w="5260" w:space="340"/>
            <w:col w:w="5400"/>
          </w:cols>
          <w:pgMar w:left="460" w:top="328" w:right="439" w:bottom="0" w:gutter="0" w:footer="0" w:header="0"/>
        </w:sectPr>
      </w:pPr>
    </w:p>
    <w:bookmarkStart w:id="13" w:name="page14"/>
    <w:bookmarkEnd w:id="13"/>
    <w:p>
      <w:pPr>
        <w:jc w:val="both"/>
        <w:ind w:left="20" w:right="240" w:firstLine="344"/>
        <w:spacing w:after="0" w:line="264" w:lineRule="auto"/>
        <w:tabs>
          <w:tab w:leader="none" w:pos="618"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loss resulting directly or indirectly from any actual or alleged representation, advice, warranty or guarantee as to the performance of any investments;</w:t>
      </w:r>
    </w:p>
    <w:p>
      <w:pPr>
        <w:spacing w:after="0" w:line="181" w:lineRule="exact"/>
        <w:rPr>
          <w:sz w:val="20"/>
          <w:szCs w:val="20"/>
          <w:color w:val="auto"/>
        </w:rPr>
      </w:pPr>
    </w:p>
    <w:p>
      <w:pPr>
        <w:jc w:val="both"/>
        <w:ind w:left="20" w:right="40" w:firstLine="344"/>
        <w:spacing w:after="0" w:line="279" w:lineRule="auto"/>
        <w:tabs>
          <w:tab w:leader="none" w:pos="698" w:val="left"/>
        </w:tabs>
        <w:numPr>
          <w:ilvl w:val="0"/>
          <w:numId w:val="46"/>
        </w:numPr>
        <w:rPr>
          <w:rFonts w:ascii="Arial" w:cs="Arial" w:eastAsia="Arial" w:hAnsi="Arial"/>
          <w:sz w:val="17"/>
          <w:szCs w:val="17"/>
          <w:color w:val="auto"/>
        </w:rPr>
      </w:pPr>
      <w:r>
        <w:rPr>
          <w:rFonts w:ascii="Arial" w:cs="Arial" w:eastAsia="Arial" w:hAnsi="Arial"/>
          <w:sz w:val="17"/>
          <w:szCs w:val="17"/>
          <w:color w:val="auto"/>
        </w:rPr>
        <w:t>loss due to liability imposed upon the Insured as a result of the unlawful disclosure of non-public material information by the Insured or any Employee, or as a result of any Employee acting upon such information, whether authorized or unauthorized.</w:t>
      </w:r>
    </w:p>
    <w:p>
      <w:pPr>
        <w:spacing w:after="0" w:line="388"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DISCOVERY</w:t>
      </w:r>
    </w:p>
    <w:p>
      <w:pPr>
        <w:spacing w:after="0" w:line="225" w:lineRule="exact"/>
        <w:rPr>
          <w:sz w:val="20"/>
          <w:szCs w:val="20"/>
          <w:color w:val="auto"/>
        </w:rPr>
      </w:pPr>
    </w:p>
    <w:p>
      <w:pPr>
        <w:ind w:left="20" w:right="120" w:firstLine="353"/>
        <w:spacing w:after="0" w:line="272" w:lineRule="auto"/>
        <w:rPr>
          <w:sz w:val="20"/>
          <w:szCs w:val="20"/>
          <w:color w:val="auto"/>
        </w:rPr>
      </w:pPr>
      <w:r>
        <w:rPr>
          <w:rFonts w:ascii="Arial" w:cs="Arial" w:eastAsia="Arial" w:hAnsi="Arial"/>
          <w:sz w:val="17"/>
          <w:szCs w:val="17"/>
          <w:color w:val="auto"/>
        </w:rPr>
        <w:t>Section 3. This bond applies to loss discovered by the Insured during the Bond Period. Discovery occurs when the Insured first becomes aware of facts which would cause a reasonable person to assume that a loss of a type covered by this bond has been or will be incurred, regardless of when the act or acts causing or contributing to such loss occurred, even though the exact amount or details of loss may not then be known.</w:t>
      </w:r>
    </w:p>
    <w:p>
      <w:pPr>
        <w:spacing w:after="0" w:line="178" w:lineRule="exact"/>
        <w:rPr>
          <w:sz w:val="20"/>
          <w:szCs w:val="20"/>
          <w:color w:val="auto"/>
        </w:rPr>
      </w:pPr>
    </w:p>
    <w:p>
      <w:pPr>
        <w:ind w:left="20" w:firstLine="353"/>
        <w:spacing w:after="0" w:line="259" w:lineRule="auto"/>
        <w:rPr>
          <w:sz w:val="20"/>
          <w:szCs w:val="20"/>
          <w:color w:val="auto"/>
        </w:rPr>
      </w:pPr>
      <w:r>
        <w:rPr>
          <w:rFonts w:ascii="Arial" w:cs="Arial" w:eastAsia="Arial" w:hAnsi="Arial"/>
          <w:sz w:val="18"/>
          <w:szCs w:val="18"/>
          <w:color w:val="auto"/>
        </w:rPr>
        <w:t>Discovery also occurs when the Insured receives notice of an actual or potential claim in which it is alleged that the Insured is liable to a third party under circumstances which, if true, would constitute a loss under this bond.</w:t>
      </w:r>
    </w:p>
    <w:p>
      <w:pPr>
        <w:spacing w:after="0" w:line="200" w:lineRule="exact"/>
        <w:rPr>
          <w:sz w:val="20"/>
          <w:szCs w:val="20"/>
          <w:color w:val="auto"/>
        </w:rPr>
      </w:pPr>
    </w:p>
    <w:p>
      <w:pPr>
        <w:spacing w:after="0" w:line="20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LIMIT OF LIABILITY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4.</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Aggregate Limit of Liability</w:t>
      </w:r>
    </w:p>
    <w:p>
      <w:pPr>
        <w:spacing w:after="0" w:line="225" w:lineRule="exact"/>
        <w:rPr>
          <w:sz w:val="20"/>
          <w:szCs w:val="20"/>
          <w:color w:val="auto"/>
        </w:rPr>
      </w:pPr>
    </w:p>
    <w:p>
      <w:pPr>
        <w:ind w:left="20" w:right="120" w:firstLine="353"/>
        <w:spacing w:after="0" w:line="276" w:lineRule="auto"/>
        <w:rPr>
          <w:sz w:val="20"/>
          <w:szCs w:val="20"/>
          <w:color w:val="auto"/>
        </w:rPr>
      </w:pPr>
      <w:r>
        <w:rPr>
          <w:rFonts w:ascii="Arial" w:cs="Arial" w:eastAsia="Arial" w:hAnsi="Arial"/>
          <w:sz w:val="17"/>
          <w:szCs w:val="17"/>
          <w:color w:val="auto"/>
        </w:rPr>
        <w:t>The Underwriters total liability for all losses discovered during the Bond Period shown in Item 2 of the Declarations shall not exceed the Aggregate Limit of Liability shown in Item 3 of the Declarations. The Aggregate Limit of Liability shall be reduced by the amount of any payment made under the terms of this bond.</w:t>
      </w:r>
    </w:p>
    <w:p>
      <w:pPr>
        <w:spacing w:after="0" w:line="173" w:lineRule="exact"/>
        <w:rPr>
          <w:sz w:val="20"/>
          <w:szCs w:val="20"/>
          <w:color w:val="auto"/>
        </w:rPr>
      </w:pPr>
    </w:p>
    <w:p>
      <w:pPr>
        <w:ind w:left="20" w:right="540" w:firstLine="353"/>
        <w:spacing w:after="0" w:line="277" w:lineRule="auto"/>
        <w:rPr>
          <w:sz w:val="20"/>
          <w:szCs w:val="20"/>
          <w:color w:val="auto"/>
        </w:rPr>
      </w:pPr>
      <w:r>
        <w:rPr>
          <w:rFonts w:ascii="Arial" w:cs="Arial" w:eastAsia="Arial" w:hAnsi="Arial"/>
          <w:sz w:val="18"/>
          <w:szCs w:val="18"/>
          <w:color w:val="auto"/>
        </w:rPr>
        <w:t>Upon exhaustion of the Aggregate Limit of Liability by such payments:</w:t>
      </w:r>
    </w:p>
    <w:p>
      <w:pPr>
        <w:spacing w:after="0" w:line="20" w:lineRule="exact"/>
        <w:rPr>
          <w:sz w:val="20"/>
          <w:szCs w:val="20"/>
          <w:color w:val="auto"/>
        </w:rPr>
      </w:pPr>
      <w:r>
        <w:rPr>
          <w:sz w:val="20"/>
          <w:szCs w:val="20"/>
          <w:color w:val="auto"/>
        </w:rPr>
        <w:br w:type="column"/>
      </w:r>
    </w:p>
    <w:p>
      <w:pPr>
        <w:jc w:val="center"/>
        <w:ind w:right="-19"/>
        <w:spacing w:after="0"/>
        <w:rPr>
          <w:sz w:val="20"/>
          <w:szCs w:val="20"/>
          <w:color w:val="auto"/>
        </w:rPr>
      </w:pPr>
      <w:r>
        <w:rPr>
          <w:rFonts w:ascii="Arial" w:cs="Arial" w:eastAsia="Arial" w:hAnsi="Arial"/>
          <w:sz w:val="18"/>
          <w:szCs w:val="18"/>
          <w:color w:val="auto"/>
        </w:rPr>
        <w:t>VALUATION</w:t>
      </w:r>
    </w:p>
    <w:p>
      <w:pPr>
        <w:spacing w:after="0" w:line="225" w:lineRule="exact"/>
        <w:rPr>
          <w:sz w:val="20"/>
          <w:szCs w:val="20"/>
          <w:color w:val="auto"/>
        </w:rPr>
      </w:pPr>
    </w:p>
    <w:p>
      <w:pPr>
        <w:ind w:right="20" w:firstLine="355"/>
        <w:spacing w:after="0" w:line="257" w:lineRule="auto"/>
        <w:rPr>
          <w:sz w:val="20"/>
          <w:szCs w:val="20"/>
          <w:color w:val="auto"/>
        </w:rPr>
      </w:pPr>
      <w:r>
        <w:rPr>
          <w:rFonts w:ascii="Arial" w:cs="Arial" w:eastAsia="Arial" w:hAnsi="Arial"/>
          <w:sz w:val="18"/>
          <w:szCs w:val="18"/>
          <w:color w:val="auto"/>
        </w:rPr>
        <w:t>Section 6. Any loss of Money, or loss payable in Money, shall be paid, at the option of the Insured, in the Money of the country in which the loss was sustained or in the United States of America dollar equivalent thereof determined at the rate of exchange at the time of payment of such loss.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w:t>
      </w:r>
    </w:p>
    <w:p>
      <w:pPr>
        <w:spacing w:after="0" w:line="225" w:lineRule="exact"/>
        <w:rPr>
          <w:sz w:val="20"/>
          <w:szCs w:val="20"/>
          <w:color w:val="auto"/>
        </w:rPr>
      </w:pPr>
    </w:p>
    <w:p>
      <w:pPr>
        <w:ind w:firstLine="355"/>
        <w:spacing w:after="0" w:line="268" w:lineRule="auto"/>
        <w:rPr>
          <w:sz w:val="20"/>
          <w:szCs w:val="20"/>
          <w:color w:val="auto"/>
        </w:rPr>
      </w:pPr>
      <w:r>
        <w:rPr>
          <w:rFonts w:ascii="Arial" w:cs="Arial" w:eastAsia="Arial" w:hAnsi="Arial"/>
          <w:sz w:val="17"/>
          <w:szCs w:val="17"/>
          <w:color w:val="auto"/>
        </w:rPr>
        <w:t>The Underwriter shall settle in kind its liability under this bond on account of a loss of any securities or, at the option of the Insured, shall pay to the Insured the cost of replacing such securities, determined by the market value thereof at the time of such settlement. However, if prior to such settlement the Insured shall be compelled by the demands of a third party or by market rules to purchase equivalent securities, and gives written notification of this to the Underwriter, the cost incurred by the Insured shall be taken as the value of those securities. In case of a loss of subscription, conversion or redemption privileges through the misplacement or loss of securities, the amount of such loss shall be the value of such privileges immediately preceding the expiration thereof. If such securities cannot be replaced or have no quoted market value, or if such privileges have no quoted market value, their value shall be determined by agreement or arbitration.</w:t>
      </w:r>
    </w:p>
    <w:p>
      <w:pPr>
        <w:spacing w:after="0" w:line="185" w:lineRule="exact"/>
        <w:rPr>
          <w:sz w:val="20"/>
          <w:szCs w:val="20"/>
          <w:color w:val="auto"/>
        </w:rPr>
      </w:pPr>
    </w:p>
    <w:p>
      <w:pPr>
        <w:ind w:right="20" w:firstLine="355"/>
        <w:spacing w:after="0" w:line="255" w:lineRule="auto"/>
        <w:rPr>
          <w:sz w:val="20"/>
          <w:szCs w:val="20"/>
          <w:color w:val="auto"/>
        </w:rPr>
      </w:pPr>
      <w:r>
        <w:rPr>
          <w:rFonts w:ascii="Arial" w:cs="Arial" w:eastAsia="Arial" w:hAnsi="Arial"/>
          <w:sz w:val="18"/>
          <w:szCs w:val="18"/>
          <w:color w:val="auto"/>
        </w:rPr>
        <w:t>If the applicable coverage of this bond is subject to a Deductible Amount and/or is not sufficient in amount to indemnify the Insured in full for the loss of securities for which claim is made hereunder, the liability of the Underwriter under this bond is limited to the payment for, or the duplication of, so much of such securities as has a value equal to the amount of such applicable coverage.</w:t>
      </w:r>
    </w:p>
    <w:p>
      <w:pPr>
        <w:spacing w:after="0" w:line="1951" w:lineRule="exact"/>
        <w:rPr>
          <w:sz w:val="20"/>
          <w:szCs w:val="20"/>
          <w:color w:val="auto"/>
        </w:rPr>
      </w:pPr>
    </w:p>
    <w:p>
      <w:pPr>
        <w:sectPr>
          <w:pgSz w:w="11900" w:h="16838" w:orient="portrait"/>
          <w:cols w:equalWidth="0" w:num="2">
            <w:col w:w="5280" w:space="340"/>
            <w:col w:w="5400"/>
          </w:cols>
          <w:pgMar w:left="440" w:top="125" w:right="439" w:bottom="1440" w:gutter="0" w:footer="0" w:header="0"/>
        </w:sectPr>
      </w:pPr>
    </w:p>
    <w:p>
      <w:pPr>
        <w:spacing w:after="0" w:line="51" w:lineRule="exact"/>
        <w:rPr>
          <w:sz w:val="20"/>
          <w:szCs w:val="20"/>
          <w:color w:val="auto"/>
        </w:rPr>
      </w:pPr>
    </w:p>
    <w:p>
      <w:pPr>
        <w:spacing w:after="0"/>
        <w:tabs>
          <w:tab w:leader="none" w:pos="3600" w:val="left"/>
          <w:tab w:leader="none" w:pos="10180" w:val="left"/>
        </w:tabs>
        <w:rPr>
          <w:sz w:val="20"/>
          <w:szCs w:val="20"/>
          <w:color w:val="auto"/>
        </w:rPr>
      </w:pPr>
      <w:r>
        <w:rPr>
          <w:rFonts w:ascii="Arial" w:cs="Arial" w:eastAsia="Arial" w:hAnsi="Arial"/>
          <w:sz w:val="18"/>
          <w:szCs w:val="18"/>
          <w:color w:val="auto"/>
        </w:rPr>
        <w:t>TSB 5026b</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5 of 6</w:t>
      </w:r>
    </w:p>
    <w:p>
      <w:pPr>
        <w:sectPr>
          <w:pgSz w:w="11900" w:h="16838" w:orient="portrait"/>
          <w:cols w:equalWidth="0" w:num="1">
            <w:col w:w="11020"/>
          </w:cols>
          <w:pgMar w:left="440" w:top="125" w:right="4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color w:val="auto"/>
        </w:rPr>
        <w:t>Books of Account and Other Records</w:t>
      </w:r>
    </w:p>
    <w:p>
      <w:pPr>
        <w:spacing w:after="0" w:line="225" w:lineRule="exact"/>
        <w:rPr>
          <w:sz w:val="20"/>
          <w:szCs w:val="20"/>
          <w:color w:val="auto"/>
        </w:rPr>
      </w:pPr>
    </w:p>
    <w:p>
      <w:pPr>
        <w:ind w:right="40" w:firstLine="353"/>
        <w:spacing w:after="0" w:line="272" w:lineRule="auto"/>
        <w:rPr>
          <w:sz w:val="20"/>
          <w:szCs w:val="20"/>
          <w:color w:val="auto"/>
        </w:rPr>
      </w:pPr>
      <w:r>
        <w:rPr>
          <w:rFonts w:ascii="Arial" w:cs="Arial" w:eastAsia="Arial" w:hAnsi="Arial"/>
          <w:sz w:val="17"/>
          <w:szCs w:val="17"/>
          <w:color w:val="auto"/>
        </w:rPr>
        <w:t>In case of loss of, or damage to, any books of account or other records used by the Insured in its business, the Underwriter shall be liable under this bond only if such books or records are actually reproduced and then for not more than the cost of the blank books, blank pages or other materials plus the cost of labor for the actual transcription or copying of data which shall have been furnished by the Insured in order to reproduce such books and other records.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Property other than Money, Securities or Records</w:t>
      </w:r>
    </w:p>
    <w:p>
      <w:pPr>
        <w:spacing w:after="0" w:line="225" w:lineRule="exact"/>
        <w:rPr>
          <w:sz w:val="20"/>
          <w:szCs w:val="20"/>
          <w:color w:val="auto"/>
        </w:rPr>
      </w:pPr>
    </w:p>
    <w:p>
      <w:pPr>
        <w:ind w:right="40" w:firstLine="353"/>
        <w:spacing w:after="0" w:line="290" w:lineRule="auto"/>
        <w:rPr>
          <w:sz w:val="20"/>
          <w:szCs w:val="20"/>
          <w:color w:val="auto"/>
        </w:rPr>
      </w:pPr>
      <w:r>
        <w:rPr>
          <w:rFonts w:ascii="Arial" w:cs="Arial" w:eastAsia="Arial" w:hAnsi="Arial"/>
          <w:sz w:val="16"/>
          <w:szCs w:val="16"/>
          <w:color w:val="auto"/>
        </w:rPr>
        <w:t>In case of loss of, or damage to, any Property other than Money, securities, books of account or other records, or damage covered under Insuring Agreement (B)(2), the Underwriter shall not be liable for more than the actual cash value of such Property, or of items covered under Insuring Agreement (B)(2). The Underwriter may, at its election, pay the actual cash value of, replace or repair such property Disagreement between the Underwriter and the Insured as to the cash value or as to the adequacy of repair or replacement shall be resolved by arbitration.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Set-Off</w:t>
      </w:r>
    </w:p>
    <w:p>
      <w:pPr>
        <w:spacing w:after="0" w:line="225" w:lineRule="exact"/>
        <w:rPr>
          <w:sz w:val="20"/>
          <w:szCs w:val="20"/>
          <w:color w:val="auto"/>
        </w:rPr>
      </w:pPr>
    </w:p>
    <w:p>
      <w:pPr>
        <w:ind w:right="80" w:firstLine="353"/>
        <w:spacing w:after="0" w:line="264" w:lineRule="auto"/>
        <w:rPr>
          <w:sz w:val="20"/>
          <w:szCs w:val="20"/>
          <w:color w:val="auto"/>
        </w:rPr>
      </w:pPr>
      <w:r>
        <w:rPr>
          <w:rFonts w:ascii="Arial" w:cs="Arial" w:eastAsia="Arial" w:hAnsi="Arial"/>
          <w:sz w:val="18"/>
          <w:szCs w:val="18"/>
          <w:color w:val="auto"/>
        </w:rPr>
        <w:t>Any loss covered under this bond shall be reduced by a set-off consisting of any amount owed to the Employee causing the loss if such loss is covered under Insuring Agreement (A).</w:t>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color w:val="auto"/>
        </w:rPr>
        <w:t>ASSIGNMENT — SUBROGATION – RECOVERY – COOPERATION</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Section 7.</w:t>
      </w:r>
    </w:p>
    <w:p>
      <w:pPr>
        <w:spacing w:after="0" w:line="117" w:lineRule="exact"/>
        <w:rPr>
          <w:sz w:val="20"/>
          <w:szCs w:val="20"/>
          <w:color w:val="auto"/>
        </w:rPr>
      </w:pPr>
    </w:p>
    <w:p>
      <w:pPr>
        <w:ind w:right="100" w:firstLine="344"/>
        <w:spacing w:after="0" w:line="279" w:lineRule="auto"/>
        <w:tabs>
          <w:tab w:leader="none" w:pos="598"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 the event of payment under this bond, the Insured shall deliver, if so requested by the Underwriter, an assignment of such of the Insured’s rights, title and interest and causes of action as it has against any person or entity to the extent of the loss payment.</w:t>
      </w:r>
    </w:p>
    <w:p>
      <w:pPr>
        <w:spacing w:after="0" w:line="171" w:lineRule="exact"/>
        <w:rPr>
          <w:rFonts w:ascii="Arial" w:cs="Arial" w:eastAsia="Arial" w:hAnsi="Arial"/>
          <w:sz w:val="17"/>
          <w:szCs w:val="17"/>
          <w:color w:val="auto"/>
        </w:rPr>
      </w:pPr>
    </w:p>
    <w:p>
      <w:pPr>
        <w:jc w:val="both"/>
        <w:ind w:right="160" w:firstLine="344"/>
        <w:spacing w:after="0" w:line="286" w:lineRule="auto"/>
        <w:tabs>
          <w:tab w:leader="none" w:pos="608"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 the event of payment under this bond, the Underwriter shall be subrogated to all of the Insured’s rights of recovery therefor against any person or entity to the extent of such payment.</w:t>
      </w:r>
    </w:p>
    <w:p>
      <w:pPr>
        <w:spacing w:after="0" w:line="165" w:lineRule="exact"/>
        <w:rPr>
          <w:rFonts w:ascii="Arial" w:cs="Arial" w:eastAsia="Arial" w:hAnsi="Arial"/>
          <w:sz w:val="17"/>
          <w:szCs w:val="17"/>
          <w:color w:val="auto"/>
        </w:rPr>
      </w:pPr>
    </w:p>
    <w:p>
      <w:pPr>
        <w:ind w:right="40" w:firstLine="344"/>
        <w:spacing w:after="0" w:line="288" w:lineRule="auto"/>
        <w:tabs>
          <w:tab w:leader="none" w:pos="598"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Recoveries. whether effected by the Underwriter or by the Insured, shall be applied net of the expense of such recovery first to the satisfaction of the Insured’s loss which would otherwise have been paid but for the fact that it is in excess of either the Single or Aggregate Limit of Liability, secondly, to the Underwriter as reimbursement of amounts paid in settlement of the Insured’s claim, and thirdly, to the Insured in satisfaction of any Deductible Amount. Recovery on account of loss of securities as set forth in the second paragraph of Section 6 or recovery from reinsurance and/or indemnity of the Underwriter shall not be deemed a recovery as used herein</w:t>
      </w:r>
    </w:p>
    <w:p>
      <w:pPr>
        <w:spacing w:after="0" w:line="169" w:lineRule="exact"/>
        <w:rPr>
          <w:rFonts w:ascii="Arial" w:cs="Arial" w:eastAsia="Arial" w:hAnsi="Arial"/>
          <w:sz w:val="16"/>
          <w:szCs w:val="16"/>
          <w:color w:val="auto"/>
        </w:rPr>
      </w:pPr>
    </w:p>
    <w:p>
      <w:pPr>
        <w:ind w:right="340" w:firstLine="344"/>
        <w:spacing w:after="0" w:line="308" w:lineRule="auto"/>
        <w:tabs>
          <w:tab w:leader="none" w:pos="608" w:val="left"/>
        </w:tabs>
        <w:numPr>
          <w:ilvl w:val="0"/>
          <w:numId w:val="47"/>
        </w:numPr>
        <w:rPr>
          <w:rFonts w:ascii="Arial" w:cs="Arial" w:eastAsia="Arial" w:hAnsi="Arial"/>
          <w:sz w:val="17"/>
          <w:szCs w:val="17"/>
          <w:color w:val="auto"/>
        </w:rPr>
      </w:pPr>
      <w:r>
        <w:rPr>
          <w:rFonts w:ascii="Arial" w:cs="Arial" w:eastAsia="Arial" w:hAnsi="Arial"/>
          <w:sz w:val="17"/>
          <w:szCs w:val="17"/>
          <w:color w:val="auto"/>
        </w:rPr>
        <w:t>Upon the Underwriter’s request and at reasonable times and places designated by the Underwriter the Insured shall</w:t>
      </w:r>
    </w:p>
    <w:p>
      <w:pPr>
        <w:spacing w:after="0" w:line="173" w:lineRule="exact"/>
        <w:rPr>
          <w:rFonts w:ascii="Arial" w:cs="Arial" w:eastAsia="Arial" w:hAnsi="Arial"/>
          <w:sz w:val="17"/>
          <w:szCs w:val="17"/>
          <w:color w:val="auto"/>
        </w:rPr>
      </w:pPr>
    </w:p>
    <w:p>
      <w:pPr>
        <w:ind w:left="1080" w:right="120" w:hanging="367"/>
        <w:spacing w:after="0" w:line="277" w:lineRule="auto"/>
        <w:tabs>
          <w:tab w:leader="none" w:pos="10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submit to examination by the Underwriter and subscribe to the same under oath, and</w:t>
      </w:r>
    </w:p>
    <w:p>
      <w:pPr>
        <w:spacing w:after="0" w:line="197" w:lineRule="exact"/>
        <w:rPr>
          <w:rFonts w:ascii="Arial" w:cs="Arial" w:eastAsia="Arial" w:hAnsi="Arial"/>
          <w:sz w:val="18"/>
          <w:szCs w:val="18"/>
          <w:color w:val="auto"/>
        </w:rPr>
      </w:pPr>
    </w:p>
    <w:p>
      <w:pPr>
        <w:ind w:left="1080" w:right="180" w:hanging="367"/>
        <w:spacing w:after="0" w:line="277" w:lineRule="auto"/>
        <w:tabs>
          <w:tab w:leader="none" w:pos="10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produce for the Underwriter’s examination all pertinent records; and</w:t>
      </w:r>
    </w:p>
    <w:p>
      <w:pPr>
        <w:spacing w:after="0" w:line="197" w:lineRule="exact"/>
        <w:rPr>
          <w:rFonts w:ascii="Arial" w:cs="Arial" w:eastAsia="Arial" w:hAnsi="Arial"/>
          <w:sz w:val="18"/>
          <w:szCs w:val="18"/>
          <w:color w:val="auto"/>
        </w:rPr>
      </w:pPr>
    </w:p>
    <w:p>
      <w:pPr>
        <w:ind w:left="1080" w:right="160" w:hanging="367"/>
        <w:spacing w:after="0" w:line="277" w:lineRule="auto"/>
        <w:tabs>
          <w:tab w:leader="none" w:pos="10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cooperate with the Underwriter in all matters pertaining to the loss.</w:t>
      </w:r>
    </w:p>
    <w:p>
      <w:pPr>
        <w:spacing w:after="0" w:line="170" w:lineRule="exact"/>
        <w:rPr>
          <w:rFonts w:ascii="Arial" w:cs="Arial" w:eastAsia="Arial" w:hAnsi="Arial"/>
          <w:sz w:val="18"/>
          <w:szCs w:val="18"/>
          <w:color w:val="auto"/>
        </w:rPr>
      </w:pPr>
    </w:p>
    <w:p>
      <w:pPr>
        <w:jc w:val="both"/>
        <w:ind w:right="140" w:firstLine="344"/>
        <w:spacing w:after="0" w:line="259" w:lineRule="auto"/>
        <w:tabs>
          <w:tab w:leader="none" w:pos="59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Insured shall execute all papers and render assistance to secure to the Underwriter the rights and causes of action provided for herein. The insured shall do nothing after discovery of loss to prejudice such rights or causes of action.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LIMIT OF LIABILITY UNDER THIS BOND AND PRIOR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INSURANCE</w:t>
      </w:r>
    </w:p>
    <w:p>
      <w:pPr>
        <w:spacing w:after="0" w:line="20" w:lineRule="exact"/>
        <w:rPr>
          <w:sz w:val="20"/>
          <w:szCs w:val="20"/>
          <w:color w:val="auto"/>
        </w:rPr>
      </w:pPr>
      <w:r>
        <w:rPr>
          <w:sz w:val="20"/>
          <w:szCs w:val="20"/>
          <w:color w:val="auto"/>
        </w:rPr>
        <w:br w:type="column"/>
      </w:r>
    </w:p>
    <w:p>
      <w:pPr>
        <w:ind w:right="500"/>
        <w:spacing w:after="0" w:line="342" w:lineRule="auto"/>
        <w:rPr>
          <w:sz w:val="20"/>
          <w:szCs w:val="20"/>
          <w:color w:val="auto"/>
        </w:rPr>
      </w:pPr>
      <w:r>
        <w:rPr>
          <w:rFonts w:ascii="Arial" w:cs="Arial" w:eastAsia="Arial" w:hAnsi="Arial"/>
          <w:sz w:val="16"/>
          <w:szCs w:val="16"/>
          <w:color w:val="auto"/>
        </w:rPr>
        <w:t>such other bonds or policies, as limited by the terms and conditions thereof, for any such loss if the latter amount be the larger.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-452120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04" w:lineRule="exact"/>
        <w:rPr>
          <w:sz w:val="20"/>
          <w:szCs w:val="20"/>
          <w:color w:val="auto"/>
        </w:rPr>
      </w:pPr>
    </w:p>
    <w:p>
      <w:pPr>
        <w:ind w:right="60" w:firstLine="360"/>
        <w:spacing w:after="0" w:line="288" w:lineRule="auto"/>
        <w:rPr>
          <w:sz w:val="20"/>
          <w:szCs w:val="20"/>
          <w:color w:val="auto"/>
        </w:rPr>
      </w:pPr>
      <w:r>
        <w:rPr>
          <w:rFonts w:ascii="Arial" w:cs="Arial" w:eastAsia="Arial" w:hAnsi="Arial"/>
          <w:sz w:val="16"/>
          <w:szCs w:val="16"/>
          <w:color w:val="auto"/>
        </w:rPr>
        <w:t>If the coverage of this bond supersedes in whole or in part the coverage of any other bond or policy of insurance issued by an Insurer other than the Underwriter and terminated, canceled or allowed to expire, the Underwriter, with respect to any loss sustained prior to such termination, cancelation or expiration and discovered within the period permitted under such other bond or policy for the discovery of loss thereunder, shall be liable under this bond only for that part of such loss covered by this bond as is in excess of the amount recoverable or recovered on account of such loss under such other bond or policy, anything to the contrary in such other bond or policy notwithstanding.</w:t>
      </w:r>
    </w:p>
    <w:p>
      <w:pPr>
        <w:spacing w:after="0" w:line="38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OTHER INSURANCE OR INDEMNITY</w:t>
      </w:r>
    </w:p>
    <w:p>
      <w:pPr>
        <w:spacing w:after="0" w:line="225" w:lineRule="exact"/>
        <w:rPr>
          <w:sz w:val="20"/>
          <w:szCs w:val="20"/>
          <w:color w:val="auto"/>
        </w:rPr>
      </w:pPr>
    </w:p>
    <w:p>
      <w:pPr>
        <w:ind w:right="60" w:firstLine="360"/>
        <w:spacing w:after="0" w:line="288" w:lineRule="auto"/>
        <w:rPr>
          <w:sz w:val="20"/>
          <w:szCs w:val="20"/>
          <w:color w:val="auto"/>
        </w:rPr>
      </w:pPr>
      <w:r>
        <w:rPr>
          <w:rFonts w:ascii="Arial" w:cs="Arial" w:eastAsia="Arial" w:hAnsi="Arial"/>
          <w:sz w:val="16"/>
          <w:szCs w:val="16"/>
          <w:color w:val="auto"/>
        </w:rPr>
        <w:t>Section 9. Coverage afforded hereunder shall apply only as excess over any valid and collectible insurance or indemnity obtained by the Insured, or by one other than the Insured on Property subject to exclusion</w:t>
      </w:r>
    </w:p>
    <w:p>
      <w:pPr>
        <w:ind w:right="40" w:firstLine="4"/>
        <w:spacing w:after="0" w:line="255"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or by a Transportation Company, or by another entity on whose premises the loss occurred or which employed the person causing the loss or the messenger conveying the Property involved.</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OWNERSHIP</w:t>
      </w:r>
    </w:p>
    <w:p>
      <w:pPr>
        <w:spacing w:after="0" w:line="225"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Section 10. This bond shall apply to loss of Property (1) owned by the Insured, (2) held by the Insured in any capacity, or (3) for which the Insured is legally liable. This bond shall be for the sole use and benefit of the Insured named in the Declarations.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DEDUCTIBLE AMOUNT</w:t>
      </w:r>
    </w:p>
    <w:p>
      <w:pPr>
        <w:spacing w:after="0" w:line="225"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Section 11. The Underwriter shall be liable hereunder only for the amount by which any single loss, as defined in Section 4, exceeds the Single Loss Deductible amount for the Insuring Agreement or Coverage applicable to such loss, subject to the Aggregate Limit of Liability and the applicable Single Loss Limit of Liability.</w:t>
      </w:r>
    </w:p>
    <w:p>
      <w:pPr>
        <w:spacing w:after="0" w:line="173"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The Insured shall, in the time and in the manner prescribed in this bond, give the Underwriter notice of any loss of the kind covered by the terms of this bond, whether or not the Underwriter is liable therefore, and upon the request of the Underwriter shall file with it a brief statement giving the particulars concerning such loss.</w:t>
      </w:r>
    </w:p>
    <w:p>
      <w:pPr>
        <w:spacing w:after="0" w:line="38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TERMINATION OR CANCELATION</w:t>
      </w:r>
    </w:p>
    <w:p>
      <w:pPr>
        <w:spacing w:after="0" w:line="225"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Section 12. This bond terminates as an entirety upon occurrence of any of the following: — (a) 60 days after the receipt by the insured of a written notice from the Underwriter of its desire to cancel this bond, or (b) immediately upon the receipt by the Underwriter of a written notice from the Insured of its desire to cancel this bond, or (c) immediately upon the taking over of the Insured by a receiver or other liquidator or by State or Federal officials, or (d) immediately upon the taking over of the Insured by another institution, or (e) immediately upon exhaustion of the Aggregate Limit of Liability, or (f) immediately upon expiration of the Bond Period as set forth in Item 2 of the Declarations.</w:t>
      </w:r>
    </w:p>
    <w:p>
      <w:pPr>
        <w:spacing w:after="0" w:line="169"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This bond terminates as to any Employee or any partner, officer or employee of any Processor — (a) as soon as any Insured, or any director or officer not in collusion with such person, learns of any dishonest or fraudulent act committed by such person at any time, whether in the employment of the Insured or otherwise, whether or not of the type covered under Insuring Agreement (A), against the Insured or any other person or entity, without prejudice to the loss of any Property then in transit in the custody of such person, or (b) 15 days after the receipt by the Insured of a written notice from the Underwriter of its desire to cancel this bond as to such person.</w:t>
      </w:r>
    </w:p>
    <w:p>
      <w:pPr>
        <w:spacing w:after="0" w:line="178"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Termination of the bond as to any Insured terminates liability for any loss sustained by such Insured which is discovered after the effective date of such termination.</w:t>
      </w:r>
    </w:p>
    <w:p>
      <w:pPr>
        <w:sectPr>
          <w:pgSz w:w="11900" w:h="16838" w:orient="portrait"/>
          <w:cols w:equalWidth="0" w:num="2">
            <w:col w:w="5260" w:space="340"/>
            <w:col w:w="5360"/>
          </w:cols>
          <w:pgMar w:left="460" w:top="328" w:right="479" w:bottom="0" w:gutter="0" w:footer="0" w:header="0"/>
        </w:sectPr>
      </w:pPr>
    </w:p>
    <w:bookmarkStart w:id="15" w:name="page16"/>
    <w:bookmarkEnd w:id="15"/>
    <w:p>
      <w:pPr>
        <w:ind w:left="360"/>
        <w:spacing w:after="0"/>
        <w:rPr>
          <w:sz w:val="20"/>
          <w:szCs w:val="20"/>
          <w:color w:val="auto"/>
        </w:rPr>
      </w:pPr>
      <w:r>
        <w:rPr>
          <w:rFonts w:ascii="Arial" w:cs="Arial" w:eastAsia="Arial" w:hAnsi="Arial"/>
          <w:sz w:val="18"/>
          <w:szCs w:val="18"/>
          <w:color w:val="auto"/>
        </w:rPr>
        <w:t>Section 8. With respect to any loss set forth in sub-section (c) of</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4 of this bond which is recoverable or recovered in whole or in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 under any other bonds or policies issued by the Underwriter to the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Insured or to any predecessor in interest of the Insured and terminated or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canceled or allowed to expire and in which the period for discovery has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 expired at the time any such loss thereunder is discovered, the total</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liability of the Underwriter under this bond and under such other bonds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or policies shall not exceed, in the aggregate, the amount carried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hereunder on such loss or the amount available to the Insured under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witness whereof, the Underwriter has caused this bond to be executed on the Declarations page.</w:t>
      </w:r>
    </w:p>
    <w:p>
      <w:pPr>
        <w:spacing w:after="0" w:line="158" w:lineRule="exact"/>
        <w:rPr>
          <w:sz w:val="20"/>
          <w:szCs w:val="20"/>
          <w:color w:val="auto"/>
        </w:rPr>
      </w:pPr>
    </w:p>
    <w:p>
      <w:pPr>
        <w:spacing w:after="0"/>
        <w:tabs>
          <w:tab w:leader="none" w:pos="3600" w:val="left"/>
          <w:tab w:leader="none" w:pos="10180" w:val="left"/>
        </w:tabs>
        <w:rPr>
          <w:sz w:val="20"/>
          <w:szCs w:val="20"/>
          <w:color w:val="auto"/>
        </w:rPr>
      </w:pPr>
      <w:r>
        <w:rPr>
          <w:rFonts w:ascii="Arial" w:cs="Arial" w:eastAsia="Arial" w:hAnsi="Arial"/>
          <w:sz w:val="18"/>
          <w:szCs w:val="18"/>
          <w:color w:val="auto"/>
        </w:rPr>
        <w:t>TSB 5026b</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6 of 6</w:t>
      </w:r>
    </w:p>
    <w:p>
      <w:pPr>
        <w:sectPr>
          <w:pgSz w:w="11900" w:h="16838" w:orient="portrait"/>
          <w:cols w:equalWidth="0" w:num="1">
            <w:col w:w="11020"/>
          </w:cols>
          <w:pgMar w:left="440" w:top="125" w:right="43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114935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149350" cy="128905"/>
                    </a:xfrm>
                    <a:prstGeom prst="rect">
                      <a:avLst/>
                    </a:prstGeom>
                    <a:noFill/>
                  </pic:spPr>
                </pic:pic>
              </a:graphicData>
            </a:graphic>
          </wp:anchor>
        </w:drawing>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006590" cy="8832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6590" cy="883285"/>
                    </a:xfrm>
                    <a:prstGeom prst="rect">
                      <a:avLst/>
                    </a:prstGeom>
                    <a:noFill/>
                  </pic:spPr>
                </pic:pic>
              </a:graphicData>
            </a:graphic>
          </wp:anchor>
        </w:drawing>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15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Named Insured</w:t>
            </w:r>
          </w:p>
        </w:tc>
        <w:tc>
          <w:tcPr>
            <w:tcW w:w="1880" w:type="dxa"/>
            <w:vAlign w:val="bottom"/>
            <w:tcBorders>
              <w:top w:val="single" w:sz="8" w:color="auto"/>
            </w:tcBorders>
          </w:tcPr>
          <w:p>
            <w:pPr>
              <w:spacing w:after="0"/>
              <w:rPr>
                <w:sz w:val="18"/>
                <w:szCs w:val="18"/>
                <w:color w:val="auto"/>
              </w:rPr>
            </w:pPr>
          </w:p>
        </w:tc>
        <w:tc>
          <w:tcPr>
            <w:tcW w:w="47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Endorsement Number</w:t>
            </w:r>
          </w:p>
        </w:tc>
      </w:tr>
      <w:tr>
        <w:trPr>
          <w:trHeight w:val="241"/>
        </w:trPr>
        <w:tc>
          <w:tcPr>
            <w:tcW w:w="34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TPG Specialty Lending, Inc.</w:t>
            </w:r>
          </w:p>
        </w:tc>
        <w:tc>
          <w:tcPr>
            <w:tcW w:w="472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1</w:t>
            </w:r>
          </w:p>
        </w:tc>
      </w:tr>
      <w:tr>
        <w:trPr>
          <w:trHeight w:val="198"/>
        </w:trPr>
        <w:tc>
          <w:tcPr>
            <w:tcW w:w="1560" w:type="dxa"/>
            <w:vAlign w:val="bottom"/>
            <w:tcBorders>
              <w:right w:val="single" w:sz="8" w:color="auto"/>
            </w:tcBorders>
          </w:tcPr>
          <w:p>
            <w:pPr>
              <w:ind w:left="140"/>
              <w:spacing w:after="0" w:line="198" w:lineRule="exact"/>
              <w:rPr>
                <w:sz w:val="20"/>
                <w:szCs w:val="20"/>
                <w:color w:val="auto"/>
              </w:rPr>
            </w:pPr>
            <w:r>
              <w:rPr>
                <w:rFonts w:ascii="Arial" w:cs="Arial" w:eastAsia="Arial" w:hAnsi="Arial"/>
                <w:sz w:val="18"/>
                <w:szCs w:val="18"/>
                <w:color w:val="auto"/>
              </w:rPr>
              <w:t>Policy Symbol</w:t>
            </w:r>
          </w:p>
        </w:tc>
        <w:tc>
          <w:tcPr>
            <w:tcW w:w="18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72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860" w:type="dxa"/>
            <w:vAlign w:val="bottom"/>
          </w:tcPr>
          <w:p>
            <w:pPr>
              <w:ind w:left="8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5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DON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005</w:t>
            </w:r>
          </w:p>
        </w:tc>
        <w:tc>
          <w:tcPr>
            <w:tcW w:w="4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03/08/2019 to 03/08/2020</w:t>
            </w: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03/08/2019</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ONLY COMPANY APPLICABLE TO THIS POLICY IS THE COMPANY NAMED ON THE FIRST PAGE OF THE DECLARATIONS.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signing and delivering the policy to you, we state that it is a valid contract.</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INDEMNITY INSURANCE COMPANY OF NORTH AMERICA </w:t>
      </w:r>
      <w:r>
        <w:rPr>
          <w:rFonts w:ascii="Arial" w:cs="Arial" w:eastAsia="Arial" w:hAnsi="Arial"/>
          <w:sz w:val="18"/>
          <w:szCs w:val="18"/>
          <w:color w:val="auto"/>
        </w:rPr>
        <w:t>(A stock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BANKERS STANDARD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ACE AMERICAN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ACE PROPERTY AND CASUALTY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INSURANCE COMPANY OF NORTH AMERICA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PACIFIC EMPLOYERS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ACE FIRE UNDERWRITERS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WESTCHESTER FIRE INSURANCE COMPANY </w:t>
      </w:r>
      <w:r>
        <w:rPr>
          <w:rFonts w:ascii="Arial" w:cs="Arial" w:eastAsia="Arial" w:hAnsi="Arial"/>
          <w:sz w:val="18"/>
          <w:szCs w:val="18"/>
          <w:color w:val="auto"/>
        </w:rPr>
        <w:t>(A stock company)</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436 Walnut Street, P.O. Box 1000, Philadelphia, Pennsylvania 19106-3703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169545</wp:posOffset>
            </wp:positionV>
            <wp:extent cx="6997700" cy="763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770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60"/>
        <w:spacing w:after="0"/>
        <w:tabs>
          <w:tab w:leader="none" w:pos="8200" w:val="left"/>
        </w:tabs>
        <w:rPr>
          <w:sz w:val="20"/>
          <w:szCs w:val="20"/>
          <w:color w:val="auto"/>
        </w:rPr>
      </w:pPr>
      <w:r>
        <w:rPr>
          <w:rFonts w:ascii="Arial" w:cs="Arial" w:eastAsia="Arial" w:hAnsi="Arial"/>
          <w:sz w:val="18"/>
          <w:szCs w:val="18"/>
          <w:color w:val="auto"/>
        </w:rPr>
        <w:t>REBECCA L. COLLINS, Secretary</w:t>
      </w:r>
      <w:r>
        <w:rPr>
          <w:sz w:val="20"/>
          <w:szCs w:val="20"/>
          <w:color w:val="auto"/>
        </w:rPr>
        <w:tab/>
      </w:r>
      <w:r>
        <w:rPr>
          <w:rFonts w:ascii="Arial" w:cs="Arial" w:eastAsia="Arial" w:hAnsi="Arial"/>
          <w:sz w:val="16"/>
          <w:szCs w:val="16"/>
          <w:color w:val="auto"/>
        </w:rPr>
        <w:t>JOHN J. LUPICA, President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CC-1K11i (02/18)</w:t>
      </w:r>
    </w:p>
    <w:p>
      <w:pPr>
        <w:sectPr>
          <w:pgSz w:w="11900" w:h="16838" w:orient="portrait"/>
          <w:cols w:equalWidth="0" w:num="1">
            <w:col w:w="11040"/>
          </w:cols>
          <w:pgMar w:left="440" w:top="688" w:right="41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TRADE OR ECONOMIC SANCTIONS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006590" cy="8832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6590" cy="883285"/>
                    </a:xfrm>
                    <a:prstGeom prst="rect">
                      <a:avLst/>
                    </a:prstGeom>
                    <a:noFill/>
                  </pic:spPr>
                </pic:pic>
              </a:graphicData>
            </a:graphic>
          </wp:anchor>
        </w:drawing>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15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Named Insured</w:t>
            </w:r>
          </w:p>
        </w:tc>
        <w:tc>
          <w:tcPr>
            <w:tcW w:w="1880" w:type="dxa"/>
            <w:vAlign w:val="bottom"/>
            <w:tcBorders>
              <w:top w:val="single" w:sz="8" w:color="auto"/>
            </w:tcBorders>
          </w:tcPr>
          <w:p>
            <w:pPr>
              <w:spacing w:after="0"/>
              <w:rPr>
                <w:sz w:val="18"/>
                <w:szCs w:val="18"/>
                <w:color w:val="auto"/>
              </w:rPr>
            </w:pPr>
          </w:p>
        </w:tc>
        <w:tc>
          <w:tcPr>
            <w:tcW w:w="47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Endorsement Number</w:t>
            </w:r>
          </w:p>
        </w:tc>
      </w:tr>
      <w:tr>
        <w:trPr>
          <w:trHeight w:val="241"/>
        </w:trPr>
        <w:tc>
          <w:tcPr>
            <w:tcW w:w="34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TPG Specialty Lending, Inc.</w:t>
            </w:r>
          </w:p>
        </w:tc>
        <w:tc>
          <w:tcPr>
            <w:tcW w:w="472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2</w:t>
            </w:r>
          </w:p>
        </w:tc>
      </w:tr>
      <w:tr>
        <w:trPr>
          <w:trHeight w:val="198"/>
        </w:trPr>
        <w:tc>
          <w:tcPr>
            <w:tcW w:w="1560" w:type="dxa"/>
            <w:vAlign w:val="bottom"/>
            <w:tcBorders>
              <w:right w:val="single" w:sz="8" w:color="auto"/>
            </w:tcBorders>
          </w:tcPr>
          <w:p>
            <w:pPr>
              <w:ind w:left="140"/>
              <w:spacing w:after="0" w:line="198" w:lineRule="exact"/>
              <w:rPr>
                <w:sz w:val="20"/>
                <w:szCs w:val="20"/>
                <w:color w:val="auto"/>
              </w:rPr>
            </w:pPr>
            <w:r>
              <w:rPr>
                <w:rFonts w:ascii="Arial" w:cs="Arial" w:eastAsia="Arial" w:hAnsi="Arial"/>
                <w:sz w:val="18"/>
                <w:szCs w:val="18"/>
                <w:color w:val="auto"/>
              </w:rPr>
              <w:t>Policy Symbol</w:t>
            </w:r>
          </w:p>
        </w:tc>
        <w:tc>
          <w:tcPr>
            <w:tcW w:w="18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72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860" w:type="dxa"/>
            <w:vAlign w:val="bottom"/>
          </w:tcPr>
          <w:p>
            <w:pPr>
              <w:ind w:left="8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5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DON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003</w:t>
            </w:r>
          </w:p>
        </w:tc>
        <w:tc>
          <w:tcPr>
            <w:tcW w:w="4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03/08/2019 to 03/08/2020</w:t>
            </w: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03/08/2019</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THIS ENDORSEMENT CHANGES THE POLICY. PLEASE READ IT CAREFULLY.</w:t>
      </w:r>
    </w:p>
    <w:p>
      <w:pPr>
        <w:spacing w:after="0" w:line="229"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This insurance does not apply to the extent that trade or economic sanctions or similar laws or regulations prohibit us from providing insurance, including, but not limited to, the payment of claims. All other terms and conditions of policy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256540</wp:posOffset>
            </wp:positionV>
            <wp:extent cx="27959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97"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Authorized Agent</w:t>
      </w:r>
    </w:p>
    <w:p>
      <w:pPr>
        <w:spacing w:after="0" w:line="158" w:lineRule="exact"/>
        <w:rPr>
          <w:sz w:val="20"/>
          <w:szCs w:val="20"/>
          <w:color w:val="auto"/>
        </w:rPr>
      </w:pPr>
    </w:p>
    <w:p>
      <w:pPr>
        <w:spacing w:after="0"/>
        <w:tabs>
          <w:tab w:leader="none" w:pos="10180" w:val="left"/>
        </w:tabs>
        <w:rPr>
          <w:sz w:val="20"/>
          <w:szCs w:val="20"/>
          <w:color w:val="auto"/>
        </w:rPr>
      </w:pPr>
      <w:r>
        <w:rPr>
          <w:rFonts w:ascii="Arial" w:cs="Arial" w:eastAsia="Arial" w:hAnsi="Arial"/>
          <w:sz w:val="18"/>
          <w:szCs w:val="18"/>
          <w:color w:val="auto"/>
        </w:rPr>
        <w:t>PF-46422 (07/15)</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040"/>
          </w:cols>
          <w:pgMar w:left="440" w:top="270" w:right="41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006590" cy="8832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6590" cy="883285"/>
                    </a:xfrm>
                    <a:prstGeom prst="rect">
                      <a:avLst/>
                    </a:prstGeom>
                    <a:noFill/>
                  </pic:spPr>
                </pic:pic>
              </a:graphicData>
            </a:graphic>
          </wp:anchor>
        </w:drawing>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15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Named Insured</w:t>
            </w:r>
          </w:p>
        </w:tc>
        <w:tc>
          <w:tcPr>
            <w:tcW w:w="1880" w:type="dxa"/>
            <w:vAlign w:val="bottom"/>
            <w:tcBorders>
              <w:top w:val="single" w:sz="8" w:color="auto"/>
            </w:tcBorders>
          </w:tcPr>
          <w:p>
            <w:pPr>
              <w:spacing w:after="0"/>
              <w:rPr>
                <w:sz w:val="18"/>
                <w:szCs w:val="18"/>
                <w:color w:val="auto"/>
              </w:rPr>
            </w:pPr>
          </w:p>
        </w:tc>
        <w:tc>
          <w:tcPr>
            <w:tcW w:w="47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Endorsement Number</w:t>
            </w:r>
          </w:p>
        </w:tc>
      </w:tr>
      <w:tr>
        <w:trPr>
          <w:trHeight w:val="241"/>
        </w:trPr>
        <w:tc>
          <w:tcPr>
            <w:tcW w:w="34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TPG Specialty Lending, Inc.</w:t>
            </w:r>
          </w:p>
        </w:tc>
        <w:tc>
          <w:tcPr>
            <w:tcW w:w="472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3</w:t>
            </w:r>
          </w:p>
        </w:tc>
      </w:tr>
      <w:tr>
        <w:trPr>
          <w:trHeight w:val="198"/>
        </w:trPr>
        <w:tc>
          <w:tcPr>
            <w:tcW w:w="1560" w:type="dxa"/>
            <w:vAlign w:val="bottom"/>
            <w:tcBorders>
              <w:right w:val="single" w:sz="8" w:color="auto"/>
            </w:tcBorders>
          </w:tcPr>
          <w:p>
            <w:pPr>
              <w:ind w:left="140"/>
              <w:spacing w:after="0" w:line="198" w:lineRule="exact"/>
              <w:rPr>
                <w:sz w:val="20"/>
                <w:szCs w:val="20"/>
                <w:color w:val="auto"/>
              </w:rPr>
            </w:pPr>
            <w:r>
              <w:rPr>
                <w:rFonts w:ascii="Arial" w:cs="Arial" w:eastAsia="Arial" w:hAnsi="Arial"/>
                <w:sz w:val="18"/>
                <w:szCs w:val="18"/>
                <w:color w:val="auto"/>
              </w:rPr>
              <w:t>Policy Symbol</w:t>
            </w:r>
          </w:p>
        </w:tc>
        <w:tc>
          <w:tcPr>
            <w:tcW w:w="18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72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860" w:type="dxa"/>
            <w:vAlign w:val="bottom"/>
          </w:tcPr>
          <w:p>
            <w:pPr>
              <w:ind w:left="8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8"/>
        </w:trPr>
        <w:tc>
          <w:tcPr>
            <w:tcW w:w="15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DON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005</w:t>
            </w:r>
          </w:p>
        </w:tc>
        <w:tc>
          <w:tcPr>
            <w:tcW w:w="4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03/08/2019 to 03/08/2020</w:t>
            </w: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03/08/2019</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RIDER</w:t>
      </w:r>
    </w:p>
    <w:p>
      <w:pPr>
        <w:spacing w:after="0" w:line="229"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To be attached to and form part of Financial Institution Bond, Standard Form No. 14 in favor of TPG Specialty Lending, Inc.</w:t>
      </w:r>
    </w:p>
    <w:p>
      <w:pPr>
        <w:spacing w:after="0" w:line="12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It is agreed that:</w:t>
      </w:r>
    </w:p>
    <w:p>
      <w:pPr>
        <w:spacing w:after="0" w:line="131" w:lineRule="exact"/>
        <w:rPr>
          <w:sz w:val="20"/>
          <w:szCs w:val="20"/>
          <w:color w:val="auto"/>
        </w:rPr>
      </w:pPr>
    </w:p>
    <w:p>
      <w:pPr>
        <w:ind w:left="2300" w:right="500" w:hanging="432"/>
        <w:spacing w:after="0" w:line="277" w:lineRule="auto"/>
        <w:tabs>
          <w:tab w:leader="none" w:pos="2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Subparagraph (d) of Section 5 NOTICE/PROOF – LEGAL PROCEEDINGS AGAINST UNDERW RITER of the Conditions and Limitations of the bond is deleted and replaced by the following:</w:t>
      </w:r>
    </w:p>
    <w:p>
      <w:pPr>
        <w:spacing w:after="0" w:line="62" w:lineRule="exact"/>
        <w:rPr>
          <w:rFonts w:ascii="Arial" w:cs="Arial" w:eastAsia="Arial" w:hAnsi="Arial"/>
          <w:sz w:val="18"/>
          <w:szCs w:val="18"/>
          <w:color w:val="auto"/>
        </w:rPr>
      </w:pPr>
    </w:p>
    <w:p>
      <w:pPr>
        <w:jc w:val="both"/>
        <w:ind w:left="2320" w:right="80" w:hanging="2"/>
        <w:spacing w:after="0" w:line="264" w:lineRule="auto"/>
        <w:tabs>
          <w:tab w:leader="none" w:pos="2575" w:val="left"/>
        </w:tabs>
        <w:numPr>
          <w:ilvl w:val="1"/>
          <w:numId w:val="49"/>
        </w:numPr>
        <w:rPr>
          <w:rFonts w:ascii="Arial" w:cs="Arial" w:eastAsia="Arial" w:hAnsi="Arial"/>
          <w:sz w:val="18"/>
          <w:szCs w:val="18"/>
          <w:color w:val="auto"/>
        </w:rPr>
      </w:pPr>
      <w:r>
        <w:rPr>
          <w:rFonts w:ascii="Arial" w:cs="Arial" w:eastAsia="Arial" w:hAnsi="Arial"/>
          <w:sz w:val="18"/>
          <w:szCs w:val="18"/>
          <w:color w:val="auto"/>
        </w:rPr>
        <w:t>Legal proceedings for the recovery of any loss hereunder shall not be brought more than two years and one day after the earlier of (1) the date the original proof of loss is filed with the Underwriter, or (2) 6 months after discovery of such loss.</w:t>
      </w:r>
    </w:p>
    <w:p>
      <w:pPr>
        <w:spacing w:after="0" w:line="86" w:lineRule="exact"/>
        <w:rPr>
          <w:rFonts w:ascii="Arial" w:cs="Arial" w:eastAsia="Arial" w:hAnsi="Arial"/>
          <w:sz w:val="18"/>
          <w:szCs w:val="18"/>
          <w:color w:val="auto"/>
        </w:rPr>
      </w:pPr>
    </w:p>
    <w:p>
      <w:pPr>
        <w:ind w:left="2300" w:right="380" w:hanging="432"/>
        <w:spacing w:after="0" w:line="277" w:lineRule="auto"/>
        <w:tabs>
          <w:tab w:leader="none" w:pos="2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new Subparagraph (g) is added to Section 5 NOTICE/PROOF – LEGAL PROCEEDINGS AGAINST UNDERW RITER of the Conditions and Limitations of the bond as follows:</w:t>
      </w:r>
    </w:p>
    <w:p>
      <w:pPr>
        <w:spacing w:after="0" w:line="62" w:lineRule="exact"/>
        <w:rPr>
          <w:rFonts w:ascii="Arial" w:cs="Arial" w:eastAsia="Arial" w:hAnsi="Arial"/>
          <w:sz w:val="18"/>
          <w:szCs w:val="18"/>
          <w:color w:val="auto"/>
        </w:rPr>
      </w:pPr>
    </w:p>
    <w:p>
      <w:pPr>
        <w:ind w:left="2320" w:right="240" w:hanging="2"/>
        <w:spacing w:after="0" w:line="257" w:lineRule="auto"/>
        <w:tabs>
          <w:tab w:leader="none" w:pos="2575"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 the event of a legal proceeding against the Insured as described in the NOTICE OF LEGAL PROCEEDINGS – ELECTION TO DEFEND General Agreement of the Bond, the time in which to file a proof of loss pursuant to subparagraph (b) of this Section 5 and the time in which to file suite pursuant to part (2) of subparagraph (d) of this Section 5 shall commence upon the entry of a judgment against the Insured in, or a settlement by the Insured of, such legal proceeding instead of upon discovery of loss.</w:t>
      </w:r>
    </w:p>
    <w:p>
      <w:pPr>
        <w:spacing w:after="0" w:line="93" w:lineRule="exact"/>
        <w:rPr>
          <w:rFonts w:ascii="Arial" w:cs="Arial" w:eastAsia="Arial" w:hAnsi="Arial"/>
          <w:sz w:val="18"/>
          <w:szCs w:val="18"/>
          <w:color w:val="auto"/>
        </w:rPr>
      </w:pPr>
    </w:p>
    <w:p>
      <w:pPr>
        <w:ind w:left="2300" w:right="20" w:hanging="432"/>
        <w:spacing w:after="0" w:line="277" w:lineRule="auto"/>
        <w:tabs>
          <w:tab w:leader="none" w:pos="2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last paragraph of the NOTICE OF LEGAL PROCEEDINGS – ELECTION TO DEFEND General Agreement of the bond is deleted and replaced by the following:</w:t>
      </w:r>
    </w:p>
    <w:p>
      <w:pPr>
        <w:spacing w:after="0" w:line="62" w:lineRule="exact"/>
        <w:rPr>
          <w:rFonts w:ascii="Arial" w:cs="Arial" w:eastAsia="Arial" w:hAnsi="Arial"/>
          <w:sz w:val="18"/>
          <w:szCs w:val="18"/>
          <w:color w:val="auto"/>
        </w:rPr>
      </w:pPr>
    </w:p>
    <w:p>
      <w:pPr>
        <w:ind w:left="2320" w:right="360"/>
        <w:spacing w:after="0" w:line="277" w:lineRule="auto"/>
        <w:rPr>
          <w:rFonts w:ascii="Arial" w:cs="Arial" w:eastAsia="Arial" w:hAnsi="Arial"/>
          <w:sz w:val="18"/>
          <w:szCs w:val="18"/>
          <w:color w:val="auto"/>
        </w:rPr>
      </w:pPr>
      <w:r>
        <w:rPr>
          <w:rFonts w:ascii="Arial" w:cs="Arial" w:eastAsia="Arial" w:hAnsi="Arial"/>
          <w:sz w:val="18"/>
          <w:szCs w:val="18"/>
          <w:color w:val="auto"/>
        </w:rPr>
        <w:t>The Insured must notify the Underwriter within 30 days after such judgment is entered against it or after the insured settles such legal proceeding.</w:t>
      </w:r>
    </w:p>
    <w:p>
      <w:pPr>
        <w:spacing w:after="0" w:line="75" w:lineRule="exact"/>
        <w:rPr>
          <w:rFonts w:ascii="Arial" w:cs="Arial" w:eastAsia="Arial" w:hAnsi="Arial"/>
          <w:sz w:val="18"/>
          <w:szCs w:val="18"/>
          <w:color w:val="auto"/>
        </w:rPr>
      </w:pPr>
    </w:p>
    <w:p>
      <w:pPr>
        <w:ind w:left="2300" w:hanging="432"/>
        <w:spacing w:after="0"/>
        <w:tabs>
          <w:tab w:leader="none" w:pos="2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following is added to the Conditions and Limitations of the bond:</w:t>
      </w:r>
    </w:p>
    <w:p>
      <w:pPr>
        <w:spacing w:after="0" w:line="117" w:lineRule="exact"/>
        <w:rPr>
          <w:rFonts w:ascii="Arial" w:cs="Arial" w:eastAsia="Arial" w:hAnsi="Arial"/>
          <w:sz w:val="18"/>
          <w:szCs w:val="18"/>
          <w:color w:val="auto"/>
        </w:rPr>
      </w:pPr>
    </w:p>
    <w:p>
      <w:pPr>
        <w:ind w:left="2320" w:right="440"/>
        <w:spacing w:after="0" w:line="277" w:lineRule="auto"/>
        <w:rPr>
          <w:rFonts w:ascii="Arial" w:cs="Arial" w:eastAsia="Arial" w:hAnsi="Arial"/>
          <w:sz w:val="18"/>
          <w:szCs w:val="18"/>
          <w:color w:val="auto"/>
        </w:rPr>
      </w:pPr>
      <w:r>
        <w:rPr>
          <w:rFonts w:ascii="Arial" w:cs="Arial" w:eastAsia="Arial" w:hAnsi="Arial"/>
          <w:sz w:val="18"/>
          <w:szCs w:val="18"/>
          <w:color w:val="auto"/>
        </w:rPr>
        <w:t>The Underwriter may not cancel or refuse to renew this bond based solely on the fact that any Insured is an elected official.</w:t>
      </w:r>
    </w:p>
    <w:p>
      <w:pPr>
        <w:spacing w:after="0" w:line="75" w:lineRule="exact"/>
        <w:rPr>
          <w:rFonts w:ascii="Arial" w:cs="Arial" w:eastAsia="Arial" w:hAnsi="Arial"/>
          <w:sz w:val="18"/>
          <w:szCs w:val="18"/>
          <w:color w:val="auto"/>
        </w:rPr>
      </w:pPr>
    </w:p>
    <w:p>
      <w:pPr>
        <w:ind w:left="2300" w:hanging="432"/>
        <w:spacing w:after="0"/>
        <w:tabs>
          <w:tab w:leader="none" w:pos="2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rider is effective as of 12:01 a.m. on 03/08/2019.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TEXAS RIDER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FOR USE WITH FINANCIAL INSTITUTION BONDS,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STANDARD FORM NOS. 14, 15, 24 AND 25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ADOPTED MARCH, 2008.</w:t>
      </w:r>
    </w:p>
    <w:p>
      <w:pPr>
        <w:spacing w:after="0" w:line="131" w:lineRule="exact"/>
        <w:rPr>
          <w:sz w:val="20"/>
          <w:szCs w:val="20"/>
          <w:color w:val="auto"/>
        </w:rPr>
      </w:pPr>
    </w:p>
    <w:p>
      <w:pPr>
        <w:spacing w:after="0"/>
        <w:tabs>
          <w:tab w:leader="none" w:pos="3220" w:val="left"/>
          <w:tab w:leader="none" w:pos="10180" w:val="left"/>
        </w:tabs>
        <w:rPr>
          <w:sz w:val="20"/>
          <w:szCs w:val="20"/>
          <w:color w:val="auto"/>
        </w:rPr>
      </w:pPr>
      <w:r>
        <w:rPr>
          <w:rFonts w:ascii="Arial" w:cs="Arial" w:eastAsia="Arial" w:hAnsi="Arial"/>
          <w:sz w:val="18"/>
          <w:szCs w:val="18"/>
          <w:color w:val="auto"/>
        </w:rPr>
        <w:t>SR 6290</w:t>
      </w:r>
      <w:r>
        <w:rPr>
          <w:sz w:val="20"/>
          <w:szCs w:val="20"/>
          <w:color w:val="auto"/>
        </w:rPr>
        <w:tab/>
      </w:r>
      <w:r>
        <w:rPr>
          <w:rFonts w:ascii="Arial" w:cs="Arial" w:eastAsia="Arial" w:hAnsi="Arial"/>
          <w:sz w:val="18"/>
          <w:szCs w:val="18"/>
          <w:color w:val="auto"/>
        </w:rPr>
        <w:t>Copyright The Surety &amp; Fidelity Association of America, 2008</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040"/>
          </w:cols>
          <w:pgMar w:left="440" w:top="270" w:right="41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006590" cy="8832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6590" cy="883285"/>
                    </a:xfrm>
                    <a:prstGeom prst="rect">
                      <a:avLst/>
                    </a:prstGeom>
                    <a:noFill/>
                  </pic:spPr>
                </pic:pic>
              </a:graphicData>
            </a:graphic>
          </wp:anchor>
        </w:drawing>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15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Named Insured</w:t>
            </w:r>
          </w:p>
        </w:tc>
        <w:tc>
          <w:tcPr>
            <w:tcW w:w="1880" w:type="dxa"/>
            <w:vAlign w:val="bottom"/>
            <w:tcBorders>
              <w:top w:val="single" w:sz="8" w:color="auto"/>
            </w:tcBorders>
          </w:tcPr>
          <w:p>
            <w:pPr>
              <w:spacing w:after="0"/>
              <w:rPr>
                <w:sz w:val="18"/>
                <w:szCs w:val="18"/>
                <w:color w:val="auto"/>
              </w:rPr>
            </w:pPr>
          </w:p>
        </w:tc>
        <w:tc>
          <w:tcPr>
            <w:tcW w:w="47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Endorsement Number</w:t>
            </w:r>
          </w:p>
        </w:tc>
      </w:tr>
      <w:tr>
        <w:trPr>
          <w:trHeight w:val="241"/>
        </w:trPr>
        <w:tc>
          <w:tcPr>
            <w:tcW w:w="34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TPG Specialty Lending, Inc.</w:t>
            </w:r>
          </w:p>
        </w:tc>
        <w:tc>
          <w:tcPr>
            <w:tcW w:w="472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4</w:t>
            </w:r>
          </w:p>
        </w:tc>
      </w:tr>
      <w:tr>
        <w:trPr>
          <w:trHeight w:val="198"/>
        </w:trPr>
        <w:tc>
          <w:tcPr>
            <w:tcW w:w="1560" w:type="dxa"/>
            <w:vAlign w:val="bottom"/>
            <w:tcBorders>
              <w:right w:val="single" w:sz="8" w:color="auto"/>
            </w:tcBorders>
          </w:tcPr>
          <w:p>
            <w:pPr>
              <w:ind w:left="140"/>
              <w:spacing w:after="0" w:line="198" w:lineRule="exact"/>
              <w:rPr>
                <w:sz w:val="20"/>
                <w:szCs w:val="20"/>
                <w:color w:val="auto"/>
              </w:rPr>
            </w:pPr>
            <w:r>
              <w:rPr>
                <w:rFonts w:ascii="Arial" w:cs="Arial" w:eastAsia="Arial" w:hAnsi="Arial"/>
                <w:sz w:val="18"/>
                <w:szCs w:val="18"/>
                <w:color w:val="auto"/>
              </w:rPr>
              <w:t>Policy Symbol</w:t>
            </w:r>
          </w:p>
        </w:tc>
        <w:tc>
          <w:tcPr>
            <w:tcW w:w="18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72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860" w:type="dxa"/>
            <w:vAlign w:val="bottom"/>
          </w:tcPr>
          <w:p>
            <w:pPr>
              <w:ind w:left="8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5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DON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005</w:t>
            </w:r>
          </w:p>
        </w:tc>
        <w:tc>
          <w:tcPr>
            <w:tcW w:w="4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03/08/2019 to 03/08/2020</w:t>
            </w: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03/08/2019</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ADD CERTAIN COMPUTER CRIME INSURING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the bond is amended to add the following:</w:t>
      </w:r>
    </w:p>
    <w:p>
      <w:pPr>
        <w:spacing w:after="0" w:line="131" w:lineRule="exact"/>
        <w:rPr>
          <w:sz w:val="20"/>
          <w:szCs w:val="20"/>
          <w:color w:val="auto"/>
        </w:rPr>
      </w:pPr>
    </w:p>
    <w:p>
      <w:pPr>
        <w:ind w:left="440" w:hanging="436"/>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section entitled Insuring Agreements is amended to add the following:</w:t>
      </w:r>
    </w:p>
    <w:p>
      <w:pPr>
        <w:spacing w:after="0" w:line="369" w:lineRule="exact"/>
        <w:rPr>
          <w:rFonts w:ascii="Arial" w:cs="Arial" w:eastAsia="Arial" w:hAnsi="Arial"/>
          <w:sz w:val="18"/>
          <w:szCs w:val="18"/>
          <w:color w:val="auto"/>
        </w:rPr>
      </w:pPr>
    </w:p>
    <w:p>
      <w:pPr>
        <w:ind w:left="880" w:right="7240" w:hanging="336"/>
        <w:spacing w:after="0" w:line="408" w:lineRule="auto"/>
        <w:tabs>
          <w:tab w:leader="none" w:pos="863" w:val="left"/>
        </w:tabs>
        <w:numPr>
          <w:ilvl w:val="1"/>
          <w:numId w:val="52"/>
        </w:numPr>
        <w:rPr>
          <w:rFonts w:ascii="Arial" w:cs="Arial" w:eastAsia="Arial" w:hAnsi="Arial"/>
          <w:sz w:val="17"/>
          <w:szCs w:val="17"/>
          <w:color w:val="auto"/>
        </w:rPr>
      </w:pPr>
      <w:r>
        <w:rPr>
          <w:rFonts w:ascii="Arial" w:cs="Arial" w:eastAsia="Arial" w:hAnsi="Arial"/>
          <w:sz w:val="17"/>
          <w:szCs w:val="17"/>
          <w:b w:val="1"/>
          <w:bCs w:val="1"/>
          <w:color w:val="auto"/>
        </w:rPr>
        <w:t xml:space="preserve">COMPUTER SYSTEMS FRAUD </w:t>
      </w:r>
      <w:r>
        <w:rPr>
          <w:rFonts w:ascii="Arial" w:cs="Arial" w:eastAsia="Arial" w:hAnsi="Arial"/>
          <w:sz w:val="17"/>
          <w:szCs w:val="17"/>
          <w:color w:val="auto"/>
        </w:rPr>
        <w:t>Loss resulting directly from a fraudulent</w:t>
      </w:r>
    </w:p>
    <w:p>
      <w:pPr>
        <w:spacing w:after="0" w:line="1" w:lineRule="exact"/>
        <w:rPr>
          <w:rFonts w:ascii="Arial" w:cs="Arial" w:eastAsia="Arial" w:hAnsi="Arial"/>
          <w:sz w:val="17"/>
          <w:szCs w:val="17"/>
          <w:color w:val="auto"/>
        </w:rPr>
      </w:pPr>
    </w:p>
    <w:p>
      <w:pPr>
        <w:ind w:left="1420" w:hanging="538"/>
        <w:spacing w:after="0"/>
        <w:tabs>
          <w:tab w:leader="none" w:pos="1420" w:val="left"/>
        </w:tabs>
        <w:numPr>
          <w:ilvl w:val="2"/>
          <w:numId w:val="52"/>
        </w:numPr>
        <w:rPr>
          <w:rFonts w:ascii="Arial" w:cs="Arial" w:eastAsia="Arial" w:hAnsi="Arial"/>
          <w:sz w:val="18"/>
          <w:szCs w:val="18"/>
          <w:color w:val="auto"/>
        </w:rPr>
      </w:pPr>
      <w:r>
        <w:rPr>
          <w:rFonts w:ascii="Arial" w:cs="Arial" w:eastAsia="Arial" w:hAnsi="Arial"/>
          <w:sz w:val="18"/>
          <w:szCs w:val="18"/>
          <w:color w:val="auto"/>
        </w:rPr>
        <w:t>entry of Electronic Data or Computer Program into, or</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2"/>
          <w:numId w:val="52"/>
        </w:numPr>
        <w:rPr>
          <w:rFonts w:ascii="Arial" w:cs="Arial" w:eastAsia="Arial" w:hAnsi="Arial"/>
          <w:sz w:val="18"/>
          <w:szCs w:val="18"/>
          <w:color w:val="auto"/>
        </w:rPr>
      </w:pPr>
      <w:r>
        <w:rPr>
          <w:rFonts w:ascii="Arial" w:cs="Arial" w:eastAsia="Arial" w:hAnsi="Arial"/>
          <w:sz w:val="18"/>
          <w:szCs w:val="18"/>
          <w:color w:val="auto"/>
        </w:rPr>
        <w:t>change of Electronic Data or Computer Program within</w:t>
      </w:r>
    </w:p>
    <w:p>
      <w:pPr>
        <w:spacing w:after="0" w:line="117" w:lineRule="exact"/>
        <w:rPr>
          <w:sz w:val="20"/>
          <w:szCs w:val="20"/>
          <w:color w:val="auto"/>
        </w:rPr>
      </w:pPr>
    </w:p>
    <w:p>
      <w:pPr>
        <w:ind w:left="880" w:right="220"/>
        <w:spacing w:after="0" w:line="264" w:lineRule="auto"/>
        <w:rPr>
          <w:sz w:val="20"/>
          <w:szCs w:val="20"/>
          <w:color w:val="auto"/>
        </w:rPr>
      </w:pPr>
      <w:r>
        <w:rPr>
          <w:rFonts w:ascii="Arial" w:cs="Arial" w:eastAsia="Arial" w:hAnsi="Arial"/>
          <w:sz w:val="18"/>
          <w:szCs w:val="18"/>
          <w:color w:val="auto"/>
        </w:rPr>
        <w:t>any Computer System operated by the Insured, whether owned or leased; or any Computer System identified in the application for this bond; or a Computer System first used by the Insured during the bond period, as provided by General Agreement B; provided the entry or change causes</w:t>
      </w:r>
    </w:p>
    <w:p>
      <w:pPr>
        <w:spacing w:after="0" w:line="87" w:lineRule="exact"/>
        <w:rPr>
          <w:sz w:val="20"/>
          <w:szCs w:val="20"/>
          <w:color w:val="auto"/>
        </w:rPr>
      </w:pPr>
    </w:p>
    <w:p>
      <w:pPr>
        <w:ind w:left="1420" w:hanging="538"/>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property to be transferred, paid or delivered,</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account of the Insured, or of its customer, to be added, deleted, debited or credited, or</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unauthorized account or a fictitious account to be debited or credited.</w:t>
      </w:r>
    </w:p>
    <w:p>
      <w:pPr>
        <w:spacing w:after="0" w:line="117" w:lineRule="exact"/>
        <w:rPr>
          <w:sz w:val="20"/>
          <w:szCs w:val="20"/>
          <w:color w:val="auto"/>
        </w:rPr>
      </w:pPr>
    </w:p>
    <w:p>
      <w:pPr>
        <w:ind w:left="880" w:right="380"/>
        <w:spacing w:after="0" w:line="277" w:lineRule="auto"/>
        <w:rPr>
          <w:sz w:val="20"/>
          <w:szCs w:val="20"/>
          <w:color w:val="auto"/>
        </w:rPr>
      </w:pPr>
      <w:r>
        <w:rPr>
          <w:rFonts w:ascii="Arial" w:cs="Arial" w:eastAsia="Arial" w:hAnsi="Arial"/>
          <w:sz w:val="18"/>
          <w:szCs w:val="18"/>
          <w:color w:val="auto"/>
        </w:rPr>
        <w:t>In this Insuring Agreement, fraudulent entry or change shall include such entry or change made by an employee of the Insured acting in good faith</w:t>
      </w:r>
    </w:p>
    <w:p>
      <w:pPr>
        <w:spacing w:after="0" w:line="76" w:lineRule="exact"/>
        <w:rPr>
          <w:sz w:val="20"/>
          <w:szCs w:val="20"/>
          <w:color w:val="auto"/>
        </w:rPr>
      </w:pPr>
    </w:p>
    <w:p>
      <w:pPr>
        <w:ind w:left="1420" w:right="40" w:hanging="538"/>
        <w:spacing w:after="0" w:line="277" w:lineRule="auto"/>
        <w:tabs>
          <w:tab w:leader="none" w:pos="14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on an instruction from a software contractor who has a written agreement with the Insured to design, implement, or service programs for a Computer System covered by this Insuring Agreement, or</w:t>
      </w:r>
    </w:p>
    <w:p>
      <w:pPr>
        <w:spacing w:after="0" w:line="75" w:lineRule="exact"/>
        <w:rPr>
          <w:rFonts w:ascii="Arial" w:cs="Arial" w:eastAsia="Arial" w:hAnsi="Arial"/>
          <w:sz w:val="18"/>
          <w:szCs w:val="18"/>
          <w:color w:val="auto"/>
        </w:rPr>
      </w:pPr>
    </w:p>
    <w:p>
      <w:pPr>
        <w:ind w:left="1420" w:right="220" w:hanging="538"/>
        <w:spacing w:after="0" w:line="277" w:lineRule="auto"/>
        <w:tabs>
          <w:tab w:leader="none" w:pos="14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on an instruction transmitted by Tested telex or similar means of Tested communication identified in the application for this policy purportedly sent by a customer, financial institution, or automated clearing house.</w:t>
      </w:r>
    </w:p>
    <w:p>
      <w:pPr>
        <w:spacing w:after="0" w:line="315" w:lineRule="exact"/>
        <w:rPr>
          <w:rFonts w:ascii="Arial" w:cs="Arial" w:eastAsia="Arial" w:hAnsi="Arial"/>
          <w:sz w:val="18"/>
          <w:szCs w:val="18"/>
          <w:color w:val="auto"/>
        </w:rPr>
      </w:pPr>
    </w:p>
    <w:p>
      <w:pPr>
        <w:ind w:left="860" w:hanging="316"/>
        <w:spacing w:after="0"/>
        <w:tabs>
          <w:tab w:leader="none" w:pos="86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DATA PROCESSING SERVICE OPERATIONS</w:t>
      </w:r>
    </w:p>
    <w:p>
      <w:pPr>
        <w:spacing w:after="0" w:line="121"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Loss sustained by a Client of the Insured resulting directly from a fraudulent</w:t>
      </w:r>
    </w:p>
    <w:p>
      <w:pPr>
        <w:spacing w:after="0" w:line="131" w:lineRule="exact"/>
        <w:rPr>
          <w:sz w:val="20"/>
          <w:szCs w:val="20"/>
          <w:color w:val="auto"/>
        </w:rPr>
      </w:pPr>
    </w:p>
    <w:p>
      <w:pPr>
        <w:ind w:left="1420" w:hanging="538"/>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entry of Electronic Data or a Computer Program into, or</w:t>
      </w:r>
    </w:p>
    <w:p>
      <w:pPr>
        <w:spacing w:after="0" w:line="130" w:lineRule="exact"/>
        <w:rPr>
          <w:rFonts w:ascii="Arial" w:cs="Arial" w:eastAsia="Arial" w:hAnsi="Arial"/>
          <w:sz w:val="18"/>
          <w:szCs w:val="18"/>
          <w:color w:val="auto"/>
        </w:rPr>
      </w:pPr>
    </w:p>
    <w:p>
      <w:pPr>
        <w:ind w:left="1420" w:right="380" w:hanging="538"/>
        <w:spacing w:after="0" w:line="277" w:lineRule="auto"/>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 of Electronic Data or a Computer Program within a Computer System covered under the terms of the Computer Systems Fraud Insuring Agreement 1, or</w:t>
      </w:r>
    </w:p>
    <w:p>
      <w:pPr>
        <w:spacing w:after="0" w:line="75" w:lineRule="exact"/>
        <w:rPr>
          <w:rFonts w:ascii="Arial" w:cs="Arial" w:eastAsia="Arial" w:hAnsi="Arial"/>
          <w:sz w:val="18"/>
          <w:szCs w:val="18"/>
          <w:color w:val="auto"/>
        </w:rPr>
      </w:pPr>
    </w:p>
    <w:p>
      <w:pPr>
        <w:ind w:left="1420" w:hanging="538"/>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entry or change of Electronic Data during electronic transmission or physical transit from the Insured to its Client,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provided that the entry or change causes</w:t>
      </w:r>
    </w:p>
    <w:p>
      <w:pPr>
        <w:spacing w:after="0" w:line="131" w:lineRule="exact"/>
        <w:rPr>
          <w:sz w:val="20"/>
          <w:szCs w:val="20"/>
          <w:color w:val="auto"/>
        </w:rPr>
      </w:pPr>
    </w:p>
    <w:p>
      <w:pPr>
        <w:ind w:left="1420" w:hanging="538"/>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property to be transferred, paid or delivered,</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account of the Client, or a customer of the Client, to be added, deleted, debited or credited, or</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unauthorized account or a fictitious account to be debited or credited,</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and for which loss the Insured is legally liable to the Client as a provider of data processing services for such Client.</w:t>
      </w:r>
    </w:p>
    <w:p>
      <w:pPr>
        <w:spacing w:after="0" w:line="158" w:lineRule="exact"/>
        <w:rPr>
          <w:sz w:val="20"/>
          <w:szCs w:val="20"/>
          <w:color w:val="auto"/>
        </w:rPr>
      </w:pPr>
    </w:p>
    <w:p>
      <w:pPr>
        <w:spacing w:after="0"/>
        <w:tabs>
          <w:tab w:leader="none" w:pos="5220" w:val="left"/>
          <w:tab w:leader="none" w:pos="10180" w:val="left"/>
        </w:tabs>
        <w:rPr>
          <w:sz w:val="20"/>
          <w:szCs w:val="20"/>
          <w:color w:val="auto"/>
        </w:rPr>
      </w:pPr>
      <w:r>
        <w:rPr>
          <w:rFonts w:ascii="Arial" w:cs="Arial" w:eastAsia="Arial" w:hAnsi="Arial"/>
          <w:sz w:val="18"/>
          <w:szCs w:val="18"/>
          <w:color w:val="auto"/>
        </w:rPr>
        <w:t>PF-38325 (06/12)</w:t>
      </w:r>
      <w:r>
        <w:rPr>
          <w:sz w:val="20"/>
          <w:szCs w:val="20"/>
          <w:color w:val="auto"/>
        </w:rPr>
        <w:tab/>
      </w:r>
      <w:r>
        <w:rPr>
          <w:rFonts w:ascii="Arial" w:cs="Arial" w:eastAsia="Arial" w:hAnsi="Arial"/>
          <w:sz w:val="18"/>
          <w:szCs w:val="18"/>
          <w:color w:val="auto"/>
        </w:rPr>
        <w:t>© 2012</w:t>
      </w:r>
      <w:r>
        <w:rPr>
          <w:sz w:val="20"/>
          <w:szCs w:val="20"/>
          <w:color w:val="auto"/>
        </w:rPr>
        <w:tab/>
      </w:r>
      <w:r>
        <w:rPr>
          <w:rFonts w:ascii="Arial" w:cs="Arial" w:eastAsia="Arial" w:hAnsi="Arial"/>
          <w:sz w:val="16"/>
          <w:szCs w:val="16"/>
          <w:color w:val="auto"/>
        </w:rPr>
        <w:t>Page 1 of 6</w:t>
      </w:r>
    </w:p>
    <w:p>
      <w:pPr>
        <w:sectPr>
          <w:pgSz w:w="11900" w:h="16838" w:orient="portrait"/>
          <w:cols w:equalWidth="0" w:num="1">
            <w:col w:w="11040"/>
          </w:cols>
          <w:pgMar w:left="440" w:top="270" w:right="419" w:bottom="1440" w:gutter="0" w:footer="0" w:header="0"/>
        </w:sectPr>
      </w:pPr>
    </w:p>
    <w:bookmarkStart w:id="20" w:name="page21"/>
    <w:bookmarkEnd w:id="20"/>
    <w:p>
      <w:pPr>
        <w:ind w:left="880"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this Data Processing Servicing Operations Insuring Agreement, fraudulent entry or change shall include such entry or change made by an employee of the Insured acting in good faith</w:t>
      </w:r>
    </w:p>
    <w:p>
      <w:pPr>
        <w:spacing w:after="0" w:line="76" w:lineRule="exact"/>
        <w:rPr>
          <w:sz w:val="20"/>
          <w:szCs w:val="20"/>
          <w:color w:val="auto"/>
        </w:rPr>
      </w:pPr>
    </w:p>
    <w:p>
      <w:pPr>
        <w:ind w:left="1420" w:right="60" w:hanging="538"/>
        <w:spacing w:after="0" w:line="277"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 an instruction from a software contractor who has a written agreement with the Insured to design, implement or service programs for a Computer System covered by this Insuring Agreement, or</w:t>
      </w:r>
    </w:p>
    <w:p>
      <w:pPr>
        <w:spacing w:after="0" w:line="75" w:lineRule="exact"/>
        <w:rPr>
          <w:rFonts w:ascii="Arial" w:cs="Arial" w:eastAsia="Arial" w:hAnsi="Arial"/>
          <w:sz w:val="18"/>
          <w:szCs w:val="18"/>
          <w:color w:val="auto"/>
        </w:rPr>
      </w:pPr>
    </w:p>
    <w:p>
      <w:pPr>
        <w:ind w:left="1420" w:right="200" w:hanging="538"/>
        <w:spacing w:after="0" w:line="277"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 an instruction transmitted by Tested telex or similar means of Tested communication identified in the application for this policy purportedly sent by a customer, financial institution, or automated clearing house.</w:t>
      </w:r>
    </w:p>
    <w:p>
      <w:pPr>
        <w:spacing w:after="0" w:line="62" w:lineRule="exact"/>
        <w:rPr>
          <w:sz w:val="20"/>
          <w:szCs w:val="20"/>
          <w:color w:val="auto"/>
        </w:rPr>
      </w:pPr>
    </w:p>
    <w:p>
      <w:pPr>
        <w:ind w:left="880" w:right="340"/>
        <w:spacing w:after="0" w:line="277" w:lineRule="auto"/>
        <w:rPr>
          <w:sz w:val="20"/>
          <w:szCs w:val="20"/>
          <w:color w:val="auto"/>
        </w:rPr>
      </w:pPr>
      <w:r>
        <w:rPr>
          <w:rFonts w:ascii="Arial" w:cs="Arial" w:eastAsia="Arial" w:hAnsi="Arial"/>
          <w:sz w:val="18"/>
          <w:szCs w:val="18"/>
          <w:color w:val="auto"/>
        </w:rPr>
        <w:t>In this Data Processing Servicing Operations Insuring Agreement, Client means an entity for whom the Insured serves as data processor under the terms of a written agreement</w:t>
      </w:r>
    </w:p>
    <w:p>
      <w:pPr>
        <w:spacing w:after="0" w:line="315" w:lineRule="exact"/>
        <w:rPr>
          <w:sz w:val="20"/>
          <w:szCs w:val="20"/>
          <w:color w:val="auto"/>
        </w:rPr>
      </w:pPr>
    </w:p>
    <w:p>
      <w:pPr>
        <w:ind w:left="860" w:hanging="424"/>
        <w:spacing w:after="0"/>
        <w:tabs>
          <w:tab w:leader="none" w:pos="86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VOICE INITIATED TRANSFER FRAUD</w:t>
      </w:r>
    </w:p>
    <w:p>
      <w:pPr>
        <w:spacing w:after="0" w:line="121" w:lineRule="exact"/>
        <w:rPr>
          <w:rFonts w:ascii="Arial" w:cs="Arial" w:eastAsia="Arial" w:hAnsi="Arial"/>
          <w:sz w:val="18"/>
          <w:szCs w:val="18"/>
          <w:color w:val="auto"/>
        </w:rPr>
      </w:pPr>
    </w:p>
    <w:p>
      <w:pPr>
        <w:ind w:left="880" w:right="140"/>
        <w:spacing w:after="0" w:line="264" w:lineRule="auto"/>
        <w:rPr>
          <w:rFonts w:ascii="Arial" w:cs="Arial" w:eastAsia="Arial" w:hAnsi="Arial"/>
          <w:sz w:val="18"/>
          <w:szCs w:val="18"/>
          <w:color w:val="auto"/>
        </w:rPr>
      </w:pPr>
      <w:r>
        <w:rPr>
          <w:rFonts w:ascii="Arial" w:cs="Arial" w:eastAsia="Arial" w:hAnsi="Arial"/>
          <w:sz w:val="18"/>
          <w:szCs w:val="18"/>
          <w:color w:val="auto"/>
        </w:rPr>
        <w:t>Loss resulting directly from the Insured having, in good faith, transferred Funds from a Customer’s account through a Computer System covered under the terms of the Computer Systems Fraud Insuring Agreement in reliance upon a fraudulent voice instruction transmitted by telephone which was purported to be from</w:t>
      </w:r>
    </w:p>
    <w:p>
      <w:pPr>
        <w:spacing w:after="0" w:line="86" w:lineRule="exact"/>
        <w:rPr>
          <w:rFonts w:ascii="Arial" w:cs="Arial" w:eastAsia="Arial" w:hAnsi="Arial"/>
          <w:sz w:val="18"/>
          <w:szCs w:val="18"/>
          <w:color w:val="auto"/>
        </w:rPr>
      </w:pPr>
    </w:p>
    <w:p>
      <w:pPr>
        <w:ind w:left="1420" w:right="100" w:hanging="538"/>
        <w:spacing w:after="0" w:line="277" w:lineRule="auto"/>
        <w:tabs>
          <w:tab w:leader="none" w:pos="14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 officer, director, partner or employee of a Customer of the Insured who was authorized by the Customer to instruct the Insured to make such transfer,</w:t>
      </w:r>
    </w:p>
    <w:p>
      <w:pPr>
        <w:spacing w:after="0" w:line="75" w:lineRule="exact"/>
        <w:rPr>
          <w:rFonts w:ascii="Arial" w:cs="Arial" w:eastAsia="Arial" w:hAnsi="Arial"/>
          <w:sz w:val="18"/>
          <w:szCs w:val="18"/>
          <w:color w:val="auto"/>
        </w:rPr>
      </w:pPr>
    </w:p>
    <w:p>
      <w:pPr>
        <w:ind w:left="1420" w:hanging="538"/>
        <w:spacing w:after="0"/>
        <w:tabs>
          <w:tab w:leader="none" w:pos="14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 individual person who is a Customer of the Insured, or</w:t>
      </w:r>
    </w:p>
    <w:p>
      <w:pPr>
        <w:spacing w:after="0" w:line="130" w:lineRule="exact"/>
        <w:rPr>
          <w:rFonts w:ascii="Arial" w:cs="Arial" w:eastAsia="Arial" w:hAnsi="Arial"/>
          <w:sz w:val="18"/>
          <w:szCs w:val="18"/>
          <w:color w:val="auto"/>
        </w:rPr>
      </w:pPr>
    </w:p>
    <w:p>
      <w:pPr>
        <w:jc w:val="both"/>
        <w:ind w:left="1420" w:right="340" w:hanging="538"/>
        <w:spacing w:after="0" w:line="286" w:lineRule="auto"/>
        <w:tabs>
          <w:tab w:leader="none" w:pos="1420" w:val="left"/>
        </w:tabs>
        <w:numPr>
          <w:ilvl w:val="1"/>
          <w:numId w:val="58"/>
        </w:numPr>
        <w:rPr>
          <w:rFonts w:ascii="Arial" w:cs="Arial" w:eastAsia="Arial" w:hAnsi="Arial"/>
          <w:sz w:val="17"/>
          <w:szCs w:val="17"/>
          <w:color w:val="auto"/>
        </w:rPr>
      </w:pPr>
      <w:r>
        <w:rPr>
          <w:rFonts w:ascii="Arial" w:cs="Arial" w:eastAsia="Arial" w:hAnsi="Arial"/>
          <w:sz w:val="17"/>
          <w:szCs w:val="17"/>
          <w:color w:val="auto"/>
        </w:rPr>
        <w:t>an employee of the Insured in another office of the Insured who was authorized by the Insured to instruct other employees of the Insured to transfer Funds, and was received by an employees of the Insured specifically designated to receive and act upon such instructions, but the voice instruction was not from a person described in (1), (2), or (3) above,</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provided that</w:t>
      </w:r>
    </w:p>
    <w:p>
      <w:pPr>
        <w:spacing w:after="0" w:line="131" w:lineRule="exact"/>
        <w:rPr>
          <w:sz w:val="20"/>
          <w:szCs w:val="20"/>
          <w:color w:val="auto"/>
        </w:rPr>
      </w:pPr>
    </w:p>
    <w:p>
      <w:pPr>
        <w:ind w:left="860" w:hanging="424"/>
        <w:spacing w:after="0"/>
        <w:tabs>
          <w:tab w:leader="none" w:pos="8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such voice instruction was electronically recorded by the Insured and required password(s) or code word(s) given; and</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 transfer was in excess of $50,000, the voice instruction was verified by a call-back according to a prearranged procedure.</w:t>
      </w:r>
    </w:p>
    <w:p>
      <w:pPr>
        <w:spacing w:after="0" w:line="117" w:lineRule="exact"/>
        <w:rPr>
          <w:sz w:val="20"/>
          <w:szCs w:val="20"/>
          <w:color w:val="auto"/>
        </w:rPr>
      </w:pPr>
    </w:p>
    <w:p>
      <w:pPr>
        <w:jc w:val="both"/>
        <w:ind w:left="440"/>
        <w:spacing w:after="0" w:line="286" w:lineRule="auto"/>
        <w:rPr>
          <w:sz w:val="20"/>
          <w:szCs w:val="20"/>
          <w:color w:val="auto"/>
        </w:rPr>
      </w:pPr>
      <w:r>
        <w:rPr>
          <w:rFonts w:ascii="Arial" w:cs="Arial" w:eastAsia="Arial" w:hAnsi="Arial"/>
          <w:sz w:val="17"/>
          <w:szCs w:val="17"/>
          <w:color w:val="auto"/>
        </w:rPr>
        <w:t>As used in this Voice Initiated Transfer Fraud Insuring Agreement, Customer means an entity or individual which has a written agreement with the Insured authorizing the Insured to rely on voice instructions to initiate transfers and had provided the Insured with the names of persons authorized to initiate such transfers, and with which the Insured has established an instruction verification mechanism.</w:t>
      </w:r>
    </w:p>
    <w:p>
      <w:pPr>
        <w:spacing w:after="0" w:line="310" w:lineRule="exact"/>
        <w:rPr>
          <w:sz w:val="20"/>
          <w:szCs w:val="20"/>
          <w:color w:val="auto"/>
        </w:rPr>
      </w:pPr>
    </w:p>
    <w:p>
      <w:pPr>
        <w:ind w:left="860" w:hanging="424"/>
        <w:spacing w:after="0"/>
        <w:tabs>
          <w:tab w:leader="none" w:pos="86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TELEFACSIMILE TRANSFER FRAUD</w:t>
      </w:r>
    </w:p>
    <w:p>
      <w:pPr>
        <w:spacing w:after="0" w:line="121" w:lineRule="exact"/>
        <w:rPr>
          <w:sz w:val="20"/>
          <w:szCs w:val="20"/>
          <w:color w:val="auto"/>
        </w:rPr>
      </w:pPr>
    </w:p>
    <w:p>
      <w:pPr>
        <w:ind w:left="440" w:right="200"/>
        <w:spacing w:after="0" w:line="264" w:lineRule="auto"/>
        <w:rPr>
          <w:sz w:val="20"/>
          <w:szCs w:val="20"/>
          <w:color w:val="auto"/>
        </w:rPr>
      </w:pPr>
      <w:r>
        <w:rPr>
          <w:rFonts w:ascii="Arial" w:cs="Arial" w:eastAsia="Arial" w:hAnsi="Arial"/>
          <w:sz w:val="18"/>
          <w:szCs w:val="18"/>
          <w:color w:val="auto"/>
        </w:rPr>
        <w:t>Loss resulting directly from the Insured having, in good faith, transferred or delivered Funds, Certificated Securities or Uncertificated Securities through a Computer System covered under the terms of Insuring Agreement 1 in reliance upon a fraudulent instruction received though a Telefacsimile Device, and which instruction</w:t>
      </w:r>
    </w:p>
    <w:p>
      <w:pPr>
        <w:spacing w:after="0" w:line="87" w:lineRule="exact"/>
        <w:rPr>
          <w:sz w:val="20"/>
          <w:szCs w:val="20"/>
          <w:color w:val="auto"/>
        </w:rPr>
      </w:pPr>
    </w:p>
    <w:p>
      <w:pPr>
        <w:ind w:left="860" w:hanging="424"/>
        <w:spacing w:after="0"/>
        <w:tabs>
          <w:tab w:leader="none" w:pos="8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purports and reasonably appears to have originated from,</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Customer of the Insured</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another financial institution, or</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another office of the Insured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but, in fact, was not originated by the Customer or entity whose identification it bears and</w:t>
      </w:r>
    </w:p>
    <w:p>
      <w:pPr>
        <w:spacing w:after="0" w:line="131" w:lineRule="exact"/>
        <w:rPr>
          <w:sz w:val="20"/>
          <w:szCs w:val="20"/>
          <w:color w:val="auto"/>
        </w:rPr>
      </w:pPr>
    </w:p>
    <w:p>
      <w:pPr>
        <w:ind w:left="860" w:hanging="424"/>
        <w:spacing w:after="0"/>
        <w:tabs>
          <w:tab w:leader="none" w:pos="8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contains a valid test code which proves to have been used by a person who was not authorized to make use of it, and</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contains the name of a person authorized to initiate such transfer;</w:t>
      </w:r>
    </w:p>
    <w:p>
      <w:pPr>
        <w:spacing w:after="0" w:line="158" w:lineRule="exact"/>
        <w:rPr>
          <w:sz w:val="20"/>
          <w:szCs w:val="20"/>
          <w:color w:val="auto"/>
        </w:rPr>
      </w:pPr>
    </w:p>
    <w:p>
      <w:pPr>
        <w:spacing w:after="0"/>
        <w:tabs>
          <w:tab w:leader="none" w:pos="5220" w:val="left"/>
          <w:tab w:leader="none" w:pos="10180" w:val="left"/>
        </w:tabs>
        <w:rPr>
          <w:sz w:val="20"/>
          <w:szCs w:val="20"/>
          <w:color w:val="auto"/>
        </w:rPr>
      </w:pPr>
      <w:r>
        <w:rPr>
          <w:rFonts w:ascii="Arial" w:cs="Arial" w:eastAsia="Arial" w:hAnsi="Arial"/>
          <w:sz w:val="18"/>
          <w:szCs w:val="18"/>
          <w:color w:val="auto"/>
        </w:rPr>
        <w:t>PF-38325 (06/12)</w:t>
      </w:r>
      <w:r>
        <w:rPr>
          <w:sz w:val="20"/>
          <w:szCs w:val="20"/>
          <w:color w:val="auto"/>
        </w:rPr>
        <w:tab/>
      </w:r>
      <w:r>
        <w:rPr>
          <w:rFonts w:ascii="Arial" w:cs="Arial" w:eastAsia="Arial" w:hAnsi="Arial"/>
          <w:sz w:val="18"/>
          <w:szCs w:val="18"/>
          <w:color w:val="auto"/>
        </w:rPr>
        <w:t>© 2012</w:t>
      </w:r>
      <w:r>
        <w:rPr>
          <w:sz w:val="20"/>
          <w:szCs w:val="20"/>
          <w:color w:val="auto"/>
        </w:rPr>
        <w:tab/>
      </w:r>
      <w:r>
        <w:rPr>
          <w:rFonts w:ascii="Arial" w:cs="Arial" w:eastAsia="Arial" w:hAnsi="Arial"/>
          <w:sz w:val="16"/>
          <w:szCs w:val="16"/>
          <w:color w:val="auto"/>
        </w:rPr>
        <w:t>Page 2 of 6</w:t>
      </w:r>
    </w:p>
    <w:p>
      <w:pPr>
        <w:sectPr>
          <w:pgSz w:w="11900" w:h="16838" w:orient="portrait"/>
          <w:cols w:equalWidth="0" w:num="1">
            <w:col w:w="11020"/>
          </w:cols>
          <w:pgMar w:left="440" w:top="274" w:right="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 that, if the transfer was in excess of $50,000, the instruction was verified by a call-back according to a prearranged procedure.</w:t>
      </w:r>
    </w:p>
    <w:p>
      <w:pPr>
        <w:spacing w:after="0" w:line="117" w:lineRule="exact"/>
        <w:rPr>
          <w:sz w:val="20"/>
          <w:szCs w:val="20"/>
          <w:color w:val="auto"/>
        </w:rPr>
      </w:pPr>
    </w:p>
    <w:p>
      <w:pPr>
        <w:ind w:left="440" w:right="80"/>
        <w:spacing w:after="0" w:line="286" w:lineRule="auto"/>
        <w:rPr>
          <w:sz w:val="20"/>
          <w:szCs w:val="20"/>
          <w:color w:val="auto"/>
        </w:rPr>
      </w:pPr>
      <w:r>
        <w:rPr>
          <w:rFonts w:ascii="Arial" w:cs="Arial" w:eastAsia="Arial" w:hAnsi="Arial"/>
          <w:sz w:val="17"/>
          <w:szCs w:val="17"/>
          <w:color w:val="auto"/>
        </w:rPr>
        <w:t>As used in this Telefacsimile Transfer Fraud Insuring Agreement, Customer means an entity or individual which has a written agreement with the Insured authorizing the Insured to rely on Telefacsimile Device instruction to initiate transfers and had provided the Insured with the names of persons authorized to initiate such transfers, and with which the Insured has established an instruction verification mechanism.</w:t>
      </w:r>
    </w:p>
    <w:p>
      <w:pPr>
        <w:spacing w:after="0" w:line="310" w:lineRule="exact"/>
        <w:rPr>
          <w:sz w:val="20"/>
          <w:szCs w:val="20"/>
          <w:color w:val="auto"/>
        </w:rPr>
      </w:pPr>
    </w:p>
    <w:p>
      <w:pPr>
        <w:ind w:left="860" w:hanging="424"/>
        <w:spacing w:after="0"/>
        <w:tabs>
          <w:tab w:leader="none" w:pos="86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DESTRUCTION OF DATA OR PROGRAMS BY HACKER</w:t>
      </w:r>
    </w:p>
    <w:p>
      <w:pPr>
        <w:spacing w:after="0" w:line="121" w:lineRule="exact"/>
        <w:rPr>
          <w:sz w:val="20"/>
          <w:szCs w:val="20"/>
          <w:color w:val="auto"/>
        </w:rPr>
      </w:pPr>
    </w:p>
    <w:p>
      <w:pPr>
        <w:jc w:val="both"/>
        <w:ind w:left="440" w:right="40"/>
        <w:spacing w:after="0" w:line="342" w:lineRule="auto"/>
        <w:rPr>
          <w:sz w:val="20"/>
          <w:szCs w:val="20"/>
          <w:color w:val="auto"/>
        </w:rPr>
      </w:pPr>
      <w:r>
        <w:rPr>
          <w:rFonts w:ascii="Arial" w:cs="Arial" w:eastAsia="Arial" w:hAnsi="Arial"/>
          <w:sz w:val="16"/>
          <w:szCs w:val="16"/>
          <w:color w:val="auto"/>
        </w:rPr>
        <w:t>Loss resulting directly from the malicious destruction of, or damage to, Electronic Data or Computer Programs owned by the Insured or for which the Insured is legally liable while stored within a Computer System covered under the terms of the Computer Systems Fraud Insuring Agreement.</w:t>
      </w:r>
    </w:p>
    <w:p>
      <w:pPr>
        <w:spacing w:after="0" w:line="124" w:lineRule="exact"/>
        <w:rPr>
          <w:sz w:val="20"/>
          <w:szCs w:val="20"/>
          <w:color w:val="auto"/>
        </w:rPr>
      </w:pPr>
    </w:p>
    <w:p>
      <w:pPr>
        <w:ind w:left="440" w:right="80"/>
        <w:spacing w:after="0" w:line="277" w:lineRule="auto"/>
        <w:rPr>
          <w:sz w:val="20"/>
          <w:szCs w:val="20"/>
          <w:color w:val="auto"/>
        </w:rPr>
      </w:pPr>
      <w:r>
        <w:rPr>
          <w:rFonts w:ascii="Arial" w:cs="Arial" w:eastAsia="Arial" w:hAnsi="Arial"/>
          <w:sz w:val="18"/>
          <w:szCs w:val="18"/>
          <w:color w:val="auto"/>
        </w:rPr>
        <w:t>The liability of the Company shall be limited to the cost of duplication of such Electronic Data or Computer Programs from other Electronic Data or Computer Programs which shall have been furnished by the Insured.</w:t>
      </w:r>
    </w:p>
    <w:p>
      <w:pPr>
        <w:spacing w:after="0" w:line="170" w:lineRule="exact"/>
        <w:rPr>
          <w:sz w:val="20"/>
          <w:szCs w:val="20"/>
          <w:color w:val="auto"/>
        </w:rPr>
      </w:pPr>
    </w:p>
    <w:p>
      <w:pPr>
        <w:ind w:left="440"/>
        <w:spacing w:after="0" w:line="264" w:lineRule="auto"/>
        <w:rPr>
          <w:sz w:val="20"/>
          <w:szCs w:val="20"/>
          <w:color w:val="auto"/>
        </w:rPr>
      </w:pPr>
      <w:r>
        <w:rPr>
          <w:rFonts w:ascii="Arial" w:cs="Arial" w:eastAsia="Arial" w:hAnsi="Arial"/>
          <w:sz w:val="18"/>
          <w:szCs w:val="18"/>
          <w:color w:val="auto"/>
        </w:rPr>
        <w:t>In the event, however, that destroyed or damaged Computer Programs cannot be duplicated from other Computer Programs, the Company will pay the cost incurred for computer time, computer programmers, consultants or other technical specialists as is reasonably necessary to restore the Computer Programs to substantially the previous level of operational capability.</w:t>
      </w:r>
    </w:p>
    <w:p>
      <w:pPr>
        <w:spacing w:after="0" w:line="326" w:lineRule="exact"/>
        <w:rPr>
          <w:sz w:val="20"/>
          <w:szCs w:val="20"/>
          <w:color w:val="auto"/>
        </w:rPr>
      </w:pPr>
    </w:p>
    <w:p>
      <w:pPr>
        <w:ind w:left="860" w:hanging="424"/>
        <w:spacing w:after="0"/>
        <w:tabs>
          <w:tab w:leader="none" w:pos="86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DESTRUCTION OF DATA OR PROGRAMS BY VIRUS</w:t>
      </w:r>
    </w:p>
    <w:p>
      <w:pPr>
        <w:spacing w:after="0" w:line="121" w:lineRule="exact"/>
        <w:rPr>
          <w:sz w:val="20"/>
          <w:szCs w:val="20"/>
          <w:color w:val="auto"/>
        </w:rPr>
      </w:pPr>
    </w:p>
    <w:p>
      <w:pPr>
        <w:ind w:left="440" w:right="40"/>
        <w:spacing w:after="0" w:line="257" w:lineRule="auto"/>
        <w:rPr>
          <w:sz w:val="20"/>
          <w:szCs w:val="20"/>
          <w:color w:val="auto"/>
        </w:rPr>
      </w:pPr>
      <w:r>
        <w:rPr>
          <w:rFonts w:ascii="Arial" w:cs="Arial" w:eastAsia="Arial" w:hAnsi="Arial"/>
          <w:sz w:val="18"/>
          <w:szCs w:val="18"/>
          <w:color w:val="auto"/>
        </w:rPr>
        <w:t>Loss resulting directly from the malicious destruction of, or damage to, Electronic Data or Computer Programs owned by the Insured or for which the Insured is legally liable while stored within a Computer System covered under the terms of the Computer Systems Fraud Insuring Agreement if such destruction or damage was caused by a computer program or similar instruction which was written or altered to incorporate a hidden instruction designed to destroy or damage Electronic Data or Computer Programs in the Computer System in which the computer program or instruction so written or so altered is used.</w:t>
      </w:r>
    </w:p>
    <w:p>
      <w:pPr>
        <w:spacing w:after="0" w:line="188" w:lineRule="exact"/>
        <w:rPr>
          <w:sz w:val="20"/>
          <w:szCs w:val="20"/>
          <w:color w:val="auto"/>
        </w:rPr>
      </w:pPr>
    </w:p>
    <w:p>
      <w:pPr>
        <w:ind w:left="440" w:right="280"/>
        <w:spacing w:after="0" w:line="277" w:lineRule="auto"/>
        <w:rPr>
          <w:sz w:val="20"/>
          <w:szCs w:val="20"/>
          <w:color w:val="auto"/>
        </w:rPr>
      </w:pPr>
      <w:r>
        <w:rPr>
          <w:rFonts w:ascii="Arial" w:cs="Arial" w:eastAsia="Arial" w:hAnsi="Arial"/>
          <w:sz w:val="18"/>
          <w:szCs w:val="18"/>
          <w:color w:val="auto"/>
        </w:rPr>
        <w:t>The liability of the Underwriter shall be limited to the cost of duplication of such Electronic Data or Computer Programs from other Electronic Data or Computer Programs which shall have been furnished by the Insured.</w:t>
      </w:r>
    </w:p>
    <w:p>
      <w:pPr>
        <w:spacing w:after="0" w:line="62" w:lineRule="exact"/>
        <w:rPr>
          <w:sz w:val="20"/>
          <w:szCs w:val="20"/>
          <w:color w:val="auto"/>
        </w:rPr>
      </w:pPr>
    </w:p>
    <w:p>
      <w:pPr>
        <w:ind w:left="440"/>
        <w:spacing w:after="0" w:line="264" w:lineRule="auto"/>
        <w:rPr>
          <w:sz w:val="20"/>
          <w:szCs w:val="20"/>
          <w:color w:val="auto"/>
        </w:rPr>
      </w:pPr>
      <w:r>
        <w:rPr>
          <w:rFonts w:ascii="Arial" w:cs="Arial" w:eastAsia="Arial" w:hAnsi="Arial"/>
          <w:sz w:val="18"/>
          <w:szCs w:val="18"/>
          <w:color w:val="auto"/>
        </w:rPr>
        <w:t>In the event, however, that destroyed or damaged Computer Programs cannot be duplicated from other Computer Programs, the Underwriter will pay the cost incurred for computer time, computer programmers, consultants, or other technical specialists as is reasonably necessary to restore the Computer Programs to substantially the previous level of operational capability.</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Special Condition:</w:t>
      </w:r>
    </w:p>
    <w:p>
      <w:pPr>
        <w:spacing w:after="0" w:line="117" w:lineRule="exact"/>
        <w:rPr>
          <w:sz w:val="20"/>
          <w:szCs w:val="20"/>
          <w:color w:val="auto"/>
        </w:rPr>
      </w:pPr>
    </w:p>
    <w:p>
      <w:pPr>
        <w:ind w:left="440" w:right="520"/>
        <w:spacing w:after="0" w:line="312" w:lineRule="auto"/>
        <w:rPr>
          <w:sz w:val="20"/>
          <w:szCs w:val="20"/>
          <w:color w:val="auto"/>
        </w:rPr>
      </w:pPr>
      <w:r>
        <w:rPr>
          <w:rFonts w:ascii="Arial" w:cs="Arial" w:eastAsia="Arial" w:hAnsi="Arial"/>
          <w:sz w:val="16"/>
          <w:szCs w:val="16"/>
          <w:color w:val="auto"/>
        </w:rPr>
        <w:t>Under this Destruction Of Data Or Programs By Virus Insuring Agreement, “Single Loss” means all covered costs incurred by the Insured between the time destruction or damage is discovered and the time the Computer System is restored to substantially the previous level of operational capability. Recurrence of destruction or damage after the Computer System is restored shall constitute a separate “Single Loss”.</w:t>
      </w:r>
    </w:p>
    <w:p>
      <w:pPr>
        <w:spacing w:after="0" w:line="291" w:lineRule="exact"/>
        <w:rPr>
          <w:sz w:val="20"/>
          <w:szCs w:val="20"/>
          <w:color w:val="auto"/>
        </w:rPr>
      </w:pPr>
    </w:p>
    <w:p>
      <w:pPr>
        <w:ind w:left="860" w:hanging="424"/>
        <w:spacing w:after="0"/>
        <w:tabs>
          <w:tab w:leader="none" w:pos="86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VOICE COMPUTER SYSTEM FRAUD</w:t>
      </w:r>
    </w:p>
    <w:p>
      <w:pPr>
        <w:spacing w:after="0" w:line="121" w:lineRule="exact"/>
        <w:rPr>
          <w:sz w:val="20"/>
          <w:szCs w:val="20"/>
          <w:color w:val="auto"/>
        </w:rPr>
      </w:pPr>
    </w:p>
    <w:p>
      <w:pPr>
        <w:ind w:left="440" w:right="360"/>
        <w:spacing w:after="0" w:line="259" w:lineRule="auto"/>
        <w:rPr>
          <w:sz w:val="20"/>
          <w:szCs w:val="20"/>
          <w:color w:val="auto"/>
        </w:rPr>
      </w:pPr>
      <w:r>
        <w:rPr>
          <w:rFonts w:ascii="Arial" w:cs="Arial" w:eastAsia="Arial" w:hAnsi="Arial"/>
          <w:sz w:val="18"/>
          <w:szCs w:val="18"/>
          <w:color w:val="auto"/>
        </w:rPr>
        <w:t>Loss resulting directly from charges for voice telephone long-distance toll calls which were incurred due to the fraudulent use or fraudulent manipulation of an Account Code or System Password required to obtain access to a Voice Computer System owned or leased by the Insured, installed on the Insured’s premises, whose System Administration is performed and controlled by the Insured; provided, however, that the unauthorized access was not made possible by</w:t>
      </w:r>
    </w:p>
    <w:p>
      <w:pPr>
        <w:spacing w:after="0" w:line="119" w:lineRule="exact"/>
        <w:rPr>
          <w:sz w:val="20"/>
          <w:szCs w:val="20"/>
          <w:color w:val="auto"/>
        </w:rPr>
      </w:pPr>
    </w:p>
    <w:p>
      <w:pPr>
        <w:spacing w:after="0"/>
        <w:tabs>
          <w:tab w:leader="none" w:pos="5220" w:val="left"/>
          <w:tab w:leader="none" w:pos="10180" w:val="left"/>
        </w:tabs>
        <w:rPr>
          <w:sz w:val="20"/>
          <w:szCs w:val="20"/>
          <w:color w:val="auto"/>
        </w:rPr>
      </w:pPr>
      <w:r>
        <w:rPr>
          <w:rFonts w:ascii="Arial" w:cs="Arial" w:eastAsia="Arial" w:hAnsi="Arial"/>
          <w:sz w:val="18"/>
          <w:szCs w:val="18"/>
          <w:color w:val="auto"/>
        </w:rPr>
        <w:t>PF-38325 (06/12)</w:t>
      </w:r>
      <w:r>
        <w:rPr>
          <w:sz w:val="20"/>
          <w:szCs w:val="20"/>
          <w:color w:val="auto"/>
        </w:rPr>
        <w:tab/>
      </w:r>
      <w:r>
        <w:rPr>
          <w:rFonts w:ascii="Arial" w:cs="Arial" w:eastAsia="Arial" w:hAnsi="Arial"/>
          <w:sz w:val="18"/>
          <w:szCs w:val="18"/>
          <w:color w:val="auto"/>
        </w:rPr>
        <w:t>© 2012</w:t>
      </w:r>
      <w:r>
        <w:rPr>
          <w:sz w:val="20"/>
          <w:szCs w:val="20"/>
          <w:color w:val="auto"/>
        </w:rPr>
        <w:tab/>
      </w:r>
      <w:r>
        <w:rPr>
          <w:rFonts w:ascii="Arial" w:cs="Arial" w:eastAsia="Arial" w:hAnsi="Arial"/>
          <w:sz w:val="16"/>
          <w:szCs w:val="16"/>
          <w:color w:val="auto"/>
        </w:rPr>
        <w:t>Page 3 of 6</w:t>
      </w:r>
    </w:p>
    <w:p>
      <w:pPr>
        <w:sectPr>
          <w:pgSz w:w="11900" w:h="16838" w:orient="portrait"/>
          <w:cols w:equalWidth="0" w:num="1">
            <w:col w:w="11020"/>
          </w:cols>
          <w:pgMar w:left="440" w:top="274" w:right="439" w:bottom="1440" w:gutter="0" w:footer="0" w:header="0"/>
        </w:sectPr>
      </w:pPr>
    </w:p>
    <w:bookmarkStart w:id="22" w:name="page23"/>
    <w:bookmarkEnd w:id="22"/>
    <w:p>
      <w:pPr>
        <w:ind w:left="860" w:hanging="424"/>
        <w:spacing w:after="0"/>
        <w:tabs>
          <w:tab w:leader="none" w:pos="860" w:val="left"/>
        </w:tabs>
        <w:numPr>
          <w:ilvl w:val="1"/>
          <w:numId w:val="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failure to incorporate a System Password feature or failure to change the System Password at least once every 30 days thereafter, or</w:t>
      </w:r>
    </w:p>
    <w:p>
      <w:pPr>
        <w:spacing w:after="0" w:line="142" w:lineRule="exact"/>
        <w:rPr>
          <w:rFonts w:ascii="Arial" w:cs="Arial" w:eastAsia="Arial" w:hAnsi="Arial"/>
          <w:sz w:val="17"/>
          <w:szCs w:val="17"/>
          <w:color w:val="auto"/>
        </w:rPr>
      </w:pPr>
    </w:p>
    <w:p>
      <w:pPr>
        <w:ind w:left="860" w:right="380" w:hanging="424"/>
        <w:spacing w:after="0" w:line="277" w:lineRule="auto"/>
        <w:tabs>
          <w:tab w:leader="none" w:pos="8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failure to have a call-disconnect feature in operation to automatically terminate a caller’s access to the Voice Computer System after not more than three unsuccessful attempts to input an Account Code.</w:t>
      </w:r>
    </w:p>
    <w:p>
      <w:pPr>
        <w:spacing w:after="0" w:line="62"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Special Condition:</w:t>
      </w:r>
    </w:p>
    <w:p>
      <w:pPr>
        <w:spacing w:after="0" w:line="117" w:lineRule="exact"/>
        <w:rPr>
          <w:rFonts w:ascii="Arial" w:cs="Arial" w:eastAsia="Arial" w:hAnsi="Arial"/>
          <w:sz w:val="18"/>
          <w:szCs w:val="18"/>
          <w:color w:val="auto"/>
        </w:rPr>
      </w:pPr>
    </w:p>
    <w:p>
      <w:pPr>
        <w:ind w:left="880" w:right="40"/>
        <w:spacing w:after="0" w:line="264" w:lineRule="auto"/>
        <w:rPr>
          <w:rFonts w:ascii="Arial" w:cs="Arial" w:eastAsia="Arial" w:hAnsi="Arial"/>
          <w:sz w:val="18"/>
          <w:szCs w:val="18"/>
          <w:color w:val="auto"/>
        </w:rPr>
      </w:pPr>
      <w:r>
        <w:rPr>
          <w:rFonts w:ascii="Arial" w:cs="Arial" w:eastAsia="Arial" w:hAnsi="Arial"/>
          <w:sz w:val="18"/>
          <w:szCs w:val="18"/>
          <w:color w:val="auto"/>
        </w:rPr>
        <w:t>Under this Voice Computer System Fraud Insuring Agreement, “Single Loss” means loss resulting from toll call charges made only on telephone lines directly controlled by one Voice Computer System and only toll call charges occurring for a period of not more than 30 days inclusive of the date on which the first such toll call charge was made.</w:t>
      </w:r>
    </w:p>
    <w:p>
      <w:pPr>
        <w:spacing w:after="0" w:line="86" w:lineRule="exact"/>
        <w:rPr>
          <w:rFonts w:ascii="Arial" w:cs="Arial" w:eastAsia="Arial" w:hAnsi="Arial"/>
          <w:sz w:val="18"/>
          <w:szCs w:val="18"/>
          <w:color w:val="auto"/>
        </w:rPr>
      </w:pPr>
    </w:p>
    <w:p>
      <w:pPr>
        <w:ind w:left="440" w:right="1180" w:hanging="436"/>
        <w:spacing w:after="0" w:line="383" w:lineRule="auto"/>
        <w:tabs>
          <w:tab w:leader="none" w:pos="432"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Subsection B, Additional Offices Or Employees – Consolidation, Merger Or Purchase Of Assets, is amended to add the following: As used in this subsection, “assets” includes a Computer System.</w:t>
      </w:r>
    </w:p>
    <w:p>
      <w:pPr>
        <w:spacing w:after="0" w:line="1" w:lineRule="exact"/>
        <w:rPr>
          <w:rFonts w:ascii="Arial" w:cs="Arial" w:eastAsia="Arial" w:hAnsi="Arial"/>
          <w:sz w:val="18"/>
          <w:szCs w:val="18"/>
          <w:color w:val="auto"/>
        </w:rPr>
      </w:pPr>
    </w:p>
    <w:p>
      <w:pPr>
        <w:ind w:left="440" w:hanging="436"/>
        <w:spacing w:after="0"/>
        <w:tabs>
          <w:tab w:leader="none" w:pos="4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Section I, Definitions, of the Conditions And Limitations, is amended to add the following</w:t>
      </w:r>
    </w:p>
    <w:p>
      <w:pPr>
        <w:spacing w:after="0" w:line="130" w:lineRule="exact"/>
        <w:rPr>
          <w:rFonts w:ascii="Arial" w:cs="Arial" w:eastAsia="Arial" w:hAnsi="Arial"/>
          <w:sz w:val="18"/>
          <w:szCs w:val="18"/>
          <w:color w:val="auto"/>
        </w:rPr>
      </w:pPr>
    </w:p>
    <w:p>
      <w:pPr>
        <w:ind w:left="860" w:right="200" w:hanging="432"/>
        <w:spacing w:after="0" w:line="264" w:lineRule="auto"/>
        <w:rPr>
          <w:rFonts w:ascii="Arial" w:cs="Arial" w:eastAsia="Arial" w:hAnsi="Arial"/>
          <w:sz w:val="18"/>
          <w:szCs w:val="18"/>
          <w:color w:val="auto"/>
        </w:rPr>
      </w:pPr>
      <w:r>
        <w:rPr>
          <w:rFonts w:ascii="Arial" w:cs="Arial" w:eastAsia="Arial" w:hAnsi="Arial"/>
          <w:sz w:val="18"/>
          <w:szCs w:val="18"/>
          <w:color w:val="auto"/>
        </w:rPr>
        <w:t>•Account Code means a confidential and protected string of characters which identifies or authenticates a person and permits that person to gain access to a Voice Computer System for the purpose of making toll calls or utilizing voice mail box messaging capabilities or other similar functional features of the System.</w:t>
      </w:r>
    </w:p>
    <w:p>
      <w:pPr>
        <w:spacing w:after="0" w:line="86" w:lineRule="exact"/>
        <w:rPr>
          <w:rFonts w:ascii="Arial" w:cs="Arial" w:eastAsia="Arial" w:hAnsi="Arial"/>
          <w:sz w:val="18"/>
          <w:szCs w:val="18"/>
          <w:color w:val="auto"/>
        </w:rPr>
      </w:pPr>
    </w:p>
    <w:p>
      <w:pPr>
        <w:ind w:left="860" w:right="680" w:hanging="432"/>
        <w:spacing w:after="0" w:line="30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Computer Program means a set of related electronic instructions which direct the operations and functions of a computer or devices connected to it which enable the computer or devices to receive, process, store or send Electronic Data.</w:t>
      </w:r>
    </w:p>
    <w:p>
      <w:pPr>
        <w:spacing w:after="0" w:line="51"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Computer System means</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2"/>
          <w:numId w:val="67"/>
        </w:numPr>
        <w:rPr>
          <w:rFonts w:ascii="Arial" w:cs="Arial" w:eastAsia="Arial" w:hAnsi="Arial"/>
          <w:sz w:val="18"/>
          <w:szCs w:val="18"/>
          <w:color w:val="auto"/>
        </w:rPr>
      </w:pPr>
      <w:r>
        <w:rPr>
          <w:rFonts w:ascii="Arial" w:cs="Arial" w:eastAsia="Arial" w:hAnsi="Arial"/>
          <w:sz w:val="18"/>
          <w:szCs w:val="18"/>
          <w:color w:val="auto"/>
        </w:rPr>
        <w:t>computers with related peripheral components, including storage components wherever located,</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2"/>
          <w:numId w:val="67"/>
        </w:numPr>
        <w:rPr>
          <w:rFonts w:ascii="Arial" w:cs="Arial" w:eastAsia="Arial" w:hAnsi="Arial"/>
          <w:sz w:val="18"/>
          <w:szCs w:val="18"/>
          <w:color w:val="auto"/>
        </w:rPr>
      </w:pPr>
      <w:r>
        <w:rPr>
          <w:rFonts w:ascii="Arial" w:cs="Arial" w:eastAsia="Arial" w:hAnsi="Arial"/>
          <w:sz w:val="18"/>
          <w:szCs w:val="18"/>
          <w:color w:val="auto"/>
        </w:rPr>
        <w:t>systems and applications software,</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2"/>
          <w:numId w:val="67"/>
        </w:numPr>
        <w:rPr>
          <w:rFonts w:ascii="Arial" w:cs="Arial" w:eastAsia="Arial" w:hAnsi="Arial"/>
          <w:sz w:val="18"/>
          <w:szCs w:val="18"/>
          <w:color w:val="auto"/>
        </w:rPr>
      </w:pPr>
      <w:r>
        <w:rPr>
          <w:rFonts w:ascii="Arial" w:cs="Arial" w:eastAsia="Arial" w:hAnsi="Arial"/>
          <w:sz w:val="18"/>
          <w:szCs w:val="18"/>
          <w:color w:val="auto"/>
        </w:rPr>
        <w:t>terminal devices, and</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2"/>
          <w:numId w:val="67"/>
        </w:numPr>
        <w:rPr>
          <w:rFonts w:ascii="Arial" w:cs="Arial" w:eastAsia="Arial" w:hAnsi="Arial"/>
          <w:sz w:val="18"/>
          <w:szCs w:val="18"/>
          <w:color w:val="auto"/>
        </w:rPr>
      </w:pPr>
      <w:r>
        <w:rPr>
          <w:rFonts w:ascii="Arial" w:cs="Arial" w:eastAsia="Arial" w:hAnsi="Arial"/>
          <w:sz w:val="18"/>
          <w:szCs w:val="18"/>
          <w:color w:val="auto"/>
        </w:rPr>
        <w:t>related communication networks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by which Electronic Data are electronically collected, transmitted, processed, stored and retrieved.</w:t>
      </w:r>
    </w:p>
    <w:p>
      <w:pPr>
        <w:spacing w:after="0" w:line="131" w:lineRule="exact"/>
        <w:rPr>
          <w:sz w:val="20"/>
          <w:szCs w:val="20"/>
          <w:color w:val="auto"/>
        </w:rPr>
      </w:pPr>
    </w:p>
    <w:p>
      <w:pPr>
        <w:ind w:left="860" w:right="40" w:hanging="424"/>
        <w:spacing w:after="0" w:line="277" w:lineRule="auto"/>
        <w:tabs>
          <w:tab w:leader="none" w:pos="8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Electronic Data means facts or information converted to a form usable in a Computer System by Computer Programs and which is stored on magnetic tapes or disks, or optical storage disks or other bulk media.</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Funds means Money on deposit in an account.</w:t>
      </w:r>
    </w:p>
    <w:p>
      <w:pPr>
        <w:spacing w:after="0" w:line="130" w:lineRule="exact"/>
        <w:rPr>
          <w:rFonts w:ascii="Arial" w:cs="Arial" w:eastAsia="Arial" w:hAnsi="Arial"/>
          <w:sz w:val="18"/>
          <w:szCs w:val="18"/>
          <w:color w:val="auto"/>
        </w:rPr>
      </w:pPr>
    </w:p>
    <w:p>
      <w:pPr>
        <w:ind w:left="860" w:right="80" w:hanging="424"/>
        <w:spacing w:after="0" w:line="276" w:lineRule="auto"/>
        <w:tabs>
          <w:tab w:leader="none" w:pos="8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System Administration means the performance of security functions including but not limited to defining authorized persons to access a Voice Computer System and adding, changing and deleting Account Codes or passwords in connection therewith; and invoking or revoking a System option which directs telephone call routing or which adds, moves or drops telephone lines or which performs any other similar activity allowed by a hardware or software-based System option that has been incorporated by a manufacturer or vendor into a System or any component thereof provided said System option is not intended for the sole use of such manufacturer or vendor.</w:t>
      </w:r>
    </w:p>
    <w:p>
      <w:pPr>
        <w:spacing w:after="0" w:line="77" w:lineRule="exact"/>
        <w:rPr>
          <w:rFonts w:ascii="Arial" w:cs="Arial" w:eastAsia="Arial" w:hAnsi="Arial"/>
          <w:sz w:val="17"/>
          <w:szCs w:val="17"/>
          <w:color w:val="auto"/>
        </w:rPr>
      </w:pPr>
    </w:p>
    <w:p>
      <w:pPr>
        <w:ind w:left="860" w:right="140" w:hanging="424"/>
        <w:spacing w:after="0" w:line="264" w:lineRule="auto"/>
        <w:tabs>
          <w:tab w:leader="none" w:pos="8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System Maintenance means the performance of hard-ware and software installation, diagnostics and corrections and similar activities that are performed in the usual custom and practice by a manufacturer or vendor to establish or maintain the basic operational functionality of a Voice Computer System or any component thereof.</w:t>
      </w:r>
    </w:p>
    <w:p>
      <w:pPr>
        <w:spacing w:after="0" w:line="86" w:lineRule="exact"/>
        <w:rPr>
          <w:rFonts w:ascii="Arial" w:cs="Arial" w:eastAsia="Arial" w:hAnsi="Arial"/>
          <w:sz w:val="18"/>
          <w:szCs w:val="18"/>
          <w:color w:val="auto"/>
        </w:rPr>
      </w:pPr>
    </w:p>
    <w:p>
      <w:pPr>
        <w:ind w:left="860" w:right="100" w:hanging="424"/>
        <w:spacing w:after="0" w:line="264" w:lineRule="auto"/>
        <w:tabs>
          <w:tab w:leader="none" w:pos="8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System Password means a confidential and protected string of characters, which identifies or authenticates a person and permits that person to gain access to a Voice Computer System or any portion thereof for the purpose of performing System Administration or System Maintenance activities.</w:t>
      </w:r>
    </w:p>
    <w:p>
      <w:pPr>
        <w:spacing w:after="0" w:line="114" w:lineRule="exact"/>
        <w:rPr>
          <w:sz w:val="20"/>
          <w:szCs w:val="20"/>
          <w:color w:val="auto"/>
        </w:rPr>
      </w:pPr>
    </w:p>
    <w:p>
      <w:pPr>
        <w:spacing w:after="0"/>
        <w:tabs>
          <w:tab w:leader="none" w:pos="5220" w:val="left"/>
          <w:tab w:leader="none" w:pos="10180" w:val="left"/>
        </w:tabs>
        <w:rPr>
          <w:sz w:val="20"/>
          <w:szCs w:val="20"/>
          <w:color w:val="auto"/>
        </w:rPr>
      </w:pPr>
      <w:r>
        <w:rPr>
          <w:rFonts w:ascii="Arial" w:cs="Arial" w:eastAsia="Arial" w:hAnsi="Arial"/>
          <w:sz w:val="18"/>
          <w:szCs w:val="18"/>
          <w:color w:val="auto"/>
        </w:rPr>
        <w:t>PF-38325 (06/12)</w:t>
      </w:r>
      <w:r>
        <w:rPr>
          <w:sz w:val="20"/>
          <w:szCs w:val="20"/>
          <w:color w:val="auto"/>
        </w:rPr>
        <w:tab/>
      </w:r>
      <w:r>
        <w:rPr>
          <w:rFonts w:ascii="Arial" w:cs="Arial" w:eastAsia="Arial" w:hAnsi="Arial"/>
          <w:sz w:val="18"/>
          <w:szCs w:val="18"/>
          <w:color w:val="auto"/>
        </w:rPr>
        <w:t>© 2012</w:t>
      </w:r>
      <w:r>
        <w:rPr>
          <w:sz w:val="20"/>
          <w:szCs w:val="20"/>
          <w:color w:val="auto"/>
        </w:rPr>
        <w:tab/>
      </w:r>
      <w:r>
        <w:rPr>
          <w:rFonts w:ascii="Arial" w:cs="Arial" w:eastAsia="Arial" w:hAnsi="Arial"/>
          <w:sz w:val="16"/>
          <w:szCs w:val="16"/>
          <w:color w:val="auto"/>
        </w:rPr>
        <w:t>Page 4 of 6</w:t>
      </w:r>
    </w:p>
    <w:p>
      <w:pPr>
        <w:sectPr>
          <w:pgSz w:w="11900" w:h="16838" w:orient="portrait"/>
          <w:cols w:equalWidth="0" w:num="1">
            <w:col w:w="11020"/>
          </w:cols>
          <w:pgMar w:left="440" w:top="274" w:right="439" w:bottom="1440" w:gutter="0" w:footer="0" w:header="0"/>
        </w:sectPr>
      </w:pPr>
    </w:p>
    <w:bookmarkStart w:id="23" w:name="page24"/>
    <w:bookmarkEnd w:id="23"/>
    <w:p>
      <w:pPr>
        <w:ind w:left="860" w:right="280" w:hanging="424"/>
        <w:spacing w:after="0" w:line="277" w:lineRule="auto"/>
        <w:tabs>
          <w:tab w:leader="none" w:pos="860" w:val="left"/>
        </w:tabs>
        <w:numPr>
          <w:ilvl w:val="1"/>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Telefacsimile Device means a machine capable of sending or receiving a duplicate image of a document by means of electronic impulses transmitted through a telephone line and which reproduces the duplicate image on paper.</w:t>
      </w:r>
    </w:p>
    <w:p>
      <w:pPr>
        <w:spacing w:after="0" w:line="75" w:lineRule="exact"/>
        <w:rPr>
          <w:rFonts w:ascii="Arial" w:cs="Arial" w:eastAsia="Arial" w:hAnsi="Arial"/>
          <w:sz w:val="18"/>
          <w:szCs w:val="18"/>
          <w:color w:val="auto"/>
        </w:rPr>
      </w:pPr>
    </w:p>
    <w:p>
      <w:pPr>
        <w:ind w:left="860" w:right="200" w:hanging="424"/>
        <w:spacing w:after="0" w:line="264" w:lineRule="auto"/>
        <w:tabs>
          <w:tab w:leader="none" w:pos="8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Tested means a method of authenticating the contents of a communication by placing a valid test key on it which has been agreed upon by the Insured and a customer, automated clearing house, or another financial institution for the purpose of protecting the integrity of the communication in the ordinary course of business.</w:t>
      </w:r>
    </w:p>
    <w:p>
      <w:pPr>
        <w:spacing w:after="0" w:line="73" w:lineRule="exact"/>
        <w:rPr>
          <w:rFonts w:ascii="Arial" w:cs="Arial" w:eastAsia="Arial" w:hAnsi="Arial"/>
          <w:sz w:val="18"/>
          <w:szCs w:val="18"/>
          <w:color w:val="auto"/>
        </w:rPr>
      </w:pPr>
    </w:p>
    <w:p>
      <w:pPr>
        <w:ind w:left="880" w:right="340"/>
        <w:spacing w:after="0" w:line="264" w:lineRule="auto"/>
        <w:rPr>
          <w:rFonts w:ascii="Arial" w:cs="Arial" w:eastAsia="Arial" w:hAnsi="Arial"/>
          <w:sz w:val="18"/>
          <w:szCs w:val="18"/>
          <w:color w:val="auto"/>
        </w:rPr>
      </w:pPr>
      <w:r>
        <w:rPr>
          <w:rFonts w:ascii="Arial" w:cs="Arial" w:eastAsia="Arial" w:hAnsi="Arial"/>
          <w:sz w:val="18"/>
          <w:szCs w:val="18"/>
          <w:color w:val="auto"/>
        </w:rPr>
        <w:t>Voice Computer System means a Computer System installed in one location which functions as a private branch exchange (PBX), voice mail processor, auto-mated call attendant or provides a similar capability used for the direction or routing of telephone calls in a voice communications network.</w:t>
      </w:r>
    </w:p>
    <w:p>
      <w:pPr>
        <w:spacing w:after="0" w:line="86" w:lineRule="exact"/>
        <w:rPr>
          <w:rFonts w:ascii="Arial" w:cs="Arial" w:eastAsia="Arial" w:hAnsi="Arial"/>
          <w:sz w:val="18"/>
          <w:szCs w:val="18"/>
          <w:color w:val="auto"/>
        </w:rPr>
      </w:pPr>
    </w:p>
    <w:p>
      <w:pPr>
        <w:ind w:left="440" w:hanging="436"/>
        <w:spacing w:after="0"/>
        <w:tabs>
          <w:tab w:leader="none" w:pos="4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Section 2, Exclusions, of the Conditions And Limitations, is amended to add the following:</w:t>
      </w:r>
    </w:p>
    <w:p>
      <w:pPr>
        <w:spacing w:after="0" w:line="130" w:lineRule="exact"/>
        <w:rPr>
          <w:rFonts w:ascii="Arial" w:cs="Arial" w:eastAsia="Arial" w:hAnsi="Arial"/>
          <w:sz w:val="18"/>
          <w:szCs w:val="18"/>
          <w:color w:val="auto"/>
        </w:rPr>
      </w:pPr>
    </w:p>
    <w:p>
      <w:pPr>
        <w:ind w:left="860" w:right="240" w:hanging="424"/>
        <w:spacing w:after="0" w:line="308" w:lineRule="auto"/>
        <w:tabs>
          <w:tab w:leader="none" w:pos="860" w:val="left"/>
        </w:tabs>
        <w:numPr>
          <w:ilvl w:val="1"/>
          <w:numId w:val="69"/>
        </w:numPr>
        <w:rPr>
          <w:rFonts w:ascii="Arial" w:cs="Arial" w:eastAsia="Arial" w:hAnsi="Arial"/>
          <w:sz w:val="17"/>
          <w:szCs w:val="17"/>
          <w:color w:val="auto"/>
        </w:rPr>
      </w:pPr>
      <w:r>
        <w:rPr>
          <w:rFonts w:ascii="Arial" w:cs="Arial" w:eastAsia="Arial" w:hAnsi="Arial"/>
          <w:sz w:val="17"/>
          <w:szCs w:val="17"/>
          <w:color w:val="auto"/>
        </w:rPr>
        <w:t>loss resulting directly or indirectly from entry or change of Electronic Data or Computer Programs in a Computer System, unless covered under the Computer Systems Fraud Insuring Agreement or the Data Processing Service Operations Insuring Agreement;</w:t>
      </w:r>
    </w:p>
    <w:p>
      <w:pPr>
        <w:spacing w:after="0" w:line="51" w:lineRule="exact"/>
        <w:rPr>
          <w:rFonts w:ascii="Arial" w:cs="Arial" w:eastAsia="Arial" w:hAnsi="Arial"/>
          <w:sz w:val="17"/>
          <w:szCs w:val="17"/>
          <w:color w:val="auto"/>
        </w:rPr>
      </w:pPr>
    </w:p>
    <w:p>
      <w:pPr>
        <w:ind w:left="860" w:right="580" w:hanging="424"/>
        <w:spacing w:after="0" w:line="342" w:lineRule="auto"/>
        <w:tabs>
          <w:tab w:leader="none" w:pos="860" w:val="left"/>
        </w:tabs>
        <w:numPr>
          <w:ilvl w:val="1"/>
          <w:numId w:val="69"/>
        </w:numPr>
        <w:rPr>
          <w:rFonts w:ascii="Arial" w:cs="Arial" w:eastAsia="Arial" w:hAnsi="Arial"/>
          <w:sz w:val="16"/>
          <w:szCs w:val="16"/>
          <w:color w:val="auto"/>
        </w:rPr>
      </w:pPr>
      <w:r>
        <w:rPr>
          <w:rFonts w:ascii="Arial" w:cs="Arial" w:eastAsia="Arial" w:hAnsi="Arial"/>
          <w:sz w:val="16"/>
          <w:szCs w:val="16"/>
          <w:color w:val="auto"/>
        </w:rPr>
        <w:t>loss resulting directly or indirectly from the Insured having transferred Funds in reliance on the validity of a voice instruction, unless covered under the Computer Systems Fraud Insuring Agreement or the Voice Initiated Transfer Fraud Insuring Agreement;</w:t>
      </w:r>
    </w:p>
    <w:p>
      <w:pPr>
        <w:spacing w:after="0" w:line="29" w:lineRule="exact"/>
        <w:rPr>
          <w:rFonts w:ascii="Arial" w:cs="Arial" w:eastAsia="Arial" w:hAnsi="Arial"/>
          <w:sz w:val="16"/>
          <w:szCs w:val="16"/>
          <w:color w:val="auto"/>
        </w:rPr>
      </w:pPr>
    </w:p>
    <w:p>
      <w:pPr>
        <w:ind w:left="860" w:right="120" w:hanging="424"/>
        <w:spacing w:after="0" w:line="264" w:lineRule="auto"/>
        <w:tabs>
          <w:tab w:leader="none" w:pos="8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loss resulting directly or indirectly by the Insured having transferred or delivered Funds, Certificated Securities or Uncertificated Securities in reliance on an instruction received through a Telefacsimile Device unless covered under Telefacsimile Transfer Fraud Insuring Agreement;</w:t>
      </w:r>
    </w:p>
    <w:p>
      <w:pPr>
        <w:spacing w:after="0" w:line="86" w:lineRule="exact"/>
        <w:rPr>
          <w:rFonts w:ascii="Arial" w:cs="Arial" w:eastAsia="Arial" w:hAnsi="Arial"/>
          <w:sz w:val="18"/>
          <w:szCs w:val="18"/>
          <w:color w:val="auto"/>
        </w:rPr>
      </w:pPr>
    </w:p>
    <w:p>
      <w:pPr>
        <w:ind w:left="860" w:hanging="424"/>
        <w:spacing w:after="0"/>
        <w:tabs>
          <w:tab w:leader="none" w:pos="8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loss resulting directly or indirectly from theft of confidential information;</w:t>
      </w:r>
    </w:p>
    <w:p>
      <w:pPr>
        <w:spacing w:after="0" w:line="130" w:lineRule="exact"/>
        <w:rPr>
          <w:rFonts w:ascii="Arial" w:cs="Arial" w:eastAsia="Arial" w:hAnsi="Arial"/>
          <w:sz w:val="18"/>
          <w:szCs w:val="18"/>
          <w:color w:val="auto"/>
        </w:rPr>
      </w:pPr>
    </w:p>
    <w:p>
      <w:pPr>
        <w:ind w:left="860" w:right="560" w:hanging="424"/>
        <w:spacing w:after="0" w:line="277" w:lineRule="auto"/>
        <w:tabs>
          <w:tab w:leader="none" w:pos="8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cost of duplication of Electronic Data or Computer Programs, unless covered under the Destruction Of Data Programs By Hacker Insuring Agreement or the Destruction Of Data Programs By Virus Insuring Agreement;</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loss involving a Voice Computer System, unless covered under the Voice Computer Systems Fraud Insuring Agreement;</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loss resulting directly or indirectly from</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2"/>
          <w:numId w:val="69"/>
        </w:numPr>
        <w:rPr>
          <w:rFonts w:ascii="Arial" w:cs="Arial" w:eastAsia="Arial" w:hAnsi="Arial"/>
          <w:sz w:val="18"/>
          <w:szCs w:val="18"/>
          <w:color w:val="auto"/>
        </w:rPr>
      </w:pPr>
      <w:r>
        <w:rPr>
          <w:rFonts w:ascii="Arial" w:cs="Arial" w:eastAsia="Arial" w:hAnsi="Arial"/>
          <w:sz w:val="18"/>
          <w:szCs w:val="18"/>
          <w:color w:val="auto"/>
        </w:rPr>
        <w:t>written instructions or advices, or</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2"/>
          <w:numId w:val="69"/>
        </w:numPr>
        <w:rPr>
          <w:rFonts w:ascii="Arial" w:cs="Arial" w:eastAsia="Arial" w:hAnsi="Arial"/>
          <w:sz w:val="18"/>
          <w:szCs w:val="18"/>
          <w:color w:val="auto"/>
        </w:rPr>
      </w:pPr>
      <w:r>
        <w:rPr>
          <w:rFonts w:ascii="Arial" w:cs="Arial" w:eastAsia="Arial" w:hAnsi="Arial"/>
          <w:sz w:val="18"/>
          <w:szCs w:val="18"/>
          <w:color w:val="auto"/>
        </w:rPr>
        <w:t>telegraphic or cable instructions or advices;</w:t>
      </w:r>
    </w:p>
    <w:p>
      <w:pPr>
        <w:spacing w:after="0" w:line="117" w:lineRule="exact"/>
        <w:rPr>
          <w:sz w:val="20"/>
          <w:szCs w:val="20"/>
          <w:color w:val="auto"/>
        </w:rPr>
      </w:pPr>
    </w:p>
    <w:p>
      <w:pPr>
        <w:ind w:left="880" w:right="380"/>
        <w:spacing w:after="0" w:line="277" w:lineRule="auto"/>
        <w:rPr>
          <w:sz w:val="20"/>
          <w:szCs w:val="20"/>
          <w:color w:val="auto"/>
        </w:rPr>
      </w:pPr>
      <w:r>
        <w:rPr>
          <w:rFonts w:ascii="Arial" w:cs="Arial" w:eastAsia="Arial" w:hAnsi="Arial"/>
          <w:sz w:val="18"/>
          <w:szCs w:val="18"/>
          <w:color w:val="auto"/>
        </w:rPr>
        <w:t>unless the instructions or advices are Tested and the loss is covered under the Computer Systems Fraud Insuring Agreement or the Data Processing Service Operations Insuring Agreement;</w:t>
      </w:r>
    </w:p>
    <w:p>
      <w:pPr>
        <w:spacing w:after="0" w:line="76" w:lineRule="exact"/>
        <w:rPr>
          <w:sz w:val="20"/>
          <w:szCs w:val="20"/>
          <w:color w:val="auto"/>
        </w:rPr>
      </w:pPr>
    </w:p>
    <w:p>
      <w:pPr>
        <w:ind w:left="860" w:right="320" w:hanging="424"/>
        <w:spacing w:after="0" w:line="264" w:lineRule="auto"/>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loss resulting directly or indirectly from negotiable instruments, securities, documents or other written instruments which bear a forged signature, or are counterfeit, altered or otherwise fraudulent and which are used as source documentation in the preparation of Electronic Data or manually keyed into a data terminal;</w:t>
      </w:r>
    </w:p>
    <w:p>
      <w:pPr>
        <w:spacing w:after="0" w:line="86" w:lineRule="exact"/>
        <w:rPr>
          <w:rFonts w:ascii="Arial" w:cs="Arial" w:eastAsia="Arial" w:hAnsi="Arial"/>
          <w:sz w:val="18"/>
          <w:szCs w:val="18"/>
          <w:color w:val="auto"/>
        </w:rPr>
      </w:pPr>
    </w:p>
    <w:p>
      <w:pPr>
        <w:ind w:left="860" w:right="120" w:hanging="424"/>
        <w:spacing w:after="0" w:line="308" w:lineRule="auto"/>
        <w:tabs>
          <w:tab w:leader="none" w:pos="8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loss resulting directly or indirectly from the fraudulent preparation, or fraudulent modification of Computer Programs unless covered under the Computer Systems Fraud Insuring Agreement or the Data Processing Service Operations Insuring Agreement;</w:t>
      </w:r>
    </w:p>
    <w:p>
      <w:pPr>
        <w:spacing w:after="0" w:line="51" w:lineRule="exact"/>
        <w:rPr>
          <w:rFonts w:ascii="Arial" w:cs="Arial" w:eastAsia="Arial" w:hAnsi="Arial"/>
          <w:sz w:val="17"/>
          <w:szCs w:val="17"/>
          <w:color w:val="auto"/>
        </w:rPr>
      </w:pPr>
    </w:p>
    <w:p>
      <w:pPr>
        <w:ind w:left="860" w:hanging="424"/>
        <w:spacing w:after="0"/>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loss resulting directly or indirectly from</w:t>
      </w:r>
    </w:p>
    <w:p>
      <w:pPr>
        <w:spacing w:after="0" w:line="130" w:lineRule="exact"/>
        <w:rPr>
          <w:rFonts w:ascii="Arial" w:cs="Arial" w:eastAsia="Arial" w:hAnsi="Arial"/>
          <w:sz w:val="18"/>
          <w:szCs w:val="18"/>
          <w:color w:val="auto"/>
        </w:rPr>
      </w:pPr>
    </w:p>
    <w:p>
      <w:pPr>
        <w:ind w:left="1420" w:hanging="538"/>
        <w:spacing w:after="0" w:line="277" w:lineRule="auto"/>
        <w:tabs>
          <w:tab w:leader="none" w:pos="14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mechanical failure, faulty construction, error in design, latent defect, fire, wear or tear, gradual deterioration, electrical disturbance or electrical surge which affects a Computer System, or</w:t>
      </w:r>
    </w:p>
    <w:p>
      <w:pPr>
        <w:spacing w:after="0" w:line="75" w:lineRule="exact"/>
        <w:rPr>
          <w:rFonts w:ascii="Arial" w:cs="Arial" w:eastAsia="Arial" w:hAnsi="Arial"/>
          <w:sz w:val="18"/>
          <w:szCs w:val="18"/>
          <w:color w:val="auto"/>
        </w:rPr>
      </w:pPr>
    </w:p>
    <w:p>
      <w:pPr>
        <w:ind w:left="1420" w:hanging="538"/>
        <w:spacing w:after="0"/>
        <w:tabs>
          <w:tab w:leader="none" w:pos="14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failure or breakdown of electronic data processing media, or</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error or omission in programming or processing;</w:t>
      </w:r>
    </w:p>
    <w:p>
      <w:pPr>
        <w:spacing w:after="0" w:line="131" w:lineRule="exact"/>
        <w:rPr>
          <w:sz w:val="20"/>
          <w:szCs w:val="20"/>
          <w:color w:val="auto"/>
        </w:rPr>
      </w:pPr>
    </w:p>
    <w:p>
      <w:pPr>
        <w:ind w:left="860" w:hanging="424"/>
        <w:spacing w:after="0"/>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loss as a result of a threat</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71"/>
        </w:numPr>
        <w:rPr>
          <w:rFonts w:ascii="Arial" w:cs="Arial" w:eastAsia="Arial" w:hAnsi="Arial"/>
          <w:sz w:val="18"/>
          <w:szCs w:val="18"/>
          <w:b w:val="1"/>
          <w:bCs w:val="1"/>
          <w:color w:val="auto"/>
        </w:rPr>
      </w:pPr>
      <w:r>
        <w:rPr>
          <w:rFonts w:ascii="Arial" w:cs="Arial" w:eastAsia="Arial" w:hAnsi="Arial"/>
          <w:sz w:val="18"/>
          <w:szCs w:val="18"/>
          <w:color w:val="auto"/>
        </w:rPr>
        <w:t>to do bodily harm to any person, or</w:t>
      </w:r>
    </w:p>
    <w:p>
      <w:pPr>
        <w:spacing w:after="0" w:line="130" w:lineRule="exact"/>
        <w:rPr>
          <w:rFonts w:ascii="Arial" w:cs="Arial" w:eastAsia="Arial" w:hAnsi="Arial"/>
          <w:sz w:val="18"/>
          <w:szCs w:val="18"/>
          <w:b w:val="1"/>
          <w:bCs w:val="1"/>
          <w:color w:val="auto"/>
        </w:rPr>
      </w:pPr>
    </w:p>
    <w:p>
      <w:pPr>
        <w:ind w:left="1420" w:hanging="538"/>
        <w:spacing w:after="0"/>
        <w:tabs>
          <w:tab w:leader="none" w:pos="1420" w:val="left"/>
        </w:tabs>
        <w:numPr>
          <w:ilvl w:val="1"/>
          <w:numId w:val="71"/>
        </w:numPr>
        <w:rPr>
          <w:rFonts w:ascii="Arial" w:cs="Arial" w:eastAsia="Arial" w:hAnsi="Arial"/>
          <w:sz w:val="18"/>
          <w:szCs w:val="18"/>
          <w:b w:val="1"/>
          <w:bCs w:val="1"/>
          <w:color w:val="auto"/>
        </w:rPr>
      </w:pPr>
      <w:r>
        <w:rPr>
          <w:rFonts w:ascii="Arial" w:cs="Arial" w:eastAsia="Arial" w:hAnsi="Arial"/>
          <w:sz w:val="18"/>
          <w:szCs w:val="18"/>
          <w:color w:val="auto"/>
        </w:rPr>
        <w:t>to do damage to the premises or property of the Insured, or</w:t>
      </w:r>
    </w:p>
    <w:p>
      <w:pPr>
        <w:spacing w:after="0" w:line="130" w:lineRule="exact"/>
        <w:rPr>
          <w:rFonts w:ascii="Arial" w:cs="Arial" w:eastAsia="Arial" w:hAnsi="Arial"/>
          <w:sz w:val="18"/>
          <w:szCs w:val="18"/>
          <w:b w:val="1"/>
          <w:bCs w:val="1"/>
          <w:color w:val="auto"/>
        </w:rPr>
      </w:pPr>
    </w:p>
    <w:p>
      <w:pPr>
        <w:ind w:left="1420" w:hanging="538"/>
        <w:spacing w:after="0"/>
        <w:tabs>
          <w:tab w:leader="none" w:pos="1420" w:val="left"/>
        </w:tabs>
        <w:numPr>
          <w:ilvl w:val="1"/>
          <w:numId w:val="71"/>
        </w:numPr>
        <w:rPr>
          <w:rFonts w:ascii="Arial" w:cs="Arial" w:eastAsia="Arial" w:hAnsi="Arial"/>
          <w:sz w:val="18"/>
          <w:szCs w:val="18"/>
          <w:b w:val="1"/>
          <w:bCs w:val="1"/>
          <w:color w:val="auto"/>
        </w:rPr>
      </w:pPr>
      <w:r>
        <w:rPr>
          <w:rFonts w:ascii="Arial" w:cs="Arial" w:eastAsia="Arial" w:hAnsi="Arial"/>
          <w:sz w:val="18"/>
          <w:szCs w:val="18"/>
          <w:color w:val="auto"/>
        </w:rPr>
        <w:t>to Computer System operations;</w:t>
      </w:r>
    </w:p>
    <w:p>
      <w:pPr>
        <w:spacing w:after="0" w:line="158" w:lineRule="exact"/>
        <w:rPr>
          <w:sz w:val="20"/>
          <w:szCs w:val="20"/>
          <w:color w:val="auto"/>
        </w:rPr>
      </w:pPr>
    </w:p>
    <w:p>
      <w:pPr>
        <w:spacing w:after="0"/>
        <w:tabs>
          <w:tab w:leader="none" w:pos="5220" w:val="left"/>
          <w:tab w:leader="none" w:pos="10180" w:val="left"/>
        </w:tabs>
        <w:rPr>
          <w:sz w:val="20"/>
          <w:szCs w:val="20"/>
          <w:color w:val="auto"/>
        </w:rPr>
      </w:pPr>
      <w:r>
        <w:rPr>
          <w:rFonts w:ascii="Arial" w:cs="Arial" w:eastAsia="Arial" w:hAnsi="Arial"/>
          <w:sz w:val="18"/>
          <w:szCs w:val="18"/>
          <w:color w:val="auto"/>
        </w:rPr>
        <w:t>PF-38325 (06/12)</w:t>
      </w:r>
      <w:r>
        <w:rPr>
          <w:sz w:val="20"/>
          <w:szCs w:val="20"/>
          <w:color w:val="auto"/>
        </w:rPr>
        <w:tab/>
      </w:r>
      <w:r>
        <w:rPr>
          <w:rFonts w:ascii="Arial" w:cs="Arial" w:eastAsia="Arial" w:hAnsi="Arial"/>
          <w:sz w:val="18"/>
          <w:szCs w:val="18"/>
          <w:color w:val="auto"/>
        </w:rPr>
        <w:t>© 2012</w:t>
      </w:r>
      <w:r>
        <w:rPr>
          <w:sz w:val="20"/>
          <w:szCs w:val="20"/>
          <w:color w:val="auto"/>
        </w:rPr>
        <w:tab/>
      </w:r>
      <w:r>
        <w:rPr>
          <w:rFonts w:ascii="Arial" w:cs="Arial" w:eastAsia="Arial" w:hAnsi="Arial"/>
          <w:sz w:val="16"/>
          <w:szCs w:val="16"/>
          <w:color w:val="auto"/>
        </w:rPr>
        <w:t>Page 5 of 6</w:t>
      </w:r>
    </w:p>
    <w:p>
      <w:pPr>
        <w:sectPr>
          <w:pgSz w:w="11900" w:h="16838" w:orient="portrait"/>
          <w:cols w:equalWidth="0" w:num="1">
            <w:col w:w="11020"/>
          </w:cols>
          <w:pgMar w:left="440" w:top="274" w:right="439" w:bottom="1440" w:gutter="0" w:footer="0" w:header="0"/>
        </w:sectPr>
      </w:pPr>
    </w:p>
    <w:bookmarkStart w:id="24" w:name="page25"/>
    <w:bookmarkEnd w:id="24"/>
    <w:p>
      <w:pPr>
        <w:ind w:left="860" w:right="560" w:hanging="424"/>
        <w:spacing w:after="0" w:line="277" w:lineRule="auto"/>
        <w:tabs>
          <w:tab w:leader="none" w:pos="860"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loss resulting directly or indirectly from the use of a telephone credit, debit, charge, identification or similar card to gain access to the Insured’s Voice Computer System;</w:t>
      </w:r>
    </w:p>
    <w:p>
      <w:pPr>
        <w:spacing w:after="0" w:line="75" w:lineRule="exact"/>
        <w:rPr>
          <w:rFonts w:ascii="Arial" w:cs="Arial" w:eastAsia="Arial" w:hAnsi="Arial"/>
          <w:sz w:val="18"/>
          <w:szCs w:val="18"/>
          <w:color w:val="auto"/>
        </w:rPr>
      </w:pPr>
    </w:p>
    <w:p>
      <w:pPr>
        <w:ind w:left="860" w:right="340" w:hanging="424"/>
        <w:spacing w:after="0" w:line="277" w:lineRule="auto"/>
        <w:tabs>
          <w:tab w:leader="none" w:pos="8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loss resulting directly or indirectly from the use or purported use of credit, debit, charge, access, convenience, customer identification or other cards;</w:t>
      </w:r>
    </w:p>
    <w:p>
      <w:pPr>
        <w:spacing w:after="0" w:line="75" w:lineRule="exact"/>
        <w:rPr>
          <w:rFonts w:ascii="Arial" w:cs="Arial" w:eastAsia="Arial" w:hAnsi="Arial"/>
          <w:sz w:val="18"/>
          <w:szCs w:val="18"/>
          <w:color w:val="auto"/>
        </w:rPr>
      </w:pPr>
    </w:p>
    <w:p>
      <w:pPr>
        <w:ind w:left="860" w:right="340" w:hanging="424"/>
        <w:spacing w:after="0" w:line="264" w:lineRule="auto"/>
        <w:tabs>
          <w:tab w:leader="none" w:pos="8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loss resulting directly or indirectly from the input of Electronic Data into a Computer System terminal device either on the premises of a customer of the Insured or under the control of such customer by a person who had authorized access to the customer’s authentification mechanism.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limitations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306705</wp:posOffset>
            </wp:positionV>
            <wp:extent cx="27959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tabs>
          <w:tab w:leader="none" w:pos="5220" w:val="left"/>
          <w:tab w:leader="none" w:pos="10180" w:val="left"/>
        </w:tabs>
        <w:rPr>
          <w:sz w:val="20"/>
          <w:szCs w:val="20"/>
          <w:color w:val="auto"/>
        </w:rPr>
      </w:pPr>
      <w:r>
        <w:rPr>
          <w:rFonts w:ascii="Arial" w:cs="Arial" w:eastAsia="Arial" w:hAnsi="Arial"/>
          <w:sz w:val="18"/>
          <w:szCs w:val="18"/>
          <w:color w:val="auto"/>
        </w:rPr>
        <w:t>PF-38325 (06/12)</w:t>
      </w:r>
      <w:r>
        <w:rPr>
          <w:sz w:val="20"/>
          <w:szCs w:val="20"/>
          <w:color w:val="auto"/>
        </w:rPr>
        <w:tab/>
      </w:r>
      <w:r>
        <w:rPr>
          <w:rFonts w:ascii="Arial" w:cs="Arial" w:eastAsia="Arial" w:hAnsi="Arial"/>
          <w:sz w:val="18"/>
          <w:szCs w:val="18"/>
          <w:color w:val="auto"/>
        </w:rPr>
        <w:t>© 2012</w:t>
      </w:r>
      <w:r>
        <w:rPr>
          <w:sz w:val="20"/>
          <w:szCs w:val="20"/>
          <w:color w:val="auto"/>
        </w:rPr>
        <w:tab/>
      </w:r>
      <w:r>
        <w:rPr>
          <w:rFonts w:ascii="Arial" w:cs="Arial" w:eastAsia="Arial" w:hAnsi="Arial"/>
          <w:sz w:val="16"/>
          <w:szCs w:val="16"/>
          <w:color w:val="auto"/>
        </w:rPr>
        <w:t>Page 6 of 6</w:t>
      </w:r>
    </w:p>
    <w:p>
      <w:pPr>
        <w:sectPr>
          <w:pgSz w:w="11900" w:h="16838" w:orient="portrait"/>
          <w:cols w:equalWidth="0" w:num="1">
            <w:col w:w="11020"/>
          </w:cols>
          <w:pgMar w:left="440" w:top="274" w:right="439" w:bottom="1440" w:gutter="0" w:footer="0" w:header="0"/>
        </w:sectPr>
      </w:pPr>
    </w:p>
    <w:bookmarkStart w:id="25" w:name="page26"/>
    <w:bookmarkEnd w:id="2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006590" cy="8832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6590" cy="883285"/>
                    </a:xfrm>
                    <a:prstGeom prst="rect">
                      <a:avLst/>
                    </a:prstGeom>
                    <a:noFill/>
                  </pic:spPr>
                </pic:pic>
              </a:graphicData>
            </a:graphic>
          </wp:anchor>
        </w:drawing>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15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Named Insured</w:t>
            </w:r>
          </w:p>
        </w:tc>
        <w:tc>
          <w:tcPr>
            <w:tcW w:w="1880" w:type="dxa"/>
            <w:vAlign w:val="bottom"/>
            <w:tcBorders>
              <w:top w:val="single" w:sz="8" w:color="auto"/>
            </w:tcBorders>
          </w:tcPr>
          <w:p>
            <w:pPr>
              <w:spacing w:after="0"/>
              <w:rPr>
                <w:sz w:val="18"/>
                <w:szCs w:val="18"/>
                <w:color w:val="auto"/>
              </w:rPr>
            </w:pPr>
          </w:p>
        </w:tc>
        <w:tc>
          <w:tcPr>
            <w:tcW w:w="47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Endorsement Number</w:t>
            </w:r>
          </w:p>
        </w:tc>
      </w:tr>
      <w:tr>
        <w:trPr>
          <w:trHeight w:val="241"/>
        </w:trPr>
        <w:tc>
          <w:tcPr>
            <w:tcW w:w="34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TPG Specialty Lending, Inc.</w:t>
            </w:r>
          </w:p>
        </w:tc>
        <w:tc>
          <w:tcPr>
            <w:tcW w:w="472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5</w:t>
            </w:r>
          </w:p>
        </w:tc>
      </w:tr>
      <w:tr>
        <w:trPr>
          <w:trHeight w:val="198"/>
        </w:trPr>
        <w:tc>
          <w:tcPr>
            <w:tcW w:w="1560" w:type="dxa"/>
            <w:vAlign w:val="bottom"/>
            <w:tcBorders>
              <w:right w:val="single" w:sz="8" w:color="auto"/>
            </w:tcBorders>
          </w:tcPr>
          <w:p>
            <w:pPr>
              <w:ind w:left="140"/>
              <w:spacing w:after="0" w:line="198" w:lineRule="exact"/>
              <w:rPr>
                <w:sz w:val="20"/>
                <w:szCs w:val="20"/>
                <w:color w:val="auto"/>
              </w:rPr>
            </w:pPr>
            <w:r>
              <w:rPr>
                <w:rFonts w:ascii="Arial" w:cs="Arial" w:eastAsia="Arial" w:hAnsi="Arial"/>
                <w:sz w:val="18"/>
                <w:szCs w:val="18"/>
                <w:color w:val="auto"/>
              </w:rPr>
              <w:t>Policy Symbol</w:t>
            </w:r>
          </w:p>
        </w:tc>
        <w:tc>
          <w:tcPr>
            <w:tcW w:w="18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72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860" w:type="dxa"/>
            <w:vAlign w:val="bottom"/>
          </w:tcPr>
          <w:p>
            <w:pPr>
              <w:ind w:left="8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8"/>
        </w:trPr>
        <w:tc>
          <w:tcPr>
            <w:tcW w:w="15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DON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005</w:t>
            </w:r>
          </w:p>
        </w:tc>
        <w:tc>
          <w:tcPr>
            <w:tcW w:w="4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03/08/2019 to 03/08/2020</w:t>
            </w: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03/08/2019</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 RICO EXCLUSION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Conditions And Limitations, Section 2, Exclusions, subsection (j), is deleted in its entirety and the following is inserted:</w:t>
      </w:r>
    </w:p>
    <w:p>
      <w:pPr>
        <w:spacing w:after="0" w:line="131" w:lineRule="exact"/>
        <w:rPr>
          <w:sz w:val="20"/>
          <w:szCs w:val="20"/>
          <w:color w:val="auto"/>
        </w:rPr>
      </w:pPr>
    </w:p>
    <w:p>
      <w:pPr>
        <w:ind w:left="860" w:right="380" w:hanging="424"/>
        <w:spacing w:after="0" w:line="259" w:lineRule="auto"/>
        <w:tabs>
          <w:tab w:leader="none" w:pos="8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damages resulting from any civil, criminal or other legal proceeding in which the Insured is adjudicated to have engaged in racketeering activity except when the Insured establishes that the act or acts giving rise to such damages were committed by an Employee under circumstances which result directly in a loss to the Insured covered by insuring Agreement (A). For the purposes of this exclusion, “racketeering activity” is defined in 18 United States Code 1961 et seq., as amended;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306705</wp:posOffset>
            </wp:positionV>
            <wp:extent cx="27959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tabs>
          <w:tab w:leader="none" w:pos="5220" w:val="left"/>
          <w:tab w:leader="none" w:pos="10180" w:val="left"/>
        </w:tabs>
        <w:rPr>
          <w:sz w:val="20"/>
          <w:szCs w:val="20"/>
          <w:color w:val="auto"/>
        </w:rPr>
      </w:pPr>
      <w:r>
        <w:rPr>
          <w:rFonts w:ascii="Arial" w:cs="Arial" w:eastAsia="Arial" w:hAnsi="Arial"/>
          <w:sz w:val="18"/>
          <w:szCs w:val="18"/>
          <w:color w:val="auto"/>
        </w:rPr>
        <w:t>PF-37675 (05/12)</w:t>
      </w:r>
      <w:r>
        <w:rPr>
          <w:sz w:val="20"/>
          <w:szCs w:val="20"/>
          <w:color w:val="auto"/>
        </w:rPr>
        <w:tab/>
      </w:r>
      <w:r>
        <w:rPr>
          <w:rFonts w:ascii="Arial" w:cs="Arial" w:eastAsia="Arial" w:hAnsi="Arial"/>
          <w:sz w:val="18"/>
          <w:szCs w:val="18"/>
          <w:color w:val="auto"/>
        </w:rPr>
        <w:t>© 2012</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040"/>
          </w:cols>
          <w:pgMar w:left="440" w:top="270" w:right="419" w:bottom="1440" w:gutter="0" w:footer="0" w:header="0"/>
        </w:sectPr>
      </w:pPr>
    </w:p>
    <w:bookmarkStart w:id="26" w:name="page27"/>
    <w:bookmarkEnd w:id="2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006590" cy="8832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6590" cy="883285"/>
                    </a:xfrm>
                    <a:prstGeom prst="rect">
                      <a:avLst/>
                    </a:prstGeom>
                    <a:noFill/>
                  </pic:spPr>
                </pic:pic>
              </a:graphicData>
            </a:graphic>
          </wp:anchor>
        </w:drawing>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15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Named Insured</w:t>
            </w:r>
          </w:p>
        </w:tc>
        <w:tc>
          <w:tcPr>
            <w:tcW w:w="1880" w:type="dxa"/>
            <w:vAlign w:val="bottom"/>
            <w:tcBorders>
              <w:top w:val="single" w:sz="8" w:color="auto"/>
            </w:tcBorders>
          </w:tcPr>
          <w:p>
            <w:pPr>
              <w:spacing w:after="0"/>
              <w:rPr>
                <w:sz w:val="18"/>
                <w:szCs w:val="18"/>
                <w:color w:val="auto"/>
              </w:rPr>
            </w:pPr>
          </w:p>
        </w:tc>
        <w:tc>
          <w:tcPr>
            <w:tcW w:w="47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Endorsement Number</w:t>
            </w:r>
          </w:p>
        </w:tc>
      </w:tr>
      <w:tr>
        <w:trPr>
          <w:trHeight w:val="241"/>
        </w:trPr>
        <w:tc>
          <w:tcPr>
            <w:tcW w:w="34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TPG Specialty Lending, Inc.</w:t>
            </w:r>
          </w:p>
        </w:tc>
        <w:tc>
          <w:tcPr>
            <w:tcW w:w="472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6</w:t>
            </w:r>
          </w:p>
        </w:tc>
      </w:tr>
      <w:tr>
        <w:trPr>
          <w:trHeight w:val="198"/>
        </w:trPr>
        <w:tc>
          <w:tcPr>
            <w:tcW w:w="1560" w:type="dxa"/>
            <w:vAlign w:val="bottom"/>
            <w:tcBorders>
              <w:right w:val="single" w:sz="8" w:color="auto"/>
            </w:tcBorders>
          </w:tcPr>
          <w:p>
            <w:pPr>
              <w:ind w:left="140"/>
              <w:spacing w:after="0" w:line="198" w:lineRule="exact"/>
              <w:rPr>
                <w:sz w:val="20"/>
                <w:szCs w:val="20"/>
                <w:color w:val="auto"/>
              </w:rPr>
            </w:pPr>
            <w:r>
              <w:rPr>
                <w:rFonts w:ascii="Arial" w:cs="Arial" w:eastAsia="Arial" w:hAnsi="Arial"/>
                <w:sz w:val="18"/>
                <w:szCs w:val="18"/>
                <w:color w:val="auto"/>
              </w:rPr>
              <w:t>Policy Symbol</w:t>
            </w:r>
          </w:p>
        </w:tc>
        <w:tc>
          <w:tcPr>
            <w:tcW w:w="18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72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860" w:type="dxa"/>
            <w:vAlign w:val="bottom"/>
          </w:tcPr>
          <w:p>
            <w:pPr>
              <w:ind w:left="8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8"/>
        </w:trPr>
        <w:tc>
          <w:tcPr>
            <w:tcW w:w="15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DON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005</w:t>
            </w:r>
          </w:p>
        </w:tc>
        <w:tc>
          <w:tcPr>
            <w:tcW w:w="4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03/08/2019 to 03/08/2020</w:t>
            </w: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03/08/2019</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 COUNTERFEIT CURRENCY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Insuring Agreements, Section (F), Counterfeit Currency, is deleted in its entirety, and the following is inserted:</w:t>
      </w:r>
    </w:p>
    <w:p>
      <w:pPr>
        <w:spacing w:after="0" w:line="131" w:lineRule="exact"/>
        <w:rPr>
          <w:sz w:val="20"/>
          <w:szCs w:val="20"/>
          <w:color w:val="auto"/>
        </w:rPr>
      </w:pPr>
    </w:p>
    <w:p>
      <w:pPr>
        <w:ind w:left="860" w:right="320" w:hanging="424"/>
        <w:spacing w:after="0" w:line="277" w:lineRule="auto"/>
        <w:tabs>
          <w:tab w:leader="none" w:pos="8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Loss resulting directly from the receipt by the Insured, in good faith, of any Counterfeit Money, Coin or Currency of the United States of America, Canada or any other country.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306705</wp:posOffset>
            </wp:positionV>
            <wp:extent cx="27959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tabs>
          <w:tab w:leader="none" w:pos="5240" w:val="left"/>
          <w:tab w:leader="none" w:pos="10180" w:val="left"/>
        </w:tabs>
        <w:rPr>
          <w:sz w:val="20"/>
          <w:szCs w:val="20"/>
          <w:color w:val="auto"/>
        </w:rPr>
      </w:pPr>
      <w:r>
        <w:rPr>
          <w:rFonts w:ascii="Arial" w:cs="Arial" w:eastAsia="Arial" w:hAnsi="Arial"/>
          <w:sz w:val="18"/>
          <w:szCs w:val="18"/>
          <w:color w:val="auto"/>
        </w:rPr>
        <w:t>PF-33849 (05/11)</w:t>
      </w:r>
      <w:r>
        <w:rPr>
          <w:sz w:val="20"/>
          <w:szCs w:val="20"/>
          <w:color w:val="auto"/>
        </w:rPr>
        <w:tab/>
      </w:r>
      <w:r>
        <w:rPr>
          <w:rFonts w:ascii="Arial" w:cs="Arial" w:eastAsia="Arial" w:hAnsi="Arial"/>
          <w:sz w:val="18"/>
          <w:szCs w:val="18"/>
          <w:color w:val="auto"/>
        </w:rPr>
        <w:t>© 2011</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040"/>
          </w:cols>
          <w:pgMar w:left="440" w:top="270" w:right="419" w:bottom="1440" w:gutter="0" w:footer="0" w:header="0"/>
        </w:sectPr>
      </w:pPr>
    </w:p>
    <w:bookmarkStart w:id="27" w:name="page28"/>
    <w:bookmarkEnd w:id="2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006590" cy="8832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06590" cy="883285"/>
                    </a:xfrm>
                    <a:prstGeom prst="rect">
                      <a:avLst/>
                    </a:prstGeom>
                    <a:noFill/>
                  </pic:spPr>
                </pic:pic>
              </a:graphicData>
            </a:graphic>
          </wp:anchor>
        </w:drawing>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15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Named Insured</w:t>
            </w:r>
          </w:p>
        </w:tc>
        <w:tc>
          <w:tcPr>
            <w:tcW w:w="1880" w:type="dxa"/>
            <w:vAlign w:val="bottom"/>
            <w:tcBorders>
              <w:top w:val="single" w:sz="8" w:color="auto"/>
            </w:tcBorders>
          </w:tcPr>
          <w:p>
            <w:pPr>
              <w:spacing w:after="0"/>
              <w:rPr>
                <w:sz w:val="18"/>
                <w:szCs w:val="18"/>
                <w:color w:val="auto"/>
              </w:rPr>
            </w:pPr>
          </w:p>
        </w:tc>
        <w:tc>
          <w:tcPr>
            <w:tcW w:w="47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Endorsement Number</w:t>
            </w:r>
          </w:p>
        </w:tc>
      </w:tr>
      <w:tr>
        <w:trPr>
          <w:trHeight w:val="241"/>
        </w:trPr>
        <w:tc>
          <w:tcPr>
            <w:tcW w:w="34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TPG Specialty Lending, Inc.</w:t>
            </w:r>
          </w:p>
        </w:tc>
        <w:tc>
          <w:tcPr>
            <w:tcW w:w="472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7</w:t>
            </w:r>
          </w:p>
        </w:tc>
      </w:tr>
      <w:tr>
        <w:trPr>
          <w:trHeight w:val="198"/>
        </w:trPr>
        <w:tc>
          <w:tcPr>
            <w:tcW w:w="1560" w:type="dxa"/>
            <w:vAlign w:val="bottom"/>
            <w:tcBorders>
              <w:right w:val="single" w:sz="8" w:color="auto"/>
            </w:tcBorders>
          </w:tcPr>
          <w:p>
            <w:pPr>
              <w:ind w:left="140"/>
              <w:spacing w:after="0" w:line="198" w:lineRule="exact"/>
              <w:rPr>
                <w:sz w:val="20"/>
                <w:szCs w:val="20"/>
                <w:color w:val="auto"/>
              </w:rPr>
            </w:pPr>
            <w:r>
              <w:rPr>
                <w:rFonts w:ascii="Arial" w:cs="Arial" w:eastAsia="Arial" w:hAnsi="Arial"/>
                <w:sz w:val="18"/>
                <w:szCs w:val="18"/>
                <w:color w:val="auto"/>
              </w:rPr>
              <w:t>Policy Symbol</w:t>
            </w:r>
          </w:p>
        </w:tc>
        <w:tc>
          <w:tcPr>
            <w:tcW w:w="18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72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860" w:type="dxa"/>
            <w:vAlign w:val="bottom"/>
          </w:tcPr>
          <w:p>
            <w:pPr>
              <w:ind w:left="8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8"/>
        </w:trPr>
        <w:tc>
          <w:tcPr>
            <w:tcW w:w="15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DON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005</w:t>
            </w:r>
          </w:p>
        </w:tc>
        <w:tc>
          <w:tcPr>
            <w:tcW w:w="4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03/08/2019 to 03/08/2020</w:t>
            </w: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03/08/2019</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AUDIT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the bond is amended as follows:</w:t>
      </w:r>
    </w:p>
    <w:p>
      <w:pPr>
        <w:spacing w:after="0" w:line="252" w:lineRule="exact"/>
        <w:rPr>
          <w:sz w:val="20"/>
          <w:szCs w:val="20"/>
          <w:color w:val="auto"/>
        </w:rPr>
      </w:pPr>
    </w:p>
    <w:p>
      <w:pPr>
        <w:ind w:left="440" w:hanging="436"/>
        <w:spacing w:after="0"/>
        <w:tabs>
          <w:tab w:leader="none" w:pos="4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Insuring Agreements, Section A, Fidelity, is amended to add the following:</w:t>
      </w:r>
    </w:p>
    <w:p>
      <w:pPr>
        <w:spacing w:after="0" w:line="117" w:lineRule="exact"/>
        <w:rPr>
          <w:rFonts w:ascii="Arial" w:cs="Arial" w:eastAsia="Arial" w:hAnsi="Arial"/>
          <w:sz w:val="18"/>
          <w:szCs w:val="18"/>
          <w:color w:val="auto"/>
        </w:rPr>
      </w:pPr>
    </w:p>
    <w:p>
      <w:pPr>
        <w:ind w:left="440" w:right="720"/>
        <w:spacing w:after="0" w:line="277" w:lineRule="auto"/>
        <w:rPr>
          <w:rFonts w:ascii="Arial" w:cs="Arial" w:eastAsia="Arial" w:hAnsi="Arial"/>
          <w:sz w:val="18"/>
          <w:szCs w:val="18"/>
          <w:color w:val="auto"/>
        </w:rPr>
      </w:pPr>
      <w:r>
        <w:rPr>
          <w:rFonts w:ascii="Arial" w:cs="Arial" w:eastAsia="Arial" w:hAnsi="Arial"/>
          <w:sz w:val="18"/>
          <w:szCs w:val="18"/>
          <w:color w:val="auto"/>
        </w:rPr>
        <w:t>Audit Expense Coverage $50,000 in the aggregate, which is part of, and not in addition to, the Aggregate Limit of Liability shown on the Declaration Page of this bond, with a deductible of $5,000 applicable to each and every loss</w:t>
      </w:r>
    </w:p>
    <w:p>
      <w:pPr>
        <w:spacing w:after="0" w:line="62" w:lineRule="exact"/>
        <w:rPr>
          <w:rFonts w:ascii="Arial" w:cs="Arial" w:eastAsia="Arial" w:hAnsi="Arial"/>
          <w:sz w:val="18"/>
          <w:szCs w:val="18"/>
          <w:color w:val="auto"/>
        </w:rPr>
      </w:pPr>
    </w:p>
    <w:p>
      <w:pPr>
        <w:ind w:left="440" w:right="120"/>
        <w:spacing w:after="0" w:line="272" w:lineRule="auto"/>
        <w:rPr>
          <w:rFonts w:ascii="Arial" w:cs="Arial" w:eastAsia="Arial" w:hAnsi="Arial"/>
          <w:sz w:val="18"/>
          <w:szCs w:val="18"/>
          <w:color w:val="auto"/>
        </w:rPr>
      </w:pPr>
      <w:r>
        <w:rPr>
          <w:rFonts w:ascii="Arial" w:cs="Arial" w:eastAsia="Arial" w:hAnsi="Arial"/>
          <w:sz w:val="17"/>
          <w:szCs w:val="17"/>
          <w:color w:val="auto"/>
        </w:rPr>
        <w:t>Expense incurred by the Insured for that part of the cost of audits or examinations required by State of Federal supervisory authorities to be conducted either by such authorities or by independent accountants by reason of the discovery of loss sustained by the Insured through dishonest or fraudulent acts of any of the Employees. The total liability of the Underwriter for such expense by reason of such acts of any Employee or in which such Employee is concerned or implicated or with respect to any one audit or examination is limited to the amount stated opposite “Audit Expense Coverage”; it being understood, however, that such expense shall be deemed to be loss sustained by the Insured through dishonest or fraudulent acts of one or more of the Employees and the liability of the Underwriter under this paragraph of Insuring Agreement (A) shall be part of, and not in addition to, the Single Loss Limit of Liability stated in Item 4 of the Declarations.</w:t>
      </w:r>
    </w:p>
    <w:p>
      <w:pPr>
        <w:spacing w:after="0" w:line="83" w:lineRule="exact"/>
        <w:rPr>
          <w:rFonts w:ascii="Arial" w:cs="Arial" w:eastAsia="Arial" w:hAnsi="Arial"/>
          <w:sz w:val="18"/>
          <w:szCs w:val="18"/>
          <w:color w:val="auto"/>
        </w:rPr>
      </w:pPr>
    </w:p>
    <w:p>
      <w:pPr>
        <w:ind w:left="440" w:hanging="436"/>
        <w:spacing w:after="0"/>
        <w:tabs>
          <w:tab w:leader="none" w:pos="4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Conditions And Limitations, Section 2, Exclusions, subsection (d), is deleted in its entirety and the following is inserted:</w:t>
      </w:r>
    </w:p>
    <w:p>
      <w:pPr>
        <w:spacing w:after="0" w:line="117" w:lineRule="exact"/>
        <w:rPr>
          <w:rFonts w:ascii="Arial" w:cs="Arial" w:eastAsia="Arial" w:hAnsi="Arial"/>
          <w:sz w:val="18"/>
          <w:szCs w:val="18"/>
          <w:color w:val="auto"/>
        </w:rPr>
      </w:pPr>
    </w:p>
    <w:p>
      <w:pPr>
        <w:ind w:left="440" w:right="80" w:firstLine="4"/>
        <w:spacing w:after="0" w:line="259" w:lineRule="auto"/>
        <w:tabs>
          <w:tab w:leader="none" w:pos="695" w:val="left"/>
        </w:tabs>
        <w:numPr>
          <w:ilvl w:val="1"/>
          <w:numId w:val="75"/>
        </w:numPr>
        <w:rPr>
          <w:rFonts w:ascii="Arial" w:cs="Arial" w:eastAsia="Arial" w:hAnsi="Arial"/>
          <w:sz w:val="18"/>
          <w:szCs w:val="18"/>
          <w:color w:val="auto"/>
        </w:rPr>
      </w:pPr>
      <w:r>
        <w:rPr>
          <w:rFonts w:ascii="Arial" w:cs="Arial" w:eastAsia="Arial" w:hAnsi="Arial"/>
          <w:sz w:val="18"/>
          <w:szCs w:val="18"/>
          <w:color w:val="auto"/>
        </w:rPr>
        <w:t>loss resulting directly or indirectly from any acts of any director or trustee of the Insured other than one employed as a salaried, pensioned or elected official or an Employee of the Insured, except when performing acts coming within the scope of the usual duties of an Employee, or while acting as a member of any committee duly elected or appointed by resolution of the board of directors or trustees of the Insured to perform specific, as distinguished from general, directorial acts on behalf of the Insured;</w:t>
      </w:r>
    </w:p>
    <w:p>
      <w:pPr>
        <w:spacing w:after="0" w:line="92" w:lineRule="exact"/>
        <w:rPr>
          <w:rFonts w:ascii="Arial" w:cs="Arial" w:eastAsia="Arial" w:hAnsi="Arial"/>
          <w:sz w:val="18"/>
          <w:szCs w:val="18"/>
          <w:color w:val="auto"/>
        </w:rPr>
      </w:pPr>
    </w:p>
    <w:p>
      <w:pPr>
        <w:ind w:left="440" w:hanging="436"/>
        <w:spacing w:after="0"/>
        <w:tabs>
          <w:tab w:leader="none" w:pos="4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Conditions And Limitations, Section 2, Exclusions, subsection (u), is deleted in its entirety and the following is inserted:</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2"/>
          <w:numId w:val="75"/>
        </w:numPr>
        <w:rPr>
          <w:rFonts w:ascii="Arial" w:cs="Arial" w:eastAsia="Arial" w:hAnsi="Arial"/>
          <w:sz w:val="18"/>
          <w:szCs w:val="18"/>
          <w:color w:val="auto"/>
        </w:rPr>
      </w:pPr>
      <w:r>
        <w:rPr>
          <w:rFonts w:ascii="Arial" w:cs="Arial" w:eastAsia="Arial" w:hAnsi="Arial"/>
          <w:sz w:val="18"/>
          <w:szCs w:val="18"/>
          <w:color w:val="auto"/>
        </w:rPr>
        <w:t>all fees, costs and expenses incurred by the Insured:</w:t>
      </w:r>
    </w:p>
    <w:p>
      <w:pPr>
        <w:spacing w:after="0" w:line="130" w:lineRule="exact"/>
        <w:rPr>
          <w:rFonts w:ascii="Arial" w:cs="Arial" w:eastAsia="Arial" w:hAnsi="Arial"/>
          <w:sz w:val="18"/>
          <w:szCs w:val="18"/>
          <w:color w:val="auto"/>
        </w:rPr>
      </w:pPr>
    </w:p>
    <w:p>
      <w:pPr>
        <w:ind w:left="1860" w:right="280" w:hanging="425"/>
        <w:spacing w:after="0" w:line="277" w:lineRule="auto"/>
        <w:tabs>
          <w:tab w:leader="none" w:pos="1860" w:val="left"/>
        </w:tabs>
        <w:numPr>
          <w:ilvl w:val="3"/>
          <w:numId w:val="75"/>
        </w:numPr>
        <w:rPr>
          <w:rFonts w:ascii="Arial" w:cs="Arial" w:eastAsia="Arial" w:hAnsi="Arial"/>
          <w:sz w:val="18"/>
          <w:szCs w:val="18"/>
          <w:color w:val="auto"/>
        </w:rPr>
      </w:pPr>
      <w:r>
        <w:rPr>
          <w:rFonts w:ascii="Arial" w:cs="Arial" w:eastAsia="Arial" w:hAnsi="Arial"/>
          <w:sz w:val="18"/>
          <w:szCs w:val="18"/>
          <w:color w:val="auto"/>
        </w:rPr>
        <w:t>in establishing the existence of or amount of loss covered under this bond, except to the extent covered under the portion of Insuring Agreement (A) entitled Audit Expense; or</w:t>
      </w:r>
    </w:p>
    <w:p>
      <w:pPr>
        <w:spacing w:after="0" w:line="75" w:lineRule="exact"/>
        <w:rPr>
          <w:rFonts w:ascii="Arial" w:cs="Arial" w:eastAsia="Arial" w:hAnsi="Arial"/>
          <w:sz w:val="18"/>
          <w:szCs w:val="18"/>
          <w:color w:val="auto"/>
        </w:rPr>
      </w:pPr>
    </w:p>
    <w:p>
      <w:pPr>
        <w:ind w:left="1860" w:hanging="425"/>
        <w:spacing w:after="0"/>
        <w:tabs>
          <w:tab w:leader="none" w:pos="1860" w:val="left"/>
        </w:tabs>
        <w:numPr>
          <w:ilvl w:val="3"/>
          <w:numId w:val="75"/>
        </w:numPr>
        <w:rPr>
          <w:rFonts w:ascii="Arial" w:cs="Arial" w:eastAsia="Arial" w:hAnsi="Arial"/>
          <w:sz w:val="17"/>
          <w:szCs w:val="17"/>
          <w:color w:val="auto"/>
        </w:rPr>
      </w:pPr>
      <w:r>
        <w:rPr>
          <w:rFonts w:ascii="Arial" w:cs="Arial" w:eastAsia="Arial" w:hAnsi="Arial"/>
          <w:sz w:val="17"/>
          <w:szCs w:val="17"/>
          <w:color w:val="auto"/>
        </w:rPr>
        <w:t>as a party to any legal proceeding whether or not such legal proceeding exposes the Insured to loss covered by this bond.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306705</wp:posOffset>
            </wp:positionV>
            <wp:extent cx="27959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tabs>
          <w:tab w:leader="none" w:pos="5240" w:val="left"/>
          <w:tab w:leader="none" w:pos="10180" w:val="left"/>
        </w:tabs>
        <w:rPr>
          <w:sz w:val="20"/>
          <w:szCs w:val="20"/>
          <w:color w:val="auto"/>
        </w:rPr>
      </w:pPr>
      <w:r>
        <w:rPr>
          <w:rFonts w:ascii="Arial" w:cs="Arial" w:eastAsia="Arial" w:hAnsi="Arial"/>
          <w:sz w:val="18"/>
          <w:szCs w:val="18"/>
          <w:color w:val="auto"/>
        </w:rPr>
        <w:t>PF-33839 (05/11)</w:t>
      </w:r>
      <w:r>
        <w:rPr>
          <w:sz w:val="20"/>
          <w:szCs w:val="20"/>
          <w:color w:val="auto"/>
        </w:rPr>
        <w:tab/>
      </w:r>
      <w:r>
        <w:rPr>
          <w:rFonts w:ascii="Arial" w:cs="Arial" w:eastAsia="Arial" w:hAnsi="Arial"/>
          <w:sz w:val="18"/>
          <w:szCs w:val="18"/>
          <w:color w:val="auto"/>
        </w:rPr>
        <w:t>© 2011</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040"/>
          </w:cols>
          <w:pgMar w:left="440" w:top="270" w:right="419" w:bottom="1440" w:gutter="0" w:footer="0" w:header="0"/>
        </w:sectPr>
      </w:pPr>
    </w:p>
    <w:bookmarkStart w:id="28" w:name="page29"/>
    <w:bookmarkEnd w:id="2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006590" cy="8832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06590" cy="883285"/>
                    </a:xfrm>
                    <a:prstGeom prst="rect">
                      <a:avLst/>
                    </a:prstGeom>
                    <a:noFill/>
                  </pic:spPr>
                </pic:pic>
              </a:graphicData>
            </a:graphic>
          </wp:anchor>
        </w:drawing>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15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Named Insured</w:t>
            </w:r>
          </w:p>
        </w:tc>
        <w:tc>
          <w:tcPr>
            <w:tcW w:w="1880" w:type="dxa"/>
            <w:vAlign w:val="bottom"/>
            <w:tcBorders>
              <w:top w:val="single" w:sz="8" w:color="auto"/>
            </w:tcBorders>
          </w:tcPr>
          <w:p>
            <w:pPr>
              <w:spacing w:after="0"/>
              <w:rPr>
                <w:sz w:val="18"/>
                <w:szCs w:val="18"/>
                <w:color w:val="auto"/>
              </w:rPr>
            </w:pPr>
          </w:p>
        </w:tc>
        <w:tc>
          <w:tcPr>
            <w:tcW w:w="47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Endorsement Number</w:t>
            </w:r>
          </w:p>
        </w:tc>
      </w:tr>
      <w:tr>
        <w:trPr>
          <w:trHeight w:val="241"/>
        </w:trPr>
        <w:tc>
          <w:tcPr>
            <w:tcW w:w="34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TPG Specialty Lending, Inc.</w:t>
            </w:r>
          </w:p>
        </w:tc>
        <w:tc>
          <w:tcPr>
            <w:tcW w:w="472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8</w:t>
            </w:r>
          </w:p>
        </w:tc>
      </w:tr>
      <w:tr>
        <w:trPr>
          <w:trHeight w:val="198"/>
        </w:trPr>
        <w:tc>
          <w:tcPr>
            <w:tcW w:w="1560" w:type="dxa"/>
            <w:vAlign w:val="bottom"/>
            <w:tcBorders>
              <w:right w:val="single" w:sz="8" w:color="auto"/>
            </w:tcBorders>
          </w:tcPr>
          <w:p>
            <w:pPr>
              <w:ind w:left="140"/>
              <w:spacing w:after="0" w:line="198" w:lineRule="exact"/>
              <w:rPr>
                <w:sz w:val="20"/>
                <w:szCs w:val="20"/>
                <w:color w:val="auto"/>
              </w:rPr>
            </w:pPr>
            <w:r>
              <w:rPr>
                <w:rFonts w:ascii="Arial" w:cs="Arial" w:eastAsia="Arial" w:hAnsi="Arial"/>
                <w:sz w:val="18"/>
                <w:szCs w:val="18"/>
                <w:color w:val="auto"/>
              </w:rPr>
              <w:t>Policy Symbol</w:t>
            </w:r>
          </w:p>
        </w:tc>
        <w:tc>
          <w:tcPr>
            <w:tcW w:w="18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72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860" w:type="dxa"/>
            <w:vAlign w:val="bottom"/>
          </w:tcPr>
          <w:p>
            <w:pPr>
              <w:ind w:left="8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5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DON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005</w:t>
            </w:r>
          </w:p>
        </w:tc>
        <w:tc>
          <w:tcPr>
            <w:tcW w:w="4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03/08/2019 to 03/08/2020</w:t>
            </w: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03/08/2019</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RIDER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 be attached to and form part of Financial Institution Bond, Standard Form No. 14 No. G25562823 005 in favor of TPG Specialty Lending, Inc.</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It is agreed that:</w:t>
      </w:r>
    </w:p>
    <w:p>
      <w:pPr>
        <w:spacing w:after="0" w:line="131" w:lineRule="exact"/>
        <w:rPr>
          <w:sz w:val="20"/>
          <w:szCs w:val="20"/>
          <w:color w:val="auto"/>
        </w:rPr>
      </w:pPr>
    </w:p>
    <w:p>
      <w:pPr>
        <w:ind w:left="1420" w:right="220" w:hanging="538"/>
        <w:spacing w:after="0" w:line="277" w:lineRule="auto"/>
        <w:tabs>
          <w:tab w:leader="none" w:pos="1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Those premises of Depositories listed in the following Schedule shall be deemed to be premises of the Insured but only as respects coverage on Certificated Securities:</w:t>
      </w: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w:t>
      </w:r>
    </w:p>
    <w:p>
      <w:pPr>
        <w:spacing w:after="0" w:line="225" w:lineRule="exact"/>
        <w:rPr>
          <w:sz w:val="20"/>
          <w:szCs w:val="20"/>
          <w:color w:val="auto"/>
        </w:rPr>
      </w:pPr>
    </w:p>
    <w:p>
      <w:pPr>
        <w:ind w:left="3140"/>
        <w:spacing w:after="0"/>
        <w:tabs>
          <w:tab w:leader="none" w:pos="6620" w:val="left"/>
        </w:tabs>
        <w:rPr>
          <w:sz w:val="20"/>
          <w:szCs w:val="20"/>
          <w:color w:val="auto"/>
        </w:rPr>
      </w:pPr>
      <w:r>
        <w:rPr>
          <w:rFonts w:ascii="Arial" w:cs="Arial" w:eastAsia="Arial" w:hAnsi="Arial"/>
          <w:sz w:val="18"/>
          <w:szCs w:val="18"/>
          <w:color w:val="auto"/>
        </w:rPr>
        <w:t>DEPOSITORY</w:t>
      </w:r>
      <w:r>
        <w:rPr>
          <w:sz w:val="20"/>
          <w:szCs w:val="20"/>
          <w:color w:val="auto"/>
        </w:rPr>
        <w:tab/>
      </w:r>
      <w:r>
        <w:rPr>
          <w:rFonts w:ascii="Arial" w:cs="Arial" w:eastAsia="Arial" w:hAnsi="Arial"/>
          <w:sz w:val="18"/>
          <w:szCs w:val="18"/>
          <w:color w:val="auto"/>
        </w:rPr>
        <w:t>LOCATION COVERED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ALL DEPOSITORIES USED BY THE INSURED</w:t>
      </w:r>
    </w:p>
    <w:p>
      <w:pPr>
        <w:spacing w:after="0" w:line="252" w:lineRule="exact"/>
        <w:rPr>
          <w:sz w:val="20"/>
          <w:szCs w:val="20"/>
          <w:color w:val="auto"/>
        </w:rPr>
      </w:pPr>
    </w:p>
    <w:p>
      <w:pPr>
        <w:ind w:left="1420" w:right="280" w:hanging="538"/>
        <w:spacing w:after="0" w:line="342" w:lineRule="auto"/>
        <w:tabs>
          <w:tab w:leader="none" w:pos="14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Certificated Securities held by such Depository shall be deemed to be Property as defined in the attached bond to the extent of the Insured’s interest therein as effected by the making of appropriate entries on the books and records of such Depository.</w:t>
      </w:r>
    </w:p>
    <w:p>
      <w:pPr>
        <w:spacing w:after="0" w:line="29" w:lineRule="exact"/>
        <w:rPr>
          <w:rFonts w:ascii="Arial" w:cs="Arial" w:eastAsia="Arial" w:hAnsi="Arial"/>
          <w:sz w:val="16"/>
          <w:szCs w:val="16"/>
          <w:color w:val="auto"/>
        </w:rPr>
      </w:pPr>
    </w:p>
    <w:p>
      <w:pPr>
        <w:ind w:left="1420" w:right="60" w:hanging="538"/>
        <w:spacing w:after="0" w:line="286" w:lineRule="auto"/>
        <w:tabs>
          <w:tab w:leader="none" w:pos="14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attached bond does not afford coverage in favor of any Depository listed in the Schedule above. When the Underwriter indemnifies the Insured for a loss covered hereunder, the Insured will assign the rights and causes of action to the extent of the claim payment against the Depository, or any other entity or person against whom it has a cause of action, to the Underwriter.</w:t>
      </w:r>
    </w:p>
    <w:p>
      <w:pPr>
        <w:spacing w:after="0" w:line="70" w:lineRule="exact"/>
        <w:rPr>
          <w:rFonts w:ascii="Arial" w:cs="Arial" w:eastAsia="Arial" w:hAnsi="Arial"/>
          <w:sz w:val="17"/>
          <w:szCs w:val="17"/>
          <w:color w:val="auto"/>
        </w:rPr>
      </w:pPr>
    </w:p>
    <w:p>
      <w:pPr>
        <w:ind w:left="1420" w:right="140" w:hanging="538"/>
        <w:spacing w:after="0" w:line="259" w:lineRule="auto"/>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the rules of the Depository named in the Schedule above provide that the Insured shall be assessed for a portion of the judgment (or agreed settlement) taken by the Underwriter based upon the assignment set forth in part 3 above and the Insured actually pays such assessment, then the Underwriter will reimburse the Insured for the amount of the assessment but not exceeding the amount of the loss payment by the Underwriter.</w:t>
      </w:r>
    </w:p>
    <w:p>
      <w:pPr>
        <w:spacing w:after="0" w:line="92" w:lineRule="exact"/>
        <w:rPr>
          <w:rFonts w:ascii="Arial" w:cs="Arial" w:eastAsia="Arial" w:hAnsi="Arial"/>
          <w:sz w:val="18"/>
          <w:szCs w:val="18"/>
          <w:color w:val="auto"/>
        </w:rPr>
      </w:pPr>
    </w:p>
    <w:p>
      <w:pPr>
        <w:ind w:left="1420" w:hanging="538"/>
        <w:spacing w:after="0"/>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This rider shall become effective as of 12:01 a.m. on 03/08/2019 standard time.</w:t>
      </w:r>
    </w:p>
    <w:p>
      <w:pPr>
        <w:spacing w:after="0" w:line="154"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CENTRAL HANDLING OF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USE WITH FINANCIAL INSTITUTION BONDS, STANDARD FORMS NOS. 14, 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25 TO SCHEDULE THE PREMISES OF DEPOSITORIES.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REVISED TO OCTOBER, 1987.</w:t>
      </w:r>
    </w:p>
    <w:p>
      <w:pPr>
        <w:spacing w:after="0" w:line="116" w:lineRule="exact"/>
        <w:rPr>
          <w:sz w:val="20"/>
          <w:szCs w:val="20"/>
          <w:color w:val="auto"/>
        </w:rPr>
      </w:pPr>
    </w:p>
    <w:p>
      <w:pPr>
        <w:spacing w:after="0"/>
        <w:tabs>
          <w:tab w:leader="none" w:pos="10180" w:val="left"/>
        </w:tabs>
        <w:rPr>
          <w:sz w:val="20"/>
          <w:szCs w:val="20"/>
          <w:color w:val="auto"/>
        </w:rPr>
      </w:pPr>
      <w:r>
        <w:rPr>
          <w:rFonts w:ascii="Arial" w:cs="Arial" w:eastAsia="Arial" w:hAnsi="Arial"/>
          <w:sz w:val="18"/>
          <w:szCs w:val="18"/>
          <w:color w:val="auto"/>
        </w:rPr>
        <w:t>SR 5967e Printed In U.S.A.</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040"/>
          </w:cols>
          <w:pgMar w:left="440" w:top="270" w:right="419"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006590" cy="8832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06590" cy="883285"/>
                    </a:xfrm>
                    <a:prstGeom prst="rect">
                      <a:avLst/>
                    </a:prstGeom>
                    <a:noFill/>
                  </pic:spPr>
                </pic:pic>
              </a:graphicData>
            </a:graphic>
          </wp:anchor>
        </w:drawing>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15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Named Insured</w:t>
            </w:r>
          </w:p>
        </w:tc>
        <w:tc>
          <w:tcPr>
            <w:tcW w:w="1880" w:type="dxa"/>
            <w:vAlign w:val="bottom"/>
            <w:tcBorders>
              <w:top w:val="single" w:sz="8" w:color="auto"/>
            </w:tcBorders>
          </w:tcPr>
          <w:p>
            <w:pPr>
              <w:spacing w:after="0"/>
              <w:rPr>
                <w:sz w:val="18"/>
                <w:szCs w:val="18"/>
                <w:color w:val="auto"/>
              </w:rPr>
            </w:pPr>
          </w:p>
        </w:tc>
        <w:tc>
          <w:tcPr>
            <w:tcW w:w="47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Endorsement Number</w:t>
            </w:r>
          </w:p>
        </w:tc>
      </w:tr>
      <w:tr>
        <w:trPr>
          <w:trHeight w:val="241"/>
        </w:trPr>
        <w:tc>
          <w:tcPr>
            <w:tcW w:w="34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TPG Specialty Lending, Inc.</w:t>
            </w:r>
          </w:p>
        </w:tc>
        <w:tc>
          <w:tcPr>
            <w:tcW w:w="472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9</w:t>
            </w:r>
          </w:p>
        </w:tc>
      </w:tr>
      <w:tr>
        <w:trPr>
          <w:trHeight w:val="198"/>
        </w:trPr>
        <w:tc>
          <w:tcPr>
            <w:tcW w:w="1560" w:type="dxa"/>
            <w:vAlign w:val="bottom"/>
            <w:tcBorders>
              <w:right w:val="single" w:sz="8" w:color="auto"/>
            </w:tcBorders>
          </w:tcPr>
          <w:p>
            <w:pPr>
              <w:ind w:left="140"/>
              <w:spacing w:after="0" w:line="198" w:lineRule="exact"/>
              <w:rPr>
                <w:sz w:val="20"/>
                <w:szCs w:val="20"/>
                <w:color w:val="auto"/>
              </w:rPr>
            </w:pPr>
            <w:r>
              <w:rPr>
                <w:rFonts w:ascii="Arial" w:cs="Arial" w:eastAsia="Arial" w:hAnsi="Arial"/>
                <w:sz w:val="18"/>
                <w:szCs w:val="18"/>
                <w:color w:val="auto"/>
              </w:rPr>
              <w:t>Policy Symbol</w:t>
            </w:r>
          </w:p>
        </w:tc>
        <w:tc>
          <w:tcPr>
            <w:tcW w:w="18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72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860" w:type="dxa"/>
            <w:vAlign w:val="bottom"/>
          </w:tcPr>
          <w:p>
            <w:pPr>
              <w:ind w:left="8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5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DON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005</w:t>
            </w:r>
          </w:p>
        </w:tc>
        <w:tc>
          <w:tcPr>
            <w:tcW w:w="4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03/08/2019 to 03/08/2020</w:t>
            </w: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03/08/2019</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UNAUTHORIZED SIGNATURES</w:t>
      </w:r>
    </w:p>
    <w:p>
      <w:pPr>
        <w:spacing w:after="0" w:line="256" w:lineRule="exact"/>
        <w:rPr>
          <w:sz w:val="20"/>
          <w:szCs w:val="20"/>
          <w:color w:val="auto"/>
        </w:rPr>
      </w:pPr>
    </w:p>
    <w:p>
      <w:pPr>
        <w:ind w:left="440" w:hanging="436"/>
        <w:spacing w:after="0"/>
        <w:tabs>
          <w:tab w:leader="none" w:pos="4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Section entitled Insuring Agreements is amended to add the following:</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Unauthorized Signatures</w:t>
      </w:r>
    </w:p>
    <w:p>
      <w:pPr>
        <w:spacing w:after="0" w:line="130" w:lineRule="exact"/>
        <w:rPr>
          <w:rFonts w:ascii="Arial" w:cs="Arial" w:eastAsia="Arial" w:hAnsi="Arial"/>
          <w:sz w:val="18"/>
          <w:szCs w:val="18"/>
          <w:color w:val="auto"/>
        </w:rPr>
      </w:pPr>
    </w:p>
    <w:p>
      <w:pPr>
        <w:ind w:left="860" w:right="60" w:hanging="316"/>
        <w:spacing w:after="0" w:line="259" w:lineRule="auto"/>
        <w:tabs>
          <w:tab w:leader="none" w:pos="8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Loss resulting directly from the Insured having accepted, paid or cashed any check or withdrawal order made or drawn on a customer’s account which bears the signature or endorsement of one other than a person whose name and signature is on file with the Insured as a signatory on such account. It shall be a condition precedent to the Insured’s right of recovery under this Coverage that the Insured shall have on file signature of all persons who are signatories on such account.</w:t>
      </w:r>
    </w:p>
    <w:p>
      <w:pPr>
        <w:spacing w:after="0" w:line="78"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The aggregate Limit of Liability on the Unauthorized Signatures Agreement is $100,000, and the deductible is $10,000.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306705</wp:posOffset>
            </wp:positionV>
            <wp:extent cx="27959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tabs>
          <w:tab w:leader="none" w:pos="5240" w:val="left"/>
          <w:tab w:leader="none" w:pos="10180" w:val="left"/>
        </w:tabs>
        <w:rPr>
          <w:sz w:val="20"/>
          <w:szCs w:val="20"/>
          <w:color w:val="auto"/>
        </w:rPr>
      </w:pPr>
      <w:r>
        <w:rPr>
          <w:rFonts w:ascii="Arial" w:cs="Arial" w:eastAsia="Arial" w:hAnsi="Arial"/>
          <w:sz w:val="18"/>
          <w:szCs w:val="18"/>
          <w:color w:val="auto"/>
        </w:rPr>
        <w:t>PF-33854 (05/11)</w:t>
      </w:r>
      <w:r>
        <w:rPr>
          <w:sz w:val="20"/>
          <w:szCs w:val="20"/>
          <w:color w:val="auto"/>
        </w:rPr>
        <w:tab/>
      </w:r>
      <w:r>
        <w:rPr>
          <w:rFonts w:ascii="Arial" w:cs="Arial" w:eastAsia="Arial" w:hAnsi="Arial"/>
          <w:sz w:val="18"/>
          <w:szCs w:val="18"/>
          <w:color w:val="auto"/>
        </w:rPr>
        <w:t>© 2011</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040"/>
          </w:cols>
          <w:pgMar w:left="440" w:top="270" w:right="419" w:bottom="1440" w:gutter="0" w:footer="0" w:header="0"/>
        </w:sectPr>
      </w:pPr>
    </w:p>
    <w:bookmarkStart w:id="30" w:name="page31"/>
    <w:bookmarkEnd w:id="3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006590" cy="8832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06590" cy="883285"/>
                    </a:xfrm>
                    <a:prstGeom prst="rect">
                      <a:avLst/>
                    </a:prstGeom>
                    <a:noFill/>
                  </pic:spPr>
                </pic:pic>
              </a:graphicData>
            </a:graphic>
          </wp:anchor>
        </w:drawing>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15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Named Insured</w:t>
            </w:r>
          </w:p>
        </w:tc>
        <w:tc>
          <w:tcPr>
            <w:tcW w:w="1880" w:type="dxa"/>
            <w:vAlign w:val="bottom"/>
            <w:tcBorders>
              <w:top w:val="single" w:sz="8" w:color="auto"/>
            </w:tcBorders>
          </w:tcPr>
          <w:p>
            <w:pPr>
              <w:spacing w:after="0"/>
              <w:rPr>
                <w:sz w:val="18"/>
                <w:szCs w:val="18"/>
                <w:color w:val="auto"/>
              </w:rPr>
            </w:pPr>
          </w:p>
        </w:tc>
        <w:tc>
          <w:tcPr>
            <w:tcW w:w="47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Endorsement Number</w:t>
            </w:r>
          </w:p>
        </w:tc>
      </w:tr>
      <w:tr>
        <w:trPr>
          <w:trHeight w:val="241"/>
        </w:trPr>
        <w:tc>
          <w:tcPr>
            <w:tcW w:w="34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TPG Specialty Lending, Inc.</w:t>
            </w:r>
          </w:p>
        </w:tc>
        <w:tc>
          <w:tcPr>
            <w:tcW w:w="472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10</w:t>
            </w:r>
          </w:p>
        </w:tc>
      </w:tr>
      <w:tr>
        <w:trPr>
          <w:trHeight w:val="198"/>
        </w:trPr>
        <w:tc>
          <w:tcPr>
            <w:tcW w:w="1560" w:type="dxa"/>
            <w:vAlign w:val="bottom"/>
            <w:tcBorders>
              <w:right w:val="single" w:sz="8" w:color="auto"/>
            </w:tcBorders>
          </w:tcPr>
          <w:p>
            <w:pPr>
              <w:ind w:left="140"/>
              <w:spacing w:after="0" w:line="198" w:lineRule="exact"/>
              <w:rPr>
                <w:sz w:val="20"/>
                <w:szCs w:val="20"/>
                <w:color w:val="auto"/>
              </w:rPr>
            </w:pPr>
            <w:r>
              <w:rPr>
                <w:rFonts w:ascii="Arial" w:cs="Arial" w:eastAsia="Arial" w:hAnsi="Arial"/>
                <w:sz w:val="18"/>
                <w:szCs w:val="18"/>
                <w:color w:val="auto"/>
              </w:rPr>
              <w:t>Policy Symbol</w:t>
            </w:r>
          </w:p>
        </w:tc>
        <w:tc>
          <w:tcPr>
            <w:tcW w:w="18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72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860" w:type="dxa"/>
            <w:vAlign w:val="bottom"/>
          </w:tcPr>
          <w:p>
            <w:pPr>
              <w:ind w:left="8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5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DON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005</w:t>
            </w:r>
          </w:p>
        </w:tc>
        <w:tc>
          <w:tcPr>
            <w:tcW w:w="4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03/08/2019 to 03/08/2020</w:t>
            </w: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03/08/2019</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 DISCOVERY AND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the bond is amended as follows:</w:t>
      </w:r>
    </w:p>
    <w:p>
      <w:pPr>
        <w:spacing w:after="0" w:line="131" w:lineRule="exact"/>
        <w:rPr>
          <w:sz w:val="20"/>
          <w:szCs w:val="20"/>
          <w:color w:val="auto"/>
        </w:rPr>
      </w:pPr>
    </w:p>
    <w:p>
      <w:pPr>
        <w:ind w:left="440" w:right="600" w:hanging="436"/>
        <w:spacing w:after="0" w:line="277" w:lineRule="auto"/>
        <w:tabs>
          <w:tab w:leader="none" w:pos="4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first paragraph of General Agreements, Section F, Notice Of Legal Proceedings Against Insured – Election To Defend, is deleted in its entirety and the following is inserted:</w:t>
      </w:r>
    </w:p>
    <w:p>
      <w:pPr>
        <w:spacing w:after="0" w:line="62" w:lineRule="exact"/>
        <w:rPr>
          <w:rFonts w:ascii="Arial" w:cs="Arial" w:eastAsia="Arial" w:hAnsi="Arial"/>
          <w:sz w:val="18"/>
          <w:szCs w:val="18"/>
          <w:color w:val="auto"/>
        </w:rPr>
      </w:pPr>
    </w:p>
    <w:p>
      <w:pPr>
        <w:ind w:left="440" w:right="26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The Office of General Counsel, Risk Management Department, or Human Resources Department shall notify the Underwriter at the earliest practicable moment, not to exceed </w:t>
      </w:r>
      <w:r>
        <w:rPr>
          <w:rFonts w:ascii="Arial" w:cs="Arial" w:eastAsia="Arial" w:hAnsi="Arial"/>
          <w:sz w:val="18"/>
          <w:szCs w:val="18"/>
          <w:u w:val="single" w:color="auto"/>
          <w:color w:val="auto"/>
        </w:rPr>
        <w:t>90</w:t>
      </w:r>
      <w:r>
        <w:rPr>
          <w:rFonts w:ascii="Arial" w:cs="Arial" w:eastAsia="Arial" w:hAnsi="Arial"/>
          <w:sz w:val="18"/>
          <w:szCs w:val="18"/>
          <w:color w:val="auto"/>
        </w:rPr>
        <w:t xml:space="preserve"> days after notice thereof, of any legal proceeding brought to determine the Insured’s liability for any loss, claim or damage, which if established, would constitute a collectible loss under this bond. Concurrently, the Insured shall furnish copies of all pleadings and pertinent papers to the Underwriter.</w:t>
      </w:r>
    </w:p>
    <w:p>
      <w:pPr>
        <w:spacing w:after="0" w:line="92" w:lineRule="exact"/>
        <w:rPr>
          <w:rFonts w:ascii="Arial" w:cs="Arial" w:eastAsia="Arial" w:hAnsi="Arial"/>
          <w:sz w:val="18"/>
          <w:szCs w:val="18"/>
          <w:color w:val="auto"/>
        </w:rPr>
      </w:pPr>
    </w:p>
    <w:p>
      <w:pPr>
        <w:ind w:left="440" w:hanging="436"/>
        <w:spacing w:after="0"/>
        <w:tabs>
          <w:tab w:leader="none" w:pos="4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Conditions And Limitations, Section 3, Discovery, is deleted in its entirety and the following is inserted:</w:t>
      </w:r>
    </w:p>
    <w:p>
      <w:pPr>
        <w:spacing w:after="0" w:line="117" w:lineRule="exact"/>
        <w:rPr>
          <w:rFonts w:ascii="Arial" w:cs="Arial" w:eastAsia="Arial" w:hAnsi="Arial"/>
          <w:sz w:val="18"/>
          <w:szCs w:val="18"/>
          <w:color w:val="auto"/>
        </w:rPr>
      </w:pPr>
    </w:p>
    <w:p>
      <w:pPr>
        <w:ind w:left="440" w:right="120"/>
        <w:spacing w:after="0" w:line="312" w:lineRule="auto"/>
        <w:rPr>
          <w:rFonts w:ascii="Arial" w:cs="Arial" w:eastAsia="Arial" w:hAnsi="Arial"/>
          <w:sz w:val="18"/>
          <w:szCs w:val="18"/>
          <w:color w:val="auto"/>
        </w:rPr>
      </w:pPr>
      <w:r>
        <w:rPr>
          <w:rFonts w:ascii="Arial" w:cs="Arial" w:eastAsia="Arial" w:hAnsi="Arial"/>
          <w:sz w:val="16"/>
          <w:szCs w:val="16"/>
          <w:color w:val="auto"/>
        </w:rPr>
        <w:t>This bond applies to loss discovered by the Insured during the Bond Period. Discovery occurs when the Office of General Counsel, Risk Management Department, or Human Resources Department becomes aware of facts which would cause a reasonable person to assume that a loss of the type covered by this bond has been or will be incurred, even though the exact amount or details of loss may not then be known.</w:t>
      </w:r>
    </w:p>
    <w:p>
      <w:pPr>
        <w:spacing w:after="0" w:line="38" w:lineRule="exact"/>
        <w:rPr>
          <w:rFonts w:ascii="Arial" w:cs="Arial" w:eastAsia="Arial" w:hAnsi="Arial"/>
          <w:sz w:val="18"/>
          <w:szCs w:val="18"/>
          <w:color w:val="auto"/>
        </w:rPr>
      </w:pPr>
    </w:p>
    <w:p>
      <w:pPr>
        <w:ind w:left="440" w:right="40"/>
        <w:spacing w:after="0" w:line="264" w:lineRule="auto"/>
        <w:rPr>
          <w:rFonts w:ascii="Arial" w:cs="Arial" w:eastAsia="Arial" w:hAnsi="Arial"/>
          <w:sz w:val="18"/>
          <w:szCs w:val="18"/>
          <w:color w:val="auto"/>
        </w:rPr>
      </w:pPr>
      <w:r>
        <w:rPr>
          <w:rFonts w:ascii="Arial" w:cs="Arial" w:eastAsia="Arial" w:hAnsi="Arial"/>
          <w:sz w:val="18"/>
          <w:szCs w:val="18"/>
          <w:color w:val="auto"/>
        </w:rPr>
        <w:t>Discovery also occurs when the Office of General Counsel, Risk Management Department, or Human Resources Department receives notice of an actual or potential claim in which it is alleged that the Insured is liable to a third party under circumstances which, if true, would constitute a loss under this bond.</w:t>
      </w:r>
    </w:p>
    <w:p>
      <w:pPr>
        <w:spacing w:after="0" w:line="86" w:lineRule="exact"/>
        <w:rPr>
          <w:rFonts w:ascii="Arial" w:cs="Arial" w:eastAsia="Arial" w:hAnsi="Arial"/>
          <w:sz w:val="18"/>
          <w:szCs w:val="18"/>
          <w:color w:val="auto"/>
        </w:rPr>
      </w:pPr>
    </w:p>
    <w:p>
      <w:pPr>
        <w:ind w:left="440" w:right="80" w:hanging="436"/>
        <w:spacing w:after="0" w:line="277" w:lineRule="auto"/>
        <w:tabs>
          <w:tab w:leader="none" w:pos="4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first paragraph of Conditions And Limitations, Section 5, Notice/Proof – Legal Proceedings Against Underwriter, is deleted in its entirety and the following is inserted:</w:t>
      </w:r>
    </w:p>
    <w:p>
      <w:pPr>
        <w:spacing w:after="0" w:line="75" w:lineRule="exact"/>
        <w:rPr>
          <w:rFonts w:ascii="Arial" w:cs="Arial" w:eastAsia="Arial" w:hAnsi="Arial"/>
          <w:sz w:val="18"/>
          <w:szCs w:val="18"/>
          <w:color w:val="auto"/>
        </w:rPr>
      </w:pPr>
    </w:p>
    <w:p>
      <w:pPr>
        <w:jc w:val="both"/>
        <w:ind w:left="860" w:right="560" w:hanging="424"/>
        <w:spacing w:after="0" w:line="342" w:lineRule="auto"/>
        <w:tabs>
          <w:tab w:leader="none" w:pos="860" w:val="left"/>
        </w:tabs>
        <w:numPr>
          <w:ilvl w:val="1"/>
          <w:numId w:val="79"/>
        </w:numPr>
        <w:rPr>
          <w:rFonts w:ascii="Arial" w:cs="Arial" w:eastAsia="Arial" w:hAnsi="Arial"/>
          <w:sz w:val="16"/>
          <w:szCs w:val="16"/>
          <w:color w:val="auto"/>
        </w:rPr>
      </w:pPr>
      <w:r>
        <w:rPr>
          <w:rFonts w:ascii="Arial" w:cs="Arial" w:eastAsia="Arial" w:hAnsi="Arial"/>
          <w:sz w:val="16"/>
          <w:szCs w:val="16"/>
          <w:color w:val="auto"/>
        </w:rPr>
        <w:t xml:space="preserve">At the earliest practicable moment, not to exceed </w:t>
      </w:r>
      <w:r>
        <w:rPr>
          <w:rFonts w:ascii="Arial" w:cs="Arial" w:eastAsia="Arial" w:hAnsi="Arial"/>
          <w:sz w:val="16"/>
          <w:szCs w:val="16"/>
          <w:u w:val="single" w:color="auto"/>
          <w:color w:val="auto"/>
        </w:rPr>
        <w:t>90</w:t>
      </w:r>
      <w:r>
        <w:rPr>
          <w:rFonts w:ascii="Arial" w:cs="Arial" w:eastAsia="Arial" w:hAnsi="Arial"/>
          <w:sz w:val="16"/>
          <w:szCs w:val="16"/>
          <w:color w:val="auto"/>
        </w:rPr>
        <w:t xml:space="preserve"> days after discovery of loss by the Office of General Counsel, Risk Management Department, or Human Resources Department the Insured shall give the Underwriter notice of all such losses which exceed $25,000.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306705</wp:posOffset>
            </wp:positionV>
            <wp:extent cx="27959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tabs>
          <w:tab w:leader="none" w:pos="5220" w:val="left"/>
          <w:tab w:leader="none" w:pos="10180" w:val="left"/>
        </w:tabs>
        <w:rPr>
          <w:sz w:val="20"/>
          <w:szCs w:val="20"/>
          <w:color w:val="auto"/>
        </w:rPr>
      </w:pPr>
      <w:r>
        <w:rPr>
          <w:rFonts w:ascii="Arial" w:cs="Arial" w:eastAsia="Arial" w:hAnsi="Arial"/>
          <w:sz w:val="18"/>
          <w:szCs w:val="18"/>
          <w:color w:val="auto"/>
        </w:rPr>
        <w:t>PF-39758 (04/13)</w:t>
      </w:r>
      <w:r>
        <w:rPr>
          <w:sz w:val="20"/>
          <w:szCs w:val="20"/>
          <w:color w:val="auto"/>
        </w:rPr>
        <w:tab/>
      </w:r>
      <w:r>
        <w:rPr>
          <w:rFonts w:ascii="Arial" w:cs="Arial" w:eastAsia="Arial" w:hAnsi="Arial"/>
          <w:sz w:val="18"/>
          <w:szCs w:val="18"/>
          <w:color w:val="auto"/>
        </w:rPr>
        <w:t>© 2013</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040"/>
          </w:cols>
          <w:pgMar w:left="440" w:top="270" w:right="419" w:bottom="1440" w:gutter="0" w:footer="0" w:header="0"/>
        </w:sectPr>
      </w:pPr>
    </w:p>
    <w:bookmarkStart w:id="31" w:name="page32"/>
    <w:bookmarkEnd w:id="3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006590" cy="8832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06590" cy="883285"/>
                    </a:xfrm>
                    <a:prstGeom prst="rect">
                      <a:avLst/>
                    </a:prstGeom>
                    <a:noFill/>
                  </pic:spPr>
                </pic:pic>
              </a:graphicData>
            </a:graphic>
          </wp:anchor>
        </w:drawing>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15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Named Insured</w:t>
            </w:r>
          </w:p>
        </w:tc>
        <w:tc>
          <w:tcPr>
            <w:tcW w:w="1880" w:type="dxa"/>
            <w:vAlign w:val="bottom"/>
            <w:tcBorders>
              <w:top w:val="single" w:sz="8" w:color="auto"/>
            </w:tcBorders>
          </w:tcPr>
          <w:p>
            <w:pPr>
              <w:spacing w:after="0"/>
              <w:rPr>
                <w:sz w:val="18"/>
                <w:szCs w:val="18"/>
                <w:color w:val="auto"/>
              </w:rPr>
            </w:pPr>
          </w:p>
        </w:tc>
        <w:tc>
          <w:tcPr>
            <w:tcW w:w="47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Endorsement Number</w:t>
            </w:r>
          </w:p>
        </w:tc>
      </w:tr>
      <w:tr>
        <w:trPr>
          <w:trHeight w:val="241"/>
        </w:trPr>
        <w:tc>
          <w:tcPr>
            <w:tcW w:w="34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TPG Specialty Lending, Inc.</w:t>
            </w:r>
          </w:p>
        </w:tc>
        <w:tc>
          <w:tcPr>
            <w:tcW w:w="472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11</w:t>
            </w:r>
          </w:p>
        </w:tc>
      </w:tr>
      <w:tr>
        <w:trPr>
          <w:trHeight w:val="198"/>
        </w:trPr>
        <w:tc>
          <w:tcPr>
            <w:tcW w:w="1560" w:type="dxa"/>
            <w:vAlign w:val="bottom"/>
            <w:tcBorders>
              <w:right w:val="single" w:sz="8" w:color="auto"/>
            </w:tcBorders>
          </w:tcPr>
          <w:p>
            <w:pPr>
              <w:ind w:left="140"/>
              <w:spacing w:after="0" w:line="198" w:lineRule="exact"/>
              <w:rPr>
                <w:sz w:val="20"/>
                <w:szCs w:val="20"/>
                <w:color w:val="auto"/>
              </w:rPr>
            </w:pPr>
            <w:r>
              <w:rPr>
                <w:rFonts w:ascii="Arial" w:cs="Arial" w:eastAsia="Arial" w:hAnsi="Arial"/>
                <w:sz w:val="18"/>
                <w:szCs w:val="18"/>
                <w:color w:val="auto"/>
              </w:rPr>
              <w:t>Policy Symbol</w:t>
            </w:r>
          </w:p>
        </w:tc>
        <w:tc>
          <w:tcPr>
            <w:tcW w:w="18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72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860" w:type="dxa"/>
            <w:vAlign w:val="bottom"/>
          </w:tcPr>
          <w:p>
            <w:pPr>
              <w:ind w:left="8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5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DON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005</w:t>
            </w:r>
          </w:p>
        </w:tc>
        <w:tc>
          <w:tcPr>
            <w:tcW w:w="4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03/08/2019 to 03/08/2020</w:t>
            </w: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03/08/2019</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CLAIMS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the bond is amended as follows:</w:t>
      </w:r>
    </w:p>
    <w:p>
      <w:pPr>
        <w:spacing w:after="0" w:line="131" w:lineRule="exact"/>
        <w:rPr>
          <w:sz w:val="20"/>
          <w:szCs w:val="20"/>
          <w:color w:val="auto"/>
        </w:rPr>
      </w:pPr>
    </w:p>
    <w:p>
      <w:pPr>
        <w:ind w:left="440" w:hanging="436"/>
        <w:spacing w:after="0"/>
        <w:tabs>
          <w:tab w:leader="none" w:pos="4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Insuring Agreements, is amended to add the following:</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CLAIMS EXPENSE</w:t>
      </w:r>
    </w:p>
    <w:p>
      <w:pPr>
        <w:spacing w:after="0" w:line="117" w:lineRule="exact"/>
        <w:rPr>
          <w:rFonts w:ascii="Arial" w:cs="Arial" w:eastAsia="Arial" w:hAnsi="Arial"/>
          <w:sz w:val="18"/>
          <w:szCs w:val="18"/>
          <w:color w:val="auto"/>
        </w:rPr>
      </w:pPr>
    </w:p>
    <w:p>
      <w:pPr>
        <w:jc w:val="both"/>
        <w:ind w:left="880" w:right="180"/>
        <w:spacing w:after="0" w:line="312" w:lineRule="auto"/>
        <w:rPr>
          <w:rFonts w:ascii="Arial" w:cs="Arial" w:eastAsia="Arial" w:hAnsi="Arial"/>
          <w:sz w:val="18"/>
          <w:szCs w:val="18"/>
          <w:color w:val="auto"/>
        </w:rPr>
      </w:pPr>
      <w:r>
        <w:rPr>
          <w:rFonts w:ascii="Arial" w:cs="Arial" w:eastAsia="Arial" w:hAnsi="Arial"/>
          <w:sz w:val="16"/>
          <w:szCs w:val="16"/>
          <w:color w:val="auto"/>
        </w:rPr>
        <w:t>Reasonable expenses necessarily incurred and paid by the Insured in preparing any valid claim for loss as set forth in Insuring Agreements A through F, and any other valid coverage added by endorsement, which loss exceeds the Single Loss Deductible Amount of $50,000. The Underwriter’s maximum liability for such expenses paid by the Insured in preparing all such claims shall be limited to $5,000.</w:t>
      </w:r>
    </w:p>
    <w:p>
      <w:pPr>
        <w:spacing w:after="0" w:line="52" w:lineRule="exact"/>
        <w:rPr>
          <w:rFonts w:ascii="Arial" w:cs="Arial" w:eastAsia="Arial" w:hAnsi="Arial"/>
          <w:sz w:val="18"/>
          <w:szCs w:val="18"/>
          <w:color w:val="auto"/>
        </w:rPr>
      </w:pPr>
    </w:p>
    <w:p>
      <w:pPr>
        <w:ind w:left="440" w:hanging="436"/>
        <w:spacing w:after="0"/>
        <w:tabs>
          <w:tab w:leader="none" w:pos="4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Conditions And Limitations, Section 2, Exclusions, subsection (u), is deleted in its entirety and the following is inserted:</w:t>
      </w:r>
    </w:p>
    <w:p>
      <w:pPr>
        <w:spacing w:after="0" w:line="130" w:lineRule="exact"/>
        <w:rPr>
          <w:rFonts w:ascii="Arial" w:cs="Arial" w:eastAsia="Arial" w:hAnsi="Arial"/>
          <w:sz w:val="18"/>
          <w:szCs w:val="18"/>
          <w:color w:val="auto"/>
        </w:rPr>
      </w:pPr>
    </w:p>
    <w:p>
      <w:pPr>
        <w:ind w:left="1420" w:right="140" w:hanging="538"/>
        <w:spacing w:after="0" w:line="277" w:lineRule="auto"/>
        <w:tabs>
          <w:tab w:leader="none" w:pos="1420" w:val="left"/>
        </w:tabs>
        <w:numPr>
          <w:ilvl w:val="2"/>
          <w:numId w:val="80"/>
        </w:numPr>
        <w:rPr>
          <w:rFonts w:ascii="Arial" w:cs="Arial" w:eastAsia="Arial" w:hAnsi="Arial"/>
          <w:sz w:val="18"/>
          <w:szCs w:val="18"/>
          <w:color w:val="auto"/>
        </w:rPr>
      </w:pPr>
      <w:r>
        <w:rPr>
          <w:rFonts w:ascii="Arial" w:cs="Arial" w:eastAsia="Arial" w:hAnsi="Arial"/>
          <w:sz w:val="18"/>
          <w:szCs w:val="18"/>
          <w:color w:val="auto"/>
        </w:rPr>
        <w:t>all fees, costs and expenses incurred by the Insured as a party to any legal proceeding whether or not such legal proceeding exposes the Insured to loss covered by this bond.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306705</wp:posOffset>
            </wp:positionV>
            <wp:extent cx="27959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tabs>
          <w:tab w:leader="none" w:pos="5220" w:val="left"/>
          <w:tab w:leader="none" w:pos="10180" w:val="left"/>
        </w:tabs>
        <w:rPr>
          <w:sz w:val="20"/>
          <w:szCs w:val="20"/>
          <w:color w:val="auto"/>
        </w:rPr>
      </w:pPr>
      <w:r>
        <w:rPr>
          <w:rFonts w:ascii="Arial" w:cs="Arial" w:eastAsia="Arial" w:hAnsi="Arial"/>
          <w:sz w:val="18"/>
          <w:szCs w:val="18"/>
          <w:color w:val="auto"/>
        </w:rPr>
        <w:t>PF-37674 (05/12)</w:t>
      </w:r>
      <w:r>
        <w:rPr>
          <w:sz w:val="20"/>
          <w:szCs w:val="20"/>
          <w:color w:val="auto"/>
        </w:rPr>
        <w:tab/>
      </w:r>
      <w:r>
        <w:rPr>
          <w:rFonts w:ascii="Arial" w:cs="Arial" w:eastAsia="Arial" w:hAnsi="Arial"/>
          <w:sz w:val="18"/>
          <w:szCs w:val="18"/>
          <w:color w:val="auto"/>
        </w:rPr>
        <w:t>© 2012</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040"/>
          </w:cols>
          <w:pgMar w:left="440" w:top="270" w:right="419" w:bottom="1440" w:gutter="0" w:footer="0" w:header="0"/>
        </w:sectPr>
      </w:pPr>
    </w:p>
    <w:bookmarkStart w:id="32" w:name="page33"/>
    <w:bookmarkEnd w:id="3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006590" cy="8832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06590" cy="883285"/>
                    </a:xfrm>
                    <a:prstGeom prst="rect">
                      <a:avLst/>
                    </a:prstGeom>
                    <a:noFill/>
                  </pic:spPr>
                </pic:pic>
              </a:graphicData>
            </a:graphic>
          </wp:anchor>
        </w:drawing>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Named Insured</w:t>
            </w:r>
          </w:p>
        </w:tc>
        <w:tc>
          <w:tcPr>
            <w:tcW w:w="2880" w:type="dxa"/>
            <w:vAlign w:val="bottom"/>
            <w:tcBorders>
              <w:top w:val="single" w:sz="8" w:color="auto"/>
            </w:tcBorders>
          </w:tcPr>
          <w:p>
            <w:pPr>
              <w:spacing w:after="0"/>
              <w:rPr>
                <w:sz w:val="18"/>
                <w:szCs w:val="18"/>
                <w:color w:val="auto"/>
              </w:rPr>
            </w:pPr>
          </w:p>
        </w:tc>
        <w:tc>
          <w:tcPr>
            <w:tcW w:w="3600" w:type="dxa"/>
            <w:vAlign w:val="bottom"/>
            <w:tcBorders>
              <w:top w:val="single" w:sz="8" w:color="auto"/>
              <w:right w:val="single" w:sz="8" w:color="auto"/>
            </w:tcBorders>
          </w:tcPr>
          <w:p>
            <w:pPr>
              <w:spacing w:after="0"/>
              <w:rPr>
                <w:sz w:val="18"/>
                <w:szCs w:val="18"/>
                <w:color w:val="auto"/>
              </w:rPr>
            </w:pPr>
          </w:p>
        </w:tc>
        <w:tc>
          <w:tcPr>
            <w:tcW w:w="29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Endorsement Number</w:t>
            </w:r>
          </w:p>
        </w:tc>
      </w:tr>
      <w:tr>
        <w:trPr>
          <w:trHeight w:val="241"/>
        </w:trPr>
        <w:tc>
          <w:tcPr>
            <w:tcW w:w="45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TPG Specialty Lending, Inc.</w:t>
            </w:r>
          </w:p>
        </w:tc>
        <w:tc>
          <w:tcPr>
            <w:tcW w:w="3600" w:type="dxa"/>
            <w:vAlign w:val="bottom"/>
            <w:tcBorders>
              <w:bottom w:val="single" w:sz="8" w:color="auto"/>
              <w:right w:val="single" w:sz="8" w:color="auto"/>
            </w:tcBorders>
          </w:tcPr>
          <w:p>
            <w:pPr>
              <w:spacing w:after="0"/>
              <w:rPr>
                <w:sz w:val="20"/>
                <w:szCs w:val="20"/>
                <w:color w:val="auto"/>
              </w:rPr>
            </w:pPr>
          </w:p>
        </w:tc>
        <w:tc>
          <w:tcPr>
            <w:tcW w:w="29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12</w:t>
            </w:r>
          </w:p>
        </w:tc>
      </w:tr>
      <w:tr>
        <w:trPr>
          <w:trHeight w:val="198"/>
        </w:trPr>
        <w:tc>
          <w:tcPr>
            <w:tcW w:w="1640" w:type="dxa"/>
            <w:vAlign w:val="bottom"/>
            <w:tcBorders>
              <w:right w:val="single" w:sz="8" w:color="auto"/>
            </w:tcBorders>
          </w:tcPr>
          <w:p>
            <w:pPr>
              <w:ind w:left="140"/>
              <w:spacing w:after="0" w:line="198" w:lineRule="exact"/>
              <w:rPr>
                <w:sz w:val="20"/>
                <w:szCs w:val="20"/>
                <w:color w:val="auto"/>
              </w:rPr>
            </w:pPr>
            <w:r>
              <w:rPr>
                <w:rFonts w:ascii="Arial" w:cs="Arial" w:eastAsia="Arial" w:hAnsi="Arial"/>
                <w:sz w:val="18"/>
                <w:szCs w:val="18"/>
                <w:color w:val="auto"/>
              </w:rPr>
              <w:t>Policy Symbol</w:t>
            </w:r>
          </w:p>
        </w:tc>
        <w:tc>
          <w:tcPr>
            <w:tcW w:w="2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Number</w:t>
            </w:r>
          </w:p>
        </w:tc>
        <w:tc>
          <w:tcPr>
            <w:tcW w:w="360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00" w:type="dxa"/>
            <w:vAlign w:val="bottom"/>
          </w:tcPr>
          <w:p>
            <w:pPr>
              <w:ind w:left="8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DON</w:t>
            </w:r>
          </w:p>
        </w:tc>
        <w:tc>
          <w:tcPr>
            <w:tcW w:w="2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G25562823 005</w:t>
            </w:r>
          </w:p>
        </w:tc>
        <w:tc>
          <w:tcPr>
            <w:tcW w:w="3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03/08/2019 to 03/08/2020</w:t>
            </w:r>
          </w:p>
        </w:tc>
        <w:tc>
          <w:tcPr>
            <w:tcW w:w="29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03/08/2019</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RIDER</w:t>
      </w:r>
    </w:p>
    <w:p>
      <w:pPr>
        <w:spacing w:after="0" w:line="229" w:lineRule="exact"/>
        <w:rPr>
          <w:sz w:val="20"/>
          <w:szCs w:val="20"/>
          <w:color w:val="auto"/>
        </w:rPr>
      </w:pPr>
    </w:p>
    <w:p>
      <w:pPr>
        <w:jc w:val="both"/>
        <w:ind w:right="600" w:firstLine="881"/>
        <w:spacing w:after="0" w:line="277" w:lineRule="auto"/>
        <w:rPr>
          <w:sz w:val="20"/>
          <w:szCs w:val="20"/>
          <w:color w:val="auto"/>
        </w:rPr>
      </w:pPr>
      <w:r>
        <w:rPr>
          <w:rFonts w:ascii="Arial" w:cs="Arial" w:eastAsia="Arial" w:hAnsi="Arial"/>
          <w:sz w:val="18"/>
          <w:szCs w:val="18"/>
          <w:color w:val="auto"/>
        </w:rPr>
        <w:t>To be attached to and form part of Financial Institution Bond, Standard Form No. 14, No. G25562823 005 in favor of TPG Specialty Lending, Inc.</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It is agreed that:</w:t>
      </w:r>
    </w:p>
    <w:p>
      <w:pPr>
        <w:spacing w:after="0" w:line="131" w:lineRule="exact"/>
        <w:rPr>
          <w:sz w:val="20"/>
          <w:szCs w:val="20"/>
          <w:color w:val="auto"/>
        </w:rPr>
      </w:pPr>
    </w:p>
    <w:p>
      <w:pPr>
        <w:ind w:left="1420" w:right="60" w:hanging="538"/>
        <w:spacing w:after="0" w:line="312" w:lineRule="auto"/>
        <w:tabs>
          <w:tab w:leader="none" w:pos="14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attached bond shall not be canceled as provided in parts (a) and (b) of the Termination or Cancelation Condition, or modified by rider, except after written notice shall have been given by the acting party to the affected party, and to the Securities and Exchange Commission, Washington, D.C., not less than sixty days prior to the effective date of such cancelation or modification.</w:t>
      </w:r>
    </w:p>
    <w:p>
      <w:pPr>
        <w:spacing w:after="0" w:line="52" w:lineRule="exact"/>
        <w:rPr>
          <w:rFonts w:ascii="Arial" w:cs="Arial" w:eastAsia="Arial" w:hAnsi="Arial"/>
          <w:sz w:val="16"/>
          <w:szCs w:val="16"/>
          <w:color w:val="auto"/>
        </w:rPr>
      </w:pPr>
    </w:p>
    <w:p>
      <w:pPr>
        <w:ind w:left="1420" w:hanging="538"/>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This rider shall become effective when the bond becomes effective.</w:t>
      </w:r>
    </w:p>
    <w:p>
      <w:pPr>
        <w:spacing w:after="0" w:line="200" w:lineRule="exact"/>
        <w:rPr>
          <w:sz w:val="20"/>
          <w:szCs w:val="20"/>
          <w:color w:val="auto"/>
        </w:rPr>
      </w:pPr>
    </w:p>
    <w:p>
      <w:pPr>
        <w:spacing w:after="0" w:line="237"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S.E.C.- SOLE INSURED CANCELATION CLAUSE RIDER</w:t>
      </w:r>
    </w:p>
    <w:p>
      <w:pPr>
        <w:spacing w:after="0" w:line="229" w:lineRule="exact"/>
        <w:rPr>
          <w:sz w:val="20"/>
          <w:szCs w:val="20"/>
          <w:color w:val="auto"/>
        </w:rPr>
      </w:pPr>
    </w:p>
    <w:p>
      <w:pPr>
        <w:ind w:left="440" w:right="3720"/>
        <w:spacing w:after="0" w:line="259" w:lineRule="auto"/>
        <w:rPr>
          <w:sz w:val="20"/>
          <w:szCs w:val="20"/>
          <w:color w:val="auto"/>
        </w:rPr>
      </w:pPr>
      <w:r>
        <w:rPr>
          <w:rFonts w:ascii="Arial" w:cs="Arial" w:eastAsia="Arial" w:hAnsi="Arial"/>
          <w:sz w:val="18"/>
          <w:szCs w:val="18"/>
          <w:color w:val="auto"/>
        </w:rPr>
        <w:t>FOR USE WITH FINANCIAL INSTITUTION BOND, STANDARD FORM NO. 14, WHEN ISSUED TO A REGISTERED MANAGEMENT INVESTMENT COMPANY COVERED AS A SOLE INSURED, TO COMPLY WITH THE RULES OF THE SECURITIES AND EXCHANGE COMMISION.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tcPr>
          <w:p>
            <w:pPr>
              <w:ind w:left="440"/>
              <w:spacing w:after="0"/>
              <w:rPr>
                <w:sz w:val="20"/>
                <w:szCs w:val="20"/>
                <w:color w:val="auto"/>
              </w:rPr>
            </w:pPr>
            <w:r>
              <w:rPr>
                <w:rFonts w:ascii="Arial" w:cs="Arial" w:eastAsia="Arial" w:hAnsi="Arial"/>
                <w:sz w:val="18"/>
                <w:szCs w:val="18"/>
                <w:color w:val="auto"/>
              </w:rPr>
              <w:t>REVISED TO MAY, 2011</w:t>
            </w:r>
          </w:p>
        </w:tc>
        <w:tc>
          <w:tcPr>
            <w:tcW w:w="6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800" w:type="dxa"/>
            <w:vAlign w:val="bottom"/>
            <w:vMerge w:val="restart"/>
          </w:tcPr>
          <w:p>
            <w:pPr>
              <w:spacing w:after="0"/>
              <w:rPr>
                <w:sz w:val="20"/>
                <w:szCs w:val="20"/>
                <w:color w:val="auto"/>
              </w:rPr>
            </w:pPr>
            <w:r>
              <w:rPr>
                <w:rFonts w:ascii="Arial" w:cs="Arial" w:eastAsia="Arial" w:hAnsi="Arial"/>
                <w:sz w:val="18"/>
                <w:szCs w:val="18"/>
                <w:color w:val="auto"/>
              </w:rPr>
              <w:t>SR 5834d</w:t>
            </w:r>
          </w:p>
        </w:tc>
        <w:tc>
          <w:tcPr>
            <w:tcW w:w="6200" w:type="dxa"/>
            <w:vAlign w:val="bottom"/>
          </w:tcPr>
          <w:p>
            <w:pPr>
              <w:jc w:val="center"/>
              <w:ind w:right="670"/>
              <w:spacing w:after="0"/>
              <w:rPr>
                <w:sz w:val="20"/>
                <w:szCs w:val="20"/>
                <w:color w:val="auto"/>
              </w:rPr>
            </w:pPr>
            <w:r>
              <w:rPr>
                <w:rFonts w:ascii="Arial" w:cs="Arial" w:eastAsia="Arial" w:hAnsi="Arial"/>
                <w:sz w:val="18"/>
                <w:szCs w:val="18"/>
                <w:color w:val="auto"/>
                <w:w w:val="93"/>
              </w:rPr>
              <w:t>Copyright The Surety &amp; Fidelity Association of America, 2011</w:t>
            </w:r>
          </w:p>
        </w:tc>
        <w:tc>
          <w:tcPr>
            <w:tcW w:w="2020" w:type="dxa"/>
            <w:vAlign w:val="bottom"/>
            <w:vMerge w:val="restart"/>
          </w:tcPr>
          <w:p>
            <w:pPr>
              <w:ind w:left="120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216"/>
        </w:trPr>
        <w:tc>
          <w:tcPr>
            <w:tcW w:w="2800" w:type="dxa"/>
            <w:vAlign w:val="bottom"/>
            <w:vMerge w:val="continue"/>
          </w:tcPr>
          <w:p>
            <w:pPr>
              <w:spacing w:after="0"/>
              <w:rPr>
                <w:sz w:val="18"/>
                <w:szCs w:val="18"/>
                <w:color w:val="auto"/>
              </w:rPr>
            </w:pPr>
          </w:p>
        </w:tc>
        <w:tc>
          <w:tcPr>
            <w:tcW w:w="6200" w:type="dxa"/>
            <w:vAlign w:val="bottom"/>
            <w:vMerge w:val="restart"/>
          </w:tcPr>
          <w:p>
            <w:pPr>
              <w:jc w:val="center"/>
              <w:ind w:right="670"/>
              <w:spacing w:after="0"/>
              <w:rPr>
                <w:sz w:val="20"/>
                <w:szCs w:val="20"/>
                <w:color w:val="auto"/>
              </w:rPr>
            </w:pPr>
            <w:r>
              <w:rPr>
                <w:rFonts w:ascii="Arial" w:cs="Arial" w:eastAsia="Arial" w:hAnsi="Arial"/>
                <w:sz w:val="18"/>
                <w:szCs w:val="18"/>
                <w:b w:val="1"/>
                <w:bCs w:val="1"/>
                <w:color w:val="auto"/>
                <w:w w:val="98"/>
              </w:rPr>
              <w:t>FI-A-36</w:t>
            </w:r>
          </w:p>
        </w:tc>
        <w:tc>
          <w:tcPr>
            <w:tcW w:w="2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rPr>
                <w:sz w:val="10"/>
                <w:szCs w:val="10"/>
                <w:color w:val="auto"/>
              </w:rPr>
            </w:pPr>
          </w:p>
        </w:tc>
        <w:tc>
          <w:tcPr>
            <w:tcW w:w="6200" w:type="dxa"/>
            <w:vAlign w:val="bottom"/>
            <w:vMerge w:val="continue"/>
          </w:tcPr>
          <w:p>
            <w:pPr>
              <w:spacing w:after="0"/>
              <w:rPr>
                <w:sz w:val="10"/>
                <w:szCs w:val="10"/>
                <w:color w:val="auto"/>
              </w:rPr>
            </w:pPr>
          </w:p>
        </w:tc>
        <w:tc>
          <w:tcPr>
            <w:tcW w:w="2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006590" cy="8832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06590" cy="883285"/>
                    </a:xfrm>
                    <a:prstGeom prst="rect">
                      <a:avLst/>
                    </a:prstGeom>
                    <a:noFill/>
                  </pic:spPr>
                </pic:pic>
              </a:graphicData>
            </a:graphic>
          </wp:anchor>
        </w:drawing>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15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Named Insured</w:t>
            </w:r>
          </w:p>
        </w:tc>
        <w:tc>
          <w:tcPr>
            <w:tcW w:w="1880" w:type="dxa"/>
            <w:vAlign w:val="bottom"/>
            <w:tcBorders>
              <w:top w:val="single" w:sz="8" w:color="auto"/>
            </w:tcBorders>
          </w:tcPr>
          <w:p>
            <w:pPr>
              <w:spacing w:after="0"/>
              <w:rPr>
                <w:sz w:val="18"/>
                <w:szCs w:val="18"/>
                <w:color w:val="auto"/>
              </w:rPr>
            </w:pPr>
          </w:p>
        </w:tc>
        <w:tc>
          <w:tcPr>
            <w:tcW w:w="47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Endorsement Number</w:t>
            </w:r>
          </w:p>
        </w:tc>
      </w:tr>
      <w:tr>
        <w:trPr>
          <w:trHeight w:val="241"/>
        </w:trPr>
        <w:tc>
          <w:tcPr>
            <w:tcW w:w="34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TPG Specialty Lending, Inc.</w:t>
            </w:r>
          </w:p>
        </w:tc>
        <w:tc>
          <w:tcPr>
            <w:tcW w:w="472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13</w:t>
            </w:r>
          </w:p>
        </w:tc>
      </w:tr>
      <w:tr>
        <w:trPr>
          <w:trHeight w:val="198"/>
        </w:trPr>
        <w:tc>
          <w:tcPr>
            <w:tcW w:w="1560" w:type="dxa"/>
            <w:vAlign w:val="bottom"/>
            <w:tcBorders>
              <w:right w:val="single" w:sz="8" w:color="auto"/>
            </w:tcBorders>
          </w:tcPr>
          <w:p>
            <w:pPr>
              <w:ind w:left="140"/>
              <w:spacing w:after="0" w:line="198" w:lineRule="exact"/>
              <w:rPr>
                <w:sz w:val="20"/>
                <w:szCs w:val="20"/>
                <w:color w:val="auto"/>
              </w:rPr>
            </w:pPr>
            <w:r>
              <w:rPr>
                <w:rFonts w:ascii="Arial" w:cs="Arial" w:eastAsia="Arial" w:hAnsi="Arial"/>
                <w:sz w:val="18"/>
                <w:szCs w:val="18"/>
                <w:color w:val="auto"/>
              </w:rPr>
              <w:t>Policy Symbol</w:t>
            </w:r>
          </w:p>
        </w:tc>
        <w:tc>
          <w:tcPr>
            <w:tcW w:w="18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72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860" w:type="dxa"/>
            <w:vAlign w:val="bottom"/>
          </w:tcPr>
          <w:p>
            <w:pPr>
              <w:ind w:left="8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5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DON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005</w:t>
            </w:r>
          </w:p>
        </w:tc>
        <w:tc>
          <w:tcPr>
            <w:tcW w:w="4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03/08/2019 to 03/08/2020</w:t>
            </w: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03/08/2019</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ERISA RIDER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25" w:lineRule="exact"/>
        <w:rPr>
          <w:sz w:val="20"/>
          <w:szCs w:val="20"/>
          <w:color w:val="auto"/>
        </w:rPr>
      </w:pPr>
    </w:p>
    <w:p>
      <w:pPr>
        <w:jc w:val="both"/>
        <w:ind w:right="540"/>
        <w:spacing w:after="0" w:line="277" w:lineRule="auto"/>
        <w:rPr>
          <w:sz w:val="20"/>
          <w:szCs w:val="20"/>
          <w:color w:val="auto"/>
        </w:rPr>
      </w:pPr>
      <w:r>
        <w:rPr>
          <w:rFonts w:ascii="Arial" w:cs="Arial" w:eastAsia="Arial" w:hAnsi="Arial"/>
          <w:sz w:val="18"/>
          <w:szCs w:val="18"/>
          <w:color w:val="auto"/>
        </w:rPr>
        <w:t>Any employee benefit or welfare plan, now existing or hereinafter created or acquired, whether or not required, to be bonded under the Employee Retirement Income Security Act of 1974, as amended.</w:t>
      </w:r>
    </w:p>
    <w:p>
      <w:pPr>
        <w:spacing w:after="0" w:line="76" w:lineRule="exact"/>
        <w:rPr>
          <w:sz w:val="20"/>
          <w:szCs w:val="20"/>
          <w:color w:val="auto"/>
        </w:rPr>
      </w:pPr>
    </w:p>
    <w:p>
      <w:pPr>
        <w:jc w:val="both"/>
        <w:ind w:left="440" w:right="100" w:hanging="436"/>
        <w:spacing w:after="0" w:line="264" w:lineRule="auto"/>
        <w:tabs>
          <w:tab w:leader="none" w:pos="4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“Employee” as used in the attached bond shall include any natural person who is a director or trustee of the Insured while such director or trustee is engaged in handling funds or other property of any Employees Welfare or Pension Benefit Plan owned, controlled or operated by the Insured or any natural person who is a trustee, manager, officer or employee of any such Plan.</w:t>
      </w:r>
    </w:p>
    <w:p>
      <w:pPr>
        <w:spacing w:after="0" w:line="86" w:lineRule="exact"/>
        <w:rPr>
          <w:rFonts w:ascii="Arial" w:cs="Arial" w:eastAsia="Arial" w:hAnsi="Arial"/>
          <w:sz w:val="18"/>
          <w:szCs w:val="18"/>
          <w:color w:val="auto"/>
        </w:rPr>
      </w:pPr>
    </w:p>
    <w:p>
      <w:pPr>
        <w:ind w:left="440" w:right="80" w:hanging="436"/>
        <w:spacing w:after="0" w:line="276" w:lineRule="auto"/>
        <w:tabs>
          <w:tab w:leader="none" w:pos="4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If the bond, in accordance with the agreements, limitations and conditions thereof, covers loss sustained by two or more Employee Welfare or Pension Benefit Plans or sustained by any such Plan in addition to loss sustained by an Insured other than such Plan, it is the obligation of the Insured or the Plan Administrator(s) of such Plans under Regulations published by the Secretary of Labor implementing Section 13 of the Welfare and Pension Plans Disclosure Act of 1958 to obtain under one or more bonds issued by one or more Insurers an amount of coverage for each such Plan at least equal to that which would be required if such Plans were bonded separately.</w:t>
      </w:r>
    </w:p>
    <w:p>
      <w:pPr>
        <w:spacing w:after="0" w:line="77" w:lineRule="exact"/>
        <w:rPr>
          <w:rFonts w:ascii="Arial" w:cs="Arial" w:eastAsia="Arial" w:hAnsi="Arial"/>
          <w:sz w:val="17"/>
          <w:szCs w:val="17"/>
          <w:color w:val="auto"/>
        </w:rPr>
      </w:pPr>
    </w:p>
    <w:p>
      <w:pPr>
        <w:ind w:left="440" w:right="20" w:hanging="436"/>
        <w:spacing w:after="0" w:line="257" w:lineRule="auto"/>
        <w:tabs>
          <w:tab w:leader="none" w:pos="4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compliance with the foregoing, payment by the Company in accordance with the agreements, limitations and conditions of the bond shall be held by the Insured, or, if more than one, by the Insured first named, for the use and benefit of any Employee Welfare or Pension Benefit Plan sustaining loss so covered and to the extent that such payment is in excess of the amount of coverage required by such Regulations to be carried by said Plan sustaining such loss, such excess shall be held for the use and benefit of any other such Plan also covered in the event that such other Plan discovers that it has sustained loss covered thereunder.</w:t>
      </w:r>
    </w:p>
    <w:p>
      <w:pPr>
        <w:spacing w:after="0" w:line="93" w:lineRule="exact"/>
        <w:rPr>
          <w:rFonts w:ascii="Arial" w:cs="Arial" w:eastAsia="Arial" w:hAnsi="Arial"/>
          <w:sz w:val="18"/>
          <w:szCs w:val="18"/>
          <w:color w:val="auto"/>
        </w:rPr>
      </w:pPr>
    </w:p>
    <w:p>
      <w:pPr>
        <w:ind w:left="440" w:right="20" w:hanging="436"/>
        <w:spacing w:after="0" w:line="312" w:lineRule="auto"/>
        <w:tabs>
          <w:tab w:leader="none" w:pos="4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money or other property of two or more Employee Welfare or Pension Benefit Plans covered under the bond is commingled, recovery for loss of such money or other property through fraudulent or dishonest acts of Employees shall be shared by such Plans on a pro rata basis in accordance with the amount for which each such Plan is required to carry bonding coverage in accordance with the applicable provisions of said Regulations.</w:t>
      </w:r>
    </w:p>
    <w:p>
      <w:pPr>
        <w:spacing w:after="0" w:line="52" w:lineRule="exact"/>
        <w:rPr>
          <w:rFonts w:ascii="Arial" w:cs="Arial" w:eastAsia="Arial" w:hAnsi="Arial"/>
          <w:sz w:val="16"/>
          <w:szCs w:val="16"/>
          <w:color w:val="auto"/>
        </w:rPr>
      </w:pPr>
    </w:p>
    <w:p>
      <w:pPr>
        <w:ind w:left="440" w:right="240" w:hanging="436"/>
        <w:spacing w:after="0" w:line="264" w:lineRule="auto"/>
        <w:tabs>
          <w:tab w:leader="none" w:pos="4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Deductible Amount of this bond applicable to loss sustained by a Plan through acts committed by an Employee of the Plan shall be waived, but only up to an amount equal to the amount of coverage required to be carried by the Plan because of compliance with the provisions of the Employee Retirement Income Security Act of 1974.</w:t>
      </w:r>
    </w:p>
    <w:p>
      <w:pPr>
        <w:spacing w:after="0" w:line="86" w:lineRule="exact"/>
        <w:rPr>
          <w:rFonts w:ascii="Arial" w:cs="Arial" w:eastAsia="Arial" w:hAnsi="Arial"/>
          <w:sz w:val="18"/>
          <w:szCs w:val="18"/>
          <w:color w:val="auto"/>
        </w:rPr>
      </w:pPr>
    </w:p>
    <w:p>
      <w:pPr>
        <w:ind w:left="440" w:right="380" w:hanging="436"/>
        <w:spacing w:after="0" w:line="277" w:lineRule="auto"/>
        <w:tabs>
          <w:tab w:leader="none" w:pos="4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conditions, provisions, agreements or limitations of the bond, other than as stated herein.</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This rider is effective as of 12:01 a.m. on 03/08/2019.</w:t>
      </w:r>
    </w:p>
    <w:p>
      <w:pPr>
        <w:spacing w:after="0" w:line="117" w:lineRule="exact"/>
        <w:rPr>
          <w:rFonts w:ascii="Arial" w:cs="Arial" w:eastAsia="Arial" w:hAnsi="Arial"/>
          <w:sz w:val="18"/>
          <w:szCs w:val="18"/>
          <w:color w:val="auto"/>
        </w:rPr>
      </w:pPr>
    </w:p>
    <w:p>
      <w:pPr>
        <w:ind w:left="440" w:right="5880"/>
        <w:spacing w:after="0" w:line="269" w:lineRule="auto"/>
        <w:rPr>
          <w:rFonts w:ascii="Arial" w:cs="Arial" w:eastAsia="Arial" w:hAnsi="Arial"/>
          <w:sz w:val="18"/>
          <w:szCs w:val="18"/>
          <w:color w:val="auto"/>
        </w:rPr>
      </w:pPr>
      <w:r>
        <w:rPr>
          <w:rFonts w:ascii="Arial" w:cs="Arial" w:eastAsia="Arial" w:hAnsi="Arial"/>
          <w:sz w:val="17"/>
          <w:szCs w:val="17"/>
          <w:color w:val="auto"/>
        </w:rPr>
        <w:t>TO COMPLY WITH BONDING REGULATIONS MADE APPLICABLE TO THE EMPLOYEE RETIREMENT INCOME SECURITY ACT OF 1974. NOTE: This rider should not be used for any insured exempted from the bonding provisions</w:t>
      </w:r>
    </w:p>
    <w:p>
      <w:pPr>
        <w:spacing w:after="0" w:line="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of the Act.</w:t>
      </w:r>
    </w:p>
    <w:p>
      <w:pPr>
        <w:spacing w:after="0" w:line="9"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REVISED TO JUNE, 1990.</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tabs>
          <w:tab w:leader="none" w:pos="4880" w:val="left"/>
          <w:tab w:leader="none" w:pos="10180" w:val="left"/>
        </w:tabs>
        <w:rPr>
          <w:sz w:val="20"/>
          <w:szCs w:val="20"/>
          <w:color w:val="auto"/>
        </w:rPr>
      </w:pPr>
      <w:r>
        <w:rPr>
          <w:rFonts w:ascii="Arial" w:cs="Arial" w:eastAsia="Arial" w:hAnsi="Arial"/>
          <w:sz w:val="18"/>
          <w:szCs w:val="18"/>
          <w:color w:val="auto"/>
        </w:rPr>
        <w:t>SR 6145b</w:t>
      </w:r>
      <w:r>
        <w:rPr>
          <w:sz w:val="20"/>
          <w:szCs w:val="20"/>
          <w:color w:val="auto"/>
        </w:rPr>
        <w:tab/>
      </w:r>
      <w:r>
        <w:rPr>
          <w:rFonts w:ascii="Arial" w:cs="Arial" w:eastAsia="Arial" w:hAnsi="Arial"/>
          <w:sz w:val="18"/>
          <w:szCs w:val="18"/>
          <w:color w:val="auto"/>
        </w:rPr>
        <w:t>Printed in U.S.A.</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040"/>
          </w:cols>
          <w:pgMar w:left="440" w:top="270" w:right="419" w:bottom="1440" w:gutter="0" w:footer="0" w:header="0"/>
        </w:sectPr>
      </w:pPr>
    </w:p>
    <w:bookmarkStart w:id="34" w:name="page35"/>
    <w:bookmarkEnd w:id="3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006590" cy="8832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06590" cy="883285"/>
                    </a:xfrm>
                    <a:prstGeom prst="rect">
                      <a:avLst/>
                    </a:prstGeom>
                    <a:noFill/>
                  </pic:spPr>
                </pic:pic>
              </a:graphicData>
            </a:graphic>
          </wp:anchor>
        </w:drawing>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15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Named Insured</w:t>
            </w:r>
          </w:p>
        </w:tc>
        <w:tc>
          <w:tcPr>
            <w:tcW w:w="1880" w:type="dxa"/>
            <w:vAlign w:val="bottom"/>
            <w:tcBorders>
              <w:top w:val="single" w:sz="8" w:color="auto"/>
            </w:tcBorders>
          </w:tcPr>
          <w:p>
            <w:pPr>
              <w:spacing w:after="0"/>
              <w:rPr>
                <w:sz w:val="18"/>
                <w:szCs w:val="18"/>
                <w:color w:val="auto"/>
              </w:rPr>
            </w:pPr>
          </w:p>
        </w:tc>
        <w:tc>
          <w:tcPr>
            <w:tcW w:w="47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Endorsement Number</w:t>
            </w:r>
          </w:p>
        </w:tc>
      </w:tr>
      <w:tr>
        <w:trPr>
          <w:trHeight w:val="241"/>
        </w:trPr>
        <w:tc>
          <w:tcPr>
            <w:tcW w:w="34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TPG Specialty Lending, Inc.</w:t>
            </w:r>
          </w:p>
        </w:tc>
        <w:tc>
          <w:tcPr>
            <w:tcW w:w="472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14</w:t>
            </w:r>
          </w:p>
        </w:tc>
      </w:tr>
      <w:tr>
        <w:trPr>
          <w:trHeight w:val="198"/>
        </w:trPr>
        <w:tc>
          <w:tcPr>
            <w:tcW w:w="1560" w:type="dxa"/>
            <w:vAlign w:val="bottom"/>
            <w:tcBorders>
              <w:right w:val="single" w:sz="8" w:color="auto"/>
            </w:tcBorders>
          </w:tcPr>
          <w:p>
            <w:pPr>
              <w:ind w:left="140"/>
              <w:spacing w:after="0" w:line="198" w:lineRule="exact"/>
              <w:rPr>
                <w:sz w:val="20"/>
                <w:szCs w:val="20"/>
                <w:color w:val="auto"/>
              </w:rPr>
            </w:pPr>
            <w:r>
              <w:rPr>
                <w:rFonts w:ascii="Arial" w:cs="Arial" w:eastAsia="Arial" w:hAnsi="Arial"/>
                <w:sz w:val="18"/>
                <w:szCs w:val="18"/>
                <w:color w:val="auto"/>
              </w:rPr>
              <w:t>Policy Symbol</w:t>
            </w:r>
          </w:p>
        </w:tc>
        <w:tc>
          <w:tcPr>
            <w:tcW w:w="18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72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860" w:type="dxa"/>
            <w:vAlign w:val="bottom"/>
          </w:tcPr>
          <w:p>
            <w:pPr>
              <w:ind w:left="8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8"/>
        </w:trPr>
        <w:tc>
          <w:tcPr>
            <w:tcW w:w="15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DON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005</w:t>
            </w:r>
          </w:p>
        </w:tc>
        <w:tc>
          <w:tcPr>
            <w:tcW w:w="4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03/08/2019 to 03/08/2020</w:t>
            </w: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03/08/2019</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REPRESENTATION OF THE INSURED</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It is agreed that General Agreements, Section (D), REPRESENTATION OF INSURED, is deleted in its entirety and the following is inserted:</w:t>
      </w: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REPRESENTATION OF INSURED</w:t>
      </w:r>
    </w:p>
    <w:p>
      <w:pPr>
        <w:spacing w:after="0" w:line="252" w:lineRule="exact"/>
        <w:rPr>
          <w:sz w:val="20"/>
          <w:szCs w:val="20"/>
          <w:color w:val="auto"/>
        </w:rPr>
      </w:pPr>
    </w:p>
    <w:p>
      <w:pPr>
        <w:ind w:left="1420" w:right="140" w:hanging="538"/>
        <w:spacing w:after="0" w:line="277" w:lineRule="auto"/>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Insured represents that the information furnished in the application for this bond is complete, true and correct. Such application constitutes part of this bond.</w:t>
      </w:r>
    </w:p>
    <w:p>
      <w:pPr>
        <w:spacing w:after="0" w:line="62" w:lineRule="exact"/>
        <w:rPr>
          <w:rFonts w:ascii="Arial" w:cs="Arial" w:eastAsia="Arial" w:hAnsi="Arial"/>
          <w:sz w:val="18"/>
          <w:szCs w:val="18"/>
          <w:color w:val="auto"/>
        </w:rPr>
      </w:pPr>
    </w:p>
    <w:p>
      <w:pPr>
        <w:ind w:left="1440" w:right="700"/>
        <w:spacing w:after="0" w:line="277" w:lineRule="auto"/>
        <w:rPr>
          <w:rFonts w:ascii="Arial" w:cs="Arial" w:eastAsia="Arial" w:hAnsi="Arial"/>
          <w:sz w:val="18"/>
          <w:szCs w:val="18"/>
          <w:color w:val="auto"/>
        </w:rPr>
      </w:pPr>
      <w:r>
        <w:rPr>
          <w:rFonts w:ascii="Arial" w:cs="Arial" w:eastAsia="Arial" w:hAnsi="Arial"/>
          <w:sz w:val="18"/>
          <w:szCs w:val="18"/>
          <w:color w:val="auto"/>
        </w:rPr>
        <w:t>Any intentional misrepresentation, omission, concealment or any incorrect statement of a material fact, in the application or otherwise, shall be grounds for the rescission of this bond.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306705</wp:posOffset>
            </wp:positionV>
            <wp:extent cx="26841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tabs>
          <w:tab w:leader="none" w:pos="5220" w:val="left"/>
          <w:tab w:leader="none" w:pos="10180" w:val="left"/>
        </w:tabs>
        <w:rPr>
          <w:sz w:val="20"/>
          <w:szCs w:val="20"/>
          <w:color w:val="auto"/>
        </w:rPr>
      </w:pPr>
      <w:r>
        <w:rPr>
          <w:rFonts w:ascii="Arial" w:cs="Arial" w:eastAsia="Arial" w:hAnsi="Arial"/>
          <w:sz w:val="18"/>
          <w:szCs w:val="18"/>
          <w:color w:val="auto"/>
        </w:rPr>
        <w:t>PF-37678 (05/12)</w:t>
      </w:r>
      <w:r>
        <w:rPr>
          <w:sz w:val="20"/>
          <w:szCs w:val="20"/>
          <w:color w:val="auto"/>
        </w:rPr>
        <w:tab/>
      </w:r>
      <w:r>
        <w:rPr>
          <w:rFonts w:ascii="Arial" w:cs="Arial" w:eastAsia="Arial" w:hAnsi="Arial"/>
          <w:sz w:val="18"/>
          <w:szCs w:val="18"/>
          <w:color w:val="auto"/>
        </w:rPr>
        <w:t>© 2012</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040"/>
          </w:cols>
          <w:pgMar w:left="440" w:top="270" w:right="419" w:bottom="1440" w:gutter="0" w:footer="0" w:header="0"/>
        </w:sectPr>
      </w:pPr>
    </w:p>
    <w:bookmarkStart w:id="35" w:name="page36"/>
    <w:bookmarkEnd w:id="3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006590" cy="8832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06590" cy="883285"/>
                    </a:xfrm>
                    <a:prstGeom prst="rect">
                      <a:avLst/>
                    </a:prstGeom>
                    <a:noFill/>
                  </pic:spPr>
                </pic:pic>
              </a:graphicData>
            </a:graphic>
          </wp:anchor>
        </w:drawing>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Named Insured</w:t>
            </w:r>
          </w:p>
        </w:tc>
        <w:tc>
          <w:tcPr>
            <w:tcW w:w="1720" w:type="dxa"/>
            <w:vAlign w:val="bottom"/>
            <w:tcBorders>
              <w:top w:val="single" w:sz="8" w:color="auto"/>
            </w:tcBorders>
          </w:tcPr>
          <w:p>
            <w:pPr>
              <w:spacing w:after="0"/>
              <w:rPr>
                <w:sz w:val="18"/>
                <w:szCs w:val="18"/>
                <w:color w:val="auto"/>
              </w:rPr>
            </w:pPr>
          </w:p>
        </w:tc>
        <w:tc>
          <w:tcPr>
            <w:tcW w:w="4760" w:type="dxa"/>
            <w:vAlign w:val="bottom"/>
            <w:tcBorders>
              <w:top w:val="single" w:sz="8" w:color="auto"/>
              <w:right w:val="single" w:sz="8" w:color="auto"/>
            </w:tcBorders>
          </w:tcPr>
          <w:p>
            <w:pPr>
              <w:spacing w:after="0"/>
              <w:rPr>
                <w:sz w:val="18"/>
                <w:szCs w:val="18"/>
                <w:color w:val="auto"/>
              </w:rPr>
            </w:pPr>
          </w:p>
        </w:tc>
        <w:tc>
          <w:tcPr>
            <w:tcW w:w="29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Endorsement Number</w:t>
            </w:r>
          </w:p>
        </w:tc>
      </w:tr>
      <w:tr>
        <w:trPr>
          <w:trHeight w:val="241"/>
        </w:trPr>
        <w:tc>
          <w:tcPr>
            <w:tcW w:w="33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TPG Specialty Lending, Inc.</w:t>
            </w:r>
          </w:p>
        </w:tc>
        <w:tc>
          <w:tcPr>
            <w:tcW w:w="4760" w:type="dxa"/>
            <w:vAlign w:val="bottom"/>
            <w:tcBorders>
              <w:bottom w:val="single" w:sz="8" w:color="auto"/>
              <w:right w:val="single" w:sz="8" w:color="auto"/>
            </w:tcBorders>
          </w:tcPr>
          <w:p>
            <w:pPr>
              <w:spacing w:after="0"/>
              <w:rPr>
                <w:sz w:val="20"/>
                <w:szCs w:val="20"/>
                <w:color w:val="auto"/>
              </w:rPr>
            </w:pPr>
          </w:p>
        </w:tc>
        <w:tc>
          <w:tcPr>
            <w:tcW w:w="29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15</w:t>
            </w:r>
          </w:p>
        </w:tc>
      </w:tr>
      <w:tr>
        <w:trPr>
          <w:trHeight w:val="198"/>
        </w:trPr>
        <w:tc>
          <w:tcPr>
            <w:tcW w:w="1640" w:type="dxa"/>
            <w:vAlign w:val="bottom"/>
            <w:tcBorders>
              <w:right w:val="single" w:sz="8" w:color="auto"/>
            </w:tcBorders>
          </w:tcPr>
          <w:p>
            <w:pPr>
              <w:ind w:left="140"/>
              <w:spacing w:after="0" w:line="198" w:lineRule="exact"/>
              <w:rPr>
                <w:sz w:val="20"/>
                <w:szCs w:val="20"/>
                <w:color w:val="auto"/>
              </w:rPr>
            </w:pPr>
            <w:r>
              <w:rPr>
                <w:rFonts w:ascii="Arial" w:cs="Arial" w:eastAsia="Arial" w:hAnsi="Arial"/>
                <w:sz w:val="18"/>
                <w:szCs w:val="18"/>
                <w:color w:val="auto"/>
              </w:rPr>
              <w:t>Policy Symbol</w:t>
            </w:r>
          </w:p>
        </w:tc>
        <w:tc>
          <w:tcPr>
            <w:tcW w:w="172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Number</w:t>
            </w:r>
          </w:p>
        </w:tc>
        <w:tc>
          <w:tcPr>
            <w:tcW w:w="476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00" w:type="dxa"/>
            <w:vAlign w:val="bottom"/>
          </w:tcPr>
          <w:p>
            <w:pPr>
              <w:ind w:left="8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8"/>
        </w:trPr>
        <w:tc>
          <w:tcPr>
            <w:tcW w:w="16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DON</w:t>
            </w:r>
          </w:p>
        </w:tc>
        <w:tc>
          <w:tcPr>
            <w:tcW w:w="1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G25562823 005</w:t>
            </w:r>
          </w:p>
        </w:tc>
        <w:tc>
          <w:tcPr>
            <w:tcW w:w="47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03/08/2019 to 03/08/2020</w:t>
            </w:r>
          </w:p>
        </w:tc>
        <w:tc>
          <w:tcPr>
            <w:tcW w:w="29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03/08/2019</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RIDER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 be attached to and form part of Financial Institution Bond, Standard Form No. 14, No. G25562823 003 in favor of TPG Specialty Lending, Inc.</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 is agreed that:</w:t>
      </w:r>
    </w:p>
    <w:p>
      <w:pPr>
        <w:spacing w:after="0" w:line="131" w:lineRule="exact"/>
        <w:rPr>
          <w:sz w:val="20"/>
          <w:szCs w:val="20"/>
          <w:color w:val="auto"/>
        </w:rPr>
      </w:pPr>
    </w:p>
    <w:p>
      <w:pPr>
        <w:ind w:left="860" w:hanging="424"/>
        <w:spacing w:after="0"/>
        <w:tabs>
          <w:tab w:leader="none" w:pos="8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attached bond is hereby amended by adding an additional Insuring Agreement as follows:</w:t>
      </w:r>
    </w:p>
    <w:p>
      <w:pPr>
        <w:spacing w:after="0" w:line="117" w:lineRule="exact"/>
        <w:rPr>
          <w:rFonts w:ascii="Arial" w:cs="Arial" w:eastAsia="Arial" w:hAnsi="Arial"/>
          <w:sz w:val="18"/>
          <w:szCs w:val="18"/>
          <w:color w:val="auto"/>
        </w:rPr>
      </w:pPr>
    </w:p>
    <w:p>
      <w:pPr>
        <w:ind w:left="880" w:right="20"/>
        <w:spacing w:after="0" w:line="293" w:lineRule="auto"/>
        <w:rPr>
          <w:rFonts w:ascii="Arial" w:cs="Arial" w:eastAsia="Arial" w:hAnsi="Arial"/>
          <w:sz w:val="18"/>
          <w:szCs w:val="18"/>
          <w:color w:val="auto"/>
        </w:rPr>
      </w:pPr>
      <w:r>
        <w:rPr>
          <w:rFonts w:ascii="Arial" w:cs="Arial" w:eastAsia="Arial" w:hAnsi="Arial"/>
          <w:sz w:val="16"/>
          <w:szCs w:val="16"/>
          <w:color w:val="auto"/>
        </w:rPr>
        <w:t>“(G) Loss resulting directly from the fact that an issuer of securities, transfer agent, bank, banker or trust company received from the Insured or the New York Stock Exchange specimen copies of the Insured’s mechanically reproduced facsimile signature and acted in reliance upon any false, fraudulent or unauthorized reproduction of such facsimile signature, whether such facsimile signature is the facsimile signature duly adopted by the Insured or is one resembling or purporting to be such facsimile signature, regardless of by whom or by what means the same may have been imprinted, and whether or not such loss is sustained by reason of the Insured’s having entered into an agreement to be legally liable when such facsimile signature or one resembling or purporting to be such facsimile signature is used, provided, however, that</w:t>
      </w:r>
    </w:p>
    <w:p>
      <w:pPr>
        <w:sectPr>
          <w:pgSz w:w="11900" w:h="16838" w:orient="portrait"/>
          <w:cols w:equalWidth="0" w:num="1">
            <w:col w:w="11040"/>
          </w:cols>
          <w:pgMar w:left="440" w:top="270" w:right="419" w:bottom="1440" w:gutter="0" w:footer="0" w:header="0"/>
        </w:sectPr>
      </w:pPr>
    </w:p>
    <w:p>
      <w:pPr>
        <w:spacing w:after="0" w:line="7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such facsimile signature is used on a document</w:t>
      </w:r>
    </w:p>
    <w:p>
      <w:pPr>
        <w:spacing w:after="0" w:line="153" w:lineRule="exact"/>
        <w:rPr>
          <w:sz w:val="20"/>
          <w:szCs w:val="20"/>
          <w:color w:val="auto"/>
        </w:rPr>
      </w:pPr>
    </w:p>
    <w:p>
      <w:pPr>
        <w:sectPr>
          <w:pgSz w:w="11900" w:h="16838" w:orient="portrait"/>
          <w:cols w:equalWidth="0" w:num="2">
            <w:col w:w="1720" w:space="140"/>
            <w:col w:w="9180"/>
          </w:cols>
          <w:pgMar w:left="440" w:top="270" w:right="419" w:bottom="1440" w:gutter="0" w:footer="0" w:header="0"/>
          <w:type w:val="continuous"/>
        </w:sectPr>
      </w:pPr>
    </w:p>
    <w:p>
      <w:pPr>
        <w:ind w:left="2300" w:right="20" w:hanging="439"/>
        <w:spacing w:after="0" w:line="264" w:lineRule="auto"/>
        <w:tabs>
          <w:tab w:leader="none" w:pos="2280" w:val="left"/>
        </w:tabs>
        <w:rPr>
          <w:sz w:val="20"/>
          <w:szCs w:val="20"/>
          <w:color w:val="auto"/>
        </w:rPr>
      </w:pPr>
      <w:r>
        <w:rPr>
          <w:rFonts w:ascii="Arial" w:cs="Arial" w:eastAsia="Arial" w:hAnsi="Arial"/>
          <w:sz w:val="18"/>
          <w:szCs w:val="18"/>
          <w:color w:val="auto"/>
        </w:rPr>
        <w:t>(1)</w:t>
        <w:tab/>
        <w:t>as the signature to an assignment or other instrument authorizing or effecting the transfer of shares of stock, or other registered securities, which may now or at any time hereafter be registered in the name of the insured on the books of the association, company or corporation issuing the same; or</w:t>
      </w:r>
    </w:p>
    <w:p>
      <w:pPr>
        <w:spacing w:after="0" w:line="87" w:lineRule="exact"/>
        <w:rPr>
          <w:sz w:val="20"/>
          <w:szCs w:val="20"/>
          <w:color w:val="auto"/>
        </w:rPr>
      </w:pPr>
    </w:p>
    <w:p>
      <w:pPr>
        <w:ind w:left="2300" w:right="40" w:hanging="439"/>
        <w:spacing w:after="0" w:line="279" w:lineRule="auto"/>
        <w:tabs>
          <w:tab w:leader="none" w:pos="2280" w:val="left"/>
        </w:tabs>
        <w:rPr>
          <w:sz w:val="20"/>
          <w:szCs w:val="20"/>
          <w:color w:val="auto"/>
        </w:rPr>
      </w:pPr>
      <w:r>
        <w:rPr>
          <w:rFonts w:ascii="Arial" w:cs="Arial" w:eastAsia="Arial" w:hAnsi="Arial"/>
          <w:sz w:val="17"/>
          <w:szCs w:val="17"/>
          <w:color w:val="auto"/>
        </w:rPr>
        <w:t>(2)</w:t>
        <w:tab/>
        <w:t>as the signature to a power of substitution, designating a substitute or substitutes to make the actual transfer on the books of the issuer of shares of stock, or other registered securities, in respect of which the insured may now or at any time hereafter be named as attorney to effect said transfer, whether said power of substitution is embodied in an endorsement on the certificate for said shares of stock or other registered security or in a separate instrument;</w:t>
      </w:r>
    </w:p>
    <w:p>
      <w:pPr>
        <w:sectPr>
          <w:pgSz w:w="11900" w:h="16838" w:orient="portrait"/>
          <w:cols w:equalWidth="0" w:num="1">
            <w:col w:w="11040"/>
          </w:cols>
          <w:pgMar w:left="440" w:top="270" w:right="419" w:bottom="1440" w:gutter="0" w:footer="0" w:header="0"/>
          <w:type w:val="continuous"/>
        </w:sectPr>
      </w:pPr>
    </w:p>
    <w:p>
      <w:pPr>
        <w:spacing w:after="0" w:line="7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New York Stock Exchange has not interposed any objections to the use by the Insured of such facsimile signature and such agreement, if any, was required by the said Exchange as a condition to its failing to interpose any such objection; and</w:t>
      </w:r>
    </w:p>
    <w:p>
      <w:pPr>
        <w:spacing w:after="0" w:line="29" w:lineRule="exact"/>
        <w:rPr>
          <w:sz w:val="20"/>
          <w:szCs w:val="20"/>
          <w:color w:val="auto"/>
        </w:rPr>
      </w:pPr>
    </w:p>
    <w:p>
      <w:pPr>
        <w:sectPr>
          <w:pgSz w:w="11900" w:h="16838" w:orient="portrait"/>
          <w:cols w:equalWidth="0" w:num="2">
            <w:col w:w="1720" w:space="140"/>
            <w:col w:w="9180"/>
          </w:cols>
          <w:pgMar w:left="440" w:top="270" w:right="419" w:bottom="1440" w:gutter="0" w:footer="0" w:header="0"/>
          <w:type w:val="continuous"/>
        </w:sectPr>
      </w:pPr>
    </w:p>
    <w:p>
      <w:pPr>
        <w:ind w:left="1440"/>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this Insuring Agreement (G) shall not apply to any Certificated Securities which are Counterfeit”.</w:t>
      </w:r>
    </w:p>
    <w:p>
      <w:pPr>
        <w:spacing w:after="0" w:line="153" w:lineRule="exact"/>
        <w:rPr>
          <w:sz w:val="20"/>
          <w:szCs w:val="20"/>
          <w:color w:val="auto"/>
        </w:rPr>
      </w:pPr>
    </w:p>
    <w:p>
      <w:pPr>
        <w:sectPr>
          <w:pgSz w:w="11900" w:h="16838" w:orient="portrait"/>
          <w:cols w:equalWidth="0" w:num="2">
            <w:col w:w="1720" w:space="140"/>
            <w:col w:w="9180"/>
          </w:cols>
          <w:pgMar w:left="440" w:top="270" w:right="419" w:bottom="1440" w:gutter="0" w:footer="0" w:header="0"/>
          <w:type w:val="continuous"/>
        </w:sectPr>
      </w:pPr>
    </w:p>
    <w:p>
      <w:pPr>
        <w:ind w:left="860" w:hanging="424"/>
        <w:spacing w:after="0"/>
        <w:tabs>
          <w:tab w:leader="none" w:pos="8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Sub-sections (a) and (e) of Section 2 of the attached bond shall not apply to Insuring Agreement (G).</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This rider shall become effective as of 12:01 a.m. on 03/08/2019.</w:t>
      </w:r>
    </w:p>
    <w:p>
      <w:pPr>
        <w:spacing w:after="0" w:line="15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INSURING AGREEMENT (G) RIDER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USE WITH FINANCIAL INSTITUTION BOND, STANDARD FORM NO. 14, WHEN ISSUED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 ELIGIBLE INSURED TO ADD INSURING AGREEMENT (G) TO PERMIT THE USE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SIGNATURES AS THE SIGNATURE TO AN ASSIGNMENT OR TO A POWER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SUBSTITUTION.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REVISED TO NOVEMBER, 1988.</w:t>
      </w:r>
    </w:p>
    <w:p>
      <w:pPr>
        <w:spacing w:after="0" w:line="131" w:lineRule="exact"/>
        <w:rPr>
          <w:sz w:val="20"/>
          <w:szCs w:val="20"/>
          <w:color w:val="auto"/>
        </w:rPr>
      </w:pPr>
    </w:p>
    <w:p>
      <w:pPr>
        <w:spacing w:after="0"/>
        <w:tabs>
          <w:tab w:leader="none" w:pos="1360" w:val="left"/>
          <w:tab w:leader="none" w:pos="10180" w:val="left"/>
        </w:tabs>
        <w:rPr>
          <w:sz w:val="20"/>
          <w:szCs w:val="20"/>
          <w:color w:val="auto"/>
        </w:rPr>
      </w:pPr>
      <w:r>
        <w:rPr>
          <w:rFonts w:ascii="Arial" w:cs="Arial" w:eastAsia="Arial" w:hAnsi="Arial"/>
          <w:sz w:val="18"/>
          <w:szCs w:val="18"/>
          <w:color w:val="auto"/>
        </w:rPr>
        <w:t>SR 5907a</w:t>
      </w:r>
      <w:r>
        <w:rPr>
          <w:sz w:val="20"/>
          <w:szCs w:val="20"/>
          <w:color w:val="auto"/>
        </w:rPr>
        <w:tab/>
      </w:r>
      <w:r>
        <w:rPr>
          <w:rFonts w:ascii="Arial" w:cs="Arial" w:eastAsia="Arial" w:hAnsi="Arial"/>
          <w:sz w:val="18"/>
          <w:szCs w:val="18"/>
          <w:color w:val="auto"/>
        </w:rPr>
        <w:t>Printed In the U.S.A.</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040"/>
          </w:cols>
          <w:pgMar w:left="440" w:top="270" w:right="419" w:bottom="1440" w:gutter="0" w:footer="0" w:header="0"/>
          <w:type w:val="continuous"/>
        </w:sectPr>
      </w:pPr>
    </w:p>
    <w:bookmarkStart w:id="36" w:name="page37"/>
    <w:bookmarkEnd w:id="3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006590" cy="8832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06590" cy="883285"/>
                    </a:xfrm>
                    <a:prstGeom prst="rect">
                      <a:avLst/>
                    </a:prstGeom>
                    <a:noFill/>
                  </pic:spPr>
                </pic:pic>
              </a:graphicData>
            </a:graphic>
          </wp:anchor>
        </w:drawing>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15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Named Insured</w:t>
            </w:r>
          </w:p>
        </w:tc>
        <w:tc>
          <w:tcPr>
            <w:tcW w:w="1880" w:type="dxa"/>
            <w:vAlign w:val="bottom"/>
            <w:tcBorders>
              <w:top w:val="single" w:sz="8" w:color="auto"/>
            </w:tcBorders>
          </w:tcPr>
          <w:p>
            <w:pPr>
              <w:spacing w:after="0"/>
              <w:rPr>
                <w:sz w:val="18"/>
                <w:szCs w:val="18"/>
                <w:color w:val="auto"/>
              </w:rPr>
            </w:pPr>
          </w:p>
        </w:tc>
        <w:tc>
          <w:tcPr>
            <w:tcW w:w="47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Endorsement Number</w:t>
            </w:r>
          </w:p>
        </w:tc>
      </w:tr>
      <w:tr>
        <w:trPr>
          <w:trHeight w:val="241"/>
        </w:trPr>
        <w:tc>
          <w:tcPr>
            <w:tcW w:w="34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TPG Specialty Lending, Inc.</w:t>
            </w:r>
          </w:p>
        </w:tc>
        <w:tc>
          <w:tcPr>
            <w:tcW w:w="472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16</w:t>
            </w:r>
          </w:p>
        </w:tc>
      </w:tr>
      <w:tr>
        <w:trPr>
          <w:trHeight w:val="198"/>
        </w:trPr>
        <w:tc>
          <w:tcPr>
            <w:tcW w:w="1560" w:type="dxa"/>
            <w:vAlign w:val="bottom"/>
            <w:tcBorders>
              <w:right w:val="single" w:sz="8" w:color="auto"/>
            </w:tcBorders>
          </w:tcPr>
          <w:p>
            <w:pPr>
              <w:ind w:left="140"/>
              <w:spacing w:after="0" w:line="198" w:lineRule="exact"/>
              <w:rPr>
                <w:sz w:val="20"/>
                <w:szCs w:val="20"/>
                <w:color w:val="auto"/>
              </w:rPr>
            </w:pPr>
            <w:r>
              <w:rPr>
                <w:rFonts w:ascii="Arial" w:cs="Arial" w:eastAsia="Arial" w:hAnsi="Arial"/>
                <w:sz w:val="18"/>
                <w:szCs w:val="18"/>
                <w:color w:val="auto"/>
              </w:rPr>
              <w:t>Policy Symbol</w:t>
            </w:r>
          </w:p>
        </w:tc>
        <w:tc>
          <w:tcPr>
            <w:tcW w:w="18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72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860" w:type="dxa"/>
            <w:vAlign w:val="bottom"/>
          </w:tcPr>
          <w:p>
            <w:pPr>
              <w:ind w:left="8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5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DON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005</w:t>
            </w:r>
          </w:p>
        </w:tc>
        <w:tc>
          <w:tcPr>
            <w:tcW w:w="4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03/08/2019 to 03/08/2020</w:t>
            </w: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03/08/2019</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UNCERTIFICATED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the bond is amended as follows:</w:t>
      </w:r>
    </w:p>
    <w:p>
      <w:pPr>
        <w:spacing w:after="0" w:line="131" w:lineRule="exact"/>
        <w:rPr>
          <w:sz w:val="20"/>
          <w:szCs w:val="20"/>
          <w:color w:val="auto"/>
        </w:rPr>
      </w:pPr>
    </w:p>
    <w:p>
      <w:pPr>
        <w:ind w:left="440" w:hanging="436"/>
        <w:spacing w:after="0"/>
        <w:tabs>
          <w:tab w:leader="none" w:pos="4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Insuring Agreements, Section (E) – SECURITIES, Item (1) (e), is deleted in its entirety and the following is inserted:</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Statement of Uncertificated Security in any book entry form.</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Conditions And Limitations, Section 2, Exclusions, subsection (w) is deleted in its entirety.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306705</wp:posOffset>
            </wp:positionV>
            <wp:extent cx="27959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tabs>
          <w:tab w:leader="none" w:pos="5220" w:val="left"/>
          <w:tab w:leader="none" w:pos="10180" w:val="left"/>
        </w:tabs>
        <w:rPr>
          <w:sz w:val="20"/>
          <w:szCs w:val="20"/>
          <w:color w:val="auto"/>
        </w:rPr>
      </w:pPr>
      <w:r>
        <w:rPr>
          <w:rFonts w:ascii="Arial" w:cs="Arial" w:eastAsia="Arial" w:hAnsi="Arial"/>
          <w:sz w:val="18"/>
          <w:szCs w:val="18"/>
          <w:color w:val="auto"/>
        </w:rPr>
        <w:t>PF-37679 (05/12)</w:t>
      </w:r>
      <w:r>
        <w:rPr>
          <w:sz w:val="20"/>
          <w:szCs w:val="20"/>
          <w:color w:val="auto"/>
        </w:rPr>
        <w:tab/>
      </w:r>
      <w:r>
        <w:rPr>
          <w:rFonts w:ascii="Arial" w:cs="Arial" w:eastAsia="Arial" w:hAnsi="Arial"/>
          <w:sz w:val="18"/>
          <w:szCs w:val="18"/>
          <w:color w:val="auto"/>
        </w:rPr>
        <w:t>© 2012</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040"/>
          </w:cols>
          <w:pgMar w:left="440" w:top="270" w:right="419" w:bottom="1440" w:gutter="0" w:footer="0" w:header="0"/>
        </w:sectPr>
      </w:pPr>
    </w:p>
    <w:bookmarkStart w:id="37" w:name="page38"/>
    <w:bookmarkEnd w:id="3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006590" cy="8832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06590" cy="883285"/>
                    </a:xfrm>
                    <a:prstGeom prst="rect">
                      <a:avLst/>
                    </a:prstGeom>
                    <a:noFill/>
                  </pic:spPr>
                </pic:pic>
              </a:graphicData>
            </a:graphic>
          </wp:anchor>
        </w:drawing>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15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Named Insured</w:t>
            </w:r>
          </w:p>
        </w:tc>
        <w:tc>
          <w:tcPr>
            <w:tcW w:w="1880" w:type="dxa"/>
            <w:vAlign w:val="bottom"/>
            <w:tcBorders>
              <w:top w:val="single" w:sz="8" w:color="auto"/>
            </w:tcBorders>
          </w:tcPr>
          <w:p>
            <w:pPr>
              <w:spacing w:after="0"/>
              <w:rPr>
                <w:sz w:val="18"/>
                <w:szCs w:val="18"/>
                <w:color w:val="auto"/>
              </w:rPr>
            </w:pPr>
          </w:p>
        </w:tc>
        <w:tc>
          <w:tcPr>
            <w:tcW w:w="47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Endorsement Number</w:t>
            </w:r>
          </w:p>
        </w:tc>
      </w:tr>
      <w:tr>
        <w:trPr>
          <w:trHeight w:val="241"/>
        </w:trPr>
        <w:tc>
          <w:tcPr>
            <w:tcW w:w="34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TPG Specialty Lending, Inc.</w:t>
            </w:r>
          </w:p>
        </w:tc>
        <w:tc>
          <w:tcPr>
            <w:tcW w:w="472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17</w:t>
            </w:r>
          </w:p>
        </w:tc>
      </w:tr>
      <w:tr>
        <w:trPr>
          <w:trHeight w:val="198"/>
        </w:trPr>
        <w:tc>
          <w:tcPr>
            <w:tcW w:w="1560" w:type="dxa"/>
            <w:vAlign w:val="bottom"/>
            <w:tcBorders>
              <w:right w:val="single" w:sz="8" w:color="auto"/>
            </w:tcBorders>
          </w:tcPr>
          <w:p>
            <w:pPr>
              <w:ind w:left="140"/>
              <w:spacing w:after="0" w:line="198" w:lineRule="exact"/>
              <w:rPr>
                <w:sz w:val="20"/>
                <w:szCs w:val="20"/>
                <w:color w:val="auto"/>
              </w:rPr>
            </w:pPr>
            <w:r>
              <w:rPr>
                <w:rFonts w:ascii="Arial" w:cs="Arial" w:eastAsia="Arial" w:hAnsi="Arial"/>
                <w:sz w:val="18"/>
                <w:szCs w:val="18"/>
                <w:color w:val="auto"/>
              </w:rPr>
              <w:t>Policy Symbol</w:t>
            </w:r>
          </w:p>
        </w:tc>
        <w:tc>
          <w:tcPr>
            <w:tcW w:w="18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72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860" w:type="dxa"/>
            <w:vAlign w:val="bottom"/>
          </w:tcPr>
          <w:p>
            <w:pPr>
              <w:ind w:left="8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5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DON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005</w:t>
            </w:r>
          </w:p>
        </w:tc>
        <w:tc>
          <w:tcPr>
            <w:tcW w:w="4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03/08/2019 to 03/08/2020</w:t>
            </w: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03/08/2019</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 DEFINITION OF EMPLOYEE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Section 1, Definitions, subsection (e), Employee, of the Conditions and Limitations, is amended to add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Employee also means:</w:t>
      </w:r>
    </w:p>
    <w:p>
      <w:pPr>
        <w:spacing w:after="0" w:line="131" w:lineRule="exact"/>
        <w:rPr>
          <w:sz w:val="20"/>
          <w:szCs w:val="20"/>
          <w:color w:val="auto"/>
        </w:rPr>
      </w:pPr>
    </w:p>
    <w:p>
      <w:pPr>
        <w:ind w:left="860" w:hanging="424"/>
        <w:spacing w:after="0"/>
        <w:tabs>
          <w:tab w:leader="none" w:pos="860" w:val="left"/>
        </w:tabs>
        <w:numPr>
          <w:ilvl w:val="0"/>
          <w:numId w:val="87"/>
        </w:numPr>
        <w:rPr>
          <w:rFonts w:ascii="MS PGothic" w:cs="MS PGothic" w:eastAsia="MS PGothic" w:hAnsi="MS PGothic"/>
          <w:sz w:val="17"/>
          <w:szCs w:val="17"/>
          <w:color w:val="auto"/>
        </w:rPr>
      </w:pPr>
      <w:r>
        <w:rPr>
          <w:rFonts w:ascii="Arial" w:cs="Arial" w:eastAsia="Arial" w:hAnsi="Arial"/>
          <w:sz w:val="17"/>
          <w:szCs w:val="17"/>
          <w:color w:val="auto"/>
        </w:rPr>
        <w:t>Any natural person retained as a consultant of the Insured and supervised by the Insured under written contract with the Insured.</w:t>
      </w:r>
    </w:p>
    <w:p>
      <w:pPr>
        <w:spacing w:after="0" w:line="142" w:lineRule="exact"/>
        <w:rPr>
          <w:rFonts w:ascii="MS PGothic" w:cs="MS PGothic" w:eastAsia="MS PGothic" w:hAnsi="MS PGothic"/>
          <w:sz w:val="17"/>
          <w:szCs w:val="17"/>
          <w:color w:val="auto"/>
        </w:rPr>
      </w:pPr>
    </w:p>
    <w:p>
      <w:pPr>
        <w:ind w:left="860" w:right="400" w:hanging="424"/>
        <w:spacing w:after="0" w:line="277" w:lineRule="auto"/>
        <w:tabs>
          <w:tab w:leader="none" w:pos="860" w:val="left"/>
        </w:tabs>
        <w:numPr>
          <w:ilvl w:val="0"/>
          <w:numId w:val="87"/>
        </w:numPr>
        <w:rPr>
          <w:rFonts w:ascii="MS PGothic" w:cs="MS PGothic" w:eastAsia="MS PGothic" w:hAnsi="MS PGothic"/>
          <w:sz w:val="18"/>
          <w:szCs w:val="18"/>
          <w:color w:val="auto"/>
        </w:rPr>
      </w:pPr>
      <w:r>
        <w:rPr>
          <w:rFonts w:ascii="Arial" w:cs="Arial" w:eastAsia="Arial" w:hAnsi="Arial"/>
          <w:sz w:val="18"/>
          <w:szCs w:val="18"/>
          <w:color w:val="auto"/>
        </w:rPr>
        <w:t>Any person set forth in (1) through (6) above, who resigned, retires or is terminated from service of the Insured during the Bond period. Provided that this extension applies only:</w:t>
      </w:r>
    </w:p>
    <w:p>
      <w:pPr>
        <w:spacing w:after="0" w:line="75" w:lineRule="exact"/>
        <w:rPr>
          <w:rFonts w:ascii="MS PGothic" w:cs="MS PGothic" w:eastAsia="MS PGothic" w:hAnsi="MS PGothic"/>
          <w:sz w:val="18"/>
          <w:szCs w:val="18"/>
          <w:color w:val="auto"/>
        </w:rPr>
      </w:pPr>
    </w:p>
    <w:p>
      <w:pPr>
        <w:ind w:left="1420" w:hanging="538"/>
        <w:spacing w:after="0"/>
        <w:tabs>
          <w:tab w:leader="none" w:pos="14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for a period of 60 days subsequent to such resignation, retirement or termination; and</w:t>
      </w:r>
    </w:p>
    <w:p>
      <w:pPr>
        <w:spacing w:after="0" w:line="130" w:lineRule="exact"/>
        <w:rPr>
          <w:rFonts w:ascii="Arial" w:cs="Arial" w:eastAsia="Arial" w:hAnsi="Arial"/>
          <w:sz w:val="18"/>
          <w:szCs w:val="18"/>
          <w:color w:val="auto"/>
        </w:rPr>
      </w:pPr>
    </w:p>
    <w:p>
      <w:pPr>
        <w:ind w:left="1420" w:right="120" w:hanging="538"/>
        <w:spacing w:after="0" w:line="277" w:lineRule="auto"/>
        <w:tabs>
          <w:tab w:leader="none" w:pos="14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if such resignation, retirement or termination has not arisen from or in connection with the discovery by the Insured of any actual or alleged dishonest, fraudulent or criminal act(s) of such person.</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87"/>
        </w:numPr>
        <w:rPr>
          <w:rFonts w:ascii="MS PGothic" w:cs="MS PGothic" w:eastAsia="MS PGothic" w:hAnsi="MS PGothic"/>
          <w:sz w:val="18"/>
          <w:szCs w:val="18"/>
          <w:color w:val="auto"/>
        </w:rPr>
      </w:pPr>
      <w:r>
        <w:rPr>
          <w:rFonts w:ascii="Arial" w:cs="Arial" w:eastAsia="Arial" w:hAnsi="Arial"/>
          <w:sz w:val="18"/>
          <w:szCs w:val="18"/>
          <w:color w:val="auto"/>
        </w:rPr>
        <w:t>Employees on Leave or Military Service.</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87"/>
        </w:numPr>
        <w:rPr>
          <w:rFonts w:ascii="MS PGothic" w:cs="MS PGothic" w:eastAsia="MS PGothic" w:hAnsi="MS PGothic"/>
          <w:sz w:val="18"/>
          <w:szCs w:val="18"/>
          <w:color w:val="auto"/>
        </w:rPr>
      </w:pPr>
      <w:r>
        <w:rPr>
          <w:rFonts w:ascii="Arial" w:cs="Arial" w:eastAsia="Arial" w:hAnsi="Arial"/>
          <w:sz w:val="18"/>
          <w:szCs w:val="18"/>
          <w:color w:val="auto"/>
        </w:rPr>
        <w:t>Guest Students.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26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4420" w:type="dxa"/>
            <w:vAlign w:val="bottom"/>
            <w:tcBorders>
              <w:top w:val="single" w:sz="8" w:color="auto"/>
            </w:tcBorders>
          </w:tcPr>
          <w:p>
            <w:pPr>
              <w:ind w:left="1240"/>
              <w:spacing w:after="0"/>
              <w:rPr>
                <w:sz w:val="20"/>
                <w:szCs w:val="20"/>
                <w:color w:val="auto"/>
              </w:rPr>
            </w:pPr>
            <w:r>
              <w:rPr>
                <w:rFonts w:ascii="Arial" w:cs="Arial" w:eastAsia="Arial" w:hAnsi="Arial"/>
                <w:sz w:val="18"/>
                <w:szCs w:val="18"/>
                <w:color w:val="auto"/>
              </w:rPr>
              <w:t>Authorized Representative</w:t>
            </w:r>
          </w:p>
        </w:tc>
      </w:tr>
      <w:tr>
        <w:trPr>
          <w:trHeight w:val="349"/>
        </w:trPr>
        <w:tc>
          <w:tcPr>
            <w:tcW w:w="3260" w:type="dxa"/>
            <w:vAlign w:val="bottom"/>
          </w:tcPr>
          <w:p>
            <w:pPr>
              <w:spacing w:after="0"/>
              <w:rPr>
                <w:sz w:val="20"/>
                <w:szCs w:val="20"/>
                <w:color w:val="auto"/>
              </w:rPr>
            </w:pPr>
            <w:r>
              <w:rPr>
                <w:rFonts w:ascii="Arial" w:cs="Arial" w:eastAsia="Arial" w:hAnsi="Arial"/>
                <w:sz w:val="18"/>
                <w:szCs w:val="18"/>
                <w:color w:val="auto"/>
              </w:rPr>
              <w:t>PF-39751 (04/13)</w:t>
            </w:r>
          </w:p>
        </w:tc>
        <w:tc>
          <w:tcPr>
            <w:tcW w:w="3360" w:type="dxa"/>
            <w:vAlign w:val="bottom"/>
          </w:tcPr>
          <w:p>
            <w:pPr>
              <w:jc w:val="right"/>
              <w:ind w:right="730"/>
              <w:spacing w:after="0"/>
              <w:rPr>
                <w:sz w:val="20"/>
                <w:szCs w:val="20"/>
                <w:color w:val="auto"/>
              </w:rPr>
            </w:pPr>
            <w:r>
              <w:rPr>
                <w:rFonts w:ascii="Arial" w:cs="Arial" w:eastAsia="Arial" w:hAnsi="Arial"/>
                <w:sz w:val="18"/>
                <w:szCs w:val="18"/>
                <w:color w:val="auto"/>
              </w:rPr>
              <w:t>© 2013</w:t>
            </w:r>
          </w:p>
        </w:tc>
        <w:tc>
          <w:tcPr>
            <w:tcW w:w="4420" w:type="dxa"/>
            <w:vAlign w:val="bottom"/>
          </w:tcPr>
          <w:p>
            <w:pPr>
              <w:ind w:left="3580"/>
              <w:spacing w:after="0"/>
              <w:rPr>
                <w:sz w:val="20"/>
                <w:szCs w:val="20"/>
                <w:color w:val="auto"/>
              </w:rPr>
            </w:pPr>
            <w:r>
              <w:rPr>
                <w:rFonts w:ascii="Arial" w:cs="Arial" w:eastAsia="Arial" w:hAnsi="Arial"/>
                <w:sz w:val="18"/>
                <w:szCs w:val="18"/>
                <w:color w:val="auto"/>
                <w:w w:val="89"/>
              </w:rPr>
              <w:t>Page 1 of 1</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1</w:t>
            </w:r>
          </w:p>
        </w:tc>
        <w:tc>
          <w:tcPr>
            <w:tcW w:w="3360" w:type="dxa"/>
            <w:vAlign w:val="bottom"/>
          </w:tcPr>
          <w:p>
            <w:pPr>
              <w:spacing w:after="0"/>
              <w:rPr>
                <w:sz w:val="20"/>
                <w:szCs w:val="20"/>
                <w:color w:val="auto"/>
              </w:rPr>
            </w:pPr>
          </w:p>
        </w:tc>
        <w:tc>
          <w:tcPr>
            <w:tcW w:w="442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38" w:name="page39"/>
    <w:bookmarkEnd w:id="3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006590" cy="8832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06590" cy="883285"/>
                    </a:xfrm>
                    <a:prstGeom prst="rect">
                      <a:avLst/>
                    </a:prstGeom>
                    <a:noFill/>
                  </pic:spPr>
                </pic:pic>
              </a:graphicData>
            </a:graphic>
          </wp:anchor>
        </w:drawing>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15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Named Insured</w:t>
            </w:r>
          </w:p>
        </w:tc>
        <w:tc>
          <w:tcPr>
            <w:tcW w:w="1880" w:type="dxa"/>
            <w:vAlign w:val="bottom"/>
            <w:tcBorders>
              <w:top w:val="single" w:sz="8" w:color="auto"/>
            </w:tcBorders>
          </w:tcPr>
          <w:p>
            <w:pPr>
              <w:spacing w:after="0"/>
              <w:rPr>
                <w:sz w:val="18"/>
                <w:szCs w:val="18"/>
                <w:color w:val="auto"/>
              </w:rPr>
            </w:pPr>
          </w:p>
        </w:tc>
        <w:tc>
          <w:tcPr>
            <w:tcW w:w="47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Endorsement Number</w:t>
            </w:r>
          </w:p>
        </w:tc>
      </w:tr>
      <w:tr>
        <w:trPr>
          <w:trHeight w:val="241"/>
        </w:trPr>
        <w:tc>
          <w:tcPr>
            <w:tcW w:w="34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TPG Specialty Lending, Inc.</w:t>
            </w:r>
          </w:p>
        </w:tc>
        <w:tc>
          <w:tcPr>
            <w:tcW w:w="472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18</w:t>
            </w:r>
          </w:p>
        </w:tc>
      </w:tr>
      <w:tr>
        <w:trPr>
          <w:trHeight w:val="198"/>
        </w:trPr>
        <w:tc>
          <w:tcPr>
            <w:tcW w:w="1560" w:type="dxa"/>
            <w:vAlign w:val="bottom"/>
            <w:tcBorders>
              <w:right w:val="single" w:sz="8" w:color="auto"/>
            </w:tcBorders>
          </w:tcPr>
          <w:p>
            <w:pPr>
              <w:ind w:left="140"/>
              <w:spacing w:after="0" w:line="198" w:lineRule="exact"/>
              <w:rPr>
                <w:sz w:val="20"/>
                <w:szCs w:val="20"/>
                <w:color w:val="auto"/>
              </w:rPr>
            </w:pPr>
            <w:r>
              <w:rPr>
                <w:rFonts w:ascii="Arial" w:cs="Arial" w:eastAsia="Arial" w:hAnsi="Arial"/>
                <w:sz w:val="18"/>
                <w:szCs w:val="18"/>
                <w:color w:val="auto"/>
              </w:rPr>
              <w:t>Policy Symbol</w:t>
            </w:r>
          </w:p>
        </w:tc>
        <w:tc>
          <w:tcPr>
            <w:tcW w:w="18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72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860" w:type="dxa"/>
            <w:vAlign w:val="bottom"/>
          </w:tcPr>
          <w:p>
            <w:pPr>
              <w:ind w:left="8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5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DON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005</w:t>
            </w:r>
          </w:p>
        </w:tc>
        <w:tc>
          <w:tcPr>
            <w:tcW w:w="4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03/08/2019 to 03/08/2020</w:t>
            </w: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03/08/2019</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OMNIBUS NAMED INSURED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Item 1 of the Declarations is deleted in its entirety and the following is inserted:</w:t>
      </w:r>
    </w:p>
    <w:p>
      <w:pPr>
        <w:spacing w:after="0" w:line="117" w:lineRule="exact"/>
        <w:rPr>
          <w:sz w:val="20"/>
          <w:szCs w:val="20"/>
          <w:color w:val="auto"/>
        </w:rPr>
      </w:pPr>
    </w:p>
    <w:p>
      <w:pPr>
        <w:ind w:left="440" w:right="20"/>
        <w:spacing w:after="0" w:line="297" w:lineRule="auto"/>
        <w:rPr>
          <w:sz w:val="20"/>
          <w:szCs w:val="20"/>
          <w:color w:val="auto"/>
        </w:rPr>
      </w:pPr>
      <w:r>
        <w:rPr>
          <w:rFonts w:ascii="Arial" w:cs="Arial" w:eastAsia="Arial" w:hAnsi="Arial"/>
          <w:sz w:val="16"/>
          <w:szCs w:val="16"/>
          <w:color w:val="auto"/>
        </w:rPr>
        <w:t>Item 1. Name of Insured (herein called Insured): TPG Specialty Lending, Inc., Subject to the provisions of General Agreement B, as amended, Insured also means: (i) any subsidiary, joint venture, limited liability company, limited partnership, or general partnership, in which 50% or more of the voting interests are owned directly or indirectly by TPG Specialty Lending, Inc., and only while such interest existed or continues to exist; and, (ii) any employee benefit or welfare plan sponsored by the Insured now existing or hereafter created or acquired, that is required to be bonded under the Employee Retirement Income Security Act of 1974, as amended, so long as the Insured sponsors such plan.</w:t>
      </w:r>
    </w:p>
    <w:p>
      <w:pPr>
        <w:sectPr>
          <w:pgSz w:w="11900" w:h="16838" w:orient="portrait"/>
          <w:cols w:equalWidth="0" w:num="1">
            <w:col w:w="11040"/>
          </w:cols>
          <w:pgMar w:left="440" w:top="270" w:right="419" w:bottom="1440" w:gutter="0" w:footer="0" w:header="0"/>
        </w:sectPr>
      </w:pPr>
    </w:p>
    <w:p>
      <w:pPr>
        <w:spacing w:after="0" w:line="6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Principal Address: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301 Commerce Street, Suite 3300</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Fort Worth, TX 76102</w:t>
      </w:r>
    </w:p>
    <w:p>
      <w:pPr>
        <w:spacing w:after="0" w:line="200" w:lineRule="exact"/>
        <w:rPr>
          <w:sz w:val="20"/>
          <w:szCs w:val="20"/>
          <w:color w:val="auto"/>
        </w:rPr>
      </w:pPr>
    </w:p>
    <w:p>
      <w:pPr>
        <w:sectPr>
          <w:pgSz w:w="11900" w:h="16838" w:orient="portrait"/>
          <w:cols w:equalWidth="0" w:num="2">
            <w:col w:w="1760" w:space="540"/>
            <w:col w:w="8740"/>
          </w:cols>
          <w:pgMar w:left="440" w:top="270" w:right="41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26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4420" w:type="dxa"/>
            <w:vAlign w:val="bottom"/>
            <w:tcBorders>
              <w:top w:val="single" w:sz="8" w:color="auto"/>
            </w:tcBorders>
          </w:tcPr>
          <w:p>
            <w:pPr>
              <w:ind w:left="1240"/>
              <w:spacing w:after="0"/>
              <w:rPr>
                <w:sz w:val="20"/>
                <w:szCs w:val="20"/>
                <w:color w:val="auto"/>
              </w:rPr>
            </w:pPr>
            <w:r>
              <w:rPr>
                <w:rFonts w:ascii="Arial" w:cs="Arial" w:eastAsia="Arial" w:hAnsi="Arial"/>
                <w:sz w:val="18"/>
                <w:szCs w:val="18"/>
                <w:color w:val="auto"/>
              </w:rPr>
              <w:t>Authorized Representative</w:t>
            </w:r>
          </w:p>
        </w:tc>
      </w:tr>
      <w:tr>
        <w:trPr>
          <w:trHeight w:val="349"/>
        </w:trPr>
        <w:tc>
          <w:tcPr>
            <w:tcW w:w="3260" w:type="dxa"/>
            <w:vAlign w:val="bottom"/>
          </w:tcPr>
          <w:p>
            <w:pPr>
              <w:spacing w:after="0"/>
              <w:rPr>
                <w:sz w:val="20"/>
                <w:szCs w:val="20"/>
                <w:color w:val="auto"/>
              </w:rPr>
            </w:pPr>
            <w:r>
              <w:rPr>
                <w:rFonts w:ascii="Arial" w:cs="Arial" w:eastAsia="Arial" w:hAnsi="Arial"/>
                <w:sz w:val="18"/>
                <w:szCs w:val="18"/>
                <w:color w:val="auto"/>
              </w:rPr>
              <w:t>PF-39759 (04/13)</w:t>
            </w:r>
          </w:p>
        </w:tc>
        <w:tc>
          <w:tcPr>
            <w:tcW w:w="3360" w:type="dxa"/>
            <w:vAlign w:val="bottom"/>
          </w:tcPr>
          <w:p>
            <w:pPr>
              <w:jc w:val="right"/>
              <w:ind w:right="730"/>
              <w:spacing w:after="0"/>
              <w:rPr>
                <w:sz w:val="20"/>
                <w:szCs w:val="20"/>
                <w:color w:val="auto"/>
              </w:rPr>
            </w:pPr>
            <w:r>
              <w:rPr>
                <w:rFonts w:ascii="Arial" w:cs="Arial" w:eastAsia="Arial" w:hAnsi="Arial"/>
                <w:sz w:val="18"/>
                <w:szCs w:val="18"/>
                <w:color w:val="auto"/>
              </w:rPr>
              <w:t>© 2013</w:t>
            </w:r>
          </w:p>
        </w:tc>
        <w:tc>
          <w:tcPr>
            <w:tcW w:w="4420" w:type="dxa"/>
            <w:vAlign w:val="bottom"/>
          </w:tcPr>
          <w:p>
            <w:pPr>
              <w:ind w:left="3580"/>
              <w:spacing w:after="0"/>
              <w:rPr>
                <w:sz w:val="20"/>
                <w:szCs w:val="20"/>
                <w:color w:val="auto"/>
              </w:rPr>
            </w:pPr>
            <w:r>
              <w:rPr>
                <w:rFonts w:ascii="Arial" w:cs="Arial" w:eastAsia="Arial" w:hAnsi="Arial"/>
                <w:sz w:val="18"/>
                <w:szCs w:val="18"/>
                <w:color w:val="auto"/>
                <w:w w:val="89"/>
              </w:rPr>
              <w:t>Page 1 of 1</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1</w:t>
            </w:r>
          </w:p>
        </w:tc>
        <w:tc>
          <w:tcPr>
            <w:tcW w:w="3360" w:type="dxa"/>
            <w:vAlign w:val="bottom"/>
          </w:tcPr>
          <w:p>
            <w:pPr>
              <w:spacing w:after="0"/>
              <w:rPr>
                <w:sz w:val="20"/>
                <w:szCs w:val="20"/>
                <w:color w:val="auto"/>
              </w:rPr>
            </w:pPr>
          </w:p>
        </w:tc>
        <w:tc>
          <w:tcPr>
            <w:tcW w:w="442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type w:val="continuous"/>
        </w:sectPr>
      </w:pPr>
    </w:p>
    <w:bookmarkStart w:id="39" w:name="page40"/>
    <w:bookmarkEnd w:id="3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006590" cy="8832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06590" cy="883285"/>
                    </a:xfrm>
                    <a:prstGeom prst="rect">
                      <a:avLst/>
                    </a:prstGeom>
                    <a:noFill/>
                  </pic:spPr>
                </pic:pic>
              </a:graphicData>
            </a:graphic>
          </wp:anchor>
        </w:drawing>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15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Named Insured</w:t>
            </w:r>
          </w:p>
        </w:tc>
        <w:tc>
          <w:tcPr>
            <w:tcW w:w="1880" w:type="dxa"/>
            <w:vAlign w:val="bottom"/>
            <w:tcBorders>
              <w:top w:val="single" w:sz="8" w:color="auto"/>
            </w:tcBorders>
          </w:tcPr>
          <w:p>
            <w:pPr>
              <w:spacing w:after="0"/>
              <w:rPr>
                <w:sz w:val="18"/>
                <w:szCs w:val="18"/>
                <w:color w:val="auto"/>
              </w:rPr>
            </w:pPr>
          </w:p>
        </w:tc>
        <w:tc>
          <w:tcPr>
            <w:tcW w:w="47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Endorsement Number</w:t>
            </w:r>
          </w:p>
        </w:tc>
      </w:tr>
      <w:tr>
        <w:trPr>
          <w:trHeight w:val="241"/>
        </w:trPr>
        <w:tc>
          <w:tcPr>
            <w:tcW w:w="34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TPG Specialty Lending, Inc.</w:t>
            </w:r>
          </w:p>
        </w:tc>
        <w:tc>
          <w:tcPr>
            <w:tcW w:w="472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19</w:t>
            </w:r>
          </w:p>
        </w:tc>
      </w:tr>
      <w:tr>
        <w:trPr>
          <w:trHeight w:val="198"/>
        </w:trPr>
        <w:tc>
          <w:tcPr>
            <w:tcW w:w="1560" w:type="dxa"/>
            <w:vAlign w:val="bottom"/>
            <w:tcBorders>
              <w:right w:val="single" w:sz="8" w:color="auto"/>
            </w:tcBorders>
          </w:tcPr>
          <w:p>
            <w:pPr>
              <w:ind w:left="140"/>
              <w:spacing w:after="0" w:line="198" w:lineRule="exact"/>
              <w:rPr>
                <w:sz w:val="20"/>
                <w:szCs w:val="20"/>
                <w:color w:val="auto"/>
              </w:rPr>
            </w:pPr>
            <w:r>
              <w:rPr>
                <w:rFonts w:ascii="Arial" w:cs="Arial" w:eastAsia="Arial" w:hAnsi="Arial"/>
                <w:sz w:val="18"/>
                <w:szCs w:val="18"/>
                <w:color w:val="auto"/>
              </w:rPr>
              <w:t>Policy Symbol</w:t>
            </w:r>
          </w:p>
        </w:tc>
        <w:tc>
          <w:tcPr>
            <w:tcW w:w="18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72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860" w:type="dxa"/>
            <w:vAlign w:val="bottom"/>
          </w:tcPr>
          <w:p>
            <w:pPr>
              <w:ind w:left="8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5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DON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005</w:t>
            </w:r>
          </w:p>
        </w:tc>
        <w:tc>
          <w:tcPr>
            <w:tcW w:w="4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03/08/2019 to 03/08/2020</w:t>
            </w: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03/08/2019</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PRIVACY EXCLUSIONS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the Bond is amended as follows:</w:t>
      </w:r>
    </w:p>
    <w:p>
      <w:pPr>
        <w:spacing w:after="0" w:line="131" w:lineRule="exact"/>
        <w:rPr>
          <w:sz w:val="20"/>
          <w:szCs w:val="20"/>
          <w:color w:val="auto"/>
        </w:rPr>
      </w:pPr>
    </w:p>
    <w:p>
      <w:pPr>
        <w:ind w:left="440" w:hanging="436"/>
        <w:spacing w:after="0"/>
        <w:tabs>
          <w:tab w:leader="none" w:pos="4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Conditions And Limitations, section 2, Exclusions, is amended to add the following:</w:t>
      </w:r>
    </w:p>
    <w:p>
      <w:pPr>
        <w:spacing w:after="0" w:line="130" w:lineRule="exact"/>
        <w:rPr>
          <w:rFonts w:ascii="Arial" w:cs="Arial" w:eastAsia="Arial" w:hAnsi="Arial"/>
          <w:sz w:val="18"/>
          <w:szCs w:val="18"/>
          <w:color w:val="auto"/>
        </w:rPr>
      </w:pPr>
    </w:p>
    <w:p>
      <w:pPr>
        <w:ind w:left="860" w:right="140" w:hanging="424"/>
        <w:spacing w:after="0" w:line="276" w:lineRule="auto"/>
        <w:tabs>
          <w:tab w:leader="none" w:pos="860" w:val="left"/>
        </w:tabs>
        <w:numPr>
          <w:ilvl w:val="1"/>
          <w:numId w:val="88"/>
        </w:numPr>
        <w:rPr>
          <w:rFonts w:ascii="Arial" w:cs="Arial" w:eastAsia="Arial" w:hAnsi="Arial"/>
          <w:sz w:val="17"/>
          <w:szCs w:val="17"/>
          <w:color w:val="auto"/>
        </w:rPr>
      </w:pPr>
      <w:r>
        <w:rPr>
          <w:rFonts w:ascii="Arial" w:cs="Arial" w:eastAsia="Arial" w:hAnsi="Arial"/>
          <w:sz w:val="17"/>
          <w:szCs w:val="17"/>
          <w:color w:val="auto"/>
        </w:rPr>
        <w:t>loss resulting from the theft, disappearance, or destruction of, or access to, or disclosure or use of, or purported use or disclosure of, the Insured’s or another person’s or entity’s confidential or personal information including, but not limited to, patents, trade secrets, processing methods, customer lists, financial information, personal customer information, a customer’s personally identifiable financial information, credit card information, health information or any other type of nonpublic information, or intellectual property, whether such information is owned by the Insured or held by the Insured in any capacity including concurrently with another person.</w:t>
      </w:r>
    </w:p>
    <w:p>
      <w:pPr>
        <w:spacing w:after="0" w:line="77" w:lineRule="exact"/>
        <w:rPr>
          <w:rFonts w:ascii="Arial" w:cs="Arial" w:eastAsia="Arial" w:hAnsi="Arial"/>
          <w:sz w:val="17"/>
          <w:szCs w:val="17"/>
          <w:color w:val="auto"/>
        </w:rPr>
      </w:pPr>
    </w:p>
    <w:p>
      <w:pPr>
        <w:ind w:left="860" w:right="200" w:hanging="424"/>
        <w:spacing w:after="0" w:line="308" w:lineRule="auto"/>
        <w:tabs>
          <w:tab w:leader="none" w:pos="860" w:val="left"/>
        </w:tabs>
        <w:numPr>
          <w:ilvl w:val="1"/>
          <w:numId w:val="88"/>
        </w:numPr>
        <w:rPr>
          <w:rFonts w:ascii="Arial" w:cs="Arial" w:eastAsia="Arial" w:hAnsi="Arial"/>
          <w:sz w:val="17"/>
          <w:szCs w:val="17"/>
          <w:color w:val="auto"/>
        </w:rPr>
      </w:pPr>
      <w:r>
        <w:rPr>
          <w:rFonts w:ascii="Arial" w:cs="Arial" w:eastAsia="Arial" w:hAnsi="Arial"/>
          <w:sz w:val="17"/>
          <w:szCs w:val="17"/>
          <w:color w:val="auto"/>
        </w:rPr>
        <w:t>loss resulting from the theft, disappearance, or destruction of, or access to, or use or disclosure of, or purported use or disclosure of, credit, debit, charge, access, convenience, identification, stored-value or other cards or the information contained on such cards.</w:t>
      </w:r>
    </w:p>
    <w:p>
      <w:pPr>
        <w:spacing w:after="0" w:line="51" w:lineRule="exact"/>
        <w:rPr>
          <w:rFonts w:ascii="Arial" w:cs="Arial" w:eastAsia="Arial" w:hAnsi="Arial"/>
          <w:sz w:val="17"/>
          <w:szCs w:val="17"/>
          <w:color w:val="auto"/>
        </w:rPr>
      </w:pPr>
    </w:p>
    <w:p>
      <w:pPr>
        <w:ind w:left="860" w:right="180" w:hanging="424"/>
        <w:spacing w:after="0" w:line="255" w:lineRule="auto"/>
        <w:tabs>
          <w:tab w:leader="none" w:pos="8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fees, costs, fines, penalties and other expenses incurred by an Insured arising out of the theft, disappearance, or destruction of, or access to, or disclosure or use of, or purported use or disclosure of, the Insured’s or another person’s or entity’s confidential or person information including, but not limited to, patents, trade secrets, processing methods, customer lists, financial information, personal customer information, a customer’s personally identifiable financial information, credit card information, health information or any other type of nonpublic information, or intellectual property, whether such information is owned by the Insured or held by the Insured in any capacity including concurrently with another person.</w:t>
      </w:r>
    </w:p>
    <w:p>
      <w:pPr>
        <w:spacing w:after="0" w:line="98" w:lineRule="exact"/>
        <w:rPr>
          <w:rFonts w:ascii="Arial" w:cs="Arial" w:eastAsia="Arial" w:hAnsi="Arial"/>
          <w:sz w:val="18"/>
          <w:szCs w:val="18"/>
          <w:color w:val="auto"/>
        </w:rPr>
      </w:pPr>
    </w:p>
    <w:p>
      <w:pPr>
        <w:ind w:left="860" w:right="60" w:hanging="424"/>
        <w:spacing w:after="0" w:line="279" w:lineRule="auto"/>
        <w:tabs>
          <w:tab w:leader="none" w:pos="860" w:val="left"/>
        </w:tabs>
        <w:numPr>
          <w:ilvl w:val="1"/>
          <w:numId w:val="88"/>
        </w:numPr>
        <w:rPr>
          <w:rFonts w:ascii="Arial" w:cs="Arial" w:eastAsia="Arial" w:hAnsi="Arial"/>
          <w:sz w:val="17"/>
          <w:szCs w:val="17"/>
          <w:color w:val="auto"/>
        </w:rPr>
      </w:pPr>
      <w:r>
        <w:rPr>
          <w:rFonts w:ascii="Arial" w:cs="Arial" w:eastAsia="Arial" w:hAnsi="Arial"/>
          <w:sz w:val="17"/>
          <w:szCs w:val="17"/>
          <w:color w:val="auto"/>
        </w:rPr>
        <w:t>expenses related to the Insured’s obligations to comply with federal and state privacy laws and Payment Card Industry Data Security Standards (if applicable) arising from a data security breach, including, but not limited to, forensic audit expenses, fines, penalties and expenses related to notifying affected individuals when the affected individuals’ personally identifiable financial or medical information was stolen, accessed, downloaded or misappropriated while in the Insured’s care, custody or control.</w:t>
      </w:r>
    </w:p>
    <w:p>
      <w:pPr>
        <w:spacing w:after="0" w:line="76" w:lineRule="exact"/>
        <w:rPr>
          <w:rFonts w:ascii="Arial" w:cs="Arial" w:eastAsia="Arial" w:hAnsi="Arial"/>
          <w:sz w:val="17"/>
          <w:szCs w:val="17"/>
          <w:color w:val="auto"/>
        </w:rPr>
      </w:pPr>
    </w:p>
    <w:p>
      <w:pPr>
        <w:ind w:left="440" w:hanging="436"/>
        <w:spacing w:after="0"/>
        <w:tabs>
          <w:tab w:leader="none" w:pos="4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Conditions And Limitations, is amended to add the following:</w:t>
      </w:r>
    </w:p>
    <w:p>
      <w:pPr>
        <w:spacing w:after="0" w:line="117" w:lineRule="exact"/>
        <w:rPr>
          <w:rFonts w:ascii="Arial" w:cs="Arial" w:eastAsia="Arial" w:hAnsi="Arial"/>
          <w:sz w:val="18"/>
          <w:szCs w:val="18"/>
          <w:color w:val="auto"/>
        </w:rPr>
      </w:pPr>
    </w:p>
    <w:p>
      <w:pPr>
        <w:ind w:left="440" w:right="20"/>
        <w:spacing w:after="0" w:line="272" w:lineRule="auto"/>
        <w:rPr>
          <w:rFonts w:ascii="Arial" w:cs="Arial" w:eastAsia="Arial" w:hAnsi="Arial"/>
          <w:sz w:val="18"/>
          <w:szCs w:val="18"/>
          <w:color w:val="auto"/>
        </w:rPr>
      </w:pPr>
      <w:r>
        <w:rPr>
          <w:rFonts w:ascii="Arial" w:cs="Arial" w:eastAsia="Arial" w:hAnsi="Arial"/>
          <w:sz w:val="17"/>
          <w:szCs w:val="17"/>
          <w:color w:val="auto"/>
        </w:rPr>
        <w:t>Notwithstanding anything in this Bond to the contrary, including but not limited to any Insuring Agreement or endorsement providing for any coverage whatsoever for fees, costs or expenses, in no event shall there be any coverage under this Bond for fees, costs and expenses arising out of the theft, disappearance, or destruction of, or access to, or disclosure or use of, or purported use or disclosure of, the Insured’s or another person’s or entity’s confidential or person information including, but not limited to, patents, trade secrets, processing methods, customer lists, financial information, personal customer information, a customer’s personally identifiable financial information, credit card information, health information or any other type of nonpublic information, or intellectual property, whether such information is owned by the Insured or held by the Insured in any capacity including concurrently with another person.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policy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2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420" w:type="dxa"/>
            <w:vAlign w:val="bottom"/>
            <w:tcBorders>
              <w:top w:val="single" w:sz="8" w:color="auto"/>
            </w:tcBorders>
          </w:tcPr>
          <w:p>
            <w:pPr>
              <w:ind w:left="1240"/>
              <w:spacing w:after="0"/>
              <w:rPr>
                <w:sz w:val="20"/>
                <w:szCs w:val="20"/>
                <w:color w:val="auto"/>
              </w:rPr>
            </w:pPr>
            <w:r>
              <w:rPr>
                <w:rFonts w:ascii="Arial" w:cs="Arial" w:eastAsia="Arial" w:hAnsi="Arial"/>
                <w:sz w:val="18"/>
                <w:szCs w:val="18"/>
                <w:color w:val="auto"/>
              </w:rPr>
              <w:t>Authorized Representative</w:t>
            </w:r>
          </w:p>
        </w:tc>
      </w:tr>
      <w:tr>
        <w:trPr>
          <w:trHeight w:val="349"/>
        </w:trPr>
        <w:tc>
          <w:tcPr>
            <w:tcW w:w="3280" w:type="dxa"/>
            <w:vAlign w:val="bottom"/>
          </w:tcPr>
          <w:p>
            <w:pPr>
              <w:spacing w:after="0"/>
              <w:rPr>
                <w:sz w:val="20"/>
                <w:szCs w:val="20"/>
                <w:color w:val="auto"/>
              </w:rPr>
            </w:pPr>
            <w:r>
              <w:rPr>
                <w:rFonts w:ascii="Arial" w:cs="Arial" w:eastAsia="Arial" w:hAnsi="Arial"/>
                <w:sz w:val="18"/>
                <w:szCs w:val="18"/>
                <w:color w:val="auto"/>
              </w:rPr>
              <w:t>PF-42750 (07/14)</w:t>
            </w:r>
          </w:p>
        </w:tc>
        <w:tc>
          <w:tcPr>
            <w:tcW w:w="3340" w:type="dxa"/>
            <w:vAlign w:val="bottom"/>
          </w:tcPr>
          <w:p>
            <w:pPr>
              <w:jc w:val="right"/>
              <w:ind w:right="730"/>
              <w:spacing w:after="0"/>
              <w:rPr>
                <w:sz w:val="20"/>
                <w:szCs w:val="20"/>
                <w:color w:val="auto"/>
              </w:rPr>
            </w:pPr>
            <w:r>
              <w:rPr>
                <w:rFonts w:ascii="Arial" w:cs="Arial" w:eastAsia="Arial" w:hAnsi="Arial"/>
                <w:sz w:val="18"/>
                <w:szCs w:val="18"/>
                <w:color w:val="auto"/>
              </w:rPr>
              <w:t>© 2014</w:t>
            </w:r>
          </w:p>
        </w:tc>
        <w:tc>
          <w:tcPr>
            <w:tcW w:w="4420" w:type="dxa"/>
            <w:vAlign w:val="bottom"/>
          </w:tcPr>
          <w:p>
            <w:pPr>
              <w:ind w:left="3580"/>
              <w:spacing w:after="0"/>
              <w:rPr>
                <w:sz w:val="20"/>
                <w:szCs w:val="20"/>
                <w:color w:val="auto"/>
              </w:rPr>
            </w:pPr>
            <w:r>
              <w:rPr>
                <w:rFonts w:ascii="Arial" w:cs="Arial" w:eastAsia="Arial" w:hAnsi="Arial"/>
                <w:sz w:val="18"/>
                <w:szCs w:val="18"/>
                <w:color w:val="auto"/>
                <w:w w:val="89"/>
              </w:rPr>
              <w:t>Page 1 of 1</w:t>
            </w: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FI Bonds 14 &amp; 24</w:t>
            </w:r>
          </w:p>
        </w:tc>
        <w:tc>
          <w:tcPr>
            <w:tcW w:w="3340" w:type="dxa"/>
            <w:vAlign w:val="bottom"/>
          </w:tcPr>
          <w:p>
            <w:pPr>
              <w:spacing w:after="0"/>
              <w:rPr>
                <w:sz w:val="20"/>
                <w:szCs w:val="20"/>
                <w:color w:val="auto"/>
              </w:rPr>
            </w:pPr>
          </w:p>
        </w:tc>
        <w:tc>
          <w:tcPr>
            <w:tcW w:w="442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40" w:name="page41"/>
    <w:bookmarkEnd w:id="4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006590" cy="8832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06590" cy="883285"/>
                    </a:xfrm>
                    <a:prstGeom prst="rect">
                      <a:avLst/>
                    </a:prstGeom>
                    <a:noFill/>
                  </pic:spPr>
                </pic:pic>
              </a:graphicData>
            </a:graphic>
          </wp:anchor>
        </w:drawing>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15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Named Insured</w:t>
            </w:r>
          </w:p>
        </w:tc>
        <w:tc>
          <w:tcPr>
            <w:tcW w:w="1880" w:type="dxa"/>
            <w:vAlign w:val="bottom"/>
            <w:tcBorders>
              <w:top w:val="single" w:sz="8" w:color="auto"/>
            </w:tcBorders>
          </w:tcPr>
          <w:p>
            <w:pPr>
              <w:spacing w:after="0"/>
              <w:rPr>
                <w:sz w:val="18"/>
                <w:szCs w:val="18"/>
                <w:color w:val="auto"/>
              </w:rPr>
            </w:pPr>
          </w:p>
        </w:tc>
        <w:tc>
          <w:tcPr>
            <w:tcW w:w="47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Endorsement Number</w:t>
            </w:r>
          </w:p>
        </w:tc>
      </w:tr>
      <w:tr>
        <w:trPr>
          <w:trHeight w:val="241"/>
        </w:trPr>
        <w:tc>
          <w:tcPr>
            <w:tcW w:w="34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TPG Specialty Lending, Inc.</w:t>
            </w:r>
          </w:p>
        </w:tc>
        <w:tc>
          <w:tcPr>
            <w:tcW w:w="472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20</w:t>
            </w:r>
          </w:p>
        </w:tc>
      </w:tr>
      <w:tr>
        <w:trPr>
          <w:trHeight w:val="198"/>
        </w:trPr>
        <w:tc>
          <w:tcPr>
            <w:tcW w:w="1560" w:type="dxa"/>
            <w:vAlign w:val="bottom"/>
            <w:tcBorders>
              <w:right w:val="single" w:sz="8" w:color="auto"/>
            </w:tcBorders>
          </w:tcPr>
          <w:p>
            <w:pPr>
              <w:ind w:left="140"/>
              <w:spacing w:after="0" w:line="198" w:lineRule="exact"/>
              <w:rPr>
                <w:sz w:val="20"/>
                <w:szCs w:val="20"/>
                <w:color w:val="auto"/>
              </w:rPr>
            </w:pPr>
            <w:r>
              <w:rPr>
                <w:rFonts w:ascii="Arial" w:cs="Arial" w:eastAsia="Arial" w:hAnsi="Arial"/>
                <w:sz w:val="18"/>
                <w:szCs w:val="18"/>
                <w:color w:val="auto"/>
              </w:rPr>
              <w:t>Policy Symbol</w:t>
            </w:r>
          </w:p>
        </w:tc>
        <w:tc>
          <w:tcPr>
            <w:tcW w:w="18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72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860" w:type="dxa"/>
            <w:vAlign w:val="bottom"/>
          </w:tcPr>
          <w:p>
            <w:pPr>
              <w:ind w:left="8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5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DON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005</w:t>
            </w:r>
          </w:p>
        </w:tc>
        <w:tc>
          <w:tcPr>
            <w:tcW w:w="4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03/08/2019 to 03/08/2020</w:t>
            </w: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03/08/2019</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 DEDUCTIBLE AMOUNT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Section 11., DEDUCTIBLE AMOUNT, of the attached bond is amended to include the following:</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shall be no Single Loss Deductible amount applicable to any loss under Insuring Agreement (A), Employee Dishonesty, sustained by any business development company in compliance with Section 54 of the Investment Company Act of 1940.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306705</wp:posOffset>
            </wp:positionV>
            <wp:extent cx="27959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tabs>
          <w:tab w:leader="none" w:pos="5220" w:val="left"/>
          <w:tab w:leader="none" w:pos="10180" w:val="left"/>
        </w:tabs>
        <w:rPr>
          <w:sz w:val="20"/>
          <w:szCs w:val="20"/>
          <w:color w:val="auto"/>
        </w:rPr>
      </w:pPr>
      <w:r>
        <w:rPr>
          <w:rFonts w:ascii="Arial" w:cs="Arial" w:eastAsia="Arial" w:hAnsi="Arial"/>
          <w:sz w:val="18"/>
          <w:szCs w:val="18"/>
          <w:color w:val="auto"/>
        </w:rPr>
        <w:t>MS-47981 (03/16)</w:t>
      </w:r>
      <w:r>
        <w:rPr>
          <w:sz w:val="20"/>
          <w:szCs w:val="20"/>
          <w:color w:val="auto"/>
        </w:rPr>
        <w:tab/>
      </w:r>
      <w:r>
        <w:rPr>
          <w:rFonts w:ascii="Arial" w:cs="Arial" w:eastAsia="Arial" w:hAnsi="Arial"/>
          <w:sz w:val="18"/>
          <w:szCs w:val="18"/>
          <w:color w:val="auto"/>
        </w:rPr>
        <w:t>© 2016</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040"/>
          </w:cols>
          <w:pgMar w:left="440" w:top="270" w:right="419" w:bottom="1440" w:gutter="0" w:footer="0" w:header="0"/>
        </w:sectPr>
      </w:pPr>
    </w:p>
    <w:bookmarkStart w:id="41" w:name="page42"/>
    <w:bookmarkEnd w:id="41"/>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1149350"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1149350" cy="128905"/>
                    </a:xfrm>
                    <a:prstGeom prst="rect">
                      <a:avLst/>
                    </a:prstGeom>
                    <a:noFill/>
                  </pic:spPr>
                </pic:pic>
              </a:graphicData>
            </a:graphic>
          </wp:anchor>
        </w:drawing>
        <w:t>Chubb Producer Compensation</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Practices &amp; Policies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Chubb believes that policyholders should have access to information about Chubb’s practices and policies related to the payment of compensation to brokers and independent agents. You can obtain that information by accessing our website at </w:t>
      </w:r>
      <w:r>
        <w:rPr>
          <w:rFonts w:ascii="Arial" w:cs="Arial" w:eastAsia="Arial" w:hAnsi="Arial"/>
          <w:sz w:val="18"/>
          <w:szCs w:val="18"/>
          <w:u w:val="single" w:color="auto"/>
          <w:color w:val="auto"/>
        </w:rPr>
        <w:t>http://www.aceproducercompensation.com</w:t>
      </w:r>
      <w:r>
        <w:rPr>
          <w:rFonts w:ascii="Arial" w:cs="Arial" w:eastAsia="Arial" w:hAnsi="Arial"/>
          <w:sz w:val="18"/>
          <w:szCs w:val="18"/>
          <w:color w:val="auto"/>
        </w:rPr>
        <w:t xml:space="preserve"> or by calling the following toll-free telephone number: 1-866-512-2862.</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ALL-20887a (03/16)</w:t>
      </w:r>
    </w:p>
    <w:p>
      <w:pPr>
        <w:sectPr>
          <w:pgSz w:w="11900" w:h="16838" w:orient="portrait"/>
          <w:cols w:equalWidth="0" w:num="1">
            <w:col w:w="10760"/>
          </w:cols>
          <w:pgMar w:left="440" w:top="972" w:right="69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Treasury Department’s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1149350"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49350" cy="12890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Of Foreign Assets Control (“OFAC”)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Advisory Notice to Policyholders</w:t>
      </w:r>
    </w:p>
    <w:p>
      <w:pPr>
        <w:spacing w:after="0" w:line="2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This Policyholder Notice shall not be construed as part of your policy and no coverage is provided by this Policyholder Notice nor can it be construed to replace any provisions of your policy. You should read your policy and review your Declarations page for complete information on the coverages you are provided.</w:t>
      </w:r>
    </w:p>
    <w:p>
      <w:pPr>
        <w:spacing w:after="0" w:line="17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 xml:space="preserve">This Notice provides information concerning possible impact on your insurance coverage due to directives issued by OFAC. </w:t>
      </w:r>
      <w:r>
        <w:rPr>
          <w:rFonts w:ascii="Arial" w:cs="Arial" w:eastAsia="Arial" w:hAnsi="Arial"/>
          <w:sz w:val="18"/>
          <w:szCs w:val="18"/>
          <w:b w:val="1"/>
          <w:bCs w:val="1"/>
          <w:color w:val="auto"/>
        </w:rPr>
        <w:t>Please read this Notice</w:t>
      </w:r>
      <w:r>
        <w:rPr>
          <w:rFonts w:ascii="Arial" w:cs="Arial" w:eastAsia="Arial" w:hAnsi="Arial"/>
          <w:sz w:val="18"/>
          <w:szCs w:val="18"/>
          <w:color w:val="auto"/>
        </w:rPr>
        <w:t xml:space="preserve"> </w:t>
      </w:r>
      <w:r>
        <w:rPr>
          <w:rFonts w:ascii="Arial" w:cs="Arial" w:eastAsia="Arial" w:hAnsi="Arial"/>
          <w:sz w:val="18"/>
          <w:szCs w:val="18"/>
          <w:b w:val="1"/>
          <w:bCs w:val="1"/>
          <w:color w:val="auto"/>
        </w:rPr>
        <w:t>carefully.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Office of Foreign Assets Control (OFAC) administers and enforces sanctions policy, based on Presidential declarations of “national emergency”.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OFAC has identified and listed numerous:</w:t>
      </w:r>
    </w:p>
    <w:p>
      <w:pPr>
        <w:spacing w:after="0" w:line="116" w:lineRule="exact"/>
        <w:rPr>
          <w:sz w:val="20"/>
          <w:szCs w:val="20"/>
          <w:color w:val="auto"/>
        </w:rPr>
      </w:pPr>
    </w:p>
    <w:p>
      <w:pPr>
        <w:ind w:left="860" w:hanging="424"/>
        <w:spacing w:after="0"/>
        <w:tabs>
          <w:tab w:leader="none" w:pos="8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Foreign agents;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Front organizations;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Terrorists;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Terrorist organizations; and</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Narcotics traffickers;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 “Specially Designated Nationals and Blocked Persons”. This list can be located on the United States Treasury’s web site – http//www.treas.gov/ofac.</w:t>
      </w:r>
    </w:p>
    <w:p>
      <w:pPr>
        <w:spacing w:after="0" w:line="2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accordance with OFAC regulations, if it is determined that you or any other insured, or any person or entity claiming the benefits of this insurance has violated U.S. sanctions law or is a Specially Designated National and Blocked Person, as identified by OFAC, this insurance will be considered a blocked or frozen contract and all provisions of this insurance are immediately subject to OFAC. When an insurance policy is considered to be such a blocked or frozen contract, no payments nor premium refunds may be made without authorization from OFAC. Other limitations on the premiums and payments also apply.</w:t>
      </w:r>
    </w:p>
    <w:p>
      <w:pPr>
        <w:sectPr>
          <w:pgSz w:w="11900" w:h="16838" w:orient="portrait"/>
          <w:cols w:equalWidth="0" w:num="1">
            <w:col w:w="11020"/>
          </w:cols>
          <w:pgMar w:left="440" w:top="270" w:right="43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PF-17914a (04/16)</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ind w:right="2600"/>
        <w:spacing w:after="0"/>
        <w:rPr>
          <w:sz w:val="20"/>
          <w:szCs w:val="20"/>
          <w:color w:val="auto"/>
        </w:rPr>
      </w:pPr>
      <w:r>
        <w:rPr>
          <w:rFonts w:ascii="Arial" w:cs="Arial" w:eastAsia="Arial" w:hAnsi="Arial"/>
          <w:sz w:val="16"/>
          <w:szCs w:val="16"/>
          <w:color w:val="auto"/>
        </w:rPr>
        <w:t>Reprinted, in part, with permission of</w:t>
      </w:r>
    </w:p>
    <w:p>
      <w:pPr>
        <w:spacing w:after="0" w:line="46" w:lineRule="exact"/>
        <w:rPr>
          <w:sz w:val="20"/>
          <w:szCs w:val="20"/>
          <w:color w:val="auto"/>
        </w:rPr>
      </w:pPr>
    </w:p>
    <w:p>
      <w:pPr>
        <w:jc w:val="center"/>
        <w:ind w:right="2600"/>
        <w:spacing w:after="0"/>
        <w:rPr>
          <w:sz w:val="20"/>
          <w:szCs w:val="20"/>
          <w:color w:val="auto"/>
        </w:rPr>
      </w:pPr>
      <w:r>
        <w:rPr>
          <w:rFonts w:ascii="Arial" w:cs="Arial" w:eastAsia="Arial" w:hAnsi="Arial"/>
          <w:sz w:val="18"/>
          <w:szCs w:val="18"/>
          <w:color w:val="auto"/>
        </w:rPr>
        <w:t>ISO Properties, Inc.</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Page 1 of 1</w:t>
      </w:r>
    </w:p>
    <w:sectPr>
      <w:pgSz w:w="11900" w:h="16838" w:orient="portrait"/>
      <w:cols w:equalWidth="0" w:num="3">
        <w:col w:w="3460" w:space="720"/>
        <w:col w:w="5300" w:space="720"/>
        <w:col w:w="820"/>
      </w:cols>
      <w:pgMar w:left="440" w:top="270"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1."/>
      <w:numFmt w:val="decimal"/>
      <w:start w:val="1"/>
    </w:lvl>
  </w:abstractNum>
  <w:abstractNum w:abstractNumId="1">
    <w:nsid w:val="7A6D8D3C"/>
    <w:multiLevelType w:val="hybridMultilevel"/>
    <w:lvl w:ilvl="0">
      <w:lvlJc w:val="left"/>
      <w:lvlText w:val="%1."/>
      <w:numFmt w:val="decimal"/>
      <w:start w:val="1"/>
    </w:lvl>
  </w:abstractNum>
  <w:abstractNum w:abstractNumId="2">
    <w:nsid w:val="4B588F54"/>
    <w:multiLevelType w:val="hybridMultilevel"/>
    <w:lvl w:ilvl="0">
      <w:lvlJc w:val="left"/>
      <w:lvlText w:val="(%1)"/>
      <w:numFmt w:val="decimal"/>
      <w:start w:val="19"/>
    </w:lvl>
  </w:abstractNum>
  <w:abstractNum w:abstractNumId="3">
    <w:nsid w:val="542289EC"/>
    <w:multiLevelType w:val="hybridMultilevel"/>
    <w:lvl w:ilvl="0">
      <w:lvlJc w:val="left"/>
      <w:lvlText w:val="(%1)"/>
      <w:numFmt w:val="upperLetter"/>
      <w:start w:val="1"/>
    </w:lvl>
  </w:abstractNum>
  <w:abstractNum w:abstractNumId="4">
    <w:nsid w:val="6DE91B18"/>
    <w:multiLevelType w:val="hybridMultilevel"/>
    <w:lvl w:ilvl="0">
      <w:lvlJc w:val="left"/>
      <w:lvlText w:val="(%1)"/>
      <w:numFmt w:val="lowerRoman"/>
      <w:start w:val="3"/>
    </w:lvl>
  </w:abstractNum>
  <w:abstractNum w:abstractNumId="5">
    <w:nsid w:val="38437FDB"/>
    <w:multiLevelType w:val="hybridMultilevel"/>
    <w:lvl w:ilvl="0">
      <w:lvlJc w:val="left"/>
      <w:lvlText w:val="(%1)"/>
      <w:numFmt w:val="lowerLetter"/>
      <w:start w:val="1"/>
    </w:lvl>
  </w:abstractNum>
  <w:abstractNum w:abstractNumId="6">
    <w:nsid w:val="7644A45C"/>
    <w:multiLevelType w:val="hybridMultilevel"/>
    <w:lvl w:ilvl="0">
      <w:lvlJc w:val="left"/>
      <w:lvlText w:val="(%1)"/>
      <w:numFmt w:val="upperLetter"/>
      <w:start w:val="2"/>
    </w:lvl>
    <w:lvl w:ilvl="1">
      <w:lvlJc w:val="left"/>
      <w:lvlText w:val="(%2)"/>
      <w:numFmt w:val="lowerLetter"/>
      <w:start w:val="1"/>
    </w:lvl>
  </w:abstractNum>
  <w:abstractNum w:abstractNumId="7">
    <w:nsid w:val="32FFF902"/>
    <w:multiLevelType w:val="hybridMultilevel"/>
    <w:lvl w:ilvl="0">
      <w:lvlJc w:val="left"/>
      <w:lvlText w:val="(%1)"/>
      <w:numFmt w:val="upperLetter"/>
      <w:start w:val="4"/>
    </w:lvl>
    <w:lvl w:ilvl="1">
      <w:lvlJc w:val="left"/>
      <w:lvlText w:val="(%2)"/>
      <w:numFmt w:val="decimal"/>
      <w:start w:val="1"/>
    </w:lvl>
  </w:abstractNum>
  <w:abstractNum w:abstractNumId="8">
    <w:nsid w:val="684A481A"/>
    <w:multiLevelType w:val="hybridMultilevel"/>
    <w:lvl w:ilvl="0">
      <w:lvlJc w:val="left"/>
      <w:lvlText w:val="(%1)"/>
      <w:numFmt w:val="lowerLetter"/>
      <w:start w:val="1"/>
    </w:lvl>
  </w:abstractNum>
  <w:abstractNum w:abstractNumId="9">
    <w:nsid w:val="579478FE"/>
    <w:multiLevelType w:val="hybridMultilevel"/>
    <w:lvl w:ilvl="0">
      <w:lvlJc w:val="left"/>
      <w:lvlText w:val="(%1)"/>
      <w:numFmt w:val="lowerRoman"/>
      <w:start w:val="1"/>
    </w:lvl>
  </w:abstractNum>
  <w:abstractNum w:abstractNumId="10">
    <w:nsid w:val="749ABB43"/>
    <w:multiLevelType w:val="hybridMultilevel"/>
    <w:lvl w:ilvl="0">
      <w:lvlJc w:val="left"/>
      <w:lvlText w:val="(%1)"/>
      <w:numFmt w:val="upperLetter"/>
      <w:start w:val="3"/>
    </w:lvl>
  </w:abstractNum>
  <w:abstractNum w:abstractNumId="11">
    <w:nsid w:val="3DC240FB"/>
    <w:multiLevelType w:val="hybridMultilevel"/>
    <w:lvl w:ilvl="0">
      <w:lvlJc w:val="left"/>
      <w:lvlText w:val="(%1)"/>
      <w:numFmt w:val="lowerLetter"/>
      <w:start w:val="1"/>
    </w:lvl>
  </w:abstractNum>
  <w:abstractNum w:abstractNumId="12">
    <w:nsid w:val="1BA026FA"/>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13">
    <w:nsid w:val="79A1DEAA"/>
    <w:multiLevelType w:val="hybridMultilevel"/>
    <w:lvl w:ilvl="0">
      <w:lvlJc w:val="left"/>
      <w:lvlText w:val="%1"/>
      <w:numFmt w:val="decimal"/>
      <w:start w:val="1"/>
    </w:lvl>
    <w:lvl w:ilvl="1">
      <w:lvlJc w:val="left"/>
      <w:lvlText w:val="(%2)"/>
      <w:numFmt w:val="lowerRoman"/>
      <w:start w:val="1"/>
    </w:lvl>
  </w:abstractNum>
  <w:abstractNum w:abstractNumId="14">
    <w:nsid w:val="75C6C33A"/>
    <w:multiLevelType w:val="hybridMultilevel"/>
    <w:lvl w:ilvl="0">
      <w:lvlJc w:val="left"/>
      <w:lvlText w:val="(%1)"/>
      <w:numFmt w:val="decimal"/>
      <w:start w:val="2"/>
    </w:lvl>
    <w:lvl w:ilvl="1">
      <w:lvlJc w:val="left"/>
      <w:lvlText w:val="%2"/>
      <w:numFmt w:val="lowerRoman"/>
      <w:start w:val="1"/>
    </w:lvl>
  </w:abstractNum>
  <w:abstractNum w:abstractNumId="15">
    <w:nsid w:val="12E685FB"/>
    <w:multiLevelType w:val="hybridMultilevel"/>
    <w:lvl w:ilvl="0">
      <w:lvlJc w:val="left"/>
      <w:lvlText w:val="(%1)"/>
      <w:numFmt w:val="lowerLetter"/>
      <w:start w:val="3"/>
    </w:lvl>
    <w:lvl w:ilvl="1">
      <w:lvlJc w:val="left"/>
      <w:lvlText w:val="(%2)"/>
      <w:numFmt w:val="lowerLetter"/>
      <w:start w:val="9"/>
    </w:lvl>
  </w:abstractNum>
  <w:abstractNum w:abstractNumId="16">
    <w:nsid w:val="70C6A529"/>
    <w:multiLevelType w:val="hybridMultilevel"/>
    <w:lvl w:ilvl="0">
      <w:lvlJc w:val="left"/>
      <w:lvlText w:val="(%1)"/>
      <w:numFmt w:val="lowerRoman"/>
      <w:start w:val="2"/>
    </w:lvl>
  </w:abstractNum>
  <w:abstractNum w:abstractNumId="17">
    <w:nsid w:val="520EEDD1"/>
    <w:multiLevelType w:val="hybridMultilevel"/>
    <w:lvl w:ilvl="0">
      <w:lvlJc w:val="left"/>
      <w:lvlText w:val="(%1)"/>
      <w:numFmt w:val="upperLetter"/>
      <w:start w:val="6"/>
    </w:lvl>
  </w:abstractNum>
  <w:abstractNum w:abstractNumId="18">
    <w:nsid w:val="374A3FE6"/>
    <w:multiLevelType w:val="hybridMultilevel"/>
    <w:lvl w:ilvl="0">
      <w:lvlJc w:val="left"/>
      <w:lvlText w:val="(%1)"/>
      <w:numFmt w:val="lowerLetter"/>
      <w:start w:val="1"/>
    </w:lvl>
    <w:lvl w:ilvl="1">
      <w:lvlJc w:val="left"/>
      <w:lvlText w:val="(%2)"/>
      <w:numFmt w:val="lowerRoman"/>
      <w:start w:val="1"/>
    </w:lvl>
  </w:abstractNum>
  <w:abstractNum w:abstractNumId="19">
    <w:nsid w:val="4F4EF005"/>
    <w:multiLevelType w:val="hybridMultilevel"/>
    <w:lvl w:ilvl="0">
      <w:lvlJc w:val="left"/>
      <w:lvlText w:val="(%1)"/>
      <w:numFmt w:val="lowerRoman"/>
      <w:start w:val="3"/>
    </w:lvl>
  </w:abstractNum>
  <w:abstractNum w:abstractNumId="20">
    <w:nsid w:val="23F9C13C"/>
    <w:multiLevelType w:val="hybridMultilevel"/>
    <w:lvl w:ilvl="0">
      <w:lvlJc w:val="left"/>
      <w:lvlText w:val="(%1)"/>
      <w:numFmt w:val="lowerLetter"/>
      <w:start w:val="1"/>
    </w:lvl>
    <w:lvl w:ilvl="1">
      <w:lvlJc w:val="left"/>
      <w:lvlText w:val="(%2)"/>
      <w:numFmt w:val="decimal"/>
      <w:start w:val="1"/>
    </w:lvl>
  </w:abstractNum>
  <w:abstractNum w:abstractNumId="21">
    <w:nsid w:val="649BB77C"/>
    <w:multiLevelType w:val="hybridMultilevel"/>
    <w:lvl w:ilvl="0">
      <w:lvlJc w:val="left"/>
      <w:lvlText w:val="%1"/>
      <w:numFmt w:val="lowerLetter"/>
      <w:start w:val="1"/>
    </w:lvl>
    <w:lvl w:ilvl="1">
      <w:lvlJc w:val="left"/>
      <w:lvlText w:val="(%2)"/>
      <w:numFmt w:val="decimal"/>
      <w:start w:val="6"/>
    </w:lvl>
  </w:abstractNum>
  <w:abstractNum w:abstractNumId="22">
    <w:nsid w:val="275AC794"/>
    <w:multiLevelType w:val="hybridMultilevel"/>
    <w:lvl w:ilvl="0">
      <w:lvlJc w:val="left"/>
      <w:lvlText w:val="(%1)"/>
      <w:numFmt w:val="lowerLetter"/>
      <w:start w:val="6"/>
    </w:lvl>
    <w:lvl w:ilvl="1">
      <w:lvlJc w:val="left"/>
      <w:lvlText w:val="(%2)"/>
      <w:numFmt w:val="decimal"/>
      <w:start w:val="1"/>
    </w:lvl>
  </w:abstractNum>
  <w:abstractNum w:abstractNumId="23">
    <w:nsid w:val="39386575"/>
    <w:multiLevelType w:val="hybridMultilevel"/>
    <w:lvl w:ilvl="0">
      <w:lvlJc w:val="left"/>
      <w:lvlText w:val="(%1)"/>
      <w:numFmt w:val="lowerLetter"/>
      <w:start w:val="5"/>
    </w:lvl>
    <w:lvl w:ilvl="1">
      <w:lvlJc w:val="left"/>
      <w:lvlText w:val="(%2)"/>
      <w:numFmt w:val="decimal"/>
      <w:start w:val="1"/>
    </w:lvl>
  </w:abstractNum>
  <w:abstractNum w:abstractNumId="24">
    <w:nsid w:val="1CF10FD8"/>
    <w:multiLevelType w:val="hybridMultilevel"/>
    <w:lvl w:ilvl="0">
      <w:lvlJc w:val="left"/>
      <w:lvlText w:val="(%1)"/>
      <w:numFmt w:val="lowerLetter"/>
      <w:start w:val="1"/>
    </w:lvl>
  </w:abstractNum>
  <w:abstractNum w:abstractNumId="25">
    <w:nsid w:val="180115BE"/>
    <w:multiLevelType w:val="hybridMultilevel"/>
    <w:lvl w:ilvl="0">
      <w:lvlJc w:val="left"/>
      <w:lvlText w:val="(%1)"/>
      <w:numFmt w:val="lowerLetter"/>
      <w:start w:val="2"/>
    </w:lvl>
  </w:abstractNum>
  <w:abstractNum w:abstractNumId="26">
    <w:nsid w:val="235BA861"/>
    <w:multiLevelType w:val="hybridMultilevel"/>
    <w:lvl w:ilvl="0">
      <w:lvlJc w:val="left"/>
      <w:lvlText w:val="%1"/>
      <w:numFmt w:val="lowerLetter"/>
      <w:start w:val="1"/>
    </w:lvl>
    <w:lvl w:ilvl="1">
      <w:lvlJc w:val="left"/>
      <w:lvlText w:val="(%2)"/>
      <w:numFmt w:val="decimal"/>
      <w:start w:val="2"/>
    </w:lvl>
  </w:abstractNum>
  <w:abstractNum w:abstractNumId="27">
    <w:nsid w:val="47398C89"/>
    <w:multiLevelType w:val="hybridMultilevel"/>
    <w:lvl w:ilvl="0">
      <w:lvlJc w:val="left"/>
      <w:lvlText w:val="(%1)"/>
      <w:numFmt w:val="lowerLetter"/>
      <w:start w:val="8"/>
    </w:lvl>
    <w:lvl w:ilvl="1">
      <w:lvlJc w:val="left"/>
      <w:lvlText w:val="%2"/>
      <w:numFmt w:val="decimal"/>
      <w:start w:val="1"/>
    </w:lvl>
  </w:abstractNum>
  <w:abstractNum w:abstractNumId="28">
    <w:nsid w:val="354FE9F9"/>
    <w:multiLevelType w:val="hybridMultilevel"/>
    <w:lvl w:ilvl="0">
      <w:lvlJc w:val="left"/>
      <w:lvlText w:val="(%1)"/>
      <w:numFmt w:val="upperLetter"/>
      <w:start w:val="9"/>
    </w:lvl>
  </w:abstractNum>
  <w:abstractNum w:abstractNumId="29">
    <w:nsid w:val="15B5AF5C"/>
    <w:multiLevelType w:val="hybridMultilevel"/>
    <w:lvl w:ilvl="0">
      <w:lvlJc w:val="left"/>
      <w:lvlText w:val="(%1)"/>
      <w:numFmt w:val="lowerLetter"/>
      <w:start w:val="13"/>
    </w:lvl>
    <w:lvl w:ilvl="1">
      <w:lvlJc w:val="left"/>
      <w:lvlText w:val="(%2)"/>
      <w:numFmt w:val="decimal"/>
      <w:start w:val="1"/>
    </w:lvl>
    <w:lvl w:ilvl="2">
      <w:lvlJc w:val="left"/>
      <w:lvlText w:val="(%3)"/>
      <w:numFmt w:val="lowerLetter"/>
      <w:start w:val="1"/>
    </w:lvl>
  </w:abstractNum>
  <w:abstractNum w:abstractNumId="30">
    <w:nsid w:val="741226BB"/>
    <w:multiLevelType w:val="hybridMultilevel"/>
    <w:lvl w:ilvl="0">
      <w:lvlJc w:val="left"/>
      <w:lvlText w:val="%1"/>
      <w:numFmt w:val="lowerLetter"/>
      <w:start w:val="1"/>
    </w:lvl>
    <w:lvl w:ilvl="1">
      <w:lvlJc w:val="left"/>
      <w:lvlText w:val="(%2)"/>
      <w:numFmt w:val="decimal"/>
      <w:start w:val="3"/>
    </w:lvl>
  </w:abstractNum>
  <w:abstractNum w:abstractNumId="31">
    <w:nsid w:val="D34B6A8"/>
    <w:multiLevelType w:val="hybridMultilevel"/>
    <w:lvl w:ilvl="0">
      <w:lvlJc w:val="left"/>
      <w:lvlText w:val="(%1)"/>
      <w:numFmt w:val="lowerLetter"/>
      <w:start w:val="19"/>
    </w:lvl>
    <w:lvl w:ilvl="1">
      <w:lvlJc w:val="left"/>
      <w:lvlText w:val="%2"/>
      <w:numFmt w:val="decimal"/>
      <w:start w:val="1"/>
    </w:lvl>
  </w:abstractNum>
  <w:abstractNum w:abstractNumId="32">
    <w:nsid w:val="10233C99"/>
    <w:multiLevelType w:val="hybridMultilevel"/>
    <w:lvl w:ilvl="0">
      <w:lvlJc w:val="left"/>
      <w:lvlText w:val="(%1)"/>
      <w:numFmt w:val="lowerLetter"/>
      <w:start w:val="1"/>
    </w:lvl>
    <w:lvl w:ilvl="1">
      <w:lvlJc w:val="left"/>
      <w:lvlText w:val="(%2)"/>
      <w:numFmt w:val="decimal"/>
      <w:start w:val="1"/>
    </w:lvl>
  </w:abstractNum>
  <w:abstractNum w:abstractNumId="33">
    <w:nsid w:val="3F6AB60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34">
    <w:nsid w:val="61574095"/>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35">
    <w:nsid w:val="7E0C57B1"/>
    <w:multiLevelType w:val="hybridMultilevel"/>
    <w:lvl w:ilvl="0">
      <w:lvlJc w:val="left"/>
      <w:lvlText w:val="(%1)"/>
      <w:numFmt w:val="lowerLetter"/>
      <w:start w:val="17"/>
    </w:lvl>
    <w:lvl w:ilvl="1">
      <w:lvlJc w:val="left"/>
      <w:lvlText w:val="(%2)"/>
      <w:numFmt w:val="decimal"/>
      <w:start w:val="1"/>
    </w:lvl>
    <w:lvl w:ilvl="2">
      <w:lvlJc w:val="left"/>
      <w:lvlText w:val="%3"/>
      <w:numFmt w:val="lowerLetter"/>
      <w:start w:val="1"/>
    </w:lvl>
  </w:abstractNum>
  <w:abstractNum w:abstractNumId="36">
    <w:nsid w:val="77AE35EB"/>
    <w:multiLevelType w:val="hybridMultilevel"/>
    <w:lvl w:ilvl="0">
      <w:lvlJc w:val="left"/>
      <w:lvlText w:val="(%1)"/>
      <w:numFmt w:val="lowerLetter"/>
      <w:start w:val="10"/>
    </w:lvl>
    <w:lvl w:ilvl="1">
      <w:lvlJc w:val="left"/>
      <w:lvlText w:val="(%2)"/>
      <w:numFmt w:val="decimal"/>
      <w:start w:val="1"/>
    </w:lvl>
  </w:abstractNum>
  <w:abstractNum w:abstractNumId="37">
    <w:nsid w:val="579BE4F1"/>
    <w:multiLevelType w:val="hybridMultilevel"/>
    <w:lvl w:ilvl="0">
      <w:lvlJc w:val="left"/>
      <w:lvlText w:val="(%1)"/>
      <w:numFmt w:val="upperLetter"/>
      <w:start w:val="9"/>
    </w:lvl>
  </w:abstractNum>
  <w:abstractNum w:abstractNumId="38">
    <w:nsid w:val="310C50B3"/>
    <w:multiLevelType w:val="hybridMultilevel"/>
    <w:lvl w:ilvl="0">
      <w:lvlJc w:val="left"/>
      <w:lvlText w:val="(%1)"/>
      <w:numFmt w:val="lowerLetter"/>
      <w:start w:val="13"/>
    </w:lvl>
    <w:lvl w:ilvl="1">
      <w:lvlJc w:val="left"/>
      <w:lvlText w:val="(%2)"/>
      <w:numFmt w:val="decimal"/>
      <w:start w:val="1"/>
    </w:lvl>
  </w:abstractNum>
  <w:abstractNum w:abstractNumId="39">
    <w:nsid w:val="5FF87E05"/>
    <w:multiLevelType w:val="hybridMultilevel"/>
    <w:lvl w:ilvl="0">
      <w:lvlJc w:val="left"/>
      <w:lvlText w:val="(%1)"/>
      <w:numFmt w:val="lowerLetter"/>
      <w:start w:val="19"/>
    </w:lvl>
    <w:lvl w:ilvl="1">
      <w:lvlJc w:val="left"/>
      <w:lvlText w:val="(%2)"/>
      <w:numFmt w:val="decimal"/>
      <w:start w:val="1"/>
    </w:lvl>
  </w:abstractNum>
  <w:abstractNum w:abstractNumId="40">
    <w:nsid w:val="2F305DEF"/>
    <w:multiLevelType w:val="hybridMultilevel"/>
    <w:lvl w:ilvl="0">
      <w:lvlJc w:val="left"/>
      <w:lvlText w:val="(%1)"/>
      <w:numFmt w:val="lowerLetter"/>
      <w:start w:val="1"/>
    </w:lvl>
  </w:abstractNum>
  <w:abstractNum w:abstractNumId="41">
    <w:nsid w:val="25A70BF7"/>
    <w:multiLevelType w:val="hybridMultilevel"/>
    <w:lvl w:ilvl="0">
      <w:lvlJc w:val="left"/>
      <w:lvlText w:val="(%1)"/>
      <w:numFmt w:val="lowerLetter"/>
      <w:start w:val="1"/>
    </w:lvl>
  </w:abstractNum>
  <w:abstractNum w:abstractNumId="42">
    <w:nsid w:val="1DBABF00"/>
    <w:multiLevelType w:val="hybridMultilevel"/>
    <w:lvl w:ilvl="0">
      <w:lvlJc w:val="left"/>
      <w:lvlText w:val="(%1)"/>
      <w:numFmt w:val="lowerLetter"/>
      <w:start w:val="1"/>
    </w:lvl>
  </w:abstractNum>
  <w:abstractNum w:abstractNumId="43">
    <w:nsid w:val="4AD084E9"/>
    <w:multiLevelType w:val="hybridMultilevel"/>
    <w:lvl w:ilvl="0">
      <w:lvlJc w:val="left"/>
      <w:lvlText w:val="(%1)"/>
      <w:numFmt w:val="lowerLetter"/>
      <w:start w:val="20"/>
    </w:lvl>
  </w:abstractNum>
  <w:abstractNum w:abstractNumId="44">
    <w:nsid w:val="1F48EAA1"/>
    <w:multiLevelType w:val="hybridMultilevel"/>
    <w:lvl w:ilvl="0">
      <w:lvlJc w:val="left"/>
      <w:lvlText w:val="(%1)"/>
      <w:numFmt w:val="lowerLetter"/>
      <w:start w:val="26"/>
    </w:lvl>
  </w:abstractNum>
  <w:abstractNum w:abstractNumId="45">
    <w:nsid w:val="1381823A"/>
    <w:multiLevelType w:val="hybridMultilevel"/>
    <w:lvl w:ilvl="0">
      <w:lvlJc w:val="left"/>
      <w:lvlText w:val="(%1)"/>
      <w:numFmt w:val="lowerLetter"/>
      <w:start w:val="27"/>
    </w:lvl>
  </w:abstractNum>
  <w:abstractNum w:abstractNumId="46">
    <w:nsid w:val="5DB70AE5"/>
    <w:multiLevelType w:val="hybridMultilevel"/>
    <w:lvl w:ilvl="0">
      <w:lvlJc w:val="left"/>
      <w:lvlText w:val="(%1)"/>
      <w:numFmt w:val="lowerLetter"/>
      <w:start w:val="1"/>
    </w:lvl>
    <w:lvl w:ilvl="1">
      <w:lvlJc w:val="left"/>
      <w:lvlText w:val="(%2)"/>
      <w:numFmt w:val="decimal"/>
      <w:start w:val="1"/>
    </w:lvl>
  </w:abstractNum>
  <w:abstractNum w:abstractNumId="47">
    <w:nsid w:val="100F8FCA"/>
    <w:multiLevelType w:val="hybridMultilevel"/>
    <w:lvl w:ilvl="0">
      <w:lvlJc w:val="left"/>
      <w:lvlText w:val="(%1)"/>
      <w:numFmt w:val="lowerLetter"/>
      <w:start w:val="17"/>
    </w:lvl>
  </w:abstractNum>
  <w:abstractNum w:abstractNumId="48">
    <w:nsid w:val="6590700B"/>
    <w:multiLevelType w:val="hybridMultilevel"/>
    <w:lvl w:ilvl="0">
      <w:lvlJc w:val="left"/>
      <w:lvlText w:val="%1."/>
      <w:numFmt w:val="decimal"/>
      <w:start w:val="1"/>
    </w:lvl>
    <w:lvl w:ilvl="1">
      <w:lvlJc w:val="left"/>
      <w:lvlText w:val="(%2)"/>
      <w:numFmt w:val="lowerLetter"/>
      <w:start w:val="4"/>
    </w:lvl>
  </w:abstractNum>
  <w:abstractNum w:abstractNumId="49">
    <w:nsid w:val="15014ACB"/>
    <w:multiLevelType w:val="hybridMultilevel"/>
    <w:lvl w:ilvl="0">
      <w:lvlJc w:val="left"/>
      <w:lvlText w:val="%1"/>
      <w:numFmt w:val="decimal"/>
      <w:start w:val="1"/>
    </w:lvl>
    <w:lvl w:ilvl="1">
      <w:lvlJc w:val="left"/>
      <w:lvlText w:val="(%2)"/>
      <w:numFmt w:val="lowerLetter"/>
      <w:start w:val="7"/>
    </w:lvl>
  </w:abstractNum>
  <w:abstractNum w:abstractNumId="50">
    <w:nsid w:val="5F5E7FD0"/>
    <w:multiLevelType w:val="hybridMultilevel"/>
    <w:lvl w:ilvl="0">
      <w:lvlJc w:val="left"/>
      <w:lvlText w:val="%1."/>
      <w:numFmt w:val="decimal"/>
      <w:start w:val="3"/>
    </w:lvl>
    <w:lvl w:ilvl="1">
      <w:lvlJc w:val="left"/>
      <w:lvlText w:val="%2"/>
      <w:numFmt w:val="lowerLetter"/>
      <w:start w:val="1"/>
    </w:lvl>
  </w:abstractNum>
  <w:abstractNum w:abstractNumId="51">
    <w:nsid w:val="98A3148"/>
    <w:multiLevelType w:val="hybridMultilevel"/>
    <w:lvl w:ilvl="0">
      <w:lvlJc w:val="left"/>
      <w:lvlText w:val="%1."/>
      <w:numFmt w:val="decimal"/>
      <w:start w:val="1"/>
    </w:lvl>
    <w:lvl w:ilvl="1">
      <w:lvlJc w:val="left"/>
      <w:lvlText w:val="•"/>
      <w:numFmt w:val="bullet"/>
      <w:start w:val="1"/>
    </w:lvl>
    <w:lvl w:ilvl="2">
      <w:lvlJc w:val="left"/>
      <w:lvlText w:val="%3."/>
      <w:numFmt w:val="decimal"/>
      <w:start w:val="1"/>
    </w:lvl>
  </w:abstractNum>
  <w:abstractNum w:abstractNumId="52">
    <w:nsid w:val="799D0247"/>
    <w:multiLevelType w:val="hybridMultilevel"/>
    <w:lvl w:ilvl="0">
      <w:lvlJc w:val="left"/>
      <w:lvlText w:val="%1."/>
      <w:numFmt w:val="decimal"/>
      <w:start w:val="1"/>
    </w:lvl>
  </w:abstractNum>
  <w:abstractNum w:abstractNumId="53">
    <w:nsid w:val="6B94764"/>
    <w:multiLevelType w:val="hybridMultilevel"/>
    <w:lvl w:ilvl="0">
      <w:lvlJc w:val="left"/>
      <w:lvlText w:val="•"/>
      <w:numFmt w:val="bullet"/>
      <w:start w:val="1"/>
    </w:lvl>
    <w:lvl w:ilvl="1">
      <w:lvlJc w:val="left"/>
      <w:lvlText w:val="%2)"/>
      <w:numFmt w:val="lowerLetter"/>
      <w:start w:val="1"/>
    </w:lvl>
  </w:abstractNum>
  <w:abstractNum w:abstractNumId="54">
    <w:nsid w:val="42C296BD"/>
    <w:multiLevelType w:val="hybridMultilevel"/>
    <w:lvl w:ilvl="0">
      <w:lvlJc w:val="left"/>
      <w:lvlText w:val="%1."/>
      <w:numFmt w:val="decimal"/>
      <w:start w:val="1"/>
    </w:lvl>
  </w:abstractNum>
  <w:abstractNum w:abstractNumId="55">
    <w:nsid w:val="168E121F"/>
    <w:multiLevelType w:val="hybridMultilevel"/>
    <w:lvl w:ilvl="0">
      <w:lvlJc w:val="left"/>
      <w:lvlText w:val="%1."/>
      <w:numFmt w:val="decimal"/>
      <w:start w:val="1"/>
    </w:lvl>
  </w:abstractNum>
  <w:abstractNum w:abstractNumId="56">
    <w:nsid w:val="1EBA5D23"/>
    <w:multiLevelType w:val="hybridMultilevel"/>
    <w:lvl w:ilvl="0">
      <w:lvlJc w:val="left"/>
      <w:lvlText w:val="%1)"/>
      <w:numFmt w:val="lowerLetter"/>
      <w:start w:val="1"/>
    </w:lvl>
  </w:abstractNum>
  <w:abstractNum w:abstractNumId="57">
    <w:nsid w:val="661E3F1E"/>
    <w:multiLevelType w:val="hybridMultilevel"/>
    <w:lvl w:ilvl="0">
      <w:lvlJc w:val="left"/>
      <w:lvlText w:val="•"/>
      <w:numFmt w:val="bullet"/>
      <w:start w:val="1"/>
    </w:lvl>
    <w:lvl w:ilvl="1">
      <w:lvlJc w:val="left"/>
      <w:lvlText w:val="%2."/>
      <w:numFmt w:val="decimal"/>
      <w:start w:val="1"/>
    </w:lvl>
  </w:abstractNum>
  <w:abstractNum w:abstractNumId="58">
    <w:nsid w:val="5DC79EA8"/>
    <w:multiLevelType w:val="hybridMultilevel"/>
    <w:lvl w:ilvl="0">
      <w:lvlJc w:val="left"/>
      <w:lvlText w:val="%1."/>
      <w:numFmt w:val="decimal"/>
      <w:start w:val="1"/>
    </w:lvl>
  </w:abstractNum>
  <w:abstractNum w:abstractNumId="59">
    <w:nsid w:val="540A471C"/>
    <w:multiLevelType w:val="hybridMultilevel"/>
    <w:lvl w:ilvl="0">
      <w:lvlJc w:val="left"/>
      <w:lvlText w:val="•"/>
      <w:numFmt w:val="bullet"/>
      <w:start w:val="1"/>
    </w:lvl>
  </w:abstractNum>
  <w:abstractNum w:abstractNumId="60">
    <w:nsid w:val="7BD3EE7B"/>
    <w:multiLevelType w:val="hybridMultilevel"/>
    <w:lvl w:ilvl="0">
      <w:lvlJc w:val="left"/>
      <w:lvlText w:val="%1."/>
      <w:numFmt w:val="decimal"/>
      <w:start w:val="1"/>
    </w:lvl>
    <w:lvl w:ilvl="1">
      <w:lvlJc w:val="left"/>
      <w:lvlText w:val="%2)"/>
      <w:numFmt w:val="lowerLetter"/>
      <w:start w:val="1"/>
    </w:lvl>
  </w:abstractNum>
  <w:abstractNum w:abstractNumId="61">
    <w:nsid w:val="51D9C564"/>
    <w:multiLevelType w:val="hybridMultilevel"/>
    <w:lvl w:ilvl="0">
      <w:lvlJc w:val="left"/>
      <w:lvlText w:val="%1."/>
      <w:numFmt w:val="decimal"/>
      <w:start w:val="1"/>
    </w:lvl>
  </w:abstractNum>
  <w:abstractNum w:abstractNumId="62">
    <w:nsid w:val="613EFDC5"/>
    <w:multiLevelType w:val="hybridMultilevel"/>
    <w:lvl w:ilvl="0">
      <w:lvlJc w:val="left"/>
      <w:lvlText w:val="•"/>
      <w:numFmt w:val="bullet"/>
      <w:start w:val="1"/>
    </w:lvl>
  </w:abstractNum>
  <w:abstractNum w:abstractNumId="63">
    <w:nsid w:val="BF72B14"/>
    <w:multiLevelType w:val="hybridMultilevel"/>
    <w:lvl w:ilvl="0">
      <w:lvlJc w:val="left"/>
      <w:lvlText w:val="•"/>
      <w:numFmt w:val="bullet"/>
      <w:start w:val="1"/>
    </w:lvl>
  </w:abstractNum>
  <w:abstractNum w:abstractNumId="64">
    <w:nsid w:val="11447B73"/>
    <w:multiLevelType w:val="hybridMultilevel"/>
    <w:lvl w:ilvl="0">
      <w:lvlJc w:val="left"/>
      <w:lvlText w:val="•"/>
      <w:numFmt w:val="bullet"/>
      <w:start w:val="1"/>
    </w:lvl>
  </w:abstractNum>
  <w:abstractNum w:abstractNumId="65">
    <w:nsid w:val="42963E5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6">
    <w:nsid w:val="A0382C5"/>
    <w:multiLevelType w:val="hybridMultilevel"/>
    <w:lvl w:ilvl="0">
      <w:lvlJc w:val="left"/>
      <w:lvlText w:val="%1."/>
      <w:numFmt w:val="decimal"/>
      <w:start w:val="2"/>
    </w:lvl>
    <w:lvl w:ilvl="1">
      <w:lvlJc w:val="left"/>
      <w:lvlText w:val="%2"/>
      <w:numFmt w:val="decimal"/>
      <w:start w:val="1"/>
    </w:lvl>
    <w:lvl w:ilvl="2">
      <w:lvlJc w:val="left"/>
      <w:lvlText w:val="%3."/>
      <w:numFmt w:val="decimal"/>
      <w:start w:val="1"/>
    </w:lvl>
  </w:abstractNum>
  <w:abstractNum w:abstractNumId="67">
    <w:nsid w:val="8F2B15E"/>
    <w:multiLevelType w:val="hybridMultilevel"/>
    <w:lvl w:ilvl="0">
      <w:lvlJc w:val="left"/>
      <w:lvlText w:val="•"/>
      <w:numFmt w:val="bullet"/>
      <w:start w:val="1"/>
    </w:lvl>
  </w:abstractNum>
  <w:abstractNum w:abstractNumId="68">
    <w:nsid w:val="1A32234B"/>
    <w:multiLevelType w:val="hybridMultilevel"/>
    <w:lvl w:ilvl="0">
      <w:lvlJc w:val="left"/>
      <w:lvlText w:val="%1."/>
      <w:numFmt w:val="decimal"/>
      <w:start w:val="3"/>
    </w:lvl>
    <w:lvl w:ilvl="1">
      <w:lvlJc w:val="left"/>
      <w:lvlText w:val="•"/>
      <w:numFmt w:val="bullet"/>
      <w:start w:val="1"/>
    </w:lvl>
    <w:lvl w:ilvl="2">
      <w:lvlJc w:val="left"/>
      <w:lvlText w:val="%3."/>
      <w:numFmt w:val="decimal"/>
      <w:start w:val="1"/>
    </w:lvl>
  </w:abstractNum>
  <w:abstractNum w:abstractNumId="69">
    <w:nsid w:val="3B0FD379"/>
    <w:multiLevelType w:val="hybridMultilevel"/>
    <w:lvl w:ilvl="0">
      <w:lvlJc w:val="left"/>
      <w:lvlText w:val="•"/>
      <w:numFmt w:val="bullet"/>
      <w:start w:val="1"/>
    </w:lvl>
    <w:lvl w:ilvl="1">
      <w:lvlJc w:val="left"/>
      <w:lvlText w:val="%2."/>
      <w:numFmt w:val="decimal"/>
      <w:start w:val="1"/>
    </w:lvl>
  </w:abstractNum>
  <w:abstractNum w:abstractNumId="70">
    <w:nsid w:val="68EB2F63"/>
    <w:multiLevelType w:val="hybridMultilevel"/>
    <w:lvl w:ilvl="0">
      <w:lvlJc w:val="left"/>
      <w:lvlText w:val="•"/>
      <w:numFmt w:val="bullet"/>
      <w:start w:val="1"/>
    </w:lvl>
    <w:lvl w:ilvl="1">
      <w:lvlJc w:val="left"/>
      <w:lvlText w:val="(%2)"/>
      <w:numFmt w:val="decimal"/>
      <w:start w:val="1"/>
    </w:lvl>
  </w:abstractNum>
  <w:abstractNum w:abstractNumId="71">
    <w:nsid w:val="4962813B"/>
    <w:multiLevelType w:val="hybridMultilevel"/>
    <w:lvl w:ilvl="0">
      <w:lvlJc w:val="left"/>
      <w:lvlText w:val="•"/>
      <w:numFmt w:val="bullet"/>
      <w:start w:val="1"/>
    </w:lvl>
  </w:abstractNum>
  <w:abstractNum w:abstractNumId="72">
    <w:nsid w:val="60B6DF70"/>
    <w:multiLevelType w:val="hybridMultilevel"/>
    <w:lvl w:ilvl="0">
      <w:lvlJc w:val="left"/>
      <w:lvlText w:val="(%1)"/>
      <w:numFmt w:val="lowerLetter"/>
      <w:start w:val="10"/>
    </w:lvl>
  </w:abstractNum>
  <w:abstractNum w:abstractNumId="73">
    <w:nsid w:val="6A5EE64"/>
    <w:multiLevelType w:val="hybridMultilevel"/>
    <w:lvl w:ilvl="0">
      <w:lvlJc w:val="left"/>
      <w:lvlText w:val="(%1)"/>
      <w:numFmt w:val="upperLetter"/>
      <w:start w:val="6"/>
    </w:lvl>
  </w:abstractNum>
  <w:abstractNum w:abstractNumId="74">
    <w:nsid w:val="14330624"/>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21"/>
    </w:lvl>
    <w:lvl w:ilvl="3">
      <w:lvlJc w:val="left"/>
      <w:lvlText w:val="(%4)"/>
      <w:numFmt w:val="decimal"/>
      <w:start w:val="1"/>
    </w:lvl>
  </w:abstractNum>
  <w:abstractNum w:abstractNumId="75">
    <w:nsid w:val="7FFFCA11"/>
    <w:multiLevelType w:val="hybridMultilevel"/>
    <w:lvl w:ilvl="0">
      <w:lvlJc w:val="left"/>
      <w:lvlText w:val="%1."/>
      <w:numFmt w:val="decimal"/>
      <w:start w:val="1"/>
    </w:lvl>
  </w:abstractNum>
  <w:abstractNum w:abstractNumId="76">
    <w:nsid w:val="1A27709E"/>
    <w:multiLevelType w:val="hybridMultilevel"/>
    <w:lvl w:ilvl="0">
      <w:lvlJc w:val="left"/>
      <w:lvlText w:val="%1."/>
      <w:numFmt w:val="decimal"/>
      <w:start w:val="2"/>
    </w:lvl>
  </w:abstractNum>
  <w:abstractNum w:abstractNumId="77">
    <w:nsid w:val="71EA1109"/>
    <w:multiLevelType w:val="hybridMultilevel"/>
    <w:lvl w:ilvl="0">
      <w:lvlJc w:val="left"/>
      <w:lvlText w:val="%1."/>
      <w:numFmt w:val="decimal"/>
      <w:start w:val="1"/>
    </w:lvl>
    <w:lvl w:ilvl="1">
      <w:lvlJc w:val="left"/>
      <w:lvlText w:val="•"/>
      <w:numFmt w:val="bullet"/>
      <w:start w:val="1"/>
    </w:lvl>
  </w:abstractNum>
  <w:abstractNum w:abstractNumId="78">
    <w:nsid w:val="100F59DC"/>
    <w:multiLevelType w:val="hybridMultilevel"/>
    <w:lvl w:ilvl="0">
      <w:lvlJc w:val="left"/>
      <w:lvlText w:val="%1."/>
      <w:numFmt w:val="decimal"/>
      <w:start w:val="1"/>
    </w:lvl>
    <w:lvl w:ilvl="1">
      <w:lvlJc w:val="left"/>
      <w:lvlText w:val="(%2)"/>
      <w:numFmt w:val="lowerLetter"/>
      <w:start w:val="1"/>
    </w:lvl>
  </w:abstractNum>
  <w:abstractNum w:abstractNumId="79">
    <w:nsid w:val="7FB7E0AA"/>
    <w:multiLevelType w:val="hybridMultilevel"/>
    <w:lvl w:ilvl="0">
      <w:lvlJc w:val="left"/>
      <w:lvlText w:val="%1."/>
      <w:numFmt w:val="decimal"/>
      <w:start w:val="1"/>
    </w:lvl>
    <w:lvl w:ilvl="1">
      <w:lvlJc w:val="left"/>
      <w:lvlText w:val="•"/>
      <w:numFmt w:val="bullet"/>
      <w:start w:val="1"/>
    </w:lvl>
    <w:lvl w:ilvl="2">
      <w:lvlJc w:val="left"/>
      <w:lvlText w:val="(%3)"/>
      <w:numFmt w:val="lowerLetter"/>
      <w:start w:val="21"/>
    </w:lvl>
  </w:abstractNum>
  <w:abstractNum w:abstractNumId="80">
    <w:nsid w:val="6EB5BD4"/>
    <w:multiLevelType w:val="hybridMultilevel"/>
    <w:lvl w:ilvl="0">
      <w:lvlJc w:val="left"/>
      <w:lvlText w:val="%1."/>
      <w:numFmt w:val="decimal"/>
      <w:start w:val="1"/>
    </w:lvl>
  </w:abstractNum>
  <w:abstractNum w:abstractNumId="81">
    <w:nsid w:val="6F6DD9AC"/>
    <w:multiLevelType w:val="hybridMultilevel"/>
    <w:lvl w:ilvl="0">
      <w:lvlJc w:val="left"/>
      <w:lvlText w:val="%1."/>
      <w:numFmt w:val="decimal"/>
      <w:start w:val="1"/>
    </w:lvl>
  </w:abstractNum>
  <w:abstractNum w:abstractNumId="82">
    <w:nsid w:val="94211F2"/>
    <w:multiLevelType w:val="hybridMultilevel"/>
    <w:lvl w:ilvl="0">
      <w:lvlJc w:val="left"/>
      <w:lvlText w:val="(%1)"/>
      <w:numFmt w:val="upperLetter"/>
      <w:start w:val="4"/>
    </w:lvl>
  </w:abstractNum>
  <w:abstractNum w:abstractNumId="83">
    <w:nsid w:val="885E1B"/>
    <w:multiLevelType w:val="hybridMultilevel"/>
    <w:lvl w:ilvl="0">
      <w:lvlJc w:val="left"/>
      <w:lvlText w:val="%1."/>
      <w:numFmt w:val="decimal"/>
      <w:start w:val="1"/>
    </w:lvl>
  </w:abstractNum>
  <w:abstractNum w:abstractNumId="84">
    <w:nsid w:val="76272110"/>
    <w:multiLevelType w:val="hybridMultilevel"/>
    <w:lvl w:ilvl="0">
      <w:lvlJc w:val="left"/>
      <w:lvlText w:val="%1."/>
      <w:numFmt w:val="decimal"/>
      <w:start w:val="2"/>
    </w:lvl>
  </w:abstractNum>
  <w:abstractNum w:abstractNumId="85">
    <w:nsid w:val="4C04A8AF"/>
    <w:multiLevelType w:val="hybridMultilevel"/>
    <w:lvl w:ilvl="0">
      <w:lvlJc w:val="left"/>
      <w:lvlText w:val="%1."/>
      <w:numFmt w:val="decimal"/>
      <w:start w:val="1"/>
    </w:lvl>
    <w:lvl w:ilvl="1">
      <w:lvlJc w:val="left"/>
      <w:lvlText w:val="(%2)"/>
      <w:numFmt w:val="lowerLetter"/>
      <w:start w:val="5"/>
    </w:lvl>
  </w:abstractNum>
  <w:abstractNum w:abstractNumId="86">
    <w:nsid w:val="1716703B"/>
    <w:multiLevelType w:val="hybridMultilevel"/>
    <w:lvl w:ilvl="0">
      <w:lvlJc w:val="left"/>
      <w:lvlText w:val="☒"/>
      <w:numFmt w:val="bullet"/>
      <w:start w:val="1"/>
    </w:lvl>
    <w:lvl w:ilvl="1">
      <w:lvlJc w:val="left"/>
      <w:lvlText w:val="(%2)"/>
      <w:numFmt w:val="lowerRoman"/>
      <w:start w:val="1"/>
    </w:lvl>
  </w:abstractNum>
  <w:abstractNum w:abstractNumId="87">
    <w:nsid w:val="14E17E33"/>
    <w:multiLevelType w:val="hybridMultilevel"/>
    <w:lvl w:ilvl="0">
      <w:lvlJc w:val="left"/>
      <w:lvlText w:val="%1."/>
      <w:numFmt w:val="decimal"/>
      <w:start w:val="1"/>
    </w:lvl>
    <w:lvl w:ilvl="1">
      <w:lvlJc w:val="left"/>
      <w:lvlText w:val="•"/>
      <w:numFmt w:val="bullet"/>
      <w:start w:val="1"/>
    </w:lvl>
  </w:abstractNum>
  <w:abstractNum w:abstractNumId="88">
    <w:nsid w:val="3222E7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2019-12-03T22:07:27Z</dcterms:created>
  <dcterms:modified xsi:type="dcterms:W3CDTF">2019-12-03T22:07:27Z</dcterms:modified>
</cp:coreProperties>
</file>