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Specialty Lending,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24" w:type="dxa"/>
        <w:tblCellMar>
          <w:top w:w="0" w:type="dxa"/>
          <w:left w:w="0" w:type="dxa"/>
          <w:bottom w:w="0" w:type="dxa"/>
          <w:right w:w="0" w:type="dxa"/>
        </w:tblCellMar>
      </w:tblPr>
      <w:tr>
        <w:trPr>
          <w:trHeight w:val="214"/>
        </w:trPr>
        <w:tc>
          <w:tcPr>
            <w:tcW w:w="288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001-36364</w:t>
            </w:r>
          </w:p>
        </w:tc>
        <w:tc>
          <w:tcPr>
            <w:tcW w:w="17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8"/>
        </w:trPr>
        <w:tc>
          <w:tcPr>
            <w:tcW w:w="28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660" w:type="dxa"/>
            <w:vAlign w:val="bottom"/>
          </w:tcPr>
          <w:p>
            <w:pPr>
              <w:ind w:left="18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60" w:type="dxa"/>
            <w:vAlign w:val="bottom"/>
          </w:tcPr>
          <w:p>
            <w:pPr>
              <w:jc w:val="center"/>
              <w:ind w:left="5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66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6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288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46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7"/>
        </w:trPr>
        <w:tc>
          <w:tcPr>
            <w:tcW w:w="288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4660" w:type="dxa"/>
            <w:vAlign w:val="bottom"/>
          </w:tcPr>
          <w:p>
            <w:pPr>
              <w:spacing w:after="0"/>
              <w:rPr>
                <w:sz w:val="19"/>
                <w:szCs w:val="19"/>
                <w:color w:val="auto"/>
              </w:rPr>
            </w:pPr>
          </w:p>
        </w:tc>
        <w:tc>
          <w:tcPr>
            <w:tcW w:w="17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28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60" w:type="dxa"/>
            <w:vAlign w:val="bottom"/>
          </w:tcPr>
          <w:p>
            <w:pPr>
              <w:spacing w:after="0"/>
              <w:rPr>
                <w:sz w:val="16"/>
                <w:szCs w:val="16"/>
                <w:color w:val="auto"/>
              </w:rPr>
            </w:pPr>
          </w:p>
        </w:tc>
        <w:tc>
          <w:tcPr>
            <w:tcW w:w="1760" w:type="dxa"/>
            <w:vAlign w:val="bottom"/>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04"/>
        </w:trPr>
        <w:tc>
          <w:tcPr>
            <w:tcW w:w="2880" w:type="dxa"/>
            <w:vAlign w:val="bottom"/>
          </w:tcPr>
          <w:p>
            <w:pPr>
              <w:spacing w:after="0"/>
              <w:rPr>
                <w:sz w:val="24"/>
                <w:szCs w:val="24"/>
                <w:color w:val="auto"/>
              </w:rPr>
            </w:pPr>
          </w:p>
        </w:tc>
        <w:tc>
          <w:tcPr>
            <w:tcW w:w="466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(469) 621-3001</w:t>
            </w:r>
          </w:p>
        </w:tc>
        <w:tc>
          <w:tcPr>
            <w:tcW w:w="1760" w:type="dxa"/>
            <w:vAlign w:val="bottom"/>
          </w:tcPr>
          <w:p>
            <w:pPr>
              <w:spacing w:after="0"/>
              <w:rPr>
                <w:sz w:val="24"/>
                <w:szCs w:val="24"/>
                <w:color w:val="auto"/>
              </w:rPr>
            </w:pPr>
          </w:p>
        </w:tc>
      </w:tr>
      <w:tr>
        <w:trPr>
          <w:trHeight w:val="190"/>
        </w:trPr>
        <w:tc>
          <w:tcPr>
            <w:tcW w:w="2880" w:type="dxa"/>
            <w:vAlign w:val="bottom"/>
          </w:tcPr>
          <w:p>
            <w:pPr>
              <w:spacing w:after="0"/>
              <w:rPr>
                <w:sz w:val="16"/>
                <w:szCs w:val="16"/>
                <w:color w:val="auto"/>
              </w:rPr>
            </w:pPr>
          </w:p>
        </w:tc>
        <w:tc>
          <w:tcPr>
            <w:tcW w:w="4660" w:type="dxa"/>
            <w:vAlign w:val="bottom"/>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60" w:type="dxa"/>
            <w:vAlign w:val="bottom"/>
          </w:tcPr>
          <w:p>
            <w:pPr>
              <w:spacing w:after="0"/>
              <w:rPr>
                <w:sz w:val="16"/>
                <w:szCs w:val="16"/>
                <w:color w:val="auto"/>
              </w:rPr>
            </w:pPr>
          </w:p>
        </w:tc>
      </w:tr>
      <w:tr>
        <w:trPr>
          <w:trHeight w:val="390"/>
        </w:trPr>
        <w:tc>
          <w:tcPr>
            <w:tcW w:w="2880" w:type="dxa"/>
            <w:vAlign w:val="bottom"/>
          </w:tcPr>
          <w:p>
            <w:pPr>
              <w:spacing w:after="0"/>
              <w:rPr>
                <w:sz w:val="24"/>
                <w:szCs w:val="24"/>
                <w:color w:val="auto"/>
              </w:rPr>
            </w:pPr>
          </w:p>
        </w:tc>
        <w:tc>
          <w:tcPr>
            <w:tcW w:w="4660" w:type="dxa"/>
            <w:vAlign w:val="bottom"/>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760" w:type="dxa"/>
            <w:vAlign w:val="bottom"/>
          </w:tcPr>
          <w:p>
            <w:pPr>
              <w:spacing w:after="0"/>
              <w:rPr>
                <w:sz w:val="24"/>
                <w:szCs w:val="24"/>
                <w:color w:val="auto"/>
              </w:rPr>
            </w:pPr>
          </w:p>
        </w:tc>
      </w:tr>
      <w:tr>
        <w:trPr>
          <w:trHeight w:val="190"/>
        </w:trPr>
        <w:tc>
          <w:tcPr>
            <w:tcW w:w="2880" w:type="dxa"/>
            <w:vAlign w:val="bottom"/>
          </w:tcPr>
          <w:p>
            <w:pPr>
              <w:spacing w:after="0"/>
              <w:rPr>
                <w:sz w:val="16"/>
                <w:szCs w:val="16"/>
                <w:color w:val="auto"/>
              </w:rPr>
            </w:pPr>
          </w:p>
        </w:tc>
        <w:tc>
          <w:tcPr>
            <w:tcW w:w="4660" w:type="dxa"/>
            <w:vAlign w:val="bottom"/>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TSLX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3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14, 2026, Sixth Street Specialty Lending, Inc. (the “Company”) and U.S. Bank Trust Company, National Association (the “Trustee”), entered into a Third Supplemental Indenture (the “Third Supplemental Indenture”) to the Indenture, dated as of January 16, 2024, between the Company and the Trustee (the “Base Indenture”; and together with the Third Supplemental Indenture, the “Indenture”), relating to the Company’s issuance, offer and sale of $300,000,000 aggregate principal amount of its 5.650% notes due 2031 (the “Notes”).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Notes will mature on August 15, 2031 and may be redeemed in whole or in part at the Company’s option at any time at the redemption prices set forth in the Third Supplemental Indenture. The Notes bear interest at a rate of 5.650% per year payable semiannually on February 15 and August 15 of each year, commencing on February 15, 2027. The Notes are direct unsecured obligations of the Company.</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expects to use the net proceeds of this offering to pay down debt under its revolving credit facility and for general corporate purposes, including making new investments in accordance with the Company’s investment objective and strategies.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 and to provide financial information to the holders of the Notes and the Trustee if the Company should no longer be subject to the reporting requirements under the Securities Exchange Act of 1934. These covenants are subject to important limitations and exceptions that are described in the Indenture.</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upon the occurrence of a change of control repurchase event (which involves the occurrence of both a change of control and a below investment grade rating of the Notes by Fitch Ratings, Inc., Moody’s Investor Service and S&amp;P Global Ratings), the Company will be required to make an offer to purchase the Notes at a price equal to 100% of the principal amount plus accrued and unpaid interest to the date of purchase.</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Notes were offered and sold pursuant to the Registration Statement on Form N-2 (File No. 333-276252), the preliminary prospectus supplement filed with the Securities and Exchange Commission on May 7, 2026 and the pricing term sheet filed with the Securities and Exchange Commission on May 7, 2026. The transaction closed on May 14, 2026.</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Base Indenture, Third Supplemental Indenture and the Notes do not purport to be complete and are qualified in their entirety by reference to the full text of the Base Indenture, Third Supplemental Indenture and the Notes, respectively, each filed as exhibits hereto and incorporated by reference herein.</w:t>
      </w:r>
    </w:p>
    <w:p>
      <w:pPr>
        <w:spacing w:after="0" w:line="280" w:lineRule="exact"/>
        <w:rPr>
          <w:sz w:val="20"/>
          <w:szCs w:val="20"/>
          <w:color w:val="auto"/>
        </w:rPr>
      </w:pPr>
    </w:p>
    <w:p>
      <w:pPr>
        <w:ind w:right="11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2.03 - Creation of a Direct Financial Obligation or an Obligation Under an Off-Balance Sheet Arrangement of a Registrant </w:t>
      </w:r>
      <w:r>
        <w:rPr>
          <w:rFonts w:ascii="Times New Roman" w:cs="Times New Roman" w:eastAsia="Times New Roman" w:hAnsi="Times New Roman"/>
          <w:sz w:val="18"/>
          <w:szCs w:val="18"/>
          <w:color w:val="auto"/>
        </w:rPr>
        <w:t>The information set forth under Item 1.01 of this Form 8-K is incorporated 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Financial Statements and Exhibits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7, 2026, the Company entered into an underwriting agreement (the “Underwriting Agreement”) by and among the Company, Sixth Street Specialty Lending Advisers, LLC, (the “Adviser”) and BofA Securities, Inc., as representative of the several underwriters named in Schedule 1 thereto (the “Underwriters”), in connection with the issuance and sale of $300,000,000 aggregate principal amount of the Company’s 5.650% Notes due 2031 (the “Offering”).</w:t>
      </w:r>
    </w:p>
    <w:p>
      <w:pPr>
        <w:sectPr>
          <w:pgSz w:w="11900" w:h="16838" w:orient="portrait"/>
          <w:cols w:equalWidth="0" w:num="1">
            <w:col w:w="10980"/>
          </w:cols>
          <w:pgMar w:left="440" w:top="293" w:right="479" w:bottom="1440" w:gutter="0" w:footer="0" w:header="0"/>
        </w:sectPr>
      </w:pPr>
    </w:p>
    <w:bookmarkStart w:id="2" w:name="page3"/>
    <w:bookmarkEnd w:id="2"/>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Offering was made pursuant to the Company’s effective shelf registration statement on Form N-2 (Registration No. 333-276252) previously filed with the Securities and Exchange Commission, as supplemented by a preliminary prospectus supplement dated May 7, 2026, and a final prospectus supplement dated May 7, 2026.</w:t>
      </w:r>
    </w:p>
    <w:p>
      <w:pPr>
        <w:spacing w:after="0" w:line="176"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full text of the Underwriting Agreement filed with this report as Exhibit 1.1 and which is incorporated herein by reference.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-1270</wp:posOffset>
            </wp:positionV>
            <wp:extent cx="6403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66" w:lineRule="exact"/>
        <w:rPr>
          <w:sz w:val="20"/>
          <w:szCs w:val="20"/>
          <w:color w:val="auto"/>
        </w:rPr>
      </w:pPr>
    </w:p>
    <w:p>
      <w:pPr>
        <w:ind w:left="924" w:right="120" w:hanging="924"/>
        <w:spacing w:after="0" w:line="282" w:lineRule="auto"/>
        <w:tabs>
          <w:tab w:leader="none" w:pos="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1.1</w:t>
      </w:r>
      <w:r>
        <w:rPr>
          <w:rFonts w:ascii="Times New Roman" w:cs="Times New Roman" w:eastAsia="Times New Roman" w:hAnsi="Times New Roman"/>
          <w:sz w:val="18"/>
          <w:szCs w:val="18"/>
          <w:u w:val="single" w:color="auto"/>
          <w:color w:val="0000EE"/>
        </w:rPr>
        <w:t>Underwriting Agreement dated May 7, 2026 by and among Sixth Street Specialty Lending, Inc., Sixth Street Specialty Lending Advisers, LLC and BofA Securities, Inc. as representative of the several underwriters named therein.</w:t>
      </w:r>
    </w:p>
    <w:p>
      <w:pPr>
        <w:spacing w:after="0" w:line="53" w:lineRule="exact"/>
        <w:rPr>
          <w:rFonts w:ascii="Times New Roman" w:cs="Times New Roman" w:eastAsia="Times New Roman" w:hAnsi="Times New Roman"/>
          <w:sz w:val="18"/>
          <w:szCs w:val="18"/>
          <w:color w:val="auto"/>
        </w:rPr>
      </w:pPr>
    </w:p>
    <w:p>
      <w:pPr>
        <w:ind w:left="924" w:hanging="92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0">
        <w:r>
          <w:rPr>
            <w:rFonts w:ascii="Times New Roman" w:cs="Times New Roman" w:eastAsia="Times New Roman" w:hAnsi="Times New Roman"/>
            <w:sz w:val="18"/>
            <w:szCs w:val="18"/>
            <w:u w:val="single" w:color="auto"/>
            <w:color w:val="0000EE"/>
          </w:rPr>
          <w:t>Indenture, dated as of January 16, 2024, between Sixth Street Specialty Lending, Inc. and U.S. Bank Trust Company, National Association,</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as Trustee (incorporated by reference to Exhibit 4.1 to the Company’s Form 8-K, filed on January 16, 2024).</w:t>
        </w:r>
      </w:hyperlink>
    </w:p>
    <w:p>
      <w:pPr>
        <w:spacing w:after="0" w:line="53" w:lineRule="exact"/>
        <w:rPr>
          <w:rFonts w:ascii="Times New Roman" w:cs="Times New Roman" w:eastAsia="Times New Roman" w:hAnsi="Times New Roman"/>
          <w:sz w:val="18"/>
          <w:szCs w:val="18"/>
          <w:u w:val="single" w:color="auto"/>
          <w:color w:val="0000EE"/>
        </w:rPr>
      </w:pPr>
    </w:p>
    <w:p>
      <w:pPr>
        <w:ind w:left="924" w:right="360" w:hanging="924"/>
        <w:spacing w:after="0" w:line="282" w:lineRule="auto"/>
        <w:tabs>
          <w:tab w:leader="none" w:pos="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4.2</w:t>
      </w:r>
      <w:r>
        <w:rPr>
          <w:rFonts w:ascii="Times New Roman" w:cs="Times New Roman" w:eastAsia="Times New Roman" w:hAnsi="Times New Roman"/>
          <w:sz w:val="18"/>
          <w:szCs w:val="18"/>
          <w:u w:val="single" w:color="auto"/>
          <w:color w:val="0000EE"/>
        </w:rPr>
        <w:t>Third Supplemental Indenture, dated as of May 14, 2026, between Sixth Street Specialty Lending, Inc. and U.S. Bank Trust Company, National Association, as Trustee.</w:t>
      </w:r>
    </w:p>
    <w:p>
      <w:pPr>
        <w:spacing w:after="0" w:line="53"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4.3</w:t>
      </w:r>
      <w:r>
        <w:rPr>
          <w:rFonts w:ascii="Times New Roman" w:cs="Times New Roman" w:eastAsia="Times New Roman" w:hAnsi="Times New Roman"/>
          <w:sz w:val="18"/>
          <w:szCs w:val="18"/>
          <w:u w:val="single" w:color="auto"/>
          <w:color w:val="0000EE"/>
        </w:rPr>
        <w:t>Form of 5.650% Note Due 2031 (included as part of Exhibit 4.2).</w:t>
      </w:r>
    </w:p>
    <w:p>
      <w:pPr>
        <w:spacing w:after="0" w:line="117"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Simpson Thacher &amp; Bartlett LLP.</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Simpson Thacher &amp; Bartlett LLP (included as part of Exhibit 5.1).</w:t>
      </w:r>
    </w:p>
    <w:p>
      <w:pPr>
        <w:spacing w:after="0" w:line="129" w:lineRule="exact"/>
        <w:rPr>
          <w:rFonts w:ascii="Times New Roman" w:cs="Times New Roman" w:eastAsia="Times New Roman" w:hAnsi="Times New Roman"/>
          <w:sz w:val="18"/>
          <w:szCs w:val="18"/>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4"/>
          </w:cols>
          <w:pgMar w:left="436" w:top="297"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SIXTH STREET SPECIALTY LENDING, INC.</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4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5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$300,000,000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5.650% Notes due 2031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Underwriters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Sixth Street Specialty Lending, Inc., a Delaware corporation (the “Company”), proposes, subject to the terms and conditions stated herein, to issue and sell to the several Underwriters listed in Schedule 1 hereto (the “Underwriters”), for whom BofA Securities, Inc. is acting as representative (in such capacity, the “Representative”), $300,000,000 aggregate principal amount of 5.650% Notes due 2031 of the Company (the “Securities”).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Securities will be issued under an indenture, dated as of January 16, 2024 (the “Base Indenture”), as supplemented by the Third Supplemental Indenture, dated as of May 14, 2026 (the “Third Supplemental Indenture” and, together with the Base Indenture, the “Indenture”), between the Company and U.S. Bank Trust Company, National Association, as trustee (the “Trustee”). The Securities will be issued in book-entry form to Cede &amp; Co. as nominee of the Depository Trust Company (“DTC”) pursuant to a blanket letter of representations, dated as of March 24, 2014, between the Company and DTC.</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Representative deems advisable after this Agreement has been executed and delivered.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Securities, as follows:</w:t>
      </w:r>
    </w:p>
    <w:p>
      <w:pPr>
        <w:spacing w:after="0" w:line="117" w:lineRule="exact"/>
        <w:rPr>
          <w:sz w:val="20"/>
          <w:szCs w:val="20"/>
          <w:color w:val="auto"/>
        </w:rPr>
      </w:pPr>
    </w:p>
    <w:p>
      <w:pPr>
        <w:ind w:right="160" w:firstLine="436"/>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an automatic shelf registration statement on Form N-2 (File No. 276252), relating to the</w:t>
      </w:r>
    </w:p>
    <w:p>
      <w:pPr>
        <w:sectPr>
          <w:pgSz w:w="11900" w:h="16838" w:orient="portrait"/>
          <w:cols w:equalWidth="0" w:num="1">
            <w:col w:w="11020"/>
          </w:cols>
          <w:pgMar w:left="440" w:top="117" w:right="43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certain of the Company’s other securities, which registration statement became effective upon filing with the Commission on December 22, 2023. The Company has also prepared and filed with the Commission a preliminary prospectus supplement, dated May 7, 2026, as such prospectus may be amended (the “Preliminary Prospectus Supplement”), which contains a base prospectus, dated December 22, 2023 (the “Base Prospectus” and, together with the Preliminary Prospectus Supplement, the “Preliminary Prospectus”). Promptly after execution and delivery of this Agreement, the Company will prepare and file a prospectus in accordance with the provisions of Rule 430B (“Rule 430B”) promulgated under the Securities Act or Rule 430C (“Rule 430C”) promulgated under the Securities Act and Rule 424(b) (“Rule 424(b)”). The information included or incorporated by reference in such prospectus that was omitted from such registration statement at the time it became effective but that is deemed to be part of such registration statement pursuant to Rule 430C is referred to as “Rule 430C Information” and the information, if any, included or incorporated by reference in such prospectus that was omitted from such registration statement at the time it became effective but that is deemed to be part of such registration statement pursuant to Rule 430B is referred to as “Rule 430B Information.” Unless the context otherwise requires, such registration statement, including all documents filed as a part thereof and any Rule 430B Information or Rule 430C Information contained in a prospectus subsequently filed with the Commission pursuant to Rule 424(b) under the Securities Act and deemed to be part of the registration statement and also including any registration statement filed pursuant to Rule 462(b) promulgated under the Securities Act, is herein called the “Registration Statement.” The final prospectus to be filed with the Commission pursuant to Rule 424(b) after the Applicable Time (as defined below) and to be used to confirm sales of the Securities, which will include the Base Prospectus, together with a final prospectus supplement, is hereinafter referred to as the “Prospectus.” Any reference herein to the Registration Statement, the Preliminary Prospectus and the Prospectus shall be deemed to refer to and include all financial statements and other information incorporated or deemed to be incorporated therein by reference pursuant to the rules of the Commission promulgated under the Securities Act, as of any specified date. All references in this Agreement to amendments or supplements to the Registration Statement or the Prospectus, including those made pursuant to Rule 424(b) under the Securities Act or such other rule under the Securities Act as may be applicable to the Company, shall be deemed to mean and include, without limitation, the filing of any document under the Securities Exchange Act of 1934, as amended (the “Exchange Act”) which is or is deemed to be incorporated by reference in or otherwise deemed under the rules of the Commission promulgated thereunder or otherwise to be a part of or included in the Registration Statement or the Prospectus, as the case may be, as of any specified date.</w:t>
      </w:r>
    </w:p>
    <w:p>
      <w:pPr>
        <w:spacing w:after="0" w:line="20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filed pursuant to Section 54(a) of the Investment Company Act (File No. 814-00854) (the “Notification of Election”) was filed under the Investment Company Act with the Commission on April 15, 2011.</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 w:name="page7"/>
    <w:bookmarkEnd w:id="6"/>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entered into an Amended and Restated Investment Advisory and Management Agreement, dated as of December 12, 2011 (the “Investment Management Agreement”), with Sixth Street Specialty Lending Advisers, LLC, a Delaware limited liability company registered as an investment adviser (the “Adviser”) under the Investment Advisers Act of 1940, as amended, and the rules and regulations thereunder (the “Advisers Act”).</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has also entered into an Amended and Restated Administration Agreement, dated as of February 22, 2017 (the “Administration Agreement”) with the Adviser.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Preliminary Prospectus, which together with the information set forth on Schedule 2 hereto, comprises the “Pricing Disclosure Package.”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2:20 P.M., New York City time, on May 7, 2026.</w:t>
      </w:r>
    </w:p>
    <w:p>
      <w:pPr>
        <w:spacing w:after="0" w:line="225"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Securities by the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aggregate principal amount of Securities set forth opposite such Underwriter’s name in Schedule 1 hereto at the price (the “Purchase Price”) set forth in Schedule 1 hereto.</w:t>
      </w:r>
    </w:p>
    <w:p>
      <w:pPr>
        <w:spacing w:after="0" w:line="179"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offer the Securities for resale on the terms set forth in the Pricing Disclosure Package and the Prospectus, as in the judgment of the Representative is advisable. The Company acknowledges and agrees that the Underwriters may offer and sell Securities to or through any affiliate of an Underwriter.</w:t>
      </w:r>
    </w:p>
    <w:p>
      <w:pPr>
        <w:spacing w:after="0" w:line="175"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 specified by the Company to the Representative, at the offices of Ropes &amp; Gray LLP, 1211 Avenue of the Americas, New York, NY 10036, at 10:00 A.M., New York City time, on May 14, 2026, or at such other time or place on the same or such other date, not later than the fifth business day thereafter, as the Representative and the Company may agree upon in writing. The time and date of such payment for the Securities is referred to herein as the “Closing Date.”</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Payment for the Securities shall be made against delivery to the Representative for the respective accounts of the several Underwriters of the principal amount of Securities to be purchased on such date with any transfer taxes payable in connection with the sale of such Securities duly paid by the Company. Delivery of the Securities shall be made through the facilities of DTC unless the Representative shall otherwise instruct.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7" w:name="page8"/>
    <w:bookmarkEnd w:id="7"/>
    <w:p>
      <w:pPr>
        <w:ind w:right="40" w:firstLine="436"/>
        <w:spacing w:after="0" w:line="25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Underwriter that:</w:t>
      </w:r>
    </w:p>
    <w:p>
      <w:pPr>
        <w:spacing w:after="0" w:line="115" w:lineRule="exact"/>
        <w:rPr>
          <w:sz w:val="20"/>
          <w:szCs w:val="20"/>
          <w:color w:val="auto"/>
        </w:rPr>
      </w:pPr>
    </w:p>
    <w:p>
      <w:pPr>
        <w:ind w:firstLine="436"/>
        <w:spacing w:after="0" w:line="255"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the Preliminary Prospectus has been issued by the Commission,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any Preliminary Prospectus, it being understood and agreed that the only such information furnished by any Underwriter consists of the information described as such in Section 8(b) hereof.</w:t>
      </w:r>
    </w:p>
    <w:p>
      <w:pPr>
        <w:spacing w:after="0" w:line="184"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 and Marketing Materials</w:t>
      </w:r>
      <w:r>
        <w:rPr>
          <w:rFonts w:ascii="Times New Roman" w:cs="Times New Roman" w:eastAsia="Times New Roman" w:hAnsi="Times New Roman"/>
          <w:sz w:val="18"/>
          <w:szCs w:val="18"/>
          <w:color w:val="auto"/>
        </w:rPr>
        <w:t>. The Pricing Disclosure Package and any Marketing Materials (as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considered together with the Pricing Disclosure Package, as of the Applicable Time did not, and the Pricing Disclosure Package and any Marketing Materials, considered together with the Pricing Disclosure Package,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Prospectus, the Pricing Disclosure Package or the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 expressly for use in such Pricing Disclosure Package or Marketing Materials, it being understood and agreed that the only such information furnished by any Underwriter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Securities.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left="-20" w:right="20" w:firstLine="436"/>
        <w:spacing w:after="0" w:line="252" w:lineRule="auto"/>
        <w:tabs>
          <w:tab w:leader="none" w:pos="6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Free Writing Prospectus</w:t>
      </w:r>
      <w:r>
        <w:rPr>
          <w:rFonts w:ascii="Times New Roman" w:cs="Times New Roman" w:eastAsia="Times New Roman" w:hAnsi="Times New Roman"/>
          <w:sz w:val="18"/>
          <w:szCs w:val="18"/>
          <w:color w:val="auto"/>
        </w:rPr>
        <w:t>. The Company (including its agents and representatives, other than the Underwriters in their capacity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has not made, used, prepared, authorized, approved or referred to and will not prepare, make, use, authorize, approve or refer to any “written communication” (as defined in Rule 405 under the Securities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Securities Act or Rule 134 under the Securities Act, (ii) the Registration Statement, (iii) the Preliminary Prospectus, (iv) the Prospectus, (v) the documents listed on Schedule 2 hereto, including a Pricing Term Sheet substantially in the form of Annex A hereto and (vi) any electronic road show or other written communications, in each case approved in writing in advance by the Representative, such approval not to be unreasonably withheld. Each such Issuer Free Writing Prospectus, if any, complies in all material respects with the Securities Act, has been or will be (within the time period specified in Rule 433) filed in accordance with the Securities Act (to the extent required thereby) and, when taken together with the Preliminary Prospectus filed prior to the first use of such Issuer Free Writing Prospectus,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Company makes no representation or warranty with respect to any statement or omission contained in any Issuer Free Writing Prospectus made in reliance upon and in conformity with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Section 8(b) hereof.</w:t>
      </w:r>
    </w:p>
    <w:p>
      <w:pPr>
        <w:spacing w:after="0" w:line="194" w:lineRule="exact"/>
        <w:rPr>
          <w:rFonts w:ascii="Times New Roman" w:cs="Times New Roman" w:eastAsia="Times New Roman" w:hAnsi="Times New Roman"/>
          <w:sz w:val="18"/>
          <w:szCs w:val="18"/>
          <w:color w:val="auto"/>
        </w:rPr>
      </w:pPr>
    </w:p>
    <w:p>
      <w:pPr>
        <w:ind w:left="-20" w:right="40" w:firstLine="436"/>
        <w:spacing w:after="0" w:line="267"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Prospectus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Prospectus, when they became effective or were filed with the Commission, as the case may be, conformed or will conform in all material respects to the requirements of the Exchange Act.</w:t>
      </w:r>
    </w:p>
    <w:p>
      <w:pPr>
        <w:spacing w:after="0" w:line="173" w:lineRule="exact"/>
        <w:rPr>
          <w:rFonts w:ascii="Times New Roman" w:cs="Times New Roman" w:eastAsia="Times New Roman" w:hAnsi="Times New Roman"/>
          <w:sz w:val="18"/>
          <w:szCs w:val="18"/>
          <w:color w:val="auto"/>
        </w:rPr>
      </w:pPr>
    </w:p>
    <w:p>
      <w:pPr>
        <w:ind w:left="-20" w:firstLine="436"/>
        <w:spacing w:after="0" w:line="254" w:lineRule="auto"/>
        <w:tabs>
          <w:tab w:leader="none" w:pos="6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Company is eligible to use Form N-2. The Registration Statement became effective upon filing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Trust Indenture Act of 1939, as amended (the “TIA”),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68" w:right="459" w:bottom="1440" w:gutter="0" w:footer="0" w:header="0"/>
        </w:sectPr>
      </w:pPr>
    </w:p>
    <w:bookmarkStart w:id="9" w:name="page10"/>
    <w:bookmarkEnd w:id="9"/>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(i) that part of the Registration Statement that constitutes the Statement of Eligibility and Qualification (Form T-1) of the Trustee under the TIA or (ii) any statements or omissions made in reliance upon and in conformity with information relating to any Underwriter furnished to the Company in writing by such Underwriter through the Representative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187" w:lineRule="exact"/>
        <w:rPr>
          <w:sz w:val="20"/>
          <w:szCs w:val="20"/>
          <w:color w:val="auto"/>
        </w:rPr>
      </w:pPr>
    </w:p>
    <w:p>
      <w:pPr>
        <w:ind w:right="100" w:firstLine="436"/>
        <w:spacing w:after="0" w:line="271" w:lineRule="auto"/>
        <w:tabs>
          <w:tab w:leader="none" w:pos="66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The financial statements (including the related notes thereto) of the Company and its consolidated subsidiaries included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incorporated by reference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(“U.S.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173" w:lineRule="exact"/>
        <w:rPr>
          <w:rFonts w:ascii="Times New Roman" w:cs="Times New Roman" w:eastAsia="Times New Roman" w:hAnsi="Times New Roman"/>
          <w:sz w:val="17"/>
          <w:szCs w:val="17"/>
          <w:color w:val="auto"/>
        </w:rPr>
      </w:pPr>
    </w:p>
    <w:p>
      <w:pPr>
        <w:ind w:firstLine="436"/>
        <w:spacing w:after="0" w:line="253"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disclosed in the Registration Statement, the Pricing Disclosure Package and the Prospectus,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most recent financial statements of the Company included or incorporated by reference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the dividends declared and payable on June 30, 2026 set forth in the Company’s Form 8-K dated May 5, 2026),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ind w:left="-40" w:right="20" w:firstLine="436"/>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 “Material Adverse Effect”). The subsidiaries listed in Schedule 3 to this Agreement are the only subsidiaries of the Company.</w:t>
      </w:r>
    </w:p>
    <w:p>
      <w:pPr>
        <w:spacing w:after="0" w:line="188" w:lineRule="exact"/>
        <w:rPr>
          <w:rFonts w:ascii="Times New Roman" w:cs="Times New Roman" w:eastAsia="Times New Roman" w:hAnsi="Times New Roman"/>
          <w:sz w:val="18"/>
          <w:szCs w:val="18"/>
          <w:color w:val="auto"/>
        </w:rPr>
      </w:pPr>
    </w:p>
    <w:p>
      <w:pPr>
        <w:ind w:left="-40" w:firstLine="436"/>
        <w:spacing w:after="0" w:line="253" w:lineRule="auto"/>
        <w:tabs>
          <w:tab w:leader="none" w:pos="6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As of March 31, 2026, the Company had authorized and outstanding capital stock and material indebtedness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Pricing Disclosure Package and the Prospectus in “Capitalization,”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187"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Company has not granted, and has no policy or expectation of granting stock options.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80" w:top="268" w:right="479" w:bottom="1440" w:gutter="0" w:footer="0" w:header="0"/>
        </w:sectPr>
      </w:pPr>
    </w:p>
    <w:bookmarkStart w:id="11" w:name="page12"/>
    <w:bookmarkEnd w:id="11"/>
    <w:p>
      <w:pPr>
        <w:ind w:left="-40" w:right="20" w:firstLine="436"/>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Due Authorization. </w:t>
      </w:r>
      <w:r>
        <w:rPr>
          <w:rFonts w:ascii="Times New Roman" w:cs="Times New Roman" w:eastAsia="Times New Roman" w:hAnsi="Times New Roman"/>
          <w:sz w:val="18"/>
          <w:szCs w:val="18"/>
          <w:color w:val="auto"/>
        </w:rPr>
        <w:t>The Company has corporate power and authority to execute and deliver this Agreement, the Third Supplemental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Securities, and at the applicable time had corporate power and authority to execute and deliver the Base Indenture, the Investment Management Agreement and the Administration Agreement and to perform its obligations hereunder and thereunder; and all action required to be taken for the due and proper authorization, execution and delivery by it of this Agreement, the Third Supplemental Indenture, the Base Indenture, the Securities and each of the Investment Management Agreement and the Administration Agreement and the consummation by it of the transactions contemplated hereby and thereby has been duly and validly taken.</w:t>
      </w:r>
    </w:p>
    <w:p>
      <w:pPr>
        <w:spacing w:after="0" w:line="182"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40" w:right="20" w:firstLine="436"/>
        <w:spacing w:after="0" w:line="261" w:lineRule="auto"/>
        <w:tabs>
          <w:tab w:leader="none" w:pos="7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left="-40" w:firstLine="436"/>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Base Indenture. </w:t>
      </w:r>
      <w:r>
        <w:rPr>
          <w:rFonts w:ascii="Times New Roman" w:cs="Times New Roman" w:eastAsia="Times New Roman" w:hAnsi="Times New Roman"/>
          <w:sz w:val="18"/>
          <w:szCs w:val="18"/>
          <w:color w:val="auto"/>
        </w:rPr>
        <w:t>The Base Indenture has been duly authorized, executed and delivered by the Company and is a valid and binding obligation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73" w:lineRule="exact"/>
        <w:rPr>
          <w:rFonts w:ascii="Times New Roman" w:cs="Times New Roman" w:eastAsia="Times New Roman" w:hAnsi="Times New Roman"/>
          <w:sz w:val="18"/>
          <w:szCs w:val="18"/>
          <w:color w:val="auto"/>
        </w:rPr>
      </w:pPr>
    </w:p>
    <w:p>
      <w:pPr>
        <w:ind w:left="-40" w:right="120" w:firstLine="436"/>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Supplemental Indenture</w:t>
      </w:r>
      <w:r>
        <w:rPr>
          <w:rFonts w:ascii="Times New Roman" w:cs="Times New Roman" w:eastAsia="Times New Roman" w:hAnsi="Times New Roman"/>
          <w:sz w:val="18"/>
          <w:szCs w:val="18"/>
          <w:color w:val="auto"/>
        </w:rPr>
        <w:t>. The Third Supplemental Indenture has been duly authorized, and, on the Closing Date, will be duly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The Indenture has been qualified under the TIA.</w:t>
      </w:r>
    </w:p>
    <w:p>
      <w:pPr>
        <w:spacing w:after="0" w:line="225" w:lineRule="exact"/>
        <w:rPr>
          <w:rFonts w:ascii="Times New Roman" w:cs="Times New Roman" w:eastAsia="Times New Roman" w:hAnsi="Times New Roman"/>
          <w:sz w:val="18"/>
          <w:szCs w:val="18"/>
          <w:color w:val="auto"/>
        </w:rPr>
      </w:pPr>
    </w:p>
    <w:p>
      <w:pPr>
        <w:ind w:left="-40" w:firstLine="436"/>
        <w:spacing w:after="0" w:line="25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Securities</w:t>
      </w:r>
      <w:r>
        <w:rPr>
          <w:rFonts w:ascii="Times New Roman" w:cs="Times New Roman" w:eastAsia="Times New Roman" w:hAnsi="Times New Roman"/>
          <w:sz w:val="18"/>
          <w:szCs w:val="18"/>
          <w:color w:val="auto"/>
        </w:rPr>
        <w:t>. The Securities to be issued and sold by the Company hereunder have been duly authorized and, when issued, authenticated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Securities and the Indenture conform in all material respects to the statements relating thereto contained in the Registration Statement, the Pricing Disclosure Package and the Prospectus.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480" w:top="268" w:right="499" w:bottom="1440" w:gutter="0" w:footer="0" w:header="0"/>
        </w:sectPr>
      </w:pPr>
    </w:p>
    <w:bookmarkStart w:id="12" w:name="page13"/>
    <w:bookmarkEnd w:id="12"/>
    <w:p>
      <w:pPr>
        <w:ind w:left="4" w:right="260" w:firstLine="436"/>
        <w:spacing w:after="0" w:line="267" w:lineRule="auto"/>
        <w:tabs>
          <w:tab w:leader="none" w:pos="66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Descriptions of Investment Management Agreement and Administration Agreement</w:t>
      </w:r>
      <w:r>
        <w:rPr>
          <w:rFonts w:ascii="Times New Roman" w:cs="Times New Roman" w:eastAsia="Times New Roman" w:hAnsi="Times New Roman"/>
          <w:sz w:val="18"/>
          <w:szCs w:val="18"/>
          <w:color w:val="auto"/>
        </w:rPr>
        <w:t>. Both the Investment Management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Agreement conform in all material respects to the descriptions thereof contained in the Registration Statement, the Pricing Disclosure Package and the Prospectus.</w:t>
      </w:r>
    </w:p>
    <w:p>
      <w:pPr>
        <w:spacing w:after="0" w:line="173"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7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each as amended or supplemented as of the date of this Agreement;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84" w:lineRule="exact"/>
        <w:rPr>
          <w:rFonts w:ascii="Times New Roman" w:cs="Times New Roman" w:eastAsia="Times New Roman" w:hAnsi="Times New Roman"/>
          <w:sz w:val="18"/>
          <w:szCs w:val="18"/>
          <w:color w:val="auto"/>
        </w:rPr>
      </w:pPr>
    </w:p>
    <w:p>
      <w:pPr>
        <w:ind w:left="4" w:firstLine="436"/>
        <w:spacing w:after="0" w:line="253" w:lineRule="auto"/>
        <w:tabs>
          <w:tab w:leader="none" w:pos="6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and the Indenture, the issuance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91" w:lineRule="exact"/>
        <w:rPr>
          <w:rFonts w:ascii="Times New Roman" w:cs="Times New Roman" w:eastAsia="Times New Roman" w:hAnsi="Times New Roman"/>
          <w:sz w:val="18"/>
          <w:szCs w:val="18"/>
          <w:color w:val="auto"/>
        </w:rPr>
      </w:pPr>
    </w:p>
    <w:p>
      <w:pPr>
        <w:ind w:left="4" w:right="140" w:firstLine="436"/>
        <w:spacing w:after="0" w:line="270" w:lineRule="auto"/>
        <w:tabs>
          <w:tab w:leader="none" w:pos="69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Consents Required. </w:t>
      </w:r>
      <w:r>
        <w:rPr>
          <w:rFonts w:ascii="Times New Roman" w:cs="Times New Roman" w:eastAsia="Times New Roman" w:hAnsi="Times New Roman"/>
          <w:sz w:val="17"/>
          <w:szCs w:val="17"/>
          <w:color w:val="auto"/>
        </w:rPr>
        <w:t>No consent, approval, authorization, order, license, registration or qualification of or with any court or arbitrator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except for (i) the registration of the Securities under the Securities Act, (ii) such consents, approvals, authorizations, orders, licenses, registrations or qualifications as have already been obtained or made,</w:t>
      </w:r>
    </w:p>
    <w:p>
      <w:pPr>
        <w:ind w:left="4" w:right="700" w:hanging="4"/>
        <w:spacing w:after="0" w:line="260" w:lineRule="auto"/>
        <w:tabs>
          <w:tab w:leader="none" w:pos="3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consents, approvals, authorizations, orders and registrations or qualifications as may be required by the Financial Industry Regulatory Authority, Inc. (“FINRA”) or under</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8" w:right="45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174" w:lineRule="exact"/>
        <w:rPr>
          <w:sz w:val="20"/>
          <w:szCs w:val="20"/>
          <w:color w:val="auto"/>
        </w:rPr>
      </w:pPr>
    </w:p>
    <w:p>
      <w:pPr>
        <w:ind w:right="60" w:firstLine="436"/>
        <w:spacing w:after="0" w:line="253"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191" w:lineRule="exact"/>
        <w:rPr>
          <w:rFonts w:ascii="Times New Roman" w:cs="Times New Roman" w:eastAsia="Times New Roman" w:hAnsi="Times New Roman"/>
          <w:sz w:val="18"/>
          <w:szCs w:val="18"/>
          <w:color w:val="auto"/>
        </w:rPr>
      </w:pPr>
    </w:p>
    <w:p>
      <w:pPr>
        <w:ind w:firstLine="436"/>
        <w:spacing w:after="0" w:line="261"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to be Treated as a Business Development Company</w:t>
      </w:r>
      <w:r>
        <w:rPr>
          <w:rFonts w:ascii="Times New Roman" w:cs="Times New Roman" w:eastAsia="Times New Roman" w:hAnsi="Times New Roman"/>
          <w:sz w:val="18"/>
          <w:szCs w:val="18"/>
          <w:color w:val="auto"/>
        </w:rPr>
        <w:t>. (A) The Company has duly elected to be treated by the Commission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the sale of the Securities and as of the Closing Date, the operations of the Company are in compliance in all material respects with the provisions of the Investment Company Act applicable to business development companies.</w:t>
      </w:r>
    </w:p>
    <w:p>
      <w:pPr>
        <w:spacing w:after="0" w:line="184" w:lineRule="exact"/>
        <w:rPr>
          <w:rFonts w:ascii="Times New Roman" w:cs="Times New Roman" w:eastAsia="Times New Roman" w:hAnsi="Times New Roman"/>
          <w:sz w:val="18"/>
          <w:szCs w:val="18"/>
          <w:color w:val="auto"/>
        </w:rPr>
      </w:pPr>
    </w:p>
    <w:p>
      <w:pPr>
        <w:ind w:right="100" w:firstLine="436"/>
        <w:spacing w:after="0" w:line="267"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14" w:name="page15"/>
    <w:bookmarkEnd w:id="14"/>
    <w:p>
      <w:pPr>
        <w:ind w:left="4" w:right="20" w:firstLine="436"/>
        <w:spacing w:after="0" w:line="257" w:lineRule="auto"/>
        <w:tabs>
          <w:tab w:leader="none" w:pos="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3(aa))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182" w:lineRule="exact"/>
        <w:rPr>
          <w:sz w:val="20"/>
          <w:szCs w:val="20"/>
          <w:color w:val="auto"/>
        </w:rPr>
      </w:pPr>
    </w:p>
    <w:p>
      <w:pPr>
        <w:ind w:left="764" w:hanging="324"/>
        <w:spacing w:after="0"/>
        <w:tabs>
          <w:tab w:leader="none" w:pos="764"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Title to Intellectual Property</w:t>
      </w:r>
      <w:r>
        <w:rPr>
          <w:rFonts w:ascii="Times New Roman" w:cs="Times New Roman" w:eastAsia="Times New Roman" w:hAnsi="Times New Roman"/>
          <w:sz w:val="17"/>
          <w:szCs w:val="17"/>
          <w:color w:val="auto"/>
        </w:rPr>
        <w:t>. Except as would not reasonably be expected, individually or in the aggregate, to have a Material Adverse Effect,</w:t>
      </w:r>
    </w:p>
    <w:p>
      <w:pPr>
        <w:spacing w:after="0" w:line="40" w:lineRule="exact"/>
        <w:rPr>
          <w:rFonts w:ascii="Times New Roman" w:cs="Times New Roman" w:eastAsia="Times New Roman" w:hAnsi="Times New Roman"/>
          <w:sz w:val="17"/>
          <w:szCs w:val="17"/>
          <w:color w:val="auto"/>
        </w:rPr>
      </w:pPr>
    </w:p>
    <w:p>
      <w:pPr>
        <w:ind w:left="4" w:right="80" w:hanging="4"/>
        <w:spacing w:after="0" w:line="252" w:lineRule="auto"/>
        <w:tabs>
          <w:tab w:leader="none" w:pos="2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86"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179" w:lineRule="exact"/>
        <w:rPr>
          <w:rFonts w:ascii="Times New Roman" w:cs="Times New Roman" w:eastAsia="Times New Roman" w:hAnsi="Times New Roman"/>
          <w:sz w:val="18"/>
          <w:szCs w:val="18"/>
          <w:color w:val="auto"/>
        </w:rPr>
      </w:pPr>
    </w:p>
    <w:p>
      <w:pPr>
        <w:jc w:val="both"/>
        <w:ind w:left="4" w:right="120" w:firstLine="436"/>
        <w:spacing w:after="0" w:line="258" w:lineRule="auto"/>
        <w:tabs>
          <w:tab w:leader="none" w:pos="7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its subsidiaries are not, and, after giving effect to the offering and sale of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183" w:lineRule="exact"/>
        <w:rPr>
          <w:rFonts w:ascii="Times New Roman" w:cs="Times New Roman" w:eastAsia="Times New Roman" w:hAnsi="Times New Roman"/>
          <w:sz w:val="18"/>
          <w:szCs w:val="18"/>
          <w:color w:val="auto"/>
        </w:rPr>
      </w:pPr>
    </w:p>
    <w:p>
      <w:pPr>
        <w:ind w:left="4" w:right="60" w:firstLine="436"/>
        <w:spacing w:after="0" w:line="267" w:lineRule="auto"/>
        <w:tabs>
          <w:tab w:leader="none" w:pos="78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(or caused to be paid) all federal, state, local and foreign taxes required by law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have filed (or caused to be filed) all tax returns required by law to be filed, in each case, through the date hereof, except where the failure to pay such taxes or file such returns would not reasonably be expected,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8" w:right="459" w:bottom="1440" w:gutter="0" w:footer="0" w:header="0"/>
        </w:sectPr>
      </w:pPr>
    </w:p>
    <w:bookmarkStart w:id="15" w:name="page16"/>
    <w:bookmarkEnd w:id="1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78" w:lineRule="exact"/>
        <w:rPr>
          <w:sz w:val="20"/>
          <w:szCs w:val="20"/>
          <w:color w:val="auto"/>
        </w:rPr>
      </w:pPr>
    </w:p>
    <w:p>
      <w:pPr>
        <w:ind w:firstLine="436"/>
        <w:spacing w:after="0" w:line="254" w:lineRule="auto"/>
        <w:tabs>
          <w:tab w:leader="none" w:pos="7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88" w:lineRule="exact"/>
        <w:rPr>
          <w:rFonts w:ascii="Times New Roman" w:cs="Times New Roman" w:eastAsia="Times New Roman" w:hAnsi="Times New Roman"/>
          <w:sz w:val="18"/>
          <w:szCs w:val="18"/>
          <w:color w:val="auto"/>
        </w:rPr>
      </w:pPr>
    </w:p>
    <w:p>
      <w:pPr>
        <w:ind w:right="20" w:firstLine="436"/>
        <w:spacing w:after="0" w:line="257" w:lineRule="auto"/>
        <w:tabs>
          <w:tab w:leader="none" w:pos="7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right="60" w:firstLine="436"/>
        <w:spacing w:after="0" w:line="254" w:lineRule="auto"/>
        <w:tabs>
          <w:tab w:leader="none" w:pos="7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maintains a system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GAAP,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U.S. GAAP, to calculate net asset value, to maintain asset accountability, and to maintain material compliance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16" w:name="page17"/>
    <w:bookmarkEnd w:id="16"/>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90" w:lineRule="exact"/>
        <w:rPr>
          <w:sz w:val="20"/>
          <w:szCs w:val="20"/>
          <w:color w:val="auto"/>
        </w:rPr>
      </w:pPr>
    </w:p>
    <w:p>
      <w:pPr>
        <w:ind w:left="4" w:right="140" w:firstLine="436"/>
        <w:spacing w:after="0" w:line="273" w:lineRule="auto"/>
        <w:tabs>
          <w:tab w:leader="none" w:pos="789"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Insurance. </w:t>
      </w:r>
      <w:r>
        <w:rPr>
          <w:rFonts w:ascii="Times New Roman" w:cs="Times New Roman" w:eastAsia="Times New Roman" w:hAnsi="Times New Roman"/>
          <w:sz w:val="17"/>
          <w:szCs w:val="17"/>
          <w:color w:val="auto"/>
        </w:rPr>
        <w:t>The Company and its subsidiaries have insurance covering their respective properties, operations, personnel and businesses,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86"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7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left="4" w:right="20" w:hanging="4"/>
        <w:spacing w:after="0" w:line="252" w:lineRule="auto"/>
        <w:tabs>
          <w:tab w:leader="none" w:pos="3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17" w:name="page18"/>
    <w:bookmarkEnd w:id="17"/>
    <w:p>
      <w:pPr>
        <w:ind w:left="-20" w:firstLine="436"/>
        <w:spacing w:after="0" w:line="256"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82" w:lineRule="exact"/>
        <w:rPr>
          <w:rFonts w:ascii="Times New Roman" w:cs="Times New Roman" w:eastAsia="Times New Roman" w:hAnsi="Times New Roman"/>
          <w:sz w:val="18"/>
          <w:szCs w:val="18"/>
          <w:color w:val="auto"/>
        </w:rPr>
      </w:pPr>
    </w:p>
    <w:p>
      <w:pPr>
        <w:ind w:left="-20" w:right="40" w:firstLine="436"/>
        <w:spacing w:after="0" w:line="252" w:lineRule="auto"/>
        <w:tabs>
          <w:tab w:leader="none" w:pos="7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Russia, and the occupied Donetsk, Luhansk, Zaporizhzhia, Kerson and Crimea regions of Ukraine,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95" w:lineRule="exact"/>
        <w:rPr>
          <w:rFonts w:ascii="Times New Roman" w:cs="Times New Roman" w:eastAsia="Times New Roman" w:hAnsi="Times New Roman"/>
          <w:sz w:val="18"/>
          <w:szCs w:val="18"/>
          <w:color w:val="auto"/>
        </w:rPr>
      </w:pPr>
    </w:p>
    <w:p>
      <w:pPr>
        <w:ind w:left="-20" w:right="180" w:firstLine="436"/>
        <w:spacing w:after="0" w:line="267"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Not Ineligible Issuer and is a Well-Known Seasoned Issuer</w:t>
      </w:r>
      <w:r>
        <w:rPr>
          <w:rFonts w:ascii="Times New Roman" w:cs="Times New Roman" w:eastAsia="Times New Roman" w:hAnsi="Times New Roman"/>
          <w:sz w:val="18"/>
          <w:szCs w:val="18"/>
          <w:color w:val="auto"/>
        </w:rPr>
        <w:t>. The Company is not an ineligible issuer and is a well-known seasoned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in each case as defined under the Securities Act, in each case at the times specified in the Securities Act in connection with the offering of the Securities.</w:t>
      </w:r>
    </w:p>
    <w:p>
      <w:pPr>
        <w:spacing w:after="0" w:line="173" w:lineRule="exact"/>
        <w:rPr>
          <w:rFonts w:ascii="Times New Roman" w:cs="Times New Roman" w:eastAsia="Times New Roman" w:hAnsi="Times New Roman"/>
          <w:sz w:val="18"/>
          <w:szCs w:val="18"/>
          <w:color w:val="auto"/>
        </w:rPr>
      </w:pPr>
    </w:p>
    <w:p>
      <w:pPr>
        <w:ind w:left="-20" w:right="140" w:firstLine="436"/>
        <w:spacing w:after="0" w:line="258" w:lineRule="auto"/>
        <w:tabs>
          <w:tab w:leader="none" w:pos="8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68" w:right="459" w:bottom="1440" w:gutter="0" w:footer="0" w:header="0"/>
        </w:sectPr>
      </w:pPr>
    </w:p>
    <w:bookmarkStart w:id="18" w:name="page19"/>
    <w:bookmarkEnd w:id="18"/>
    <w:p>
      <w:pPr>
        <w:ind w:left="-20" w:right="320" w:firstLine="436"/>
        <w:spacing w:after="0" w:line="267" w:lineRule="auto"/>
        <w:tabs>
          <w:tab w:leader="none" w:pos="7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173" w:lineRule="exact"/>
        <w:rPr>
          <w:rFonts w:ascii="Times New Roman" w:cs="Times New Roman" w:eastAsia="Times New Roman" w:hAnsi="Times New Roman"/>
          <w:sz w:val="18"/>
          <w:szCs w:val="18"/>
          <w:color w:val="auto"/>
        </w:rPr>
      </w:pPr>
    </w:p>
    <w:p>
      <w:pPr>
        <w:ind w:left="-20" w:right="520" w:firstLine="436"/>
        <w:spacing w:after="0" w:line="267" w:lineRule="auto"/>
        <w:tabs>
          <w:tab w:leader="none" w:pos="7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or Manipulation. </w:t>
      </w:r>
      <w:r>
        <w:rPr>
          <w:rFonts w:ascii="Times New Roman" w:cs="Times New Roman" w:eastAsia="Times New Roman" w:hAnsi="Times New Roman"/>
          <w:sz w:val="18"/>
          <w:szCs w:val="18"/>
          <w:color w:val="auto"/>
        </w:rPr>
        <w:t>The Company has not taken, directly or indirectly, without giving effect to any activities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any action designed, or that would reasonably be expected, to cause or result in any stabilization or manipulation of the price of the Securities.</w:t>
      </w:r>
    </w:p>
    <w:p>
      <w:pPr>
        <w:spacing w:after="0" w:line="173" w:lineRule="exact"/>
        <w:rPr>
          <w:rFonts w:ascii="Times New Roman" w:cs="Times New Roman" w:eastAsia="Times New Roman" w:hAnsi="Times New Roman"/>
          <w:sz w:val="18"/>
          <w:szCs w:val="18"/>
          <w:color w:val="auto"/>
        </w:rPr>
      </w:pPr>
    </w:p>
    <w:p>
      <w:pPr>
        <w:ind w:left="-20" w:right="20" w:firstLine="436"/>
        <w:spacing w:after="0" w:line="267" w:lineRule="auto"/>
        <w:tabs>
          <w:tab w:leader="none" w:pos="7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jc w:val="both"/>
        <w:ind w:left="-20" w:right="240" w:firstLine="436"/>
        <w:spacing w:after="0" w:line="267" w:lineRule="auto"/>
        <w:tabs>
          <w:tab w:leader="none" w:pos="7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market-related data included or incorporated by reference in the Registration Statement, the Pricing Disclosure Package and the Prospectus is not based on or derived from sources that are reasonably reliable and accurate in all material respects.</w:t>
      </w:r>
    </w:p>
    <w:p>
      <w:pPr>
        <w:spacing w:after="0" w:line="173"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7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ind w:left="-20" w:right="140" w:firstLine="436"/>
        <w:spacing w:after="0" w:line="267" w:lineRule="auto"/>
        <w:tabs>
          <w:tab w:leader="none" w:pos="7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173" w:lineRule="exact"/>
        <w:rPr>
          <w:rFonts w:ascii="Times New Roman" w:cs="Times New Roman" w:eastAsia="Times New Roman" w:hAnsi="Times New Roman"/>
          <w:sz w:val="18"/>
          <w:szCs w:val="18"/>
          <w:color w:val="auto"/>
        </w:rPr>
      </w:pPr>
    </w:p>
    <w:p>
      <w:pPr>
        <w:jc w:val="both"/>
        <w:ind w:left="-20" w:firstLine="436"/>
        <w:spacing w:after="0" w:line="261" w:lineRule="auto"/>
        <w:tabs>
          <w:tab w:leader="none" w:pos="68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68" w:right="459" w:bottom="1440" w:gutter="0" w:footer="0" w:header="0"/>
        </w:sectPr>
      </w:pPr>
    </w:p>
    <w:bookmarkStart w:id="19" w:name="page20"/>
    <w:bookmarkEnd w:id="19"/>
    <w:p>
      <w:pPr>
        <w:ind w:left="-20" w:right="40" w:firstLine="436"/>
        <w:spacing w:after="0" w:line="253" w:lineRule="auto"/>
        <w:tabs>
          <w:tab w:leader="none" w:pos="7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Cybersecurity</w:t>
      </w:r>
      <w:r>
        <w:rPr>
          <w:rFonts w:ascii="Times New Roman" w:cs="Times New Roman" w:eastAsia="Times New Roman" w:hAnsi="Times New Roman"/>
          <w:sz w:val="18"/>
          <w:szCs w:val="18"/>
          <w:color w:val="auto"/>
        </w:rPr>
        <w:t>. (A) To the Company’s knowledge, in the last three years, there has been no material security breach or other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compromise of or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each Underwriter that:</w:t>
      </w:r>
    </w:p>
    <w:p>
      <w:pPr>
        <w:spacing w:after="0" w:line="115" w:lineRule="exact"/>
        <w:rPr>
          <w:sz w:val="20"/>
          <w:szCs w:val="20"/>
          <w:color w:val="auto"/>
        </w:rPr>
      </w:pPr>
    </w:p>
    <w:p>
      <w:pPr>
        <w:ind w:left="-20" w:firstLine="436"/>
        <w:spacing w:after="0" w:line="255"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Except as disclosed in the Registration Statement, the Pricing Disclosure Package and the Prospectus,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most recent financial statements of the Company included or incorporated by reference in the Registration Statement, the Pricing 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4" w:lineRule="exact"/>
        <w:rPr>
          <w:rFonts w:ascii="Times New Roman" w:cs="Times New Roman" w:eastAsia="Times New Roman" w:hAnsi="Times New Roman"/>
          <w:sz w:val="18"/>
          <w:szCs w:val="18"/>
          <w:color w:val="auto"/>
        </w:rPr>
      </w:pPr>
    </w:p>
    <w:p>
      <w:pPr>
        <w:ind w:left="-20" w:firstLine="436"/>
        <w:spacing w:after="0" w:line="255" w:lineRule="auto"/>
        <w:tabs>
          <w:tab w:leader="none" w:pos="6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Adviser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68" w:right="479" w:bottom="1440" w:gutter="0" w:footer="0" w:header="0"/>
        </w:sectPr>
      </w:pPr>
    </w:p>
    <w:bookmarkStart w:id="20" w:name="page21"/>
    <w:bookmarkEnd w:id="20"/>
    <w:p>
      <w:pPr>
        <w:ind w:right="120" w:firstLine="436"/>
        <w:spacing w:after="0" w:line="258"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Adviser.</w:t>
      </w:r>
    </w:p>
    <w:p>
      <w:pPr>
        <w:spacing w:after="0" w:line="225" w:lineRule="exact"/>
        <w:rPr>
          <w:rFonts w:ascii="Times New Roman" w:cs="Times New Roman" w:eastAsia="Times New Roman" w:hAnsi="Times New Roman"/>
          <w:sz w:val="18"/>
          <w:szCs w:val="18"/>
          <w:color w:val="auto"/>
        </w:rPr>
      </w:pPr>
    </w:p>
    <w:p>
      <w:pPr>
        <w:ind w:right="32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the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Adviser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8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Adviser of this Agreement and the performance by the Adviser of the</w:t>
      </w:r>
    </w:p>
    <w:p>
      <w:pPr>
        <w:spacing w:after="0" w:line="29" w:lineRule="exact"/>
        <w:rPr>
          <w:rFonts w:ascii="Times New Roman" w:cs="Times New Roman" w:eastAsia="Times New Roman" w:hAnsi="Times New Roman"/>
          <w:sz w:val="18"/>
          <w:szCs w:val="18"/>
          <w:color w:val="auto"/>
        </w:rPr>
      </w:pPr>
    </w:p>
    <w:p>
      <w:pPr>
        <w:ind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21" w:name="page22"/>
    <w:bookmarkEnd w:id="21"/>
    <w:p>
      <w:pPr>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174" w:lineRule="exact"/>
        <w:rPr>
          <w:sz w:val="20"/>
          <w:szCs w:val="20"/>
          <w:color w:val="auto"/>
        </w:rPr>
      </w:pPr>
    </w:p>
    <w:p>
      <w:pPr>
        <w:ind w:firstLine="436"/>
        <w:spacing w:after="0" w:line="257"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82"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188" w:lineRule="exact"/>
        <w:rPr>
          <w:rFonts w:ascii="Times New Roman" w:cs="Times New Roman" w:eastAsia="Times New Roman" w:hAnsi="Times New Roman"/>
          <w:sz w:val="18"/>
          <w:szCs w:val="18"/>
          <w:color w:val="auto"/>
        </w:rPr>
      </w:pPr>
    </w:p>
    <w:p>
      <w:pPr>
        <w:ind w:right="60" w:firstLine="436"/>
        <w:spacing w:after="0" w:line="25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Adviser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2" w:name="page23"/>
    <w:bookmarkEnd w:id="22"/>
    <w:p>
      <w:pPr>
        <w:ind w:left="4" w:right="200" w:firstLine="436"/>
        <w:spacing w:after="0" w:line="267" w:lineRule="auto"/>
        <w:tabs>
          <w:tab w:leader="none" w:pos="6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the Adviser</w:t>
      </w:r>
      <w:r>
        <w:rPr>
          <w:rFonts w:ascii="Times New Roman" w:cs="Times New Roman" w:eastAsia="Times New Roman" w:hAnsi="Times New Roman"/>
          <w:sz w:val="18"/>
          <w:szCs w:val="18"/>
          <w:color w:val="auto"/>
        </w:rPr>
        <w:t>. The description of the Adviser and its respective principals and business in the Registration Statement,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73" w:lineRule="exact"/>
        <w:rPr>
          <w:rFonts w:ascii="Times New Roman" w:cs="Times New Roman" w:eastAsia="Times New Roman" w:hAnsi="Times New Roman"/>
          <w:sz w:val="18"/>
          <w:szCs w:val="18"/>
          <w:color w:val="auto"/>
        </w:rPr>
      </w:pPr>
    </w:p>
    <w:p>
      <w:pPr>
        <w:ind w:left="4" w:right="480" w:firstLine="436"/>
        <w:spacing w:after="0" w:line="267" w:lineRule="auto"/>
        <w:tabs>
          <w:tab w:leader="none" w:pos="65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in the Pricing Disclosure Package, the Prospectus, and under this Agreement, the Investment Management Agreement and the Administration Agreement.</w:t>
      </w:r>
    </w:p>
    <w:p>
      <w:pPr>
        <w:spacing w:after="0" w:line="173"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w:t>
      </w:r>
    </w:p>
    <w:p>
      <w:pPr>
        <w:spacing w:after="0" w:line="29" w:lineRule="exact"/>
        <w:rPr>
          <w:rFonts w:ascii="Times New Roman" w:cs="Times New Roman" w:eastAsia="Times New Roman" w:hAnsi="Times New Roman"/>
          <w:sz w:val="18"/>
          <w:szCs w:val="18"/>
          <w:color w:val="auto"/>
        </w:rPr>
      </w:pPr>
    </w:p>
    <w:p>
      <w:pPr>
        <w:ind w:left="4" w:hanging="4"/>
        <w:spacing w:after="0" w:line="252"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U.S. GAAP,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187"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Adviser nor any of its subsidiaries nor any director, officer, or employee of the Adviser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left="4" w:right="60" w:hanging="4"/>
        <w:spacing w:after="0" w:line="253" w:lineRule="auto"/>
        <w:tabs>
          <w:tab w:leader="none" w:pos="3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86"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68" w:right="499" w:bottom="1440" w:gutter="0" w:footer="0" w:header="0"/>
        </w:sectPr>
      </w:pPr>
    </w:p>
    <w:bookmarkStart w:id="23" w:name="page24"/>
    <w:bookmarkEnd w:id="23"/>
    <w:p>
      <w:pPr>
        <w:ind w:firstLine="436"/>
        <w:spacing w:after="0" w:line="258" w:lineRule="auto"/>
        <w:tabs>
          <w:tab w:leader="none" w:pos="6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Conflicts with Sanctions Laws. </w:t>
      </w:r>
      <w:r>
        <w:rPr>
          <w:rFonts w:ascii="Times New Roman" w:cs="Times New Roman" w:eastAsia="Times New Roman" w:hAnsi="Times New Roman"/>
          <w:sz w:val="18"/>
          <w:szCs w:val="18"/>
          <w:color w:val="auto"/>
        </w:rPr>
        <w:t>Neither the Adviser nor any of its subsidiaries, directors, officers or employees,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any agent, or affiliate or other person associated with or acting on behalf of the Adviser or any of its subsidiaries is currently the subject or the target of any Sanctions, nor is the Adviser, any of its subsidiaries 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83" w:lineRule="exact"/>
        <w:rPr>
          <w:rFonts w:ascii="Times New Roman" w:cs="Times New Roman" w:eastAsia="Times New Roman" w:hAnsi="Times New Roman"/>
          <w:sz w:val="18"/>
          <w:szCs w:val="18"/>
          <w:color w:val="auto"/>
        </w:rPr>
      </w:pPr>
    </w:p>
    <w:p>
      <w:pPr>
        <w:ind w:right="60" w:firstLine="436"/>
        <w:spacing w:after="0" w:line="315" w:lineRule="auto"/>
        <w:tabs>
          <w:tab w:leader="none" w:pos="69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Stabilization or Manipulation. </w:t>
      </w:r>
      <w:r>
        <w:rPr>
          <w:rFonts w:ascii="Times New Roman" w:cs="Times New Roman" w:eastAsia="Times New Roman" w:hAnsi="Times New Roman"/>
          <w:sz w:val="17"/>
          <w:szCs w:val="17"/>
          <w:color w:val="auto"/>
        </w:rPr>
        <w:t>The Adviser has not taken, directly or indirectly, without giving effect to any activities by the Underwriters,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action designed to or that would reasonably be expected to cause or result in any stabilization or manipulation of the price of the Securities.</w:t>
      </w:r>
    </w:p>
    <w:p>
      <w:pPr>
        <w:spacing w:after="0" w:line="134" w:lineRule="exact"/>
        <w:rPr>
          <w:rFonts w:ascii="Times New Roman" w:cs="Times New Roman" w:eastAsia="Times New Roman" w:hAnsi="Times New Roman"/>
          <w:sz w:val="17"/>
          <w:szCs w:val="17"/>
          <w:color w:val="auto"/>
        </w:rPr>
      </w:pPr>
    </w:p>
    <w:p>
      <w:pPr>
        <w:jc w:val="both"/>
        <w:ind w:right="40" w:firstLine="436"/>
        <w:spacing w:after="0" w:line="261"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Key Employees. </w:t>
      </w:r>
      <w:r>
        <w:rPr>
          <w:rFonts w:ascii="Times New Roman" w:cs="Times New Roman" w:eastAsia="Times New Roman" w:hAnsi="Times New Roman"/>
          <w:sz w:val="18"/>
          <w:szCs w:val="18"/>
          <w:color w:val="auto"/>
        </w:rPr>
        <w:t>The Adviser is not aware that (i) any of its executives, key employees or significant group of employees plans to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Adviser or any of its subsidiaries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sz w:val="20"/>
          <w:szCs w:val="20"/>
          <w:color w:val="auto"/>
        </w:rPr>
      </w:pPr>
    </w:p>
    <w:p>
      <w:pPr>
        <w:ind w:right="80" w:firstLine="436"/>
        <w:spacing w:after="0" w:line="25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430B or Rule 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 may reasonably request.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24" w:name="page25"/>
    <w:bookmarkEnd w:id="24"/>
    <w:p>
      <w:pPr>
        <w:ind w:left="-20" w:right="20" w:firstLine="436"/>
        <w:spacing w:after="0" w:line="275" w:lineRule="auto"/>
        <w:tabs>
          <w:tab w:leader="none" w:pos="67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Delivery of Copies. </w:t>
      </w:r>
      <w:r>
        <w:rPr>
          <w:rFonts w:ascii="Times New Roman" w:cs="Times New Roman" w:eastAsia="Times New Roman" w:hAnsi="Times New Roman"/>
          <w:sz w:val="17"/>
          <w:szCs w:val="17"/>
          <w:color w:val="auto"/>
        </w:rPr>
        <w:t>The Company will deliver, without charge, (i) to the Representative, electronic signed copies of the Registration 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168" w:lineRule="exact"/>
        <w:rPr>
          <w:rFonts w:ascii="Times New Roman" w:cs="Times New Roman" w:eastAsia="Times New Roman" w:hAnsi="Times New Roman"/>
          <w:sz w:val="17"/>
          <w:szCs w:val="17"/>
          <w:color w:val="auto"/>
        </w:rPr>
      </w:pPr>
    </w:p>
    <w:p>
      <w:pPr>
        <w:jc w:val="both"/>
        <w:ind w:left="-20" w:right="260" w:firstLine="436"/>
        <w:spacing w:after="0" w:line="261"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w:t>
      </w:r>
      <w:r>
        <w:rPr>
          <w:rFonts w:ascii="Times New Roman" w:cs="Times New Roman" w:eastAsia="Times New Roman" w:hAnsi="Times New Roman"/>
          <w:sz w:val="18"/>
          <w:szCs w:val="18"/>
          <w:color w:val="auto"/>
        </w:rPr>
        <w:t>Before using, authorizing, approving, referring to or filing any amendment or supplement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the Prospectus, the Company will furnish to the Representative and counsel for the Underwriters a copy of the proposed amendment or supplement for review and will not use, authorize, approve, refer to or file any such proposed amendment or supplement to which the Representative reasonably objects in a timely manner.</w:t>
      </w:r>
    </w:p>
    <w:p>
      <w:pPr>
        <w:spacing w:after="0" w:line="179" w:lineRule="exact"/>
        <w:rPr>
          <w:rFonts w:ascii="Times New Roman" w:cs="Times New Roman" w:eastAsia="Times New Roman" w:hAnsi="Times New Roman"/>
          <w:sz w:val="18"/>
          <w:szCs w:val="18"/>
          <w:color w:val="auto"/>
        </w:rPr>
      </w:pPr>
    </w:p>
    <w:p>
      <w:pPr>
        <w:jc w:val="both"/>
        <w:ind w:left="-20" w:right="140" w:firstLine="436"/>
        <w:spacing w:after="0" w:line="267" w:lineRule="auto"/>
        <w:tabs>
          <w:tab w:leader="none" w:pos="6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Marketing Materials</w:t>
      </w:r>
      <w:r>
        <w:rPr>
          <w:rFonts w:ascii="Times New Roman" w:cs="Times New Roman" w:eastAsia="Times New Roman" w:hAnsi="Times New Roman"/>
          <w:sz w:val="18"/>
          <w:szCs w:val="18"/>
          <w:color w:val="auto"/>
        </w:rPr>
        <w:t>. Before using, authorizing, approving, referring to or distributing any Marketing Materials, the Company will furnish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 and counsel for the Underwriters a copy of such materials for review and will not use, authorize, approve, refer to or distribute any such materials to which the Representative reasonably objects in a timely manner.</w:t>
      </w:r>
    </w:p>
    <w:p>
      <w:pPr>
        <w:spacing w:after="0" w:line="173" w:lineRule="exact"/>
        <w:rPr>
          <w:rFonts w:ascii="Times New Roman" w:cs="Times New Roman" w:eastAsia="Times New Roman" w:hAnsi="Times New Roman"/>
          <w:sz w:val="18"/>
          <w:szCs w:val="18"/>
          <w:color w:val="auto"/>
        </w:rPr>
      </w:pPr>
    </w:p>
    <w:p>
      <w:pPr>
        <w:ind w:left="-20" w:firstLine="436"/>
        <w:spacing w:after="0" w:line="252"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 when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any Marketing Materials or the Prospectus or the initiation or threatening of any proceeding for that purpose or pursuant to Section 8A of the Securities Act; (v) of the occurrence of any event or development within the Prospectus Delivery Period as a result of which the Prospectus, the Pricing Disclosure Package or any Marketing Materials, as then amended or supplemented, would include any untrue statement of a material fact or omit to state a material fact necessary in order to make the statements therein, in the light of the circumstances existing when the Prospectus, the Pricing Disclosure Package or any Marketing Materials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any Marketing Materials or the Prospectus or suspending any such qualification of the Securities and, if any such order is issued, will use commercially reasonable efforts to obtain as soon as possible the withdrawal thereof.</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60" w:top="268" w:right="479" w:bottom="1440" w:gutter="0" w:footer="0" w:header="0"/>
        </w:sectPr>
      </w:pPr>
    </w:p>
    <w:bookmarkStart w:id="25" w:name="page26"/>
    <w:bookmarkEnd w:id="25"/>
    <w:p>
      <w:pPr>
        <w:ind w:right="20" w:firstLine="436"/>
        <w:spacing w:after="0" w:line="252" w:lineRule="auto"/>
        <w:tabs>
          <w:tab w:leader="none" w:pos="6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94"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commercially reasonable efforts, in cooperation with the Representative, to qualify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offer and sale under the securities or Blue Sky laws of such jurisdictions as the Representative shall reasonably request and will continue such qualifications in effect so long as required for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 as soon as practicable an 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26" w:name="page27"/>
    <w:bookmarkEnd w:id="26"/>
    <w:p>
      <w:pPr>
        <w:ind w:right="140" w:firstLine="436"/>
        <w:spacing w:after="0" w:line="273" w:lineRule="auto"/>
        <w:tabs>
          <w:tab w:leader="none" w:pos="6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Clear Market. </w:t>
      </w:r>
      <w:r>
        <w:rPr>
          <w:rFonts w:ascii="Times New Roman" w:cs="Times New Roman" w:eastAsia="Times New Roman" w:hAnsi="Times New Roman"/>
          <w:sz w:val="17"/>
          <w:szCs w:val="17"/>
          <w:color w:val="auto"/>
        </w:rPr>
        <w:t>Through the Closing Date, the Company will not (i) offer, pledge, sell, contract to sell, sell any option or contract to 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Underwriters, other than the Securities to be sold hereunder for purposes of interest rate hedging.</w:t>
      </w:r>
    </w:p>
    <w:p>
      <w:pPr>
        <w:spacing w:after="0" w:line="171" w:lineRule="exact"/>
        <w:rPr>
          <w:rFonts w:ascii="Times New Roman" w:cs="Times New Roman" w:eastAsia="Times New Roman" w:hAnsi="Times New Roman"/>
          <w:sz w:val="17"/>
          <w:szCs w:val="17"/>
          <w:color w:val="auto"/>
        </w:rPr>
      </w:pPr>
    </w:p>
    <w:p>
      <w:pPr>
        <w:ind w:right="280" w:firstLine="436"/>
        <w:spacing w:after="0" w:line="28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apply the net proceeds from the sale of the Securities in all material respects as described in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under the heading “Use of Proceeds.”</w:t>
      </w:r>
    </w:p>
    <w:p>
      <w:pPr>
        <w:spacing w:after="0" w:line="158" w:lineRule="exact"/>
        <w:rPr>
          <w:rFonts w:ascii="Times New Roman" w:cs="Times New Roman" w:eastAsia="Times New Roman" w:hAnsi="Times New Roman"/>
          <w:sz w:val="18"/>
          <w:szCs w:val="18"/>
          <w:color w:val="auto"/>
        </w:rPr>
      </w:pPr>
    </w:p>
    <w:p>
      <w:pPr>
        <w:ind w:firstLine="436"/>
        <w:spacing w:after="0" w:line="315" w:lineRule="auto"/>
        <w:tabs>
          <w:tab w:leader="none" w:pos="69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Stabilization or Manipulation. </w:t>
      </w:r>
      <w:r>
        <w:rPr>
          <w:rFonts w:ascii="Times New Roman" w:cs="Times New Roman" w:eastAsia="Times New Roman" w:hAnsi="Times New Roman"/>
          <w:sz w:val="17"/>
          <w:szCs w:val="17"/>
          <w:color w:val="auto"/>
        </w:rPr>
        <w:t>The Company will not take, directly or indirectly, without giving effect to any activities by the Underwriters,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action designed, or that would reasonably be expected, to cause or result in any stabilization or manipulation of the price of the Securities.</w:t>
      </w:r>
    </w:p>
    <w:p>
      <w:pPr>
        <w:spacing w:after="0" w:line="134" w:lineRule="exact"/>
        <w:rPr>
          <w:rFonts w:ascii="Times New Roman" w:cs="Times New Roman" w:eastAsia="Times New Roman" w:hAnsi="Times New Roman"/>
          <w:sz w:val="17"/>
          <w:szCs w:val="17"/>
          <w:color w:val="auto"/>
        </w:rPr>
      </w:pPr>
    </w:p>
    <w:p>
      <w:pPr>
        <w:ind w:right="60" w:firstLine="436"/>
        <w:spacing w:after="0" w:line="258"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one year from the date of this Agreement, so long as the Securities are outstanding,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EDGAR.</w:t>
      </w:r>
    </w:p>
    <w:p>
      <w:pPr>
        <w:spacing w:after="0" w:line="183" w:lineRule="exact"/>
        <w:rPr>
          <w:rFonts w:ascii="Times New Roman" w:cs="Times New Roman" w:eastAsia="Times New Roman" w:hAnsi="Times New Roman"/>
          <w:sz w:val="18"/>
          <w:szCs w:val="18"/>
          <w:color w:val="auto"/>
        </w:rPr>
      </w:pPr>
    </w:p>
    <w:p>
      <w:pPr>
        <w:ind w:right="160" w:firstLine="436"/>
        <w:spacing w:after="0" w:line="261" w:lineRule="auto"/>
        <w:tabs>
          <w:tab w:leader="none" w:pos="7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 The Company, during a period of twelve months from the date of the Prospectus, will use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reasonable efforts to maintain its status as a business development company under the Investment Company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179" w:lineRule="exact"/>
        <w:rPr>
          <w:rFonts w:ascii="Times New Roman" w:cs="Times New Roman" w:eastAsia="Times New Roman" w:hAnsi="Times New Roman"/>
          <w:sz w:val="18"/>
          <w:szCs w:val="18"/>
          <w:color w:val="auto"/>
        </w:rPr>
      </w:pPr>
    </w:p>
    <w:p>
      <w:pPr>
        <w:ind w:right="40" w:firstLine="436"/>
        <w:spacing w:after="0" w:line="267"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Regulated Investment Company. </w:t>
      </w:r>
      <w:r>
        <w:rPr>
          <w:rFonts w:ascii="Times New Roman" w:cs="Times New Roman" w:eastAsia="Times New Roman" w:hAnsi="Times New Roman"/>
          <w:sz w:val="18"/>
          <w:szCs w:val="18"/>
          <w:color w:val="auto"/>
        </w:rPr>
        <w:t>The Company will use commercially reasonable efforts to maintain in effect its qualification and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as a regulated investment company under Subchapter M of the Code for each taxable year during which it is a business development company under the Investment Company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8" w:right="439" w:bottom="1440" w:gutter="0" w:footer="0" w:header="0"/>
        </w:sectPr>
      </w:pPr>
    </w:p>
    <w:bookmarkStart w:id="27" w:name="page28"/>
    <w:bookmarkEnd w:id="27"/>
    <w:p>
      <w:pPr>
        <w:ind w:firstLine="436"/>
        <w:spacing w:after="0" w:line="258"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Compliance Reviews</w:t>
      </w:r>
      <w:r>
        <w:rPr>
          <w:rFonts w:ascii="Times New Roman" w:cs="Times New Roman" w:eastAsia="Times New Roman" w:hAnsi="Times New Roman"/>
          <w:sz w:val="18"/>
          <w:szCs w:val="18"/>
          <w:color w:val="auto"/>
        </w:rPr>
        <w:t>. The Company will retain qualified accountants and qualified tax experts (i) to test procedures and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183"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Representative (i) it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any offering material other than the Registration Statement, the Pricing Disclosure Package, the Prospectus or the information set forth on Schedule 2 hereto, and (ii) it has not made and will not make any offer relating to the Securities that would constitute a “free writing prospectus” as defined in Rule 405 under the Securities Act (other than for the information set forth on Schedule 2 hereto),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warrants and agrees that:</w:t>
      </w:r>
    </w:p>
    <w:p>
      <w:pPr>
        <w:spacing w:after="0" w:line="117" w:lineRule="exact"/>
        <w:rPr>
          <w:sz w:val="20"/>
          <w:szCs w:val="20"/>
          <w:color w:val="auto"/>
        </w:rPr>
      </w:pPr>
    </w:p>
    <w:p>
      <w:pPr>
        <w:ind w:right="180" w:firstLine="436"/>
        <w:spacing w:after="0" w:line="261"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any Marketing Materials, the Prospectus or any other offering materials prepared by or with the prior written consent of the Company.</w:t>
      </w:r>
    </w:p>
    <w:p>
      <w:pPr>
        <w:spacing w:after="0" w:line="179"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62" w:lineRule="exact"/>
        <w:rPr>
          <w:sz w:val="20"/>
          <w:szCs w:val="20"/>
          <w:color w:val="auto"/>
        </w:rPr>
      </w:pPr>
    </w:p>
    <w:p>
      <w:pPr>
        <w:ind w:right="80" w:firstLine="436"/>
        <w:spacing w:after="0" w:line="282"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Underwriters’ Obligations.</w:t>
      </w:r>
      <w:r>
        <w:rPr>
          <w:rFonts w:ascii="Times New Roman" w:cs="Times New Roman" w:eastAsia="Times New Roman" w:hAnsi="Times New Roman"/>
          <w:sz w:val="18"/>
          <w:szCs w:val="18"/>
          <w:color w:val="auto"/>
        </w:rPr>
        <w:t xml:space="preserve"> The obligation of each Underwriter to purchase the Securities on the Closing Date as provided herein is subject to the performance by the Company of its covenants and other obligations hereunder and to the following additional conditions:</w:t>
      </w:r>
    </w:p>
    <w:p>
      <w:pPr>
        <w:spacing w:after="0" w:line="52" w:lineRule="exact"/>
        <w:rPr>
          <w:sz w:val="20"/>
          <w:szCs w:val="20"/>
          <w:color w:val="auto"/>
        </w:rPr>
      </w:pPr>
    </w:p>
    <w:p>
      <w:pPr>
        <w:ind w:right="120" w:firstLine="436"/>
        <w:spacing w:after="0" w:line="258"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or any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thereto shall be in effect, and no 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8" w:name="page29"/>
    <w:bookmarkEnd w:id="28"/>
    <w:p>
      <w:pPr>
        <w:ind w:left="4" w:firstLine="436"/>
        <w:spacing w:after="0" w:line="267" w:lineRule="auto"/>
        <w:tabs>
          <w:tab w:leader="none" w:pos="69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Warranties. </w:t>
      </w:r>
      <w:r>
        <w:rPr>
          <w:rFonts w:ascii="Times New Roman" w:cs="Times New Roman" w:eastAsia="Times New Roman" w:hAnsi="Times New Roman"/>
          <w:sz w:val="18"/>
          <w:szCs w:val="18"/>
          <w:color w:val="auto"/>
        </w:rPr>
        <w:t>The representations and warranties of the Company and the Adviser contained herein shall be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hereof and on and as of the Closing Date; and the statements of the Company and its officers made in any certificates delivered pursuant to this Agreement shall be true and correct on and as of the Closing Date.</w:t>
      </w:r>
    </w:p>
    <w:p>
      <w:pPr>
        <w:spacing w:after="0" w:line="173"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3(g) and Section 4(a) hereof shall have occurred 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which event or condition is not described in the Pricing Disclosure Package (excluding any amendment or supplement thereto) and the Prospectus (excluding any amendment or supplement thereto) and the effect of which in the judgment of the Representative makes it impracticable or inadvisable to proceed with the offering, sale or delivery of the Securities on the Closing Date, on the terms and in the manner contemplated by this Agreement, the Pricing Disclosure Package and the Prospectus.</w:t>
      </w:r>
    </w:p>
    <w:p>
      <w:pPr>
        <w:spacing w:after="0" w:line="183"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Company’s Officer’s Certificate. </w:t>
      </w:r>
      <w:r>
        <w:rPr>
          <w:rFonts w:ascii="Times New Roman" w:cs="Times New Roman" w:eastAsia="Times New Roman" w:hAnsi="Times New Roman"/>
          <w:sz w:val="18"/>
          <w:szCs w:val="18"/>
          <w:color w:val="auto"/>
        </w:rPr>
        <w:t>The Representative shall have received on and as of the Closing Date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Registration Statement, the Pricing Disclosure Package and the Prospectus, (ii) confirming that, to the knowledge of such officers, the representations and warranties of the Company in Sections 3(b), 3(c)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to the effect set forth in paragraph (a) above and, with respect to the Company and its subsidiaries, to the effect set forth in paragraph (c) above.</w:t>
      </w:r>
    </w:p>
    <w:p>
      <w:pPr>
        <w:spacing w:after="0" w:line="184" w:lineRule="exact"/>
        <w:rPr>
          <w:rFonts w:ascii="Times New Roman" w:cs="Times New Roman" w:eastAsia="Times New Roman" w:hAnsi="Times New Roman"/>
          <w:sz w:val="18"/>
          <w:szCs w:val="18"/>
          <w:color w:val="auto"/>
        </w:rPr>
      </w:pPr>
    </w:p>
    <w:p>
      <w:pPr>
        <w:jc w:val="both"/>
        <w:ind w:left="4" w:right="120" w:firstLine="436"/>
        <w:spacing w:after="0" w:line="271" w:lineRule="auto"/>
        <w:tabs>
          <w:tab w:leader="none" w:pos="689"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Adviser’s Officer’s Certificate. </w:t>
      </w:r>
      <w:r>
        <w:rPr>
          <w:rFonts w:ascii="Times New Roman" w:cs="Times New Roman" w:eastAsia="Times New Roman" w:hAnsi="Times New Roman"/>
          <w:sz w:val="17"/>
          <w:szCs w:val="17"/>
          <w:color w:val="auto"/>
        </w:rPr>
        <w:t>The Representative shall have received on and as of the Closing Date a certificate, which shall be delivered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Adviser and its subsidiaries, to the effect set forth in paragraph (c) above.</w:t>
      </w:r>
    </w:p>
    <w:p>
      <w:pPr>
        <w:spacing w:after="0" w:line="204" w:lineRule="exact"/>
        <w:rPr>
          <w:rFonts w:ascii="Times New Roman" w:cs="Times New Roman" w:eastAsia="Times New Roman" w:hAnsi="Times New Roman"/>
          <w:sz w:val="18"/>
          <w:szCs w:val="18"/>
          <w:color w:val="auto"/>
        </w:rPr>
      </w:pPr>
    </w:p>
    <w:p>
      <w:pPr>
        <w:jc w:val="both"/>
        <w:ind w:left="4" w:right="120" w:firstLine="436"/>
        <w:spacing w:after="0" w:line="257" w:lineRule="auto"/>
        <w:tabs>
          <w:tab w:leader="none" w:pos="66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KPMG LLP shall have furnished to the Representative, at the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letters, dated the respective dates of delivery thereof and addressed to the Underwriters, in form and substance reasonably satisfactory to the Representative, containing statements and information of the type customarily included in accountants’ “comfort letters” to underwriters with respect to the financial statements and certain financial information included or incorporated by reference in the Registration Statement, the Pricing Disclosure Package and the Prospectus; provided, that the letter delivered on the Closing Date shall use a “cut-off” date no more than three business days prior to the Closing Date.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8" w:right="459" w:bottom="1440" w:gutter="0" w:footer="0" w:header="0"/>
        </w:sectPr>
      </w:pPr>
    </w:p>
    <w:bookmarkStart w:id="29" w:name="page30"/>
    <w:bookmarkEnd w:id="29"/>
    <w:p>
      <w:pPr>
        <w:ind w:left="-20" w:right="60" w:firstLine="436"/>
        <w:spacing w:after="0" w:line="256" w:lineRule="auto"/>
        <w:tabs>
          <w:tab w:leader="none" w:pos="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Opinion and 10b-5 Statement of Counsel for the Company and Adviser. </w:t>
      </w:r>
      <w:r>
        <w:rPr>
          <w:rFonts w:ascii="Times New Roman" w:cs="Times New Roman" w:eastAsia="Times New Roman" w:hAnsi="Times New Roman"/>
          <w:sz w:val="18"/>
          <w:szCs w:val="18"/>
          <w:color w:val="auto"/>
        </w:rPr>
        <w:t>Simpson Thacher &amp; Bartlett LLP, counsel for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shall have furnished to the Representative, at the request of the Company and the Adviser, their written opinions and 10b-5 letter, dated the Closing Date and addressed to the Underwriters, in form and substance reasonably satisfactory to the Representative. Morris, Nichols, Arsht &amp; Tunnell LLP, Delaware counsel for the Adviser, shall have furnished to the Representative, at the request of the Adviser, their written opinion, dated the Closing Date and addressed to the Underwriters, in form and substance reasonably satisfactory to the Representative. In-house counsel to the Company and the Adviser, shall have furnished to the Representative its written opinion, dated the Closing Date and addressed to the Underwriters, in form and substance reasonably satisfactory to the Representative.</w:t>
      </w:r>
    </w:p>
    <w:p>
      <w:pPr>
        <w:spacing w:after="0" w:line="182" w:lineRule="exact"/>
        <w:rPr>
          <w:rFonts w:ascii="Times New Roman" w:cs="Times New Roman" w:eastAsia="Times New Roman" w:hAnsi="Times New Roman"/>
          <w:sz w:val="18"/>
          <w:szCs w:val="18"/>
          <w:color w:val="auto"/>
        </w:rPr>
      </w:pPr>
    </w:p>
    <w:p>
      <w:pPr>
        <w:ind w:left="-20" w:firstLine="436"/>
        <w:spacing w:after="0" w:line="290" w:lineRule="auto"/>
        <w:tabs>
          <w:tab w:leader="none" w:pos="67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Opinion and 10b-5 Statement of Counsel for the Underwriters. </w:t>
      </w:r>
      <w:r>
        <w:rPr>
          <w:rFonts w:ascii="Times New Roman" w:cs="Times New Roman" w:eastAsia="Times New Roman" w:hAnsi="Times New Roman"/>
          <w:sz w:val="17"/>
          <w:szCs w:val="17"/>
          <w:color w:val="auto"/>
        </w:rPr>
        <w:t>The Representative shall have received on and as of the Closing Date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opinion and 10b-5 statement of Ropes &amp; Gray LLP, counsel for the Underwriters, with respect to such matters as the Representative may reasonably request, and such counsel shall have received such documents and information as they may reasonably request to enable them to pass upon such matters.</w:t>
      </w:r>
    </w:p>
    <w:p>
      <w:pPr>
        <w:spacing w:after="0" w:line="155" w:lineRule="exact"/>
        <w:rPr>
          <w:rFonts w:ascii="Times New Roman" w:cs="Times New Roman" w:eastAsia="Times New Roman" w:hAnsi="Times New Roman"/>
          <w:sz w:val="17"/>
          <w:szCs w:val="17"/>
          <w:color w:val="auto"/>
        </w:rPr>
      </w:pPr>
    </w:p>
    <w:p>
      <w:pPr>
        <w:ind w:left="-20" w:right="100" w:firstLine="436"/>
        <w:spacing w:after="0" w:line="261"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prevent the issuance and sale of the Securities; and no injunction or order of any federal, state or foreign court shall have been issued that would, as of the Closing Date, prevent the issuance and sale of the Securities.</w:t>
      </w:r>
    </w:p>
    <w:p>
      <w:pPr>
        <w:spacing w:after="0" w:line="179" w:lineRule="exact"/>
        <w:rPr>
          <w:rFonts w:ascii="Times New Roman" w:cs="Times New Roman" w:eastAsia="Times New Roman" w:hAnsi="Times New Roman"/>
          <w:sz w:val="18"/>
          <w:szCs w:val="18"/>
          <w:color w:val="auto"/>
        </w:rPr>
      </w:pPr>
    </w:p>
    <w:p>
      <w:pPr>
        <w:jc w:val="both"/>
        <w:ind w:left="-20" w:right="60" w:firstLine="436"/>
        <w:spacing w:after="0" w:line="261"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 shall have received on and as of the Closing Date reasonably satisfactory evidence of the good standing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ind w:left="-20" w:right="80" w:firstLine="436"/>
        <w:spacing w:after="0" w:line="284" w:lineRule="auto"/>
        <w:tabs>
          <w:tab w:leader="none" w:pos="6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Supplemental Indenture and Securities</w:t>
      </w:r>
      <w:r>
        <w:rPr>
          <w:rFonts w:ascii="Times New Roman" w:cs="Times New Roman" w:eastAsia="Times New Roman" w:hAnsi="Times New Roman"/>
          <w:sz w:val="18"/>
          <w:szCs w:val="18"/>
          <w:color w:val="auto"/>
        </w:rPr>
        <w:t>. On or prior to the Closing Date, the Company and the Trustee shall have executed and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Supplemental Indenture and the Securities.</w:t>
      </w:r>
    </w:p>
    <w:p>
      <w:pPr>
        <w:spacing w:after="0" w:line="158" w:lineRule="exact"/>
        <w:rPr>
          <w:rFonts w:ascii="Times New Roman" w:cs="Times New Roman" w:eastAsia="Times New Roman" w:hAnsi="Times New Roman"/>
          <w:sz w:val="18"/>
          <w:szCs w:val="18"/>
          <w:color w:val="auto"/>
        </w:rPr>
      </w:pPr>
    </w:p>
    <w:p>
      <w:pPr>
        <w:ind w:left="-20" w:right="60" w:firstLine="436"/>
        <w:spacing w:after="0" w:line="257"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if there are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60" w:top="268" w:right="459" w:bottom="1440" w:gutter="0" w:footer="0" w:header="0"/>
        </w:sectPr>
      </w:pPr>
    </w:p>
    <w:bookmarkStart w:id="30" w:name="page31"/>
    <w:bookmarkEnd w:id="30"/>
    <w:p>
      <w:pPr>
        <w:ind w:left="4" w:right="80" w:firstLine="436"/>
        <w:spacing w:after="0" w:line="284" w:lineRule="auto"/>
        <w:tabs>
          <w:tab w:leader="none" w:pos="7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Representative may reasonably request.</w:t>
      </w:r>
    </w:p>
    <w:p>
      <w:pPr>
        <w:spacing w:after="0" w:line="160"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4" w:hanging="184"/>
        <w:spacing w:after="0"/>
        <w:tabs>
          <w:tab w:leader="none" w:pos="6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 w:firstLine="436"/>
        <w:spacing w:after="0" w:line="252" w:lineRule="auto"/>
        <w:tabs>
          <w:tab w:leader="none" w:pos="68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Issuer Free Writing Prospectus,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any Underwriter consists of the information described as such in subsection</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4" w:lineRule="exact"/>
        <w:rPr>
          <w:rFonts w:ascii="Times New Roman" w:cs="Times New Roman" w:eastAsia="Times New Roman" w:hAnsi="Times New Roman"/>
          <w:sz w:val="18"/>
          <w:szCs w:val="18"/>
          <w:color w:val="auto"/>
        </w:rPr>
      </w:pPr>
    </w:p>
    <w:p>
      <w:pPr>
        <w:ind w:left="4" w:firstLine="436"/>
        <w:spacing w:after="0" w:line="277" w:lineRule="auto"/>
        <w:tabs>
          <w:tab w:leader="none" w:pos="69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Indemnification of the Company. </w:t>
      </w:r>
      <w:r>
        <w:rPr>
          <w:rFonts w:ascii="Times New Roman" w:cs="Times New Roman" w:eastAsia="Times New Roman" w:hAnsi="Times New Roman"/>
          <w:sz w:val="17"/>
          <w:szCs w:val="17"/>
          <w:color w:val="auto"/>
        </w:rPr>
        <w:t>Each Underwriter agrees, severally and not jointly, to indemnify and hold harmless the Company,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w:t>
      </w:r>
    </w:p>
    <w:p>
      <w:pPr>
        <w:spacing w:after="0" w:line="10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4"/>
          </w:cols>
          <w:pgMar w:left="436" w:top="268" w:right="519" w:bottom="1440" w:gutter="0" w:footer="0" w:header="0"/>
        </w:sectPr>
      </w:pPr>
    </w:p>
    <w:bookmarkStart w:id="31" w:name="page32"/>
    <w:bookmarkEnd w:id="3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Representative expressly for use in the Registration Statement, the Prospectus (or any amendment or supplement thereto), any Issuer Free Writing Prospectus, any road show, any Marketing Materials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first and second sentences of the sixth paragraph and the information regarding stabilizing transactions contained in the first and second sentences of the eleventh paragraph, the first sentence of the twelfth paragraph and the second sentence of the thirteenth paragraph.</w:t>
      </w:r>
    </w:p>
    <w:p>
      <w:pPr>
        <w:spacing w:after="0" w:line="187" w:lineRule="exact"/>
        <w:rPr>
          <w:sz w:val="20"/>
          <w:szCs w:val="20"/>
          <w:color w:val="auto"/>
        </w:rPr>
      </w:pPr>
    </w:p>
    <w:p>
      <w:pPr>
        <w:ind w:firstLine="436"/>
        <w:spacing w:after="0" w:line="252"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the Representative, and any such separate firm for the Company, its directors, its officers who signed the Registration Statement and any control persons of the Company shall be designated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w:t>
      </w:r>
    </w:p>
    <w:p>
      <w:pPr>
        <w:spacing w:after="0" w:line="3" w:lineRule="exact"/>
        <w:rPr>
          <w:sz w:val="20"/>
          <w:szCs w:val="20"/>
          <w:color w:val="auto"/>
        </w:rPr>
      </w:pPr>
    </w:p>
    <w:p>
      <w:pPr>
        <w:ind w:left="4" w:right="60" w:hanging="4"/>
        <w:spacing w:after="0" w:line="252" w:lineRule="auto"/>
        <w:tabs>
          <w:tab w:leader="none" w:pos="2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6" w:lineRule="exact"/>
        <w:rPr>
          <w:rFonts w:ascii="Times New Roman" w:cs="Times New Roman" w:eastAsia="Times New Roman" w:hAnsi="Times New Roman"/>
          <w:sz w:val="18"/>
          <w:szCs w:val="18"/>
          <w:color w:val="auto"/>
        </w:rPr>
      </w:pPr>
    </w:p>
    <w:p>
      <w:pPr>
        <w:ind w:left="4" w:right="60" w:firstLine="436"/>
        <w:spacing w:after="0" w:line="252" w:lineRule="auto"/>
        <w:tabs>
          <w:tab w:leader="none" w:pos="6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and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4"/>
          </w:cols>
          <w:pgMar w:left="436" w:top="270" w:right="439" w:bottom="1440" w:gutter="0" w:footer="0" w:header="0"/>
        </w:sectPr>
      </w:pPr>
    </w:p>
    <w:bookmarkStart w:id="33" w:name="page34"/>
    <w:bookmarkEnd w:id="33"/>
    <w:p>
      <w:pPr>
        <w:ind w:left="684" w:hanging="244"/>
        <w:spacing w:after="0"/>
        <w:tabs>
          <w:tab w:leader="none" w:pos="68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paragraph</w:t>
      </w:r>
    </w:p>
    <w:p>
      <w:pPr>
        <w:spacing w:after="0" w:line="29" w:lineRule="exact"/>
        <w:rPr>
          <w:rFonts w:ascii="Times New Roman" w:cs="Times New Roman" w:eastAsia="Times New Roman" w:hAnsi="Times New Roman"/>
          <w:sz w:val="18"/>
          <w:szCs w:val="18"/>
          <w:color w:val="auto"/>
        </w:rPr>
      </w:pPr>
    </w:p>
    <w:p>
      <w:pPr>
        <w:ind w:left="4" w:right="40" w:hanging="4"/>
        <w:spacing w:after="0" w:line="267" w:lineRule="auto"/>
        <w:tabs>
          <w:tab w:leader="none" w:pos="259"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above were determined by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80" w:lineRule="exact"/>
        <w:rPr>
          <w:rFonts w:ascii="Times New Roman" w:cs="Times New Roman" w:eastAsia="Times New Roman" w:hAnsi="Times New Roman"/>
          <w:sz w:val="17"/>
          <w:szCs w:val="17"/>
          <w:color w:val="auto"/>
        </w:rPr>
      </w:pPr>
    </w:p>
    <w:p>
      <w:pPr>
        <w:ind w:left="4" w:firstLine="436"/>
        <w:spacing w:after="0" w:line="284" w:lineRule="auto"/>
        <w:tabs>
          <w:tab w:leader="none" w:pos="66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8 paragraphs (a) through (e) are not exclusive and shall not limit any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remedies which may otherwise be available to any Indemnified Person at law or in equity.</w:t>
      </w:r>
    </w:p>
    <w:p>
      <w:pPr>
        <w:spacing w:after="0" w:line="160" w:lineRule="exact"/>
        <w:rPr>
          <w:sz w:val="20"/>
          <w:szCs w:val="20"/>
          <w:color w:val="auto"/>
        </w:rPr>
      </w:pPr>
    </w:p>
    <w:p>
      <w:pPr>
        <w:ind w:left="624" w:hanging="184"/>
        <w:spacing w:after="0"/>
        <w:tabs>
          <w:tab w:leader="none" w:pos="6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7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Closing Date on the terms and in the manner contemplated by this Agreement, the Pricing Disclosure Package and the Prospectus.</w:t>
      </w:r>
    </w:p>
    <w:p>
      <w:pPr>
        <w:spacing w:after="0" w:line="19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436"/>
        <w:spacing w:after="0" w:line="261" w:lineRule="auto"/>
        <w:tabs>
          <w:tab w:leader="none" w:pos="6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4"/>
          </w:cols>
          <w:pgMar w:left="436" w:top="268" w:right="499" w:bottom="1440" w:gutter="0" w:footer="0" w:header="0"/>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92" w:lineRule="exact"/>
        <w:rPr>
          <w:sz w:val="20"/>
          <w:szCs w:val="20"/>
          <w:color w:val="auto"/>
        </w:rPr>
      </w:pPr>
    </w:p>
    <w:p>
      <w:pPr>
        <w:ind w:right="20" w:firstLine="436"/>
        <w:spacing w:after="0" w:line="256"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does not exceed one-eleventh of the aggregate principal amount of Securities to be purchased on such date, then the Company shall have the right to require each non-defaulting Underwriter to purchase the principal amount of Securities that such Underwriter agreed to purchase hereunder on such date plus such Underwriter’s pro rata share (based on the principal amount of Securities that such Underwriter agreed to purchase on such date) of the Securities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right="20" w:firstLine="436"/>
        <w:spacing w:after="0" w:line="255"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paragraph (a) above, the aggregate principal amount of Securities that remain unpurchased on the Closing Date exceeds one-eleventh of the aggregate principal amount of Securities to be purchased on such date, or if the Company shall not exercise the right described in paragraph (b) above, then this Agreement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88"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700" w:hanging="264"/>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60" w:firstLine="436"/>
        <w:spacing w:after="0" w:line="261" w:lineRule="auto"/>
        <w:tabs>
          <w:tab w:leader="none" w:pos="68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stamp, issuance, transfer or other similar taxes payable in that connection; (ii) the costs incident to the preparation, printing and filing under the Securities Act of the Registration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5" w:name="page36"/>
    <w:bookmarkEnd w:id="3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 the Preliminary Prospectus, any Pricing Disclosure Package, any Marketing Materials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Underwriters); (v) all filing fees and the reasonable fees and expenses incurred in connection with any filing with, and clearance of the offering by, FINRA (such fees and expenses pursuant to this clause (v) and clause (iv), in the aggregate, shall not exceed $15,000); (vi) all expenses incurred by the Company in connection with any “road show” presentation to potential investors,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Underwriters shall be responsible for 50% of the third party costs of any chartered private aircraft incurred in connection with such road show; and (vii) the fees and expenses of the Trustee with respect to the Securities.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 party costs of any chartered private aircraft incurred in connection with the road show and all travel, lodging and other expenses of the Underwriters incurred by them in connection with any road show.</w:t>
      </w:r>
    </w:p>
    <w:p>
      <w:pPr>
        <w:spacing w:after="0" w:line="187" w:lineRule="exact"/>
        <w:rPr>
          <w:sz w:val="20"/>
          <w:szCs w:val="20"/>
          <w:color w:val="auto"/>
        </w:rPr>
      </w:pPr>
    </w:p>
    <w:p>
      <w:pPr>
        <w:ind w:right="80" w:firstLine="436"/>
        <w:spacing w:after="0" w:line="256"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10 (other than as a result of a termination pursuant to clauses (i), (iii) or (iv) of Section 10), (ii) 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87" w:lineRule="exact"/>
        <w:rPr>
          <w:sz w:val="20"/>
          <w:szCs w:val="20"/>
          <w:color w:val="auto"/>
        </w:rPr>
      </w:pPr>
    </w:p>
    <w:p>
      <w:pPr>
        <w:ind w:right="40" w:firstLine="436"/>
        <w:spacing w:after="0" w:line="261" w:lineRule="auto"/>
        <w:tabs>
          <w:tab w:leader="none" w:pos="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9"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71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36" w:name="page37"/>
    <w:bookmarkEnd w:id="36"/>
    <w:p>
      <w:pPr>
        <w:jc w:val="both"/>
        <w:ind w:left="4" w:right="180" w:firstLine="436"/>
        <w:spacing w:after="0" w:line="266" w:lineRule="auto"/>
        <w:tabs>
          <w:tab w:leader="none" w:pos="7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36"/>
        <w:spacing w:after="0" w:line="261" w:lineRule="auto"/>
        <w:tabs>
          <w:tab w:leader="none" w:pos="68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3" w:lineRule="exact"/>
        <w:rPr>
          <w:rFonts w:ascii="Times New Roman" w:cs="Times New Roman" w:eastAsia="Times New Roman" w:hAnsi="Times New Roman"/>
          <w:sz w:val="18"/>
          <w:szCs w:val="18"/>
          <w:color w:val="auto"/>
        </w:rPr>
      </w:pPr>
    </w:p>
    <w:p>
      <w:pPr>
        <w:ind w:left="4" w:right="120" w:hanging="4"/>
        <w:spacing w:after="0" w:line="260" w:lineRule="auto"/>
        <w:tabs>
          <w:tab w:leader="none" w:pos="2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1" w:lineRule="exact"/>
        <w:rPr>
          <w:sz w:val="20"/>
          <w:szCs w:val="20"/>
          <w:color w:val="auto"/>
        </w:rPr>
      </w:pPr>
    </w:p>
    <w:p>
      <w:pPr>
        <w:ind w:left="704" w:hanging="264"/>
        <w:spacing w:after="0"/>
        <w:tabs>
          <w:tab w:leader="none" w:pos="7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right="120" w:firstLine="987"/>
        <w:spacing w:after="0" w:line="258" w:lineRule="auto"/>
        <w:tabs>
          <w:tab w:leader="none" w:pos="1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 c/o BofA Securities, Inc. 114 W 47th St., NY8-114-07-01, New York, New York 10036, Facsimile: (646) 855-5958 Attention: High Grade Transaction Management/Legal. Notices to the Company or the Adviser shall be given to either of them at Sixth Street Specialty Lending, Inc., 345 California Street, Suite 3300, San Francisco, California 94104 (fax: (415) 486-5929), Attention: Joshua Peck.</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70" w:right="459" w:bottom="1440" w:gutter="0" w:footer="0" w:header="0"/>
        </w:sectPr>
      </w:pPr>
    </w:p>
    <w:bookmarkStart w:id="37" w:name="page38"/>
    <w:bookmarkEnd w:id="37"/>
    <w:p>
      <w:pPr>
        <w:ind w:firstLine="436"/>
        <w:spacing w:after="0" w:line="267"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73" w:lineRule="exact"/>
        <w:rPr>
          <w:rFonts w:ascii="Times New Roman" w:cs="Times New Roman" w:eastAsia="Times New Roman" w:hAnsi="Times New Roman"/>
          <w:sz w:val="18"/>
          <w:szCs w:val="18"/>
          <w:color w:val="auto"/>
        </w:rPr>
      </w:pPr>
    </w:p>
    <w:p>
      <w:pPr>
        <w:ind w:right="220" w:firstLine="436"/>
        <w:spacing w:after="0" w:line="284"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applicable to agreements made and to be performed in such state.</w:t>
      </w:r>
    </w:p>
    <w:p>
      <w:pPr>
        <w:spacing w:after="0" w:line="158" w:lineRule="exact"/>
        <w:rPr>
          <w:rFonts w:ascii="Times New Roman" w:cs="Times New Roman" w:eastAsia="Times New Roman" w:hAnsi="Times New Roman"/>
          <w:sz w:val="18"/>
          <w:szCs w:val="18"/>
          <w:color w:val="auto"/>
        </w:rPr>
      </w:pPr>
    </w:p>
    <w:p>
      <w:pPr>
        <w:jc w:val="both"/>
        <w:ind w:firstLine="436"/>
        <w:spacing w:after="0" w:line="258"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one or more counterparts, each of which shall constitute an original and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right="700" w:firstLine="436"/>
        <w:spacing w:after="0" w:line="284" w:lineRule="auto"/>
        <w:tabs>
          <w:tab w:leader="none" w:pos="6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right="200" w:firstLine="436"/>
        <w:spacing w:after="0" w:line="284" w:lineRule="auto"/>
        <w:tabs>
          <w:tab w:leader="none" w:pos="6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rFonts w:ascii="Times New Roman" w:cs="Times New Roman" w:eastAsia="Times New Roman" w:hAnsi="Times New Roman"/>
          <w:sz w:val="18"/>
          <w:szCs w:val="18"/>
          <w:color w:val="auto"/>
        </w:rPr>
      </w:pPr>
    </w:p>
    <w:p>
      <w:pPr>
        <w:ind w:firstLine="436"/>
        <w:spacing w:after="0" w:line="267" w:lineRule="auto"/>
        <w:tabs>
          <w:tab w:leader="none" w:pos="6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of the Representative</w:t>
      </w:r>
      <w:r>
        <w:rPr>
          <w:rFonts w:ascii="Times New Roman" w:cs="Times New Roman" w:eastAsia="Times New Roman" w:hAnsi="Times New Roman"/>
          <w:sz w:val="18"/>
          <w:szCs w:val="18"/>
          <w:color w:val="auto"/>
        </w:rPr>
        <w:t>. The Representative is duly authorized to act hereunder on behalf of the other Underwriters. Any action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hereunder may be taken by the Representative on behalf of the Underwriters, and any such action taken by the Representative shall be binding on all the Underwriters.</w:t>
      </w:r>
    </w:p>
    <w:p>
      <w:pPr>
        <w:spacing w:after="0" w:line="17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 below.</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440" w:top="268" w:right="539" w:bottom="1440" w:gutter="0" w:footer="0" w:header="0"/>
        </w:sectPr>
      </w:pPr>
    </w:p>
    <w:bookmarkStart w:id="38" w:name="page39"/>
    <w:bookmarkEnd w:id="3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SIXTH STREET SPECIALTY LENDING ADVISERS,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660"/>
          </w:cols>
          <w:pgMar w:left="1440" w:top="270" w:right="7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itself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 in Schedule 1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Zara Kwon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Zara Kwon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Underwriting Agreement</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19"/>
          </w:cols>
          <w:pgMar w:left="440" w:top="270"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Securities to be paid by the several Underwriters shall be 98.094% of the aggregate principal amount thereof.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3320" w:type="dxa"/>
            <w:vAlign w:val="bottom"/>
            <w:vMerge w:val="restart"/>
          </w:tcPr>
          <w:p>
            <w:pPr>
              <w:spacing w:after="0"/>
              <w:rPr>
                <w:sz w:val="13"/>
                <w:szCs w:val="13"/>
                <w:color w:val="auto"/>
              </w:rPr>
            </w:pPr>
          </w:p>
        </w:tc>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Principal Amount of</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5400" w:type="dxa"/>
            <w:vAlign w:val="bottom"/>
          </w:tcPr>
          <w:p>
            <w:pPr>
              <w:spacing w:after="0"/>
              <w:rPr>
                <w:sz w:val="15"/>
                <w:szCs w:val="15"/>
                <w:color w:val="auto"/>
              </w:rPr>
            </w:pPr>
          </w:p>
        </w:tc>
        <w:tc>
          <w:tcPr>
            <w:tcW w:w="1580" w:type="dxa"/>
            <w:vAlign w:val="bottom"/>
            <w:gridSpan w:val="3"/>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Securities to be Purchased</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5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15,750,000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15,750,000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JMP Securities, LLC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Comerica Securities, Inc.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Citizens Capital Securities, LLC</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Sixth Street BD, LLC</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300,000,000</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520" w:type="dxa"/>
            <w:vAlign w:val="bottom"/>
            <w:gridSpan w:val="2"/>
          </w:tcPr>
          <w:p>
            <w:pPr>
              <w:jc w:val="right"/>
              <w:ind w:right="3782"/>
              <w:spacing w:after="0"/>
              <w:rPr>
                <w:sz w:val="20"/>
                <w:szCs w:val="20"/>
                <w:color w:val="auto"/>
              </w:rPr>
            </w:pPr>
            <w:r>
              <w:rPr>
                <w:rFonts w:ascii="Times New Roman" w:cs="Times New Roman" w:eastAsia="Times New Roman" w:hAnsi="Times New Roman"/>
                <w:sz w:val="18"/>
                <w:szCs w:val="18"/>
                <w:color w:val="auto"/>
              </w:rPr>
              <w:t>S-1-1</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131" w:lineRule="exact"/>
        <w:rPr>
          <w:sz w:val="20"/>
          <w:szCs w:val="20"/>
          <w:color w:val="auto"/>
        </w:rPr>
      </w:pPr>
    </w:p>
    <w:p>
      <w:pPr>
        <w:ind w:left="424" w:right="300" w:hanging="424"/>
        <w:spacing w:after="0" w:line="282"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May 7, 2026, containing the terms governing the Securities, substantially in the form of Annex A to this Agreement, filed with the Commission on May 7, 2026 pursuant to Rule 433.</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24"/>
          </w:cols>
          <w:pgMar w:left="436" w:top="270"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252"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 Lending,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SPV,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SL Holding,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Specialty Lending Sub, LLC</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24"/>
          </w:cols>
          <w:pgMar w:left="436" w:top="270" w:right="439" w:bottom="1440" w:gutter="0" w:footer="0" w:header="0"/>
        </w:sectPr>
      </w:pPr>
    </w:p>
    <w:bookmarkStart w:id="43" w:name="page44"/>
    <w:bookmarkEnd w:id="43"/>
    <w:p>
      <w:pPr>
        <w:ind w:left="9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ectPr>
          <w:pgSz w:w="11900" w:h="16838" w:orient="portrait"/>
          <w:cols w:equalWidth="0" w:num="1">
            <w:col w:w="10020"/>
          </w:cols>
          <w:pgMar w:left="1440" w:top="266"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Free Writing Prospectus dated May 7,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May 7, 2026 and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Prospectus dated December 22, 2023 (Registration No. 333-276252)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5.650% Notes due 2031</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7, 2026</w:t>
      </w:r>
    </w:p>
    <w:p>
      <w:pPr>
        <w:spacing w:after="0" w:line="207"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The following sets forth the final terms of the 5.650% Notes due 2031 and should only be read together with the preliminary prospectus supplement dated May 7, 2026, together with the accompanying prospectus dated December 22, 2023,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70" w:right="4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 (the “Issuer”)</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5.650% Notes due 2031</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Ratings (Moody’s/S&amp;P/Fitch)*: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Baa2/BBB-/BBB</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$300,000,000</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August 15, 2031, unless earlier repurchased or redeemed</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 7, 2026</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 (Issue Price):</w:t>
      </w:r>
    </w:p>
    <w:p>
      <w:pPr>
        <w:spacing w:after="0" w:line="20" w:lineRule="exact"/>
        <w:rPr>
          <w:sz w:val="20"/>
          <w:szCs w:val="20"/>
          <w:color w:val="auto"/>
        </w:rPr>
      </w:pPr>
      <w:r>
        <w:rPr>
          <w:sz w:val="20"/>
          <w:szCs w:val="20"/>
          <w:color w:val="auto"/>
        </w:rPr>
        <w:br w:type="column"/>
      </w:r>
    </w:p>
    <w:p>
      <w:pPr>
        <w:ind w:right="200"/>
        <w:spacing w:after="0" w:line="282" w:lineRule="auto"/>
        <w:rPr>
          <w:sz w:val="20"/>
          <w:szCs w:val="20"/>
          <w:color w:val="auto"/>
        </w:rPr>
      </w:pPr>
      <w:r>
        <w:rPr>
          <w:rFonts w:ascii="Times New Roman" w:cs="Times New Roman" w:eastAsia="Times New Roman" w:hAnsi="Times New Roman"/>
          <w:sz w:val="18"/>
          <w:szCs w:val="18"/>
          <w:color w:val="auto"/>
        </w:rPr>
        <w:t>The Notes will be issued at a price of 99.094% of their principal amount, plus accrued interest, if any, from May 14, 2026.</w:t>
      </w:r>
    </w:p>
    <w:p>
      <w:pPr>
        <w:spacing w:after="0" w:line="54"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5.650%</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5.846%</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T+180 bps</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3.875% due April 30, 2031</w:t>
      </w:r>
    </w:p>
    <w:p>
      <w:pPr>
        <w:spacing w:after="0" w:line="129"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99-07+ / 4.046%</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February 15 and August 15, commencing February 15, 2027</w:t>
      </w:r>
    </w:p>
    <w:p>
      <w:pPr>
        <w:spacing w:after="0" w:line="117"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July 15, 2031 (the date falling one month prior to the maturity date of the Notes) (the “Par Call Date”), the Issuer may redeem some or all of the Notes at any time, or from time to time, at a redemption price equal to the greater of the following amounts, plus, in each case, accrued and unpaid interest thereon to the redemption date:</w:t>
      </w:r>
    </w:p>
    <w:p>
      <w:pPr>
        <w:spacing w:after="0" w:line="72" w:lineRule="exact"/>
        <w:rPr>
          <w:sz w:val="20"/>
          <w:szCs w:val="20"/>
          <w:color w:val="auto"/>
        </w:rPr>
      </w:pPr>
    </w:p>
    <w:p>
      <w:pPr>
        <w:sectPr>
          <w:pgSz w:w="11900" w:h="16838" w:orient="portrait"/>
          <w:cols w:equalWidth="0" w:num="2">
            <w:col w:w="3900" w:space="720"/>
            <w:col w:w="6400"/>
          </w:cols>
          <w:pgMar w:left="440" w:top="270" w:right="43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(b) interest accrued to the date of redemption; and</w:t>
      </w:r>
    </w:p>
    <w:p>
      <w:pPr>
        <w:sectPr>
          <w:pgSz w:w="11900" w:h="16838" w:orient="portrait"/>
          <w:cols w:equalWidth="0" w:num="2">
            <w:col w:w="4780" w:space="220"/>
            <w:col w:w="6020"/>
          </w:cols>
          <w:pgMar w:left="440" w:top="270" w:right="439" w:bottom="1440" w:gutter="0" w:footer="0" w:header="0"/>
          <w:type w:val="continuous"/>
        </w:sectPr>
      </w:pPr>
    </w:p>
    <w:bookmarkStart w:id="45" w:name="page46"/>
    <w:bookmarkEnd w:id="45"/>
    <w:p>
      <w:pPr>
        <w:ind w:left="4724"/>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 of the principal amount of the Notes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-412115</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784" w:space="220"/>
            <w:col w:w="6020"/>
          </w:cols>
          <w:pgMar w:left="436" w:top="594" w:right="439" w:bottom="1440" w:gutter="0" w:footer="0" w:header="0"/>
        </w:sectPr>
      </w:pPr>
    </w:p>
    <w:p>
      <w:pPr>
        <w:ind w:left="4624"/>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Issuer redeems any Notes on or after the Par Call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price for the Notes will be equal to 100% of the principal amount of the Notes to be redeemed, plus accrued and unpaid interest thereon to the date of redemption.</w:t>
      </w:r>
    </w:p>
    <w:p>
      <w:pPr>
        <w:sectPr>
          <w:pgSz w:w="11900" w:h="16838" w:orient="portrait"/>
          <w:cols w:equalWidth="0" w:num="1">
            <w:col w:w="11024"/>
          </w:cols>
          <w:pgMar w:left="436" w:top="594" w:right="439" w:bottom="1440" w:gutter="0" w:footer="0" w:header="0"/>
          <w:type w:val="continuous"/>
        </w:sectPr>
      </w:pPr>
    </w:p>
    <w:p>
      <w:pPr>
        <w:spacing w:after="0" w:line="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Change of Control:</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Holders have the right to require the Issuer to repurchase the Notes at 100% of their principal amount plus accrued and unpaid interest, if any, in the event of a change of control repurchase event.</w:t>
      </w:r>
    </w:p>
    <w:p>
      <w:pPr>
        <w:spacing w:after="0" w:line="68" w:lineRule="exact"/>
        <w:rPr>
          <w:sz w:val="20"/>
          <w:szCs w:val="20"/>
          <w:color w:val="auto"/>
        </w:rPr>
      </w:pPr>
    </w:p>
    <w:p>
      <w:pPr>
        <w:sectPr>
          <w:pgSz w:w="11900" w:h="16838" w:orient="portrait"/>
          <w:cols w:equalWidth="0" w:num="2">
            <w:col w:w="3904" w:space="720"/>
            <w:col w:w="6400"/>
          </w:cols>
          <w:pgMar w:left="436" w:top="594"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 14, 2026 (T+5)</w:t>
      </w:r>
    </w:p>
    <w:p>
      <w:pPr>
        <w:spacing w:after="0" w:line="117" w:lineRule="exact"/>
        <w:rPr>
          <w:sz w:val="20"/>
          <w:szCs w:val="20"/>
          <w:color w:val="auto"/>
        </w:rPr>
      </w:pPr>
    </w:p>
    <w:p>
      <w:pPr>
        <w:sectPr>
          <w:pgSz w:w="11900" w:h="16838" w:orient="portrait"/>
          <w:cols w:equalWidth="0" w:num="2">
            <w:col w:w="3904" w:space="720"/>
            <w:col w:w="6400"/>
          </w:cols>
          <w:pgMar w:left="436" w:top="594"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8" w:lineRule="exact"/>
        <w:rPr>
          <w:sz w:val="20"/>
          <w:szCs w:val="20"/>
          <w:color w:val="auto"/>
        </w:rPr>
      </w:pPr>
    </w:p>
    <w:p>
      <w:pPr>
        <w:sectPr>
          <w:pgSz w:w="11900" w:h="16838" w:orient="portrait"/>
          <w:cols w:equalWidth="0" w:num="2">
            <w:col w:w="3904" w:space="720"/>
            <w:col w:w="6400"/>
          </w:cols>
          <w:pgMar w:left="436" w:top="594"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83012AAE9</w:t>
      </w:r>
    </w:p>
    <w:p>
      <w:pPr>
        <w:spacing w:after="0" w:line="117" w:lineRule="exact"/>
        <w:rPr>
          <w:sz w:val="20"/>
          <w:szCs w:val="20"/>
          <w:color w:val="auto"/>
        </w:rPr>
      </w:pPr>
    </w:p>
    <w:p>
      <w:pPr>
        <w:sectPr>
          <w:pgSz w:w="11900" w:h="16838" w:orient="portrait"/>
          <w:cols w:equalWidth="0" w:num="2">
            <w:col w:w="3904" w:space="720"/>
            <w:col w:w="6400"/>
          </w:cols>
          <w:pgMar w:left="436" w:top="594"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US83012AAE91</w:t>
      </w:r>
    </w:p>
    <w:p>
      <w:pPr>
        <w:spacing w:after="0" w:line="117" w:lineRule="exact"/>
        <w:rPr>
          <w:sz w:val="20"/>
          <w:szCs w:val="20"/>
          <w:color w:val="auto"/>
        </w:rPr>
      </w:pPr>
    </w:p>
    <w:p>
      <w:pPr>
        <w:sectPr>
          <w:pgSz w:w="11900" w:h="16838" w:orient="portrait"/>
          <w:cols w:equalWidth="0" w:num="2">
            <w:col w:w="3904" w:space="720"/>
            <w:col w:w="6400"/>
          </w:cols>
          <w:pgMar w:left="436" w:top="594"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9" w:lineRule="exact"/>
        <w:rPr>
          <w:sz w:val="20"/>
          <w:szCs w:val="20"/>
          <w:color w:val="auto"/>
        </w:rPr>
      </w:pPr>
    </w:p>
    <w:p>
      <w:pPr>
        <w:sectPr>
          <w:pgSz w:w="11900" w:h="16838" w:orient="portrait"/>
          <w:cols w:equalWidth="0" w:num="2">
            <w:col w:w="3904" w:space="720"/>
            <w:col w:w="6400"/>
          </w:cols>
          <w:pgMar w:left="436" w:top="594"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First-Citizens Capital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BD, LLC</w:t>
      </w:r>
    </w:p>
    <w:p>
      <w:pPr>
        <w:spacing w:after="0" w:line="200" w:lineRule="exact"/>
        <w:rPr>
          <w:sz w:val="20"/>
          <w:szCs w:val="20"/>
          <w:color w:val="auto"/>
        </w:rPr>
      </w:pPr>
    </w:p>
    <w:p>
      <w:pPr>
        <w:sectPr>
          <w:pgSz w:w="11900" w:h="16838" w:orient="portrait"/>
          <w:cols w:equalWidth="0" w:num="2">
            <w:col w:w="3904" w:space="720"/>
            <w:col w:w="6400"/>
          </w:cols>
          <w:pgMar w:left="436" w:top="594" w:right="439" w:bottom="1440" w:gutter="0" w:footer="0" w:header="0"/>
          <w:type w:val="continuous"/>
        </w:sectPr>
      </w:pPr>
    </w:p>
    <w:p>
      <w:pPr>
        <w:spacing w:after="0" w:line="34"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27" w:lineRule="exact"/>
        <w:rPr>
          <w:sz w:val="20"/>
          <w:szCs w:val="20"/>
          <w:color w:val="auto"/>
        </w:rPr>
      </w:pPr>
    </w:p>
    <w:p>
      <w:pPr>
        <w:ind w:left="424" w:right="180" w:hanging="424"/>
        <w:spacing w:after="0" w:line="252" w:lineRule="auto"/>
        <w:tabs>
          <w:tab w:leader="none" w:pos="42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that delivery of the Notes will be made to investors on or about May 14, 2026, which will be the fifth business day 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on the date hereof or the next succeeding business day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business day should consult their advisors.</w:t>
      </w:r>
    </w:p>
    <w:p>
      <w:pPr>
        <w:sectPr>
          <w:pgSz w:w="11900" w:h="16838" w:orient="portrait"/>
          <w:cols w:equalWidth="0" w:num="1">
            <w:col w:w="11024"/>
          </w:cols>
          <w:pgMar w:left="436" w:top="594" w:right="439" w:bottom="1440" w:gutter="0" w:footer="0" w:header="0"/>
          <w:type w:val="continuous"/>
        </w:sectPr>
      </w:pPr>
    </w:p>
    <w:bookmarkStart w:id="46" w:name="page47"/>
    <w:bookmarkEnd w:id="46"/>
    <w:p>
      <w:pPr>
        <w:ind w:left="424" w:right="100" w:hanging="424"/>
        <w:spacing w:after="0" w:line="258"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71" w:lineRule="exact"/>
        <w:rPr>
          <w:sz w:val="20"/>
          <w:szCs w:val="20"/>
          <w:color w:val="auto"/>
        </w:rPr>
      </w:pPr>
    </w:p>
    <w:p>
      <w:pPr>
        <w:ind w:left="4" w:right="18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67" w:lineRule="exact"/>
        <w:rPr>
          <w:sz w:val="20"/>
          <w:szCs w:val="20"/>
          <w:color w:val="auto"/>
        </w:rPr>
      </w:pPr>
    </w:p>
    <w:p>
      <w:pPr>
        <w:jc w:val="both"/>
        <w:ind w:left="4" w:right="80"/>
        <w:spacing w:after="0" w:line="266" w:lineRule="auto"/>
        <w:rPr>
          <w:sz w:val="20"/>
          <w:szCs w:val="20"/>
          <w:color w:val="auto"/>
        </w:rPr>
      </w:pPr>
      <w:r>
        <w:rPr>
          <w:rFonts w:ascii="Times New Roman" w:cs="Times New Roman" w:eastAsia="Times New Roman" w:hAnsi="Times New Roman"/>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64"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Alternatively, the Issuer, any underwriter or any dealer participating in the offering will arrange to send you the prospectus and the prospectus supplement if you request them by calling BofA Securities, Inc. at 1-800-294-1322.</w:t>
      </w:r>
    </w:p>
    <w:p>
      <w:pPr>
        <w:sectPr>
          <w:pgSz w:w="11900" w:h="16838" w:orient="portrait"/>
          <w:cols w:equalWidth="0" w:num="1">
            <w:col w:w="11004"/>
          </w:cols>
          <w:pgMar w:left="436" w:top="270" w:right="4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4.2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between</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Trustee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SUPPLEMENTAL INDENTURE</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THIRD SUPPLEMENTAL INDENTURE (this “Third Supplemental Indenture”), dated as of May 14, 2026, between Sixth Street Specialty Lending, Inc., a Delaware corporation (the “Company”), and U.S. Bank Trust Company, National Association, as trustee (the “Trustee”). All capitalized terms used herein shall have the meaning set forth in the Base Indenture (as defined below) unless otherwise defined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Trustee executed and delivered an Indenture, dated as of January 16, 2024 (the “Base Indenture” and, as supplemented by this Third Supplemental Indenture, collectively, the “Indenture”), to provide for the issuance by the Company from time to time of the Company’s unsecured debentures, notes or other evidences of indebtedness (the “Securities”), to be issued in one or more series as provided in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desires to issue and sell $300,000,000 aggregate principal amount of the Company’s 5.650% Notes due 2031 (the “Notes”).</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Sections 9.01(v) and 9.01(vii) of the Base Indenture provide that without the consent of Holders of the Securities of any series issued under the Indenture, the Company, when authorized by or pursuant to a Board Resolution, and the Trustee, at any time and from time to time, may enter into one or more indentures supplemental to the Base Indenture to (i) change or eliminate any of the provisions of the Indenture when there is no Security Outstanding of any series created prior to the execution of a supplemental indenture that is entitled to the benefit of such provision and (ii) establish the form or terms of Securities of any series as permitted by Section 2.01 and Section 3.01 of the Base Indenture.</w:t>
      </w:r>
    </w:p>
    <w:p>
      <w:pPr>
        <w:spacing w:after="0" w:line="183"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Company desires to establish the form and terms of the Notes and to modify, alter, supplement and change certain provisions of the Base Indenture for the benefit of the Holders of the Notes (except as may be provided in a future supplemental indenture to the Indenture (“Future Supplemental Indenture”)).</w:t>
      </w:r>
    </w:p>
    <w:p>
      <w:pPr>
        <w:sectPr>
          <w:pgSz w:w="11900" w:h="16838" w:orient="portrait"/>
          <w:cols w:equalWidth="0" w:num="1">
            <w:col w:w="11020"/>
          </w:cols>
          <w:pgMar w:left="440" w:top="117" w:right="439" w:bottom="1440" w:gutter="0" w:footer="0" w:header="0"/>
        </w:sectPr>
      </w:pPr>
    </w:p>
    <w:bookmarkStart w:id="48" w:name="page49"/>
    <w:bookmarkEnd w:id="48"/>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duly authorized the execution and delivery of this Third Supplemental Indenture to provide for the issuance of the Notes and all acts and things necessary to make this Third Supplemental Indenture a valid, binding, and legal obligation of the Company and to constitute a valid agreement of the Company, in accordance with its terms, have been done and performed.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117"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Notes by the Holders thereof, it is mutually agreed, for the equal and proportionate benefit of all Holders of the Notes, as follows: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TERMS OF THE NOTES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Terms of the Notes</w:t>
      </w:r>
      <w:r>
        <w:rPr>
          <w:rFonts w:ascii="Times New Roman" w:cs="Times New Roman" w:eastAsia="Times New Roman" w:hAnsi="Times New Roman"/>
          <w:sz w:val="18"/>
          <w:szCs w:val="18"/>
          <w:color w:val="auto"/>
        </w:rPr>
        <w:t>. The following terms relating to the Notes are hereby established:</w:t>
      </w:r>
    </w:p>
    <w:p>
      <w:pPr>
        <w:spacing w:after="0" w:line="117" w:lineRule="exact"/>
        <w:rPr>
          <w:sz w:val="20"/>
          <w:szCs w:val="20"/>
          <w:color w:val="auto"/>
        </w:rPr>
      </w:pPr>
    </w:p>
    <w:p>
      <w:pPr>
        <w:ind w:right="120" w:firstLine="987"/>
        <w:spacing w:after="0" w:line="282"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series of Securities having the title “5.650% Notes due 2031” and shall be designated as Senior Securities under the Indenture. The Notes shall bear a CUSIP number of 83012AAE9 and an ISIN number of US83012AAE91.</w:t>
      </w:r>
    </w:p>
    <w:p>
      <w:pPr>
        <w:spacing w:after="0" w:line="161"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the Notes that may be initially authenticated and delivered under the Indenture (except for Notes authenticated and delivered upon registration of, transfer of, or in exchange for, or in lieu of, other Notes pursuant to Sections 3.04, 3.05, 3.06, 9.06 or 11.07 of the Base Indenture) shall be $300,000,000. Under a Board Resolution, Officers’ Certificate pursuant to Board Resolutions or an indenture supplement, the Company may from time to time, without the consent of the Holders of Notes, issue additional Notes (in any such case “Additional Notes”) having the same ranking and the same interest rate, maturity, CUSIP number and other terms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Notes must either (i) be issued in a “qualified reopening” for U.S. Federal income tax purposes, with no more than a de minimis amount of original issue discount, or otherwise (ii) be part of the same issue as the Notes for U.S. federal income tax purposes. Any Additional Notes and the existing Notes will constitute a single series under the Indenture and all references to the relevant Notes herein shall include the Additional Notes unless the context otherwise requires.</w:t>
      </w:r>
    </w:p>
    <w:p>
      <w:pPr>
        <w:spacing w:after="0" w:line="188"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amount of the Notes shall be payable on August 15, 2031, unless earlier redeemed or repurchased in accordance with the provisions of this Third Supplemental Indenture.</w:t>
      </w:r>
    </w:p>
    <w:p>
      <w:pPr>
        <w:spacing w:after="0" w:line="161" w:lineRule="exact"/>
        <w:rPr>
          <w:rFonts w:ascii="Times New Roman" w:cs="Times New Roman" w:eastAsia="Times New Roman" w:hAnsi="Times New Roman"/>
          <w:sz w:val="18"/>
          <w:szCs w:val="18"/>
          <w:color w:val="auto"/>
        </w:rPr>
      </w:pPr>
    </w:p>
    <w:p>
      <w:pPr>
        <w:ind w:firstLine="987"/>
        <w:spacing w:after="0" w:line="277" w:lineRule="auto"/>
        <w:tabs>
          <w:tab w:leader="none" w:pos="124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at which the Notes shall bear interest shall be 5.650% per annum (the “Applicable Interest Rate”). The date from which interest shall accrue on the Notes shall be May 14, 2026, or the most recent Interest Payment Date to which interest has been paid or provided for; the Interest Payment Dates for the Notes shall be February 15 and August 15 of each year, commencing February 15, 2027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9" w:name="page50"/>
    <w:bookmarkEnd w:id="49"/>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will be the period from and including May 14, 2026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Notes) is registered at 5:00 p.m. New York City time (the “close of business”) on the Regular Record Date for such interest, which shall be February 1 and August 1 (whether or not a Business Day), as the case may be, immediately preceding such Interest Payment Date. Payment of principal of (and premium, if any) and any such interest on the Notes will be made at the Corporate Trust Office of the Paying Agent, which shall initially be the Trustee, in such coin or currency of the United States of America as at the time of payment is legal tender for payment of public and private debts; provided, however,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177" w:lineRule="exact"/>
        <w:rPr>
          <w:sz w:val="20"/>
          <w:szCs w:val="20"/>
          <w:color w:val="auto"/>
        </w:rPr>
      </w:pPr>
    </w:p>
    <w:p>
      <w:pPr>
        <w:ind w:firstLine="987"/>
        <w:spacing w:after="0" w:line="255" w:lineRule="auto"/>
        <w:tabs>
          <w:tab w:leader="none" w:pos="123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shall be initially issuable in global form (each such Note, a “Global Note”). The Global Notes and the Trustee’s certificate of authentication thereon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Third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88"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Custodian for such Global Notes shall be the Trustee. The Security Registrar with respect to the Global Notes shall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w:t>
      </w:r>
    </w:p>
    <w:p>
      <w:pPr>
        <w:spacing w:after="0" w:line="206"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defeasible pursuant to Section 14.02 or Section 14.03 of the Base Indenture. Covenant defeasance contained in Section 14.03 of the Base Indenture shall apply to the covenants contained in Sections 10.06, 10.07 and 10.08 of the Indenture.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pursuant to Section 11.01 of the Base Indenture and as follows:</w:t>
      </w:r>
    </w:p>
    <w:p>
      <w:pPr>
        <w:spacing w:after="0" w:line="117" w:lineRule="exact"/>
        <w:rPr>
          <w:rFonts w:ascii="Times New Roman" w:cs="Times New Roman" w:eastAsia="Times New Roman" w:hAnsi="Times New Roman"/>
          <w:sz w:val="18"/>
          <w:szCs w:val="18"/>
          <w:color w:val="auto"/>
        </w:rPr>
      </w:pPr>
    </w:p>
    <w:p>
      <w:pPr>
        <w:ind w:left="1420" w:right="180" w:firstLine="8"/>
        <w:spacing w:after="0" w:line="261" w:lineRule="auto"/>
        <w:tabs>
          <w:tab w:leader="none" w:pos="163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redeemable, in whole or in part, at any time, or from time to time, at the option of the Company, at a Redemption Price (expressed as a percentage of principal amount and rounded to three decimal places), prior to July 15, 2031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equal to the greater of the following amounts, plus, in each case, accrued and unpaid interest thereon to the Redemption Date:</w:t>
      </w:r>
    </w:p>
    <w:p>
      <w:pPr>
        <w:spacing w:after="0" w:line="85" w:lineRule="exact"/>
        <w:rPr>
          <w:sz w:val="20"/>
          <w:szCs w:val="20"/>
          <w:color w:val="auto"/>
        </w:rPr>
      </w:pPr>
    </w:p>
    <w:p>
      <w:pPr>
        <w:ind w:left="1960" w:right="340" w:hanging="533"/>
        <w:spacing w:after="0" w:line="261" w:lineRule="auto"/>
        <w:tabs>
          <w:tab w:leader="none" w:pos="1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(2) interest accrued to the date of redemption;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50" w:name="page51"/>
    <w:bookmarkEnd w:id="50"/>
    <w:p>
      <w:pPr>
        <w:ind w:left="1960" w:hanging="533"/>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100% of the principal amount of the Notes to be redeemed;</w:t>
      </w:r>
    </w:p>
    <w:p>
      <w:pPr>
        <w:spacing w:after="0" w:line="22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redeems any Notes on or after the Par Call Date, the Redemption Price for the Notes will be equal to 100%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principal amount of the Notes to be redeemed, plus accrued and unpaid interest thereon to the Redemption Date.</w:t>
      </w:r>
    </w:p>
    <w:p>
      <w:pPr>
        <w:spacing w:after="0" w:line="160"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67" w:lineRule="exact"/>
        <w:rPr>
          <w:sz w:val="20"/>
          <w:szCs w:val="20"/>
          <w:color w:val="auto"/>
        </w:rPr>
      </w:pPr>
    </w:p>
    <w:p>
      <w:pPr>
        <w:ind w:left="1960" w:hanging="533"/>
        <w:spacing w:after="0" w:line="252" w:lineRule="auto"/>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and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51" w:name="page52"/>
    <w:bookmarkEnd w:id="51"/>
    <w:p>
      <w:pPr>
        <w:ind w:left="1960" w:hanging="533"/>
        <w:spacing w:after="0" w:line="252" w:lineRule="auto"/>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54" w:lineRule="exact"/>
        <w:rPr>
          <w:sz w:val="20"/>
          <w:szCs w:val="20"/>
          <w:color w:val="auto"/>
        </w:rPr>
      </w:pPr>
    </w:p>
    <w:p>
      <w:pPr>
        <w:ind w:left="1420" w:right="200" w:firstLine="8"/>
        <w:spacing w:after="0" w:line="256" w:lineRule="auto"/>
        <w:tabs>
          <w:tab w:leader="none" w:pos="1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redemption shall be mailed or electronically delivered (or otherwise transmitted in accordance with the depositary’s procedures) at least 10 days but not more than 60 days before the Redemption Date to each Holder of Notes to be redeemed,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w:t>
      </w:r>
    </w:p>
    <w:p>
      <w:pPr>
        <w:spacing w:after="0" w:line="79" w:lineRule="exact"/>
        <w:rPr>
          <w:rFonts w:ascii="Times New Roman" w:cs="Times New Roman" w:eastAsia="Times New Roman" w:hAnsi="Times New Roman"/>
          <w:sz w:val="18"/>
          <w:szCs w:val="18"/>
          <w:color w:val="auto"/>
        </w:rPr>
      </w:pPr>
    </w:p>
    <w:p>
      <w:pPr>
        <w:ind w:left="1420" w:right="260" w:firstLine="8"/>
        <w:spacing w:after="0" w:line="282" w:lineRule="auto"/>
        <w:tabs>
          <w:tab w:leader="none" w:pos="17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the Company’s option to redeem the Notes will be done in compliance with the Investment Company Act, to the extent applicable.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52" w:name="page53"/>
    <w:bookmarkEnd w:id="52"/>
    <w:p>
      <w:pPr>
        <w:ind w:left="1420" w:right="40" w:firstLine="8"/>
        <w:spacing w:after="0" w:line="255" w:lineRule="auto"/>
        <w:tabs>
          <w:tab w:leader="none" w:pos="172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Company elects to redeem only a portion of the Notes, selection of the Notes for redemption shall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80" w:lineRule="exact"/>
        <w:rPr>
          <w:rFonts w:ascii="Times New Roman" w:cs="Times New Roman" w:eastAsia="Times New Roman" w:hAnsi="Times New Roman"/>
          <w:sz w:val="18"/>
          <w:szCs w:val="18"/>
          <w:color w:val="auto"/>
        </w:rPr>
      </w:pPr>
    </w:p>
    <w:p>
      <w:pPr>
        <w:ind w:left="1420" w:right="460" w:firstLine="8"/>
        <w:spacing w:after="0" w:line="282" w:lineRule="auto"/>
        <w:tabs>
          <w:tab w:leader="none" w:pos="167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called for redemption hereunder.</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any sinking fund pursuant to Section 12.01 of the Base Indenture.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denominations of $2,000 and integral multiples of $1,000 in excess thereof.</w:t>
      </w:r>
    </w:p>
    <w:p>
      <w:pPr>
        <w:spacing w:after="0" w:line="225"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will not have the option to have the Notes repaid prior to the Stated Maturity other than in accordance with Article Thirteen of the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OTHER PROVISIONS OF GENERAL APPLICATION</w:t>
      </w:r>
    </w:p>
    <w:p>
      <w:pPr>
        <w:spacing w:after="0" w:line="207"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Section 2.01. Except as may be provided in a Future Supplemental Indenture, for the benefit of the Holders of the Notes but no other series of Securities under the Indenture, whether now or hereafter issued and Outstanding, Article One of the Base Indenture shall be amended by adding the following defined terms to Section 1.01 of the Base Indenture in appropriate alphabetical sequence, as follows:</w:t>
      </w:r>
    </w:p>
    <w:p>
      <w:pPr>
        <w:spacing w:after="0" w:line="6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any of the Rating Agencies); provided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3" w:name="page54"/>
    <w:bookmarkEnd w:id="5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7" w:lineRule="exact"/>
        <w:rPr>
          <w:sz w:val="20"/>
          <w:szCs w:val="20"/>
          <w:color w:val="auto"/>
        </w:rPr>
      </w:pPr>
    </w:p>
    <w:p>
      <w:pPr>
        <w:ind w:right="140" w:firstLine="436"/>
        <w:spacing w:after="0" w:line="258"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183" w:lineRule="exact"/>
        <w:rPr>
          <w:rFonts w:ascii="Times New Roman" w:cs="Times New Roman" w:eastAsia="Times New Roman" w:hAnsi="Times New Roman"/>
          <w:sz w:val="18"/>
          <w:szCs w:val="18"/>
          <w:color w:val="auto"/>
        </w:rPr>
      </w:pPr>
    </w:p>
    <w:p>
      <w:pPr>
        <w:ind w:right="240" w:firstLine="436"/>
        <w:spacing w:after="0" w:line="261"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corporate trust office of the Trustee, at which at any particular time its corporate trust business with respect to this Indenture shall be administered, which office is currently located at U.S. Bank Trust Company, National Association, 100 Wall St STE 600, New York, NY 10005.</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with respect to each Note in global form, The Depository Trust Company, until a successor shall have been appointed and becomes such person, and thereafter, Depositary shall mean or include such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 Service, or any successor thereto.</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54" w:name="page55"/>
    <w:bookmarkEnd w:id="54"/>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(i) the Company, (ii) one or more of the Company’s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76"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Rating Agency</w:t>
      </w:r>
      <w:r>
        <w:rPr>
          <w:rFonts w:ascii="Times New Roman" w:cs="Times New Roman" w:eastAsia="Times New Roman" w:hAnsi="Times New Roman"/>
          <w:sz w:val="17"/>
          <w:szCs w:val="17"/>
          <w:color w:val="auto"/>
        </w:rPr>
        <w:t>” means (1) each of Fitch, Moody’s and S&amp;P; and (2) if any of Fitch, Moody’s or S&amp;P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Moody’s or S&amp;P, or all three, as the case may be.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or any successor thereto.</w:t>
      </w:r>
    </w:p>
    <w:p>
      <w:pPr>
        <w:spacing w:after="0" w:line="22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REMEDIES</w:t>
      </w:r>
    </w:p>
    <w:p>
      <w:pPr>
        <w:spacing w:after="0" w:line="20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Section 3.01. 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Section 5.01 of the Base Indenture shall be amended by replacing clause (viii) thereof with the following:</w:t>
      </w:r>
    </w:p>
    <w:p>
      <w:pPr>
        <w:spacing w:after="0" w:line="68" w:lineRule="exact"/>
        <w:rPr>
          <w:sz w:val="20"/>
          <w:szCs w:val="20"/>
          <w:color w:val="auto"/>
        </w:rPr>
      </w:pPr>
    </w:p>
    <w:p>
      <w:pPr>
        <w:ind w:left="440" w:right="40"/>
        <w:spacing w:after="0" w:line="254" w:lineRule="auto"/>
        <w:rPr>
          <w:sz w:val="20"/>
          <w:szCs w:val="20"/>
          <w:color w:val="auto"/>
        </w:rPr>
      </w:pPr>
      <w:r>
        <w:rPr>
          <w:rFonts w:ascii="Times New Roman" w:cs="Times New Roman" w:eastAsia="Times New Roman" w:hAnsi="Times New Roman"/>
          <w:sz w:val="18"/>
          <w:szCs w:val="18"/>
          <w:color w:val="auto"/>
        </w:rPr>
        <w:t>“default by the Company or any of its Significant Subsidiaries, with respect to any mortgage, agreement or other instrument under which there may be outstanding, or by which there may be secured or evidenced, any indebtedness for money borrowed in excess of $100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Securities of any series then Outstanding.”</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TRUSTEE</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Section 4.01. Neither the Trustee nor any Paying Agent shall be responsible (or liable) for determining whether any Change of Control or Below Investment Grade Rating Event has occurred and whether any Change of Control offer with respect to the Notes is required.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(or liability) to verify or ensure the accuracy, correctness, adequacy, or completeness of such information.</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4.02. 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Section 5.01. Except as may be provided in a Future Supplemental Indenture, for the benefit of the Holders of the Notes but no other series of Securities under the Indenture, whether now or hereafter issued and Outstanding, Article Ten of the Base Indenture shall be amended by replacing Section 10.07 with the following:</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Section 18(a)(1)(A) of the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hereby agrees that for the period of time during which Securities are Outstanding, the Company will not violate, whether or not it is subject thereto, Section 18(a)(1)(A) as modified by Section 61(a) of the Investment Company Act or any successor provisions thereto of the Investment Company Act, but giving effect, in either case, to any exemptive relief granted to the Company by the Commission.”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OFFER TO REPURCHASE UPON A CHANGE OF CONTROL REPURCHASE EVENT</w:t>
      </w:r>
    </w:p>
    <w:p>
      <w:pPr>
        <w:spacing w:after="0" w:line="20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 under the Indenture, whether now or hereafter issued and Outstanding, Article Thirteen of the Base Indenture shall be amended by replacing Sections 13.01 to 13.05 thereto with the following: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56" w:name="page57"/>
    <w:bookmarkEnd w:id="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13.01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the Company’s option, prior to any Change of Control, but after the public announcement of the Change of Control, the Company will send a written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w:t>
      </w:r>
    </w:p>
    <w:p>
      <w:pPr>
        <w:spacing w:after="0" w:line="18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To the extent that the provisions of any securities laws or regulations conflict with this Section 13.01, the Company shall comply with the</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applicable securities laws and regulations and shall not be deemed to have breached its obligations under this Section 13.01 by virtue of such conflict.</w:t>
      </w:r>
    </w:p>
    <w:p>
      <w:pPr>
        <w:spacing w:after="0" w:line="218"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Investment Company Act, the Company shall, to the extent lawful:</w:t>
      </w:r>
    </w:p>
    <w:p>
      <w:pPr>
        <w:spacing w:after="0" w:line="54" w:lineRule="exact"/>
        <w:rPr>
          <w:sz w:val="20"/>
          <w:szCs w:val="20"/>
          <w:color w:val="auto"/>
        </w:rPr>
      </w:pPr>
    </w:p>
    <w:p>
      <w:pPr>
        <w:ind w:left="700" w:hanging="264"/>
        <w:spacing w:after="0"/>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its offer;</w:t>
      </w:r>
    </w:p>
    <w:p>
      <w:pPr>
        <w:spacing w:after="0" w:line="117" w:lineRule="exact"/>
        <w:rPr>
          <w:rFonts w:ascii="Times New Roman" w:cs="Times New Roman" w:eastAsia="Times New Roman" w:hAnsi="Times New Roman"/>
          <w:sz w:val="18"/>
          <w:szCs w:val="18"/>
          <w:color w:val="auto"/>
        </w:rPr>
      </w:pPr>
    </w:p>
    <w:p>
      <w:pPr>
        <w:ind w:left="440" w:right="140" w:hanging="4"/>
        <w:spacing w:after="0" w:line="282"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440" w:hanging="4"/>
        <w:spacing w:after="0" w:line="282" w:lineRule="auto"/>
        <w:tabs>
          <w:tab w:leader="none" w:pos="6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62"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57" w:name="page58"/>
    <w:bookmarkEnd w:id="57"/>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62"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4" w:right="280" w:firstLine="440"/>
        <w:spacing w:after="0" w:line="258" w:lineRule="auto"/>
        <w:rPr>
          <w:sz w:val="20"/>
          <w:szCs w:val="20"/>
          <w:color w:val="auto"/>
        </w:rPr>
      </w:pPr>
      <w:r>
        <w:rPr>
          <w:rFonts w:ascii="Times New Roman" w:cs="Times New Roman" w:eastAsia="Times New Roman" w:hAnsi="Times New Roman"/>
          <w:sz w:val="18"/>
          <w:szCs w:val="18"/>
          <w:color w:val="auto"/>
        </w:rPr>
        <w:t>Section 7.01. This Third Supplemental Indenture and the Notes shall be governed by and construed in accordance with the laws of the State of New York, without regard to principles of conflicts of laws that would cause the application of laws of another jurisdiction. This Third Supplemental Indenture is subject to the provisions of the Trust Indenture Act that are required to be part of the Indenture and shall, to the extent applicable, be governed by such provisions. If any provision of the Indenture limits, qualifies or conflicts with the duties imposed by Section 318(c) of the Trust Indenture Act, the imposed duties will control.</w:t>
      </w:r>
    </w:p>
    <w:p>
      <w:pPr>
        <w:spacing w:after="0" w:line="183"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Section 7.02. In case any provision in this Third Supplemental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Section 7.03. This Third Supplemental Indenture may be executed in any number of counterparts, each of which will be an original, but such counterparts will together constitute but one and the same Third Supplemental Indenture. This Third Supplemental Indenture shall be valid, binding, and enforceable against a party when executed and delivered by an authorized individual on behalf of the party by means of (i) an original manual signature;</w:t>
      </w:r>
    </w:p>
    <w:p>
      <w:pPr>
        <w:spacing w:after="0" w:line="2" w:lineRule="exact"/>
        <w:rPr>
          <w:sz w:val="20"/>
          <w:szCs w:val="20"/>
          <w:color w:val="auto"/>
        </w:rPr>
      </w:pPr>
    </w:p>
    <w:p>
      <w:pPr>
        <w:ind w:left="264" w:hanging="264"/>
        <w:spacing w:after="0"/>
        <w:tabs>
          <w:tab w:leader="none" w:pos="2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faxed, scanned, or photocopied manual signature, or (iii) any other electronic signature permitted by the federal Electronic Signatures in Global</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National Commerce Act, state enactments of the Uniform Electronic Transactions Act, and/or any other relevant electronic signatures law, including any relevant provisions of the Uniform Commercial Code/UCC (collectively, “Signature Law”),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For the avoidance of doubt, original manual signatures shall be used for execution or indorsement of writings when required under the UCC or other Signature Law due to the character or intended character of the writings.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58" w:name="page59"/>
    <w:bookmarkEnd w:id="5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7.04. The Base Indenture, as supplemented and amended by this Third Supplemental Indenture, is in all respects ratified and confirmed, and the Base Indenture and this Third Supplemental Indenture shall be read, taken and construed as one and the same instrument with respect to the Notes. All provisions included in this Third Supplemental Indenture supersede any conflicting provisions included in the Base Indenture with respect to the Notes, unless not permitted by law. The Trustee accepts the trusts created by the Indenture, as supplemented by this Third Supplemental Indenture, and agrees to perform the same upon the terms and conditions of the Indenture, as supplemented by this Third Supplemental Indenture. All of the provisions contained in the Base Indenture in respect of the rights, privileges, protections, limitations of liability, indemnities, immunities, powers, and duties of the Trustee shall be applicable in respect of this Third Supplemental Indenture as fully and with like force and effect as though fully set forth in full herein.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7.05. The provisions of this Third Supplemental Indenture shall become effective as of the date hereof.</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7.06. Notwithstanding anything else to the contrary herein, the terms and provisions of this Third Supplemental Indenture shall apply only to the Notes and shall not apply to any other series of Securities under the Indenture and this Third Supplemental Indenture shall not and does not otherwise affect, modify, alter, supplement or change the terms and provisions of any other series of Securities under the Indenture, whether now or hereafter issued and Outstanding.</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Section 6.07. The recitals contained herein and in the Notes shall be taken as the statements of the Company, and the Trustee assumes no responsibility for their accuracy, completeness or correctness. The Trustee makes no representations as to and shall not be responsible or liable for the validity or sufficiency of this Third Supplemental Indenture, the Notes or any Additional Notes, except that the Trustee represents that it is duly authorized to execute and deliver this Third Supplemental Indenture, authenticate the Notes and any Additional Notes and perform its obligations hereunder. The Trustee shall not be responsible or liable for the use or application by the Company of the Notes or any Additional Notes or the proceeds thereof.</w:t>
      </w:r>
    </w:p>
    <w:p>
      <w:pPr>
        <w:spacing w:after="0" w:line="187" w:lineRule="exact"/>
        <w:rPr>
          <w:sz w:val="20"/>
          <w:szCs w:val="20"/>
          <w:color w:val="auto"/>
        </w:rPr>
      </w:pPr>
    </w:p>
    <w:p>
      <w:pPr>
        <w:ind w:right="340" w:firstLine="440"/>
        <w:spacing w:after="0" w:line="289" w:lineRule="auto"/>
        <w:rPr>
          <w:sz w:val="20"/>
          <w:szCs w:val="20"/>
          <w:color w:val="auto"/>
        </w:rPr>
      </w:pPr>
      <w:r>
        <w:rPr>
          <w:rFonts w:ascii="Times New Roman" w:cs="Times New Roman" w:eastAsia="Times New Roman" w:hAnsi="Times New Roman"/>
          <w:sz w:val="17"/>
          <w:szCs w:val="17"/>
          <w:color w:val="auto"/>
        </w:rPr>
        <w:t>Section 6.08. EACH OF THE COMPANY AND THE TRUSTEE HEREBY IRREVOCABLY WAIVES, TO THE FULLEST EXTENT PERMITTED BY APPLICABLE LAW, ANY AND ALL RIGHT TO TRIAL BY JURY IN ANY LEGAL PROCEEDING ARISING OUT OF OR RELATING TO THIS THIRD SUPPLEMENTAL INDENTURE, THE SECURITIES OR THE TRANSACTION CONTEMPLATED HEREBY.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Third Supplemental Indenture to be duly executed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Adina Casper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Adina Casper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[Signature Page to Third Supplemental Indenture]</w:t>
      </w:r>
    </w:p>
    <w:p>
      <w:pPr>
        <w:sectPr>
          <w:pgSz w:w="11900" w:h="16838" w:orient="portrait"/>
          <w:cols w:equalWidth="0" w:num="1">
            <w:col w:w="10540"/>
          </w:cols>
          <w:pgMar w:left="880" w:top="270" w:right="47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 Form of Global Note</w:t>
      </w:r>
    </w:p>
    <w:p>
      <w:pPr>
        <w:spacing w:after="0" w:line="229" w:lineRule="exact"/>
        <w:rPr>
          <w:sz w:val="20"/>
          <w:szCs w:val="20"/>
          <w:color w:val="auto"/>
        </w:rPr>
      </w:pPr>
    </w:p>
    <w:p>
      <w:pPr>
        <w:ind w:right="380" w:firstLine="440"/>
        <w:spacing w:after="0" w:line="258" w:lineRule="auto"/>
        <w:rPr>
          <w:sz w:val="20"/>
          <w:szCs w:val="20"/>
          <w:color w:val="auto"/>
        </w:rPr>
      </w:pPr>
      <w:r>
        <w:rPr>
          <w:rFonts w:ascii="Times New Roman" w:cs="Times New Roman" w:eastAsia="Times New Roman" w:hAnsi="Times New Roman"/>
          <w:sz w:val="18"/>
          <w:szCs w:val="18"/>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79"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ectPr>
          <w:pgSz w:w="11900" w:h="16838" w:orient="portrait"/>
          <w:cols w:equalWidth="0" w:num="1">
            <w:col w:w="11000"/>
          </w:cols>
          <w:pgMar w:left="440" w:top="266" w:right="45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Initially $300,000,000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83012AAE9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ISIN No. US83012AAE91</w:t>
      </w:r>
    </w:p>
    <w:p>
      <w:pPr>
        <w:spacing w:after="0" w:line="200" w:lineRule="exact"/>
        <w:rPr>
          <w:sz w:val="20"/>
          <w:szCs w:val="20"/>
          <w:color w:val="auto"/>
        </w:rPr>
      </w:pPr>
    </w:p>
    <w:p>
      <w:pPr>
        <w:sectPr>
          <w:pgSz w:w="11900" w:h="16838" w:orient="portrait"/>
          <w:cols w:equalWidth="0" w:num="2">
            <w:col w:w="7880" w:space="720"/>
            <w:col w:w="2400"/>
          </w:cols>
          <w:pgMar w:left="440" w:top="266" w:right="45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5.650% Notes due 2031</w:t>
      </w:r>
    </w:p>
    <w:p>
      <w:pPr>
        <w:sectPr>
          <w:pgSz w:w="11900" w:h="16838" w:orient="portrait"/>
          <w:cols w:equalWidth="0" w:num="1">
            <w:col w:w="11000"/>
          </w:cols>
          <w:pgMar w:left="440" w:top="266" w:right="459" w:bottom="1440" w:gutter="0" w:footer="0" w:header="0"/>
          <w:type w:val="continuous"/>
        </w:sectPr>
      </w:pPr>
    </w:p>
    <w:p>
      <w:pPr>
        <w:spacing w:after="0" w:line="237"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Sixth Street Specialty Lending, Inc.,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THREE HUNDRED MILLION DOLLARS (U.S. $300,000,000), or such other principal sum as shall be set forth in the Schedule of Increases or Decreases attached hereto, on August 15, 2031, and to pay interest thereon from May 14, 2026 or from the most recent Interest Payment Date to which interest has been paid or duly provided for, semi-annually on February 15 and August 15 of each year, commencing February 15, 2027, at the rate of 5.650%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February 1 and August 1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ectPr>
          <w:pgSz w:w="11900" w:h="16838" w:orient="portrait"/>
          <w:cols w:equalWidth="0" w:num="1">
            <w:col w:w="11000"/>
          </w:cols>
          <w:pgMar w:left="440" w:top="266" w:right="459" w:bottom="1440" w:gutter="0" w:footer="0" w:header="0"/>
          <w:type w:val="continuous"/>
        </w:sectPr>
      </w:pPr>
    </w:p>
    <w:bookmarkStart w:id="61" w:name="page62"/>
    <w:bookmarkEnd w:id="61"/>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of the principal of (and premium, if any) and any such interest on this Security will be made at the Corporate Trust Office of the Paying Agent, which shall initially be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 address shall appear in the Security Register.</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duly executed.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SIXTH STREET SPECIALTY LENDING,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Ian T. Simmonds</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140"/>
          </w:cols>
          <w:pgMar w:left="440" w:top="270" w:right="131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14,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Adina Casper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19"/>
          </w:cols>
          <w:pgMar w:left="440" w:top="270"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 OF NOTE]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5.650% Notes due 2031</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 Indenture, dated as of January 16, 2024 (herein called the “Base Indenture”, which term shall have the meaning assigned to it in such instrument), between the Company and U.S. Bank Trust Company, National Association, as Trustee (herein called the “Trustee”, which term includes any successor trustee under the Base Indenture), and reference is hereby made to the Base Indenture for a statement of the respective rights, limitations of rights, duties and immunities thereunder of the Company, the Trustee, and the Holders of the Securities and of the terms upon which the Securities are, and are to be, authenticated and delivered, as supplemented by the Third Supplemental Indenture, relating to the Securities, dated as of May 14, 2026, by and between the Company and the Trustee (herein called the “Third Supplemental Indenture”; and together with the Base Indenture, the “Indenture”). In the event of any conflict between the Base Indenture and the Third Supplemental Indenture, the Third Supplemental Indenture shall govern and control.</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This Security is one of the series designated on the face hereof, initially limited in aggregate principal amount to $300,000,000. Under a Board Resolution, Officers’ Certificate pursuant to Board Resolutions or an indenture supplement, the Company may from time to time, without the consent of the Holders of Securities, issue additional Securities of this series (in any such case “Additional Securities”) having the same ranking and the same interest rate, maturity, CUSIP number and other terms as the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88"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Securities of this series are subject to redemption in whole or in part, at any time, or from time to time, at the option of the Company, at a Redemption Price (expressed as a percentage of principal amount and rounded to three decimal places), prior to the Par Call Date, equal to the greater of the following amounts, plus, in each case, accrued and unpaid interest thereon to the Redemption Date:</w:t>
      </w:r>
    </w:p>
    <w:p>
      <w:pPr>
        <w:spacing w:after="0" w:line="81" w:lineRule="exact"/>
        <w:rPr>
          <w:sz w:val="20"/>
          <w:szCs w:val="20"/>
          <w:color w:val="auto"/>
        </w:rPr>
      </w:pPr>
    </w:p>
    <w:p>
      <w:pPr>
        <w:ind w:left="960" w:right="60" w:hanging="532"/>
        <w:spacing w:after="0" w:line="266"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30 basis points less (i) interest accrued to the date of redemption;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65" w:name="page66"/>
    <w:bookmarkEnd w:id="65"/>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the Company redeems any Securities on or after the Par Call Date, the Redemption Price for the Securities will be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of the principal amount of the Securities to be redeemed, plus accrued and unpaid interest thereon to the Redemption Date.</w:t>
      </w:r>
    </w:p>
    <w:p>
      <w:pPr>
        <w:spacing w:after="0" w:line="160"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67" w:lineRule="exact"/>
        <w:rPr>
          <w:sz w:val="20"/>
          <w:szCs w:val="20"/>
          <w:color w:val="auto"/>
        </w:rPr>
      </w:pPr>
    </w:p>
    <w:p>
      <w:pPr>
        <w:ind w:left="960" w:right="20" w:hanging="532"/>
        <w:spacing w:after="0" w:line="253"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 Nominal” (or any successor caption or heading) (“H.15 TCM”). In determining the Treasury Rate, the Company shall select, as applicable:</w:t>
      </w:r>
    </w:p>
    <w:p>
      <w:pPr>
        <w:spacing w:after="0" w:line="5" w:lineRule="exact"/>
        <w:rPr>
          <w:rFonts w:ascii="Times New Roman" w:cs="Times New Roman" w:eastAsia="Times New Roman" w:hAnsi="Times New Roman"/>
          <w:sz w:val="18"/>
          <w:szCs w:val="18"/>
          <w:color w:val="auto"/>
        </w:rPr>
      </w:pPr>
    </w:p>
    <w:p>
      <w:pPr>
        <w:ind w:left="96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and</w:t>
      </w:r>
    </w:p>
    <w:p>
      <w:pPr>
        <w:spacing w:after="0" w:line="98" w:lineRule="exact"/>
        <w:rPr>
          <w:rFonts w:ascii="Times New Roman" w:cs="Times New Roman" w:eastAsia="Times New Roman" w:hAnsi="Times New Roman"/>
          <w:sz w:val="18"/>
          <w:szCs w:val="18"/>
          <w:color w:val="auto"/>
        </w:rPr>
      </w:pPr>
    </w:p>
    <w:p>
      <w:pPr>
        <w:ind w:left="960" w:hanging="532"/>
        <w:spacing w:after="0" w:line="254" w:lineRule="auto"/>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66" w:name="page67"/>
    <w:bookmarkEnd w:id="66"/>
    <w:p>
      <w:pPr>
        <w:ind w:left="98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Notice of any redemption shall be mailed or electronically delivered (or otherwise transmitted in accordance with the depositary’s procedures) at least 10 days but not more than 60 days before the Redemption Date to each Holder of Securities to be redeemed, at the Holder’s address appearing in the Security Register. All notices of redemption shall contain the information set forth in Section 11.04 of the Base Indenture.</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Any exercise of the Company’s option to redeem the Securities will be done in compliance with the Investment Company Act, to the extent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Company elects to redeem only a portion of the Securities, selection of the Securities for redemption shall be made pro rata, by lot or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method as the Trustee deems appropriate and fair with the prior written consent of the Company. No Securities of a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or less will be redeemed in part. If any Security is to be redeemed in part only, the notice of redemption that relates to the Security will state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 principal amount of the Security to be redeemed. A new security in a principal amount equal to the unredeemed portion of the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issued in the name of the holder of the Security upon surrender for cancellation of the original Security. For so long as the Securities are held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Euroclear or Clearstream (or another depositary), the redemption of the Securities shall be done in accordance with the policies and procedures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w:t>
      </w:r>
    </w:p>
    <w:p>
      <w:pPr>
        <w:spacing w:after="0" w:line="207"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Securities called for redemption.</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Holders will have the right to require the Company to repurchase their Securities upon the occurrence of a Change of Control Repurchase Event as set forth in the Indenture.</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7" w:name="page68"/>
    <w:bookmarkEnd w:id="6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and a responsible officer of the Trustee has received, written notice of, or a responsible officer of the Trustee has actual knowledge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against the costs, expenses (including attorneys’ fees and expenses), court costs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ninety (90)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9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68" w:name="page69"/>
    <w:bookmarkEnd w:id="68"/>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To the extent any provision of this Security conflicts with the express provisions of the Indenture, the provisions of the Indenture shall govern and be controlling.</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principles of conflicts of laws.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69" w:name="page70"/>
    <w:bookmarkEnd w:id="69"/>
    <w:p>
      <w:pPr>
        <w:jc w:val="center"/>
        <w:ind w:right="-2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t>
      </w:r>
      <w:r>
        <w:rPr>
          <w:rFonts w:ascii="Times New Roman" w:cs="Times New Roman" w:eastAsia="Times New Roman" w:hAnsi="Times New Roman"/>
          <w:sz w:val="14"/>
          <w:szCs w:val="14"/>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52" w:lineRule="exact"/>
        <w:rPr>
          <w:sz w:val="20"/>
          <w:szCs w:val="20"/>
          <w:color w:val="auto"/>
        </w:rPr>
      </w:pPr>
    </w:p>
    <w:p>
      <w:pPr>
        <w:ind w:left="184"/>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17145</wp:posOffset>
            </wp:positionV>
            <wp:extent cx="44748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4474845" cy="8255"/>
                    </a:xfrm>
                    <a:prstGeom prst="rect">
                      <a:avLst/>
                    </a:prstGeom>
                    <a:noFill/>
                  </pic:spPr>
                </pic:pic>
              </a:graphicData>
            </a:graphic>
          </wp:anchor>
        </w:drawing>
      </w:r>
    </w:p>
    <w:p>
      <w:pPr>
        <w:spacing w:after="0" w:line="16" w:lineRule="exact"/>
        <w:rPr>
          <w:sz w:val="20"/>
          <w:szCs w:val="20"/>
          <w:color w:val="auto"/>
        </w:rPr>
      </w:pPr>
    </w:p>
    <w:p>
      <w:pPr>
        <w:ind w:left="6164"/>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NSERT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SSIGNEE</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EGAL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514350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737235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960120</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17145</wp:posOffset>
            </wp:positionV>
            <wp:extent cx="55892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9137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17145</wp:posOffset>
            </wp:positionV>
            <wp:extent cx="1954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7" w:lineRule="exact"/>
        <w:rPr>
          <w:sz w:val="20"/>
          <w:szCs w:val="20"/>
          <w:color w:val="auto"/>
        </w:rPr>
      </w:pPr>
    </w:p>
    <w:p>
      <w:pPr>
        <w:ind w:left="7984"/>
        <w:spacing w:after="0"/>
        <w:rPr>
          <w:sz w:val="20"/>
          <w:szCs w:val="20"/>
          <w:color w:val="auto"/>
        </w:rPr>
      </w:pPr>
      <w:r>
        <w:rPr>
          <w:rFonts w:ascii="Times New Roman" w:cs="Times New Roman" w:eastAsia="Times New Roman" w:hAnsi="Times New Roman"/>
          <w:sz w:val="18"/>
          <w:szCs w:val="18"/>
          <w:color w:val="auto"/>
        </w:rPr>
        <w:t>(Sign exactly as your name appears on</w:t>
      </w:r>
    </w:p>
    <w:p>
      <w:pPr>
        <w:spacing w:after="0" w:line="23" w:lineRule="exact"/>
        <w:rPr>
          <w:sz w:val="20"/>
          <w:szCs w:val="20"/>
          <w:color w:val="auto"/>
        </w:rPr>
      </w:pPr>
    </w:p>
    <w:p>
      <w:pPr>
        <w:ind w:left="7984"/>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00" w:lineRule="exact"/>
        <w:rPr>
          <w:sz w:val="20"/>
          <w:szCs w:val="20"/>
          <w:color w:val="auto"/>
        </w:rPr>
      </w:pP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17145</wp:posOffset>
            </wp:positionV>
            <wp:extent cx="17316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394" w:lineRule="exact"/>
        <w:rPr>
          <w:sz w:val="20"/>
          <w:szCs w:val="20"/>
          <w:color w:val="auto"/>
        </w:rPr>
      </w:pPr>
    </w:p>
    <w:p>
      <w:pPr>
        <w:ind w:left="5364" w:right="1620" w:hanging="5364"/>
        <w:spacing w:after="0" w:line="454" w:lineRule="auto"/>
        <w:tabs>
          <w:tab w:leader="none" w:pos="2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-10-</w:t>
      </w:r>
    </w:p>
    <w:p>
      <w:pPr>
        <w:sectPr>
          <w:pgSz w:w="11900" w:h="16838" w:orient="portrait"/>
          <w:cols w:equalWidth="0" w:num="1">
            <w:col w:w="10764"/>
          </w:cols>
          <w:pgMar w:left="436" w:top="270" w:right="699" w:bottom="1440" w:gutter="0" w:footer="0" w:header="0"/>
        </w:sectPr>
      </w:pPr>
    </w:p>
    <w:bookmarkStart w:id="70" w:name="page71"/>
    <w:bookmarkEnd w:id="70"/>
    <w:p>
      <w:pPr>
        <w:jc w:val="center"/>
        <w:ind w:right="-123"/>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1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you want to elect to have this Note purchased by the Company pursuant to Section 13.01 of the Indenture, check the box below:</w:t>
      </w:r>
    </w:p>
    <w:p>
      <w:pPr>
        <w:spacing w:after="0" w:line="225" w:lineRule="exact"/>
        <w:rPr>
          <w:sz w:val="20"/>
          <w:szCs w:val="20"/>
          <w:color w:val="auto"/>
        </w:rPr>
      </w:pPr>
    </w:p>
    <w:p>
      <w:pPr>
        <w:ind w:left="5124" w:hanging="214"/>
        <w:spacing w:after="0"/>
        <w:tabs>
          <w:tab w:leader="none" w:pos="5124" w:val="left"/>
        </w:tabs>
        <w:numPr>
          <w:ilvl w:val="0"/>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Section 13.01</w:t>
      </w:r>
    </w:p>
    <w:p>
      <w:pPr>
        <w:spacing w:after="0" w:line="225" w:lineRule="exact"/>
        <w:rPr>
          <w:sz w:val="20"/>
          <w:szCs w:val="20"/>
          <w:color w:val="auto"/>
        </w:rPr>
      </w:pPr>
    </w:p>
    <w:p>
      <w:pPr>
        <w:ind w:left="4" w:right="40"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13.01 of the Indenture, state the amount you elect to have purchased:</w:t>
      </w:r>
    </w:p>
    <w:p>
      <w:pPr>
        <w:spacing w:after="0" w:line="18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-7620</wp:posOffset>
            </wp:positionV>
            <wp:extent cx="6858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9137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17145</wp:posOffset>
            </wp:positionV>
            <wp:extent cx="15944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7" w:lineRule="exact"/>
        <w:rPr>
          <w:sz w:val="20"/>
          <w:szCs w:val="20"/>
          <w:color w:val="auto"/>
        </w:rPr>
      </w:pPr>
    </w:p>
    <w:p>
      <w:pPr>
        <w:ind w:left="8564"/>
        <w:spacing w:after="0"/>
        <w:rPr>
          <w:sz w:val="20"/>
          <w:szCs w:val="20"/>
          <w:color w:val="auto"/>
        </w:rPr>
      </w:pPr>
      <w:r>
        <w:rPr>
          <w:rFonts w:ascii="Times New Roman" w:cs="Times New Roman" w:eastAsia="Times New Roman" w:hAnsi="Times New Roman"/>
          <w:sz w:val="18"/>
          <w:szCs w:val="18"/>
          <w:color w:val="auto"/>
        </w:rPr>
        <w:t>(Sign exactly as your name</w:t>
      </w:r>
    </w:p>
    <w:p>
      <w:pPr>
        <w:spacing w:after="0" w:line="23" w:lineRule="exact"/>
        <w:rPr>
          <w:sz w:val="20"/>
          <w:szCs w:val="20"/>
          <w:color w:val="auto"/>
        </w:rPr>
      </w:pPr>
    </w:p>
    <w:p>
      <w:pPr>
        <w:ind w:left="8564"/>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17145</wp:posOffset>
            </wp:positionV>
            <wp:extent cx="15944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Signature Guarantee*: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-7620</wp:posOffset>
            </wp:positionV>
            <wp:extent cx="11430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32" w:lineRule="exact"/>
        <w:rPr>
          <w:sz w:val="20"/>
          <w:szCs w:val="20"/>
          <w:color w:val="auto"/>
        </w:rPr>
      </w:pPr>
    </w:p>
    <w:p>
      <w:pPr>
        <w:ind w:left="5364" w:right="1760" w:hanging="5364"/>
        <w:spacing w:after="0" w:line="454" w:lineRule="auto"/>
        <w:tabs>
          <w:tab w:leader="none" w:pos="21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-11-</w:t>
      </w:r>
    </w:p>
    <w:p>
      <w:pPr>
        <w:sectPr>
          <w:pgSz w:w="11900" w:h="16838" w:orient="portrait"/>
          <w:cols w:equalWidth="0" w:num="1">
            <w:col w:w="10904"/>
          </w:cols>
          <w:pgMar w:left="436" w:top="261" w:right="5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AND DECREASES OF GLOBAL NOTE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Initial principal amount of this Global Note is $                            . The following increases and decreases to this Global Note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-7620</wp:posOffset>
            </wp:positionV>
            <wp:extent cx="1028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Amount at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 Decrease</w:t>
            </w:r>
          </w:p>
        </w:tc>
        <w:tc>
          <w:tcPr>
            <w:tcW w:w="2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Amount of Increase</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Maturity of this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Global Note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Date of Increase</w:t>
            </w:r>
          </w:p>
        </w:tc>
        <w:tc>
          <w:tcPr>
            <w:tcW w:w="2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in Principal Amount</w:t>
            </w:r>
          </w:p>
        </w:tc>
        <w:tc>
          <w:tcPr>
            <w:tcW w:w="2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in Principal Amount</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2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at Maturity of this</w:t>
            </w:r>
          </w:p>
        </w:tc>
        <w:tc>
          <w:tcPr>
            <w:tcW w:w="2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at Maturity of this</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 DTC</w:t>
            </w: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Decrease</w:t>
            </w:r>
          </w:p>
        </w:tc>
        <w:tc>
          <w:tcPr>
            <w:tcW w:w="120" w:type="dxa"/>
            <w:vAlign w:val="bottom"/>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Global Note</w:t>
            </w:r>
          </w:p>
        </w:tc>
        <w:tc>
          <w:tcPr>
            <w:tcW w:w="100" w:type="dxa"/>
            <w:vAlign w:val="bottom"/>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Global Note</w:t>
            </w:r>
          </w:p>
        </w:tc>
        <w:tc>
          <w:tcPr>
            <w:tcW w:w="36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Simpson Thacher &amp; Bartlett </w:t>
      </w:r>
      <w:r>
        <w:rPr>
          <w:rFonts w:ascii="Times New Roman" w:cs="Times New Roman" w:eastAsia="Times New Roman" w:hAnsi="Times New Roman"/>
          <w:sz w:val="14"/>
          <w:szCs w:val="14"/>
          <w:b w:val="1"/>
          <w:bCs w:val="1"/>
          <w:color w:val="auto"/>
        </w:rPr>
        <w:t>LLP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900 </w:t>
      </w:r>
      <w:r>
        <w:rPr>
          <w:rFonts w:ascii="Times New Roman" w:cs="Times New Roman" w:eastAsia="Times New Roman" w:hAnsi="Times New Roman"/>
          <w:sz w:val="14"/>
          <w:szCs w:val="14"/>
          <w:color w:val="auto"/>
        </w:rPr>
        <w:t>G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NW</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WASHINGTON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D</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C</w:t>
      </w:r>
      <w:r>
        <w:rPr>
          <w:rFonts w:ascii="Times New Roman" w:cs="Times New Roman" w:eastAsia="Times New Roman" w:hAnsi="Times New Roman"/>
          <w:sz w:val="17"/>
          <w:szCs w:val="17"/>
          <w:color w:val="auto"/>
        </w:rPr>
        <w:t>. 20001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p>
      <w:pPr>
        <w:spacing w:after="0" w:line="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p>
      <w:pPr>
        <w:spacing w:after="0" w:line="218"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May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2100 McKinney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State Above:</w:t>
      </w:r>
    </w:p>
    <w:p>
      <w:pPr>
        <w:spacing w:after="0" w:line="11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have acted as counsel to Sixth Street Specialty Lending, Inc., a Delaware corporation (the “Company”) in connection with the Registration Statement on Form N-2 (File No. 333-276252) (the “Registration Statement”) filed by the Company with the Securities and Exchange Commission (the “Commission”) under the Securities Act of 1933, as amended, relating to the issuance by the Company of an indeterminate initial offering price of debt securities and other securities.</w:t>
      </w:r>
    </w:p>
    <w:p>
      <w:pPr>
        <w:spacing w:after="0" w:line="18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We have examined the Registration Statement, the Underwriting Agreement dated May 7, 2026 (the “Underwriting Agreement”), among the Company, Sixth Street Specialty Lending Advisers, LLC, a Delaware limited liability company (the “Adviser”) and BofASecurities, Inc., as representatives of the several underwriters named therein pursuant to which such underwriters have agreed to purchase up to $300,000,000 aggregate principal amount of 5.650% Notes due 2031 (the “Notes”) issued by the Company, the Indenture, dated as of January 16, 2024 (the “Base Indenture”), between the Company and U.S. Bank National Association, as trustee (the</w:t>
      </w:r>
    </w:p>
    <w:p>
      <w:pPr>
        <w:sectPr>
          <w:pgSz w:w="11900" w:h="16838" w:orient="portrait"/>
          <w:cols w:equalWidth="0" w:num="1">
            <w:col w:w="11020"/>
          </w:cols>
          <w:pgMar w:left="440" w:top="117" w:right="4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78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2</w:t>
            </w:r>
          </w:p>
        </w:tc>
        <w:tc>
          <w:tcPr>
            <w:tcW w:w="31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9"/>
              </w:rPr>
              <w:t>May 14, 2026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80"/>
        <w:spacing w:after="0" w:line="258" w:lineRule="auto"/>
        <w:rPr>
          <w:sz w:val="20"/>
          <w:szCs w:val="20"/>
          <w:color w:val="auto"/>
        </w:rPr>
      </w:pPr>
      <w:r>
        <w:rPr>
          <w:rFonts w:ascii="Times New Roman" w:cs="Times New Roman" w:eastAsia="Times New Roman" w:hAnsi="Times New Roman"/>
          <w:sz w:val="18"/>
          <w:szCs w:val="18"/>
          <w:color w:val="auto"/>
        </w:rPr>
        <w:t>“Trustee”), as supplemented by the third supplemental indenture dated May 14, 2026 (together with the Base Indenture, the “Indenture”), and a duplicate of the global notes representing the Notes whose terms are set forth in the Indenture.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the Adviser and have made such other investigations as we have deemed relevant and necessary in connection with the opinion hereinafter set forth.</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the Indenture is the valid and legally binding obligation of the Trustee.</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In rendering the opinion set forth below, we have assumed further that the execution, issuance, delivery and performance by the Company of the Underwriting Agreement, the Indenture and the Notes, do not constitute a breach or default under any agreement or instrument which is binding upon the Company.</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assuming due authentication thereof by the Trustee and upon payment and delivery in accordance with the provisions of the Underwriting Agreement, the Notes will constitute valid and legally binding obligations of the Company enforceable against the Company in accordance with their terms.</w:t>
      </w:r>
    </w:p>
    <w:p>
      <w:pPr>
        <w:sectPr>
          <w:pgSz w:w="11900" w:h="16838" w:orient="portrait"/>
          <w:cols w:equalWidth="0" w:num="1">
            <w:col w:w="11020"/>
          </w:cols>
          <w:pgMar w:left="440" w:top="270" w:right="4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78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3</w:t>
            </w:r>
          </w:p>
        </w:tc>
        <w:tc>
          <w:tcPr>
            <w:tcW w:w="31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9"/>
              </w:rPr>
              <w:t>May 14, 2026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(i) the waiver of rights and defenses contained in Section 5.14 of the Base Indenture or (ii) Section 1.09 of the Indenture relating to the separability of provisions of the Base Indenture.</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Section 1.13 of the Indenture whereby the parties submit to the jurisdiction of any New York state or federal court sitting in The City of New York, we note the limitations of 28 U.S.C. Sections 1331 and 1332 on subject matter jurisdiction of the U.S. federal courts. In connection with the provisions of Section 1.13 of the Indenture which relate to forum selection (including, without limitation, any waiver of any objection to venue or any objection that a court is an inconvenient forum), we note that under N.Y.C.P.L.R. Section 510 a New York State court may have discretion to transfer the place of trial, and under 28 U.S.C. Section 1404(a) a United States District Court has discretion to transfer an action from one U.S. federal court to another.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express any opinion herein concerning any law other than the law of the State of New York and the Delaware General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ectPr>
          <w:pgSz w:w="11900" w:h="16838" w:orient="portrait"/>
          <w:cols w:equalWidth="0" w:num="1">
            <w:col w:w="11020"/>
          </w:cols>
          <w:pgMar w:left="440" w:top="270" w:right="4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Sixth Street Specialty Lending, Inc.</w:t>
            </w:r>
          </w:p>
        </w:tc>
        <w:tc>
          <w:tcPr>
            <w:tcW w:w="378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4</w:t>
            </w:r>
          </w:p>
        </w:tc>
        <w:tc>
          <w:tcPr>
            <w:tcW w:w="312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9"/>
              </w:rPr>
              <w:t>May 14, 2026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hereby consent to the filing of this opinion letter as Exhibit (l) to the Registration Statement and to the use of our name under the caption </w:t>
      </w: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in the prospectus included in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Simpson Thacher &amp; Bartlett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SIMPSON THACHER &amp; BARTLETT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2"/>
    </w:lvl>
  </w:abstractNum>
  <w:abstractNum w:abstractNumId="4">
    <w:nsid w:val="2CD89A32"/>
    <w:multiLevelType w:val="hybridMultilevel"/>
    <w:lvl w:ilvl="0">
      <w:lvlJc w:val="left"/>
      <w:lvlText w:val="(%1)"/>
      <w:numFmt w:val="lowerLetter"/>
      <w:start w:val="1"/>
    </w:lvl>
  </w:abstractNum>
  <w:abstractNum w:abstractNumId="5">
    <w:nsid w:val="57E4CCAF"/>
    <w:multiLevelType w:val="hybridMultilevel"/>
    <w:lvl w:ilvl="0">
      <w:lvlJc w:val="left"/>
      <w:lvlText w:val="(%1)"/>
      <w:numFmt w:val="lowerLetter"/>
      <w:start w:val="4"/>
    </w:lvl>
  </w:abstractNum>
  <w:abstractNum w:abstractNumId="6">
    <w:nsid w:val="7A6D8D3C"/>
    <w:multiLevelType w:val="hybridMultilevel"/>
    <w:lvl w:ilvl="0">
      <w:lvlJc w:val="left"/>
      <w:lvlText w:val="(%1)"/>
      <w:numFmt w:val="lowerLetter"/>
      <w:start w:val="1"/>
    </w:lvl>
  </w:abstractNum>
  <w:abstractNum w:abstractNumId="7">
    <w:nsid w:val="4B588F54"/>
    <w:multiLevelType w:val="hybridMultilevel"/>
    <w:lvl w:ilvl="0">
      <w:lvlJc w:val="left"/>
      <w:lvlText w:val="(%1)"/>
      <w:numFmt w:val="lowerLetter"/>
      <w:start w:val="3"/>
    </w:lvl>
  </w:abstractNum>
  <w:abstractNum w:abstractNumId="8">
    <w:nsid w:val="542289EC"/>
    <w:multiLevelType w:val="hybridMultilevel"/>
    <w:lvl w:ilvl="0">
      <w:lvlJc w:val="left"/>
      <w:lvlText w:val="(%1)"/>
      <w:numFmt w:val="lowerLetter"/>
      <w:start w:val="6"/>
    </w:lvl>
  </w:abstractNum>
  <w:abstractNum w:abstractNumId="9">
    <w:nsid w:val="6DE91B18"/>
    <w:multiLevelType w:val="hybridMultilevel"/>
    <w:lvl w:ilvl="0">
      <w:lvlJc w:val="left"/>
      <w:lvlText w:val="(%1)"/>
      <w:numFmt w:val="lowerLetter"/>
      <w:start w:val="8"/>
    </w:lvl>
  </w:abstractNum>
  <w:abstractNum w:abstractNumId="10">
    <w:nsid w:val="38437FDB"/>
    <w:multiLevelType w:val="hybridMultilevel"/>
    <w:lvl w:ilvl="0">
      <w:lvlJc w:val="left"/>
      <w:lvlText w:val="(%1)"/>
      <w:numFmt w:val="lowerLetter"/>
      <w:start w:val="11"/>
    </w:lvl>
  </w:abstractNum>
  <w:abstractNum w:abstractNumId="11">
    <w:nsid w:val="7644A45C"/>
    <w:multiLevelType w:val="hybridMultilevel"/>
    <w:lvl w:ilvl="0">
      <w:lvlJc w:val="left"/>
      <w:lvlText w:val="%1"/>
      <w:numFmt w:val="lowerLetter"/>
      <w:start w:val="1"/>
    </w:lvl>
    <w:lvl w:ilvl="1">
      <w:lvlJc w:val="left"/>
      <w:lvlText w:val="(%2)"/>
      <w:numFmt w:val="lowerLetter"/>
      <w:start w:val="18"/>
    </w:lvl>
  </w:abstractNum>
  <w:abstractNum w:abstractNumId="12">
    <w:nsid w:val="32FFF902"/>
    <w:multiLevelType w:val="hybridMultilevel"/>
    <w:lvl w:ilvl="0">
      <w:lvlJc w:val="left"/>
      <w:lvlText w:val="(%1)"/>
      <w:numFmt w:val="lowerLetter"/>
      <w:start w:val="61"/>
    </w:lvl>
    <w:lvl w:ilvl="1">
      <w:lvlJc w:val="left"/>
      <w:lvlText w:val="%2"/>
      <w:numFmt w:val="lowerLetter"/>
      <w:start w:val="1"/>
    </w:lvl>
  </w:abstractNum>
  <w:abstractNum w:abstractNumId="13">
    <w:nsid w:val="684A481A"/>
    <w:multiLevelType w:val="hybridMultilevel"/>
    <w:lvl w:ilvl="0">
      <w:lvlJc w:val="left"/>
      <w:lvlText w:val="(%1)"/>
      <w:numFmt w:val="lowerLetter"/>
      <w:start w:val="22"/>
    </w:lvl>
  </w:abstractNum>
  <w:abstractNum w:abstractNumId="14">
    <w:nsid w:val="579478FE"/>
    <w:multiLevelType w:val="hybridMultilevel"/>
    <w:lvl w:ilvl="0">
      <w:lvlJc w:val="left"/>
      <w:lvlText w:val="(%1)"/>
      <w:numFmt w:val="lowerLetter"/>
      <w:start w:val="26"/>
    </w:lvl>
  </w:abstractNum>
  <w:abstractNum w:abstractNumId="15">
    <w:nsid w:val="749ABB43"/>
    <w:multiLevelType w:val="hybridMultilevel"/>
    <w:lvl w:ilvl="0">
      <w:lvlJc w:val="left"/>
      <w:lvlText w:val="%1"/>
      <w:numFmt w:val="lowerLetter"/>
      <w:start w:val="1"/>
    </w:lvl>
    <w:lvl w:ilvl="1">
      <w:lvlJc w:val="left"/>
      <w:lvlText w:val="(%2)"/>
      <w:numFmt w:val="lowerLetter"/>
      <w:start w:val="27"/>
    </w:lvl>
  </w:abstractNum>
  <w:abstractNum w:abstractNumId="16">
    <w:nsid w:val="3DC240FB"/>
    <w:multiLevelType w:val="hybridMultilevel"/>
    <w:lvl w:ilvl="0">
      <w:lvlJc w:val="left"/>
      <w:lvlText w:val="(%1)"/>
      <w:numFmt w:val="lowerLetter"/>
      <w:start w:val="9"/>
    </w:lvl>
    <w:lvl w:ilvl="1">
      <w:lvlJc w:val="left"/>
      <w:lvlText w:val="(%2)"/>
      <w:numFmt w:val="lowerLetter"/>
      <w:start w:val="28"/>
    </w:lvl>
  </w:abstractNum>
  <w:abstractNum w:abstractNumId="17">
    <w:nsid w:val="1BA026FA"/>
    <w:multiLevelType w:val="hybridMultilevel"/>
    <w:lvl w:ilvl="0">
      <w:lvlJc w:val="left"/>
      <w:lvlText w:val="(%1)"/>
      <w:numFmt w:val="lowerLetter"/>
      <w:start w:val="31"/>
    </w:lvl>
  </w:abstractNum>
  <w:abstractNum w:abstractNumId="18">
    <w:nsid w:val="79A1DEAA"/>
    <w:multiLevelType w:val="hybridMultilevel"/>
    <w:lvl w:ilvl="0">
      <w:lvlJc w:val="left"/>
      <w:lvlText w:val="%1"/>
      <w:numFmt w:val="lowerRoman"/>
      <w:start w:val="1"/>
    </w:lvl>
    <w:lvl w:ilvl="1">
      <w:lvlJc w:val="left"/>
      <w:lvlText w:val="(%2)"/>
      <w:numFmt w:val="lowerLetter"/>
      <w:start w:val="34"/>
    </w:lvl>
  </w:abstractNum>
  <w:abstractNum w:abstractNumId="19">
    <w:nsid w:val="75C6C33A"/>
    <w:multiLevelType w:val="hybridMultilevel"/>
    <w:lvl w:ilvl="0">
      <w:lvlJc w:val="left"/>
      <w:lvlText w:val="(%1)"/>
      <w:numFmt w:val="lowerRoman"/>
      <w:start w:val="1"/>
    </w:lvl>
    <w:lvl w:ilvl="1">
      <w:lvlJc w:val="left"/>
      <w:lvlText w:val="(%2)"/>
      <w:numFmt w:val="lowerLetter"/>
      <w:start w:val="35"/>
    </w:lvl>
  </w:abstractNum>
  <w:abstractNum w:abstractNumId="20">
    <w:nsid w:val="12E685FB"/>
    <w:multiLevelType w:val="hybridMultilevel"/>
    <w:lvl w:ilvl="0">
      <w:lvlJc w:val="left"/>
      <w:lvlText w:val="(%1)"/>
      <w:numFmt w:val="lowerRoman"/>
      <w:start w:val="3"/>
    </w:lvl>
    <w:lvl w:ilvl="1">
      <w:lvlJc w:val="left"/>
      <w:lvlText w:val="%2"/>
      <w:numFmt w:val="lowerLetter"/>
      <w:start w:val="1"/>
    </w:lvl>
  </w:abstractNum>
  <w:abstractNum w:abstractNumId="21">
    <w:nsid w:val="70C6A529"/>
    <w:multiLevelType w:val="hybridMultilevel"/>
    <w:lvl w:ilvl="0">
      <w:lvlJc w:val="left"/>
      <w:lvlText w:val="(%1)"/>
      <w:numFmt w:val="lowerLetter"/>
      <w:start w:val="36"/>
    </w:lvl>
  </w:abstractNum>
  <w:abstractNum w:abstractNumId="22">
    <w:nsid w:val="520EEDD1"/>
    <w:multiLevelType w:val="hybridMultilevel"/>
    <w:lvl w:ilvl="0">
      <w:lvlJc w:val="left"/>
      <w:lvlText w:val="(%1)"/>
      <w:numFmt w:val="lowerLetter"/>
      <w:start w:val="40"/>
    </w:lvl>
  </w:abstractNum>
  <w:abstractNum w:abstractNumId="23">
    <w:nsid w:val="374A3FE6"/>
    <w:multiLevelType w:val="hybridMultilevel"/>
    <w:lvl w:ilvl="0">
      <w:lvlJc w:val="left"/>
      <w:lvlText w:val="(%1)"/>
      <w:numFmt w:val="lowerLetter"/>
      <w:start w:val="47"/>
    </w:lvl>
  </w:abstractNum>
  <w:abstractNum w:abstractNumId="24">
    <w:nsid w:val="4F4EF005"/>
    <w:multiLevelType w:val="hybridMultilevel"/>
    <w:lvl w:ilvl="0">
      <w:lvlJc w:val="left"/>
      <w:lvlText w:val="(%1)"/>
      <w:numFmt w:val="lowerLetter"/>
      <w:start w:val="1"/>
    </w:lvl>
  </w:abstractNum>
  <w:abstractNum w:abstractNumId="25">
    <w:nsid w:val="23F9C13C"/>
    <w:multiLevelType w:val="hybridMultilevel"/>
    <w:lvl w:ilvl="0">
      <w:lvlJc w:val="left"/>
      <w:lvlText w:val="(%1)"/>
      <w:numFmt w:val="lowerLetter"/>
      <w:start w:val="3"/>
    </w:lvl>
  </w:abstractNum>
  <w:abstractNum w:abstractNumId="26">
    <w:nsid w:val="649BB77C"/>
    <w:multiLevelType w:val="hybridMultilevel"/>
    <w:lvl w:ilvl="0">
      <w:lvlJc w:val="left"/>
      <w:lvlText w:val="(%1)"/>
      <w:numFmt w:val="lowerLetter"/>
      <w:start w:val="8"/>
    </w:lvl>
  </w:abstractNum>
  <w:abstractNum w:abstractNumId="27">
    <w:nsid w:val="275AC794"/>
    <w:multiLevelType w:val="hybridMultilevel"/>
    <w:lvl w:ilvl="0">
      <w:lvlJc w:val="left"/>
      <w:lvlText w:val="%1"/>
      <w:numFmt w:val="lowerLetter"/>
      <w:start w:val="1"/>
    </w:lvl>
    <w:lvl w:ilvl="1">
      <w:lvlJc w:val="left"/>
      <w:lvlText w:val="(%2)"/>
      <w:numFmt w:val="lowerLetter"/>
      <w:start w:val="11"/>
    </w:lvl>
  </w:abstractNum>
  <w:abstractNum w:abstractNumId="28">
    <w:nsid w:val="39386575"/>
    <w:multiLevelType w:val="hybridMultilevel"/>
    <w:lvl w:ilvl="0">
      <w:lvlJc w:val="left"/>
      <w:lvlText w:val="(%1)"/>
      <w:numFmt w:val="lowerLetter"/>
      <w:start w:val="9"/>
    </w:lvl>
    <w:lvl w:ilvl="1">
      <w:lvlJc w:val="left"/>
      <w:lvlText w:val="(%2)"/>
      <w:numFmt w:val="lowerLetter"/>
      <w:start w:val="14"/>
    </w:lvl>
  </w:abstractNum>
  <w:abstractNum w:abstractNumId="29">
    <w:nsid w:val="1CF10FD8"/>
    <w:multiLevelType w:val="hybridMultilevel"/>
    <w:lvl w:ilvl="0">
      <w:lvlJc w:val="left"/>
      <w:lvlText w:val="(%1)"/>
      <w:numFmt w:val="lowerLetter"/>
      <w:start w:val="61"/>
    </w:lvl>
    <w:lvl w:ilvl="1">
      <w:lvlJc w:val="left"/>
      <w:lvlText w:val="(%2)"/>
      <w:numFmt w:val="lowerLetter"/>
      <w:start w:val="15"/>
    </w:lvl>
  </w:abstractNum>
  <w:abstractNum w:abstractNumId="30">
    <w:nsid w:val="180115BE"/>
    <w:multiLevelType w:val="hybridMultilevel"/>
    <w:lvl w:ilvl="0">
      <w:lvlJc w:val="left"/>
      <w:lvlText w:val="(%1)"/>
      <w:numFmt w:val="lowerLetter"/>
      <w:start w:val="16"/>
    </w:lvl>
  </w:abstractNum>
  <w:abstractNum w:abstractNumId="31">
    <w:nsid w:val="235BA861"/>
    <w:multiLevelType w:val="hybridMultilevel"/>
    <w:lvl w:ilvl="0">
      <w:lvlJc w:val="left"/>
      <w:lvlText w:val="(%1)"/>
      <w:numFmt w:val="lowerLetter"/>
      <w:start w:val="1"/>
    </w:lvl>
  </w:abstractNum>
  <w:abstractNum w:abstractNumId="32">
    <w:nsid w:val="47398C89"/>
    <w:multiLevelType w:val="hybridMultilevel"/>
    <w:lvl w:ilvl="0">
      <w:lvlJc w:val="left"/>
      <w:lvlText w:val="(%1)"/>
      <w:numFmt w:val="lowerLetter"/>
      <w:start w:val="2"/>
    </w:lvl>
  </w:abstractNum>
  <w:abstractNum w:abstractNumId="33">
    <w:nsid w:val="354FE9F9"/>
    <w:multiLevelType w:val="hybridMultilevel"/>
    <w:lvl w:ilvl="0">
      <w:lvlJc w:val="left"/>
      <w:lvlText w:val="(%1)"/>
      <w:numFmt w:val="lowerLetter"/>
      <w:start w:val="6"/>
    </w:lvl>
  </w:abstractNum>
  <w:abstractNum w:abstractNumId="34">
    <w:nsid w:val="15B5AF5C"/>
    <w:multiLevelType w:val="hybridMultilevel"/>
    <w:lvl w:ilvl="0">
      <w:lvlJc w:val="left"/>
      <w:lvlText w:val="(%1)"/>
      <w:numFmt w:val="lowerLetter"/>
      <w:start w:val="9"/>
    </w:lvl>
  </w:abstractNum>
  <w:abstractNum w:abstractNumId="35">
    <w:nsid w:val="741226BB"/>
    <w:multiLevelType w:val="hybridMultilevel"/>
    <w:lvl w:ilvl="0">
      <w:lvlJc w:val="left"/>
      <w:lvlText w:val="(%1)"/>
      <w:numFmt w:val="lowerLetter"/>
      <w:start w:val="15"/>
    </w:lvl>
  </w:abstractNum>
  <w:abstractNum w:abstractNumId="36">
    <w:nsid w:val="D34B6A8"/>
    <w:multiLevelType w:val="hybridMultilevel"/>
    <w:lvl w:ilvl="0">
      <w:lvlJc w:val="left"/>
      <w:lvlText w:val="(%1)"/>
      <w:numFmt w:val="lowerLetter"/>
      <w:start w:val="1"/>
    </w:lvl>
  </w:abstractNum>
  <w:abstractNum w:abstractNumId="37">
    <w:nsid w:val="10233C99"/>
    <w:multiLevelType w:val="hybridMultilevel"/>
    <w:lvl w:ilvl="0">
      <w:lvlJc w:val="left"/>
      <w:lvlText w:val="%1."/>
      <w:numFmt w:val="decimal"/>
      <w:start w:val="7"/>
    </w:lvl>
  </w:abstractNum>
  <w:abstractNum w:abstractNumId="38">
    <w:nsid w:val="3F6AB60F"/>
    <w:multiLevelType w:val="hybridMultilevel"/>
    <w:lvl w:ilvl="0">
      <w:lvlJc w:val="left"/>
      <w:lvlText w:val="(%1)"/>
      <w:numFmt w:val="lowerLetter"/>
      <w:start w:val="1"/>
    </w:lvl>
  </w:abstractNum>
  <w:abstractNum w:abstractNumId="39">
    <w:nsid w:val="61574095"/>
    <w:multiLevelType w:val="hybridMultilevel"/>
    <w:lvl w:ilvl="0">
      <w:lvlJc w:val="left"/>
      <w:lvlText w:val="%1"/>
      <w:numFmt w:val="lowerLetter"/>
      <w:start w:val="1"/>
    </w:lvl>
    <w:lvl w:ilvl="1">
      <w:lvlJc w:val="left"/>
      <w:lvlText w:val="(%2)"/>
      <w:numFmt w:val="lowerLetter"/>
      <w:start w:val="2"/>
    </w:lvl>
  </w:abstractNum>
  <w:abstractNum w:abstractNumId="40">
    <w:nsid w:val="7E0C57B1"/>
    <w:multiLevelType w:val="hybridMultilevel"/>
    <w:lvl w:ilvl="0">
      <w:lvlJc w:val="left"/>
      <w:lvlText w:val="(%1)"/>
      <w:numFmt w:val="lowerLetter"/>
      <w:start w:val="35"/>
    </w:lvl>
    <w:lvl w:ilvl="1">
      <w:lvlJc w:val="left"/>
      <w:lvlText w:val="(%2)"/>
      <w:numFmt w:val="lowerLetter"/>
      <w:start w:val="6"/>
    </w:lvl>
  </w:abstractNum>
  <w:abstractNum w:abstractNumId="41">
    <w:nsid w:val="77AE35EB"/>
    <w:multiLevelType w:val="hybridMultilevel"/>
    <w:lvl w:ilvl="0">
      <w:lvlJc w:val="left"/>
      <w:lvlText w:val="(%1)"/>
      <w:numFmt w:val="lowerLetter"/>
      <w:start w:val="7"/>
    </w:lvl>
  </w:abstractNum>
  <w:abstractNum w:abstractNumId="42">
    <w:nsid w:val="579BE4F1"/>
    <w:multiLevelType w:val="hybridMultilevel"/>
    <w:lvl w:ilvl="0">
      <w:lvlJc w:val="left"/>
      <w:lvlText w:val="(%1)"/>
      <w:numFmt w:val="lowerLetter"/>
      <w:start w:val="13"/>
    </w:lvl>
  </w:abstractNum>
  <w:abstractNum w:abstractNumId="43">
    <w:nsid w:val="310C50B3"/>
    <w:multiLevelType w:val="hybridMultilevel"/>
    <w:lvl w:ilvl="0">
      <w:lvlJc w:val="left"/>
      <w:lvlText w:val="%1."/>
      <w:numFmt w:val="decimal"/>
      <w:start w:val="8"/>
    </w:lvl>
  </w:abstractNum>
  <w:abstractNum w:abstractNumId="44">
    <w:nsid w:val="5FF87E05"/>
    <w:multiLevelType w:val="hybridMultilevel"/>
    <w:lvl w:ilvl="0">
      <w:lvlJc w:val="left"/>
      <w:lvlText w:val="%1"/>
      <w:numFmt w:val="lowerLetter"/>
      <w:start w:val="1"/>
    </w:lvl>
    <w:lvl w:ilvl="1">
      <w:lvlJc w:val="left"/>
      <w:lvlText w:val="(%2)"/>
      <w:numFmt w:val="lowerLetter"/>
      <w:start w:val="1"/>
    </w:lvl>
  </w:abstractNum>
  <w:abstractNum w:abstractNumId="45">
    <w:nsid w:val="2F305DEF"/>
    <w:multiLevelType w:val="hybridMultilevel"/>
    <w:lvl w:ilvl="0">
      <w:lvlJc w:val="left"/>
      <w:lvlText w:val="(%1)"/>
      <w:numFmt w:val="lowerLetter"/>
      <w:start w:val="2"/>
    </w:lvl>
    <w:lvl w:ilvl="1">
      <w:lvlJc w:val="left"/>
      <w:lvlText w:val="(%2)"/>
      <w:numFmt w:val="lowerLetter"/>
      <w:start w:val="2"/>
    </w:lvl>
  </w:abstractNum>
  <w:abstractNum w:abstractNumId="46">
    <w:nsid w:val="25A70BF7"/>
    <w:multiLevelType w:val="hybridMultilevel"/>
    <w:lvl w:ilvl="0">
      <w:lvlJc w:val="left"/>
      <w:lvlText w:val="(%1)"/>
      <w:numFmt w:val="lowerLetter"/>
      <w:start w:val="3"/>
    </w:lvl>
  </w:abstractNum>
  <w:abstractNum w:abstractNumId="47">
    <w:nsid w:val="1DBABF00"/>
    <w:multiLevelType w:val="hybridMultilevel"/>
    <w:lvl w:ilvl="0">
      <w:lvlJc w:val="left"/>
      <w:lvlText w:val="(%1)"/>
      <w:numFmt w:val="lowerLetter"/>
      <w:start w:val="9"/>
    </w:lvl>
    <w:lvl w:ilvl="1">
      <w:lvlJc w:val="left"/>
      <w:lvlText w:val="(%2)"/>
      <w:numFmt w:val="lowerLetter"/>
      <w:start w:val="4"/>
    </w:lvl>
  </w:abstractNum>
  <w:abstractNum w:abstractNumId="48">
    <w:nsid w:val="4AD084E9"/>
    <w:multiLevelType w:val="hybridMultilevel"/>
    <w:lvl w:ilvl="0">
      <w:lvlJc w:val="left"/>
      <w:lvlText w:val="%1"/>
      <w:numFmt w:val="lowerLetter"/>
      <w:start w:val="1"/>
    </w:lvl>
    <w:lvl w:ilvl="1">
      <w:lvlJc w:val="left"/>
      <w:lvlText w:val="(%2)"/>
      <w:numFmt w:val="lowerLetter"/>
      <w:start w:val="5"/>
    </w:lvl>
  </w:abstractNum>
  <w:abstractNum w:abstractNumId="49">
    <w:nsid w:val="1F48EAA1"/>
    <w:multiLevelType w:val="hybridMultilevel"/>
    <w:lvl w:ilvl="0">
      <w:lvlJc w:val="left"/>
      <w:lvlText w:val="(%1)"/>
      <w:numFmt w:val="lowerLetter"/>
      <w:start w:val="4"/>
    </w:lvl>
    <w:lvl w:ilvl="1">
      <w:lvlJc w:val="left"/>
      <w:lvlText w:val="(%2)"/>
      <w:numFmt w:val="lowerLetter"/>
      <w:start w:val="6"/>
    </w:lvl>
  </w:abstractNum>
  <w:abstractNum w:abstractNumId="50">
    <w:nsid w:val="1381823A"/>
    <w:multiLevelType w:val="hybridMultilevel"/>
    <w:lvl w:ilvl="0">
      <w:lvlJc w:val="left"/>
      <w:lvlText w:val="%1."/>
      <w:numFmt w:val="decimal"/>
      <w:start w:val="9"/>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2"/>
    </w:lvl>
  </w:abstractNum>
  <w:abstractNum w:abstractNumId="53">
    <w:nsid w:val="6590700B"/>
    <w:multiLevelType w:val="hybridMultilevel"/>
    <w:lvl w:ilvl="0">
      <w:lvlJc w:val="left"/>
      <w:lvlText w:val="%1."/>
      <w:numFmt w:val="decimal"/>
      <w:start w:val="12"/>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Letter"/>
      <w:start w:val="2"/>
    </w:lvl>
  </w:abstractNum>
  <w:abstractNum w:abstractNumId="56">
    <w:nsid w:val="98A3148"/>
    <w:multiLevelType w:val="hybridMultilevel"/>
    <w:lvl w:ilvl="0">
      <w:lvlJc w:val="left"/>
      <w:lvlText w:val="%1."/>
      <w:numFmt w:val="decimal"/>
      <w:start w:val="13"/>
    </w:lvl>
  </w:abstractNum>
  <w:abstractNum w:abstractNumId="57">
    <w:nsid w:val="799D0247"/>
    <w:multiLevelType w:val="hybridMultilevel"/>
    <w:lvl w:ilvl="0">
      <w:lvlJc w:val="left"/>
      <w:lvlText w:val="%1."/>
      <w:numFmt w:val="decimal"/>
      <w:start w:val="15"/>
    </w:lvl>
  </w:abstractNum>
  <w:abstractNum w:abstractNumId="58">
    <w:nsid w:val="6B94764"/>
    <w:multiLevelType w:val="hybridMultilevel"/>
    <w:lvl w:ilvl="0">
      <w:lvlJc w:val="left"/>
      <w:lvlText w:val="%1"/>
      <w:numFmt w:val="lowerLetter"/>
      <w:start w:val="1"/>
    </w:lvl>
    <w:lvl w:ilvl="1">
      <w:lvlJc w:val="left"/>
      <w:lvlText w:val="(%2)"/>
      <w:numFmt w:val="lowerLetter"/>
      <w:start w:val="1"/>
    </w:lvl>
  </w:abstractNum>
  <w:abstractNum w:abstractNumId="59">
    <w:nsid w:val="42C296BD"/>
    <w:multiLevelType w:val="hybridMultilevel"/>
    <w:lvl w:ilvl="0">
      <w:lvlJc w:val="left"/>
      <w:lvlText w:val="(%1)"/>
      <w:numFmt w:val="lowerLetter"/>
      <w:start w:val="9"/>
    </w:lvl>
    <w:lvl w:ilvl="1">
      <w:lvlJc w:val="left"/>
      <w:lvlText w:val="%2"/>
      <w:numFmt w:val="lowerLetter"/>
      <w:start w:val="1"/>
    </w:lvl>
  </w:abstractNum>
  <w:abstractNum w:abstractNumId="60">
    <w:nsid w:val="168E121F"/>
    <w:multiLevelType w:val="hybridMultilevel"/>
    <w:lvl w:ilvl="0">
      <w:lvlJc w:val="left"/>
      <w:lvlText w:val="%1."/>
      <w:numFmt w:val="decimal"/>
      <w:start w:val="17"/>
    </w:lvl>
    <w:lvl w:ilvl="1">
      <w:lvlJc w:val="left"/>
      <w:lvlText w:val="(%2)"/>
      <w:numFmt w:val="lowerLetter"/>
      <w:start w:val="1"/>
    </w:lvl>
  </w:abstractNum>
  <w:abstractNum w:abstractNumId="61">
    <w:nsid w:val="1EBA5D23"/>
    <w:multiLevelType w:val="hybridMultilevel"/>
    <w:lvl w:ilvl="0">
      <w:lvlJc w:val="left"/>
      <w:lvlText w:val="(%1)"/>
      <w:numFmt w:val="lowerLetter"/>
      <w:start w:val="2"/>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1)"/>
      <w:numFmt w:val="lowerLetter"/>
      <w:start w:val="1"/>
    </w:lvl>
  </w:abstractNum>
  <w:abstractNum w:abstractNumId="68">
    <w:nsid w:val="BF72B14"/>
    <w:multiLevelType w:val="hybridMultilevel"/>
    <w:lvl w:ilvl="0">
      <w:lvlJc w:val="left"/>
      <w:lvlText w:val="(%1)"/>
      <w:numFmt w:val="lowerLetter"/>
      <w:start w:val="5"/>
    </w:lvl>
    <w:lvl w:ilvl="1">
      <w:lvlJc w:val="left"/>
      <w:lvlText w:val="(%2)"/>
      <w:numFmt w:val="lowerLetter"/>
      <w:start w:val="9"/>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2"/>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2"/>
    </w:lvl>
  </w:abstractNum>
  <w:abstractNum w:abstractNumId="73">
    <w:nsid w:val="1A32234B"/>
    <w:multiLevelType w:val="hybridMultilevel"/>
    <w:lvl w:ilvl="0">
      <w:lvlJc w:val="left"/>
      <w:lvlText w:val="(%1)"/>
      <w:numFmt w:val="lowerRoman"/>
      <w:start w:val="2"/>
    </w:lvl>
  </w:abstractNum>
  <w:abstractNum w:abstractNumId="74">
    <w:nsid w:val="3B0FD379"/>
    <w:multiLevelType w:val="hybridMultilevel"/>
    <w:lvl w:ilvl="0">
      <w:lvlJc w:val="left"/>
      <w:lvlText w:val="%1"/>
      <w:numFmt w:val="lowerLetter"/>
      <w:start w:val="1"/>
    </w:lvl>
    <w:lvl w:ilvl="1">
      <w:lvlJc w:val="left"/>
      <w:lvlText w:val="(%2)"/>
      <w:numFmt w:val="lowerRoman"/>
      <w:start w:val="4"/>
    </w:lvl>
  </w:abstractNum>
  <w:abstractNum w:abstractNumId="75">
    <w:nsid w:val="68EB2F63"/>
    <w:multiLevelType w:val="hybridMultilevel"/>
    <w:lvl w:ilvl="0">
      <w:lvlJc w:val="left"/>
      <w:lvlText w:val="(%1)"/>
      <w:numFmt w:val="lowerLetter"/>
      <w:start w:val="9"/>
    </w:lvl>
    <w:lvl w:ilvl="1">
      <w:lvlJc w:val="left"/>
      <w:lvlText w:val="%2"/>
      <w:numFmt w:val="lowerRoman"/>
      <w:start w:val="1"/>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lowerRoman"/>
      <w:start w:val="2"/>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lowerLetter"/>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20" Type="http://schemas.openxmlformats.org/officeDocument/2006/relationships/hyperlink" Target="http://www.sec.gov/Archives/edgar/data/1508655/000119312524008558/d65289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2026-05-14T15:20:43Z</dcterms:created>
  <dcterms:modified xsi:type="dcterms:W3CDTF">2026-05-14T15:20:43Z</dcterms:modified>
</cp:coreProperties>
</file>