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9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2893060</wp:posOffset>
            </wp:positionH>
            <wp:positionV relativeFrom="page">
              <wp:posOffset>157480</wp:posOffset>
            </wp:positionV>
            <wp:extent cx="1775460" cy="7543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75460" cy="75438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18"/>
          <w:szCs w:val="18"/>
          <w:color w:val="auto"/>
        </w:rPr>
        <w:t>March 19, 2018</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16" w:lineRule="exact"/>
        <w:rPr>
          <w:sz w:val="24"/>
          <w:szCs w:val="24"/>
          <w:color w:val="auto"/>
        </w:rPr>
      </w:pPr>
    </w:p>
    <w:p>
      <w:pPr>
        <w:ind w:left="920"/>
        <w:spacing w:after="0"/>
        <w:tabs>
          <w:tab w:leader="none" w:pos="146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color w:val="auto"/>
        </w:rPr>
        <w:t>TPG Specialty Lending, Inc.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Rule 17g-1(g) Fidelity Bond Filing</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200"/>
        <w:spacing w:after="0" w:line="277" w:lineRule="auto"/>
        <w:rPr>
          <w:sz w:val="20"/>
          <w:szCs w:val="20"/>
          <w:color w:val="auto"/>
        </w:rPr>
      </w:pPr>
      <w:r>
        <w:rPr>
          <w:rFonts w:ascii="Arial" w:cs="Arial" w:eastAsia="Arial" w:hAnsi="Arial"/>
          <w:sz w:val="18"/>
          <w:szCs w:val="18"/>
          <w:color w:val="auto"/>
        </w:rPr>
        <w:t xml:space="preserve">On behalf of TPG Specialty Lending,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enclosed herewith for filing, pursuant to Rule 17g-1(g) under the Investment Company Act of 1940, are the following:</w:t>
      </w:r>
    </w:p>
    <w:p>
      <w:pPr>
        <w:spacing w:after="0" w:line="76" w:lineRule="exact"/>
        <w:rPr>
          <w:sz w:val="24"/>
          <w:szCs w:val="24"/>
          <w:color w:val="auto"/>
        </w:rPr>
      </w:pPr>
    </w:p>
    <w:p>
      <w:pPr>
        <w:ind w:left="900" w:hanging="446"/>
        <w:spacing w:after="0"/>
        <w:tabs>
          <w:tab w:leader="none" w:pos="900" w:val="left"/>
        </w:tabs>
        <w:numPr>
          <w:ilvl w:val="0"/>
          <w:numId w:val="1"/>
        </w:numPr>
        <w:rPr>
          <w:rFonts w:ascii="Arial" w:cs="Arial" w:eastAsia="Arial" w:hAnsi="Arial"/>
          <w:sz w:val="17"/>
          <w:szCs w:val="17"/>
          <w:color w:val="auto"/>
        </w:rPr>
      </w:pPr>
      <w:r>
        <w:rPr>
          <w:rFonts w:ascii="Arial" w:cs="Arial" w:eastAsia="Arial" w:hAnsi="Arial"/>
          <w:sz w:val="17"/>
          <w:szCs w:val="17"/>
          <w:color w:val="auto"/>
        </w:rPr>
        <w:t>copy of the fidelity bond covering the Company, which includes a statement as to the period for which premiums have been paid; and</w:t>
      </w:r>
    </w:p>
    <w:p>
      <w:pPr>
        <w:spacing w:after="0" w:line="142" w:lineRule="exact"/>
        <w:rPr>
          <w:rFonts w:ascii="Arial" w:cs="Arial" w:eastAsia="Arial" w:hAnsi="Arial"/>
          <w:sz w:val="17"/>
          <w:szCs w:val="17"/>
          <w:color w:val="auto"/>
        </w:rPr>
      </w:pPr>
    </w:p>
    <w:p>
      <w:pPr>
        <w:ind w:left="900" w:hanging="446"/>
        <w:spacing w:after="0" w:line="277" w:lineRule="auto"/>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Certificate of the Secretary of the Company containing the resolutions of the Board of Directors approving the amount, type, form and coverage of the fidelity bond and a statement as to the period for which premiums have been paid.</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If you have any questions regarding this submission, please do not hesitate to call me at (212) 601-4717.</w:t>
      </w:r>
    </w:p>
    <w:p>
      <w:pPr>
        <w:spacing w:after="0" w:line="252"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4"/>
          <w:szCs w:val="24"/>
          <w:color w:val="auto"/>
        </w:rPr>
      </w:pPr>
    </w:p>
    <w:p>
      <w:pPr>
        <w:ind w:left="6860"/>
        <w:spacing w:after="0"/>
        <w:rPr>
          <w:sz w:val="20"/>
          <w:szCs w:val="20"/>
          <w:color w:val="auto"/>
        </w:rPr>
      </w:pPr>
      <w:r>
        <w:rPr>
          <w:rFonts w:ascii="Arial" w:cs="Arial" w:eastAsia="Arial" w:hAnsi="Arial"/>
          <w:sz w:val="18"/>
          <w:szCs w:val="18"/>
          <w:color w:val="auto"/>
        </w:rPr>
        <w:t>Chief Compliance Officer, Vice President and Secretary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Enclosures</w:t>
      </w:r>
    </w:p>
    <w:p>
      <w:pPr>
        <w:sectPr>
          <w:pgSz w:w="11900" w:h="16838" w:orient="portrait"/>
          <w:cols w:equalWidth="0" w:num="1">
            <w:col w:w="11400"/>
          </w:cols>
          <w:pgMar w:left="240" w:top="1440" w:right="25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 OF SECRETARY</w:t>
      </w:r>
    </w:p>
    <w:p>
      <w:pPr>
        <w:spacing w:after="0" w:line="229"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 xml:space="preserve">The undersigned, Jennifer Gordon, Chief Compliance Officer, Vice President and Secretary of TPG Specialty Lending,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does hereby certify that:</w:t>
      </w:r>
    </w:p>
    <w:p>
      <w:pPr>
        <w:spacing w:after="0" w:line="76" w:lineRule="exact"/>
        <w:rPr>
          <w:sz w:val="20"/>
          <w:szCs w:val="20"/>
          <w:color w:val="auto"/>
        </w:rPr>
      </w:pPr>
    </w:p>
    <w:p>
      <w:pPr>
        <w:ind w:left="900" w:right="200" w:hanging="446"/>
        <w:spacing w:after="0" w:line="264"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This certificate is being delivered to the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xml:space="preserve">) in connection with the filing of the Company’s fidelity bond (the </w:t>
      </w:r>
      <w:r>
        <w:rPr>
          <w:rFonts w:ascii="Arial" w:cs="Arial" w:eastAsia="Arial" w:hAnsi="Arial"/>
          <w:sz w:val="18"/>
          <w:szCs w:val="18"/>
          <w:b w:val="1"/>
          <w:bCs w:val="1"/>
          <w:i w:val="1"/>
          <w:iCs w:val="1"/>
          <w:color w:val="auto"/>
        </w:rPr>
        <w:t>“Bond”</w:t>
      </w:r>
      <w:r>
        <w:rPr>
          <w:rFonts w:ascii="Arial" w:cs="Arial" w:eastAsia="Arial" w:hAnsi="Arial"/>
          <w:sz w:val="18"/>
          <w:szCs w:val="18"/>
          <w:color w:val="auto"/>
        </w:rPr>
        <w:t>) pursuant to Rule 17g-1 of the Investment Company Act of 1940, as amended, and the SEC is entitled to rely on this certificate for purposes of the filing.</w:t>
      </w:r>
    </w:p>
    <w:p>
      <w:pPr>
        <w:spacing w:after="0" w:line="86" w:lineRule="exact"/>
        <w:rPr>
          <w:rFonts w:ascii="Arial" w:cs="Arial" w:eastAsia="Arial" w:hAnsi="Arial"/>
          <w:sz w:val="18"/>
          <w:szCs w:val="18"/>
          <w:color w:val="auto"/>
        </w:rPr>
      </w:pPr>
    </w:p>
    <w:p>
      <w:pPr>
        <w:ind w:left="900" w:hanging="446"/>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undersigned is the duly elected, qualified and acting Secretary of the Company, and has custody of the corporate records of the Company and is a proper officer to make this certification.</w:t>
      </w:r>
    </w:p>
    <w:p>
      <w:pPr>
        <w:spacing w:after="0" w:line="75"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is a copy of the resolutions approved by the Board of Directors of the Company, including a majority of the Board of the Directors who are not “interested persons” of the Company, approving the amount, type, form and coverage of the Bond.</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Premiums have been paid for the period March 8, 2018 to March 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certificate to be executed this 19th day of March,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Jennifer Gordon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Jennifer Gordon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Compliance Officer, Vice President and Secretary</w:t>
      </w:r>
    </w:p>
    <w:p>
      <w:pPr>
        <w:sectPr>
          <w:pgSz w:w="11900" w:h="16838" w:orient="portrait"/>
          <w:cols w:equalWidth="0" w:num="1">
            <w:col w:w="11400"/>
          </w:cols>
          <w:pgMar w:left="240" w:top="270" w:right="25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Approval of the Fidelity Bond</w:t>
      </w:r>
    </w:p>
    <w:p>
      <w:pPr>
        <w:spacing w:after="0" w:line="117"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Section 17(g) of the Investment Company Act of 1940 (the</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“1940 Act”</w:t>
      </w:r>
      <w:r>
        <w:rPr>
          <w:rFonts w:ascii="Arial" w:cs="Arial" w:eastAsia="Arial" w:hAnsi="Arial"/>
          <w:sz w:val="16"/>
          <w:szCs w:val="16"/>
          <w:color w:val="auto"/>
        </w:rPr>
        <w:t>) and Rule 17g-1(a) thereunder require a BDC, such as the Company,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provide and maintain a bond which shall be issued by a reputable fidelity insurance company, authorized to do business in the place where the bond is issued, to protect the Company against larceny and embezzlement, covering each officer and employee of the BDC who may singly, or jointly with others, have access to the securities or funds of the BDC, either directly or through authority to draw upon such funds of, or to direct generally, the disposition of such securities, unless the officer or employee has such access solely through his position as an officer or employee of a bank (each, a </w:t>
      </w:r>
      <w:r>
        <w:rPr>
          <w:rFonts w:ascii="Arial" w:cs="Arial" w:eastAsia="Arial" w:hAnsi="Arial"/>
          <w:sz w:val="16"/>
          <w:szCs w:val="16"/>
          <w:b w:val="1"/>
          <w:bCs w:val="1"/>
          <w:i w:val="1"/>
          <w:iCs w:val="1"/>
          <w:color w:val="auto"/>
        </w:rPr>
        <w:t>“covered person”</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54"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Rule 17g-1 specifies that the bond may be in the form of (i) an individual bond for each covered person, or a schedule or blanket bond covering</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such persons, (ii) a blanket bond which names the Company as the only insured (a </w:t>
      </w:r>
      <w:r>
        <w:rPr>
          <w:rFonts w:ascii="Arial" w:cs="Arial" w:eastAsia="Arial" w:hAnsi="Arial"/>
          <w:sz w:val="18"/>
          <w:szCs w:val="18"/>
          <w:b w:val="1"/>
          <w:bCs w:val="1"/>
          <w:i w:val="1"/>
          <w:iCs w:val="1"/>
          <w:color w:val="auto"/>
        </w:rPr>
        <w:t>“single insured bond”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or</w:t>
      </w:r>
      <w:r>
        <w:rPr>
          <w:rFonts w:ascii="Arial" w:cs="Arial" w:eastAsia="Arial" w:hAnsi="Arial"/>
          <w:sz w:val="18"/>
          <w:szCs w:val="18"/>
          <w:color w:val="auto"/>
        </w:rPr>
        <w:t xml:space="preserve"> (iii) a bond which names the Company and one or more other parties as insureds (a </w:t>
      </w:r>
      <w:r>
        <w:rPr>
          <w:rFonts w:ascii="Arial" w:cs="Arial" w:eastAsia="Arial" w:hAnsi="Arial"/>
          <w:sz w:val="18"/>
          <w:szCs w:val="18"/>
          <w:b w:val="1"/>
          <w:bCs w:val="1"/>
          <w:i w:val="1"/>
          <w:iCs w:val="1"/>
          <w:color w:val="auto"/>
        </w:rPr>
        <w:t>“joint insured bond”</w:t>
      </w:r>
      <w:r>
        <w:rPr>
          <w:rFonts w:ascii="Arial" w:cs="Arial" w:eastAsia="Arial" w:hAnsi="Arial"/>
          <w:sz w:val="18"/>
          <w:szCs w:val="18"/>
          <w:color w:val="auto"/>
        </w:rPr>
        <w:t xml:space="preserve">), as permitted by Rule 17g-1; </w:t>
      </w:r>
      <w:r>
        <w:rPr>
          <w:rFonts w:ascii="Arial" w:cs="Arial" w:eastAsia="Arial" w:hAnsi="Arial"/>
          <w:sz w:val="18"/>
          <w:szCs w:val="18"/>
          <w:u w:val="single" w:color="auto"/>
          <w:color w:val="auto"/>
        </w:rPr>
        <w:t>and</w:t>
      </w:r>
    </w:p>
    <w:p>
      <w:pPr>
        <w:spacing w:after="0" w:line="176"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Rule 17g-1 requires that a majority of the Board of Directors who are not “interested persons” of the Company as defined in Section 2(a)(19)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1940 Act approve periodically (but not less than once every 12 months) the reasonableness of the form and amount of the bond, with due consideration to the value of the aggregate assets of the Company to which any covered person may have access, the type and terms of the arrangements made for the custody and safekeeping of such assets, and the nature of securities and other investments to be held by the Company, and pursuant to factors contained in the Rule which are described in the accompanying memorandum attached hereto; </w:t>
      </w:r>
      <w:r>
        <w:rPr>
          <w:rFonts w:ascii="Arial" w:cs="Arial" w:eastAsia="Arial" w:hAnsi="Arial"/>
          <w:sz w:val="17"/>
          <w:szCs w:val="17"/>
          <w:u w:val="single" w:color="auto"/>
          <w:color w:val="auto"/>
        </w:rPr>
        <w:t>and</w:t>
      </w:r>
    </w:p>
    <w:p>
      <w:pPr>
        <w:spacing w:after="0" w:line="168"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under Rule 17g-1, the Company is required to make certain filings with the SEC and give certain notices to each member of the Board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Directors in connection with the bond, and designate an Officer who shall make such filings and give such notices; </w:t>
      </w:r>
      <w:r>
        <w:rPr>
          <w:rFonts w:ascii="Arial" w:cs="Arial" w:eastAsia="Arial" w:hAnsi="Arial"/>
          <w:sz w:val="18"/>
          <w:szCs w:val="18"/>
          <w:u w:val="single" w:color="auto"/>
          <w:color w:val="auto"/>
        </w:rPr>
        <w:t>and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is presently a party to a single insured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“Current Fidelity Bond”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and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intends to enter into a new bond upon expiration of the Current Fidelity Bond (the</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“New Fidelity Bond”</w:t>
      </w:r>
      <w:r>
        <w:rPr>
          <w:rFonts w:ascii="Arial" w:cs="Arial" w:eastAsia="Arial" w:hAnsi="Arial"/>
          <w:sz w:val="18"/>
          <w:szCs w:val="18"/>
          <w:color w:val="auto"/>
        </w:rPr>
        <w:t>);</w:t>
      </w:r>
    </w:p>
    <w:p>
      <w:pPr>
        <w:spacing w:after="0" w:line="225"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b w:val="1"/>
          <w:bCs w:val="1"/>
          <w:color w:val="auto"/>
        </w:rPr>
        <w:t>NOW THEREFORE BE IT RESOLVED</w:t>
      </w:r>
      <w:r>
        <w:rPr>
          <w:rFonts w:ascii="Arial" w:cs="Arial" w:eastAsia="Arial" w:hAnsi="Arial"/>
          <w:sz w:val="16"/>
          <w:szCs w:val="16"/>
          <w:color w:val="auto"/>
        </w:rPr>
        <w:t>, that having considered the expected aggregate value of the securities and funds of the Company to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Officers or employees of the Company may have access (either directly or through authority to draw upon such funds or to direct generally the disposition of such securities), the type and terms of the arrangements made for the custody of such securities and funds, the nature of securities and other investments to be held by the Company, the accounting procedures and controls of the Company, the nature and method of conducting the operations of the Company, and the requirements of Section 17(g) of the 1940 Act and Rule 17g-1 thereunder, it is determined that the amount, type, form, premium and coverage of the Current Fidelity Bond, covering the Officers and employees of the Company and insuring the Company against loss from fraudulent or dishonest acts, including larceny and embezzlement, issued by Marsh, having an aggregate coverage of $10,000,000 (the </w:t>
      </w:r>
      <w:r>
        <w:rPr>
          <w:rFonts w:ascii="Arial" w:cs="Arial" w:eastAsia="Arial" w:hAnsi="Arial"/>
          <w:sz w:val="16"/>
          <w:szCs w:val="16"/>
          <w:b w:val="1"/>
          <w:bCs w:val="1"/>
          <w:i w:val="1"/>
          <w:iCs w:val="1"/>
          <w:color w:val="auto"/>
        </w:rPr>
        <w:t>“Fidelity Bond”</w:t>
      </w:r>
      <w:r>
        <w:rPr>
          <w:rFonts w:ascii="Arial" w:cs="Arial" w:eastAsia="Arial" w:hAnsi="Arial"/>
          <w:sz w:val="16"/>
          <w:szCs w:val="16"/>
          <w:color w:val="auto"/>
        </w:rPr>
        <w:t xml:space="preserve">), is reasonable, and the Current Fidelity Bond be, and hereby is, approved, ratified and confirmed by the Board of Directors of the Company, including a majority of the Directors that are not “interested persons” of the Company under the 1940 Act (the </w:t>
      </w:r>
      <w:r>
        <w:rPr>
          <w:rFonts w:ascii="Arial" w:cs="Arial" w:eastAsia="Arial" w:hAnsi="Arial"/>
          <w:sz w:val="16"/>
          <w:szCs w:val="16"/>
          <w:b w:val="1"/>
          <w:bCs w:val="1"/>
          <w:i w:val="1"/>
          <w:iCs w:val="1"/>
          <w:color w:val="auto"/>
        </w:rPr>
        <w:t>“Independent Directors”</w:t>
      </w:r>
      <w:r>
        <w:rPr>
          <w:rFonts w:ascii="Arial" w:cs="Arial" w:eastAsia="Arial" w:hAnsi="Arial"/>
          <w:sz w:val="16"/>
          <w:szCs w:val="16"/>
          <w:color w:val="auto"/>
        </w:rPr>
        <w:t xml:space="preserve">); </w:t>
      </w:r>
      <w:r>
        <w:rPr>
          <w:rFonts w:ascii="Arial" w:cs="Arial" w:eastAsia="Arial" w:hAnsi="Arial"/>
          <w:sz w:val="16"/>
          <w:szCs w:val="16"/>
          <w:u w:val="single" w:color="auto"/>
          <w:color w:val="auto"/>
        </w:rPr>
        <w:t>and</w:t>
      </w:r>
    </w:p>
    <w:p>
      <w:pPr>
        <w:spacing w:after="0" w:line="160" w:lineRule="exact"/>
        <w:rPr>
          <w:sz w:val="20"/>
          <w:szCs w:val="20"/>
          <w:color w:val="auto"/>
        </w:rPr>
      </w:pPr>
    </w:p>
    <w:p>
      <w:pPr>
        <w:ind w:right="240"/>
        <w:spacing w:after="0" w:line="289" w:lineRule="auto"/>
        <w:rPr>
          <w:sz w:val="20"/>
          <w:szCs w:val="20"/>
          <w:color w:val="auto"/>
        </w:rPr>
      </w:pPr>
      <w:r>
        <w:rPr>
          <w:rFonts w:ascii="Arial" w:cs="Arial" w:eastAsia="Arial" w:hAnsi="Arial"/>
          <w:sz w:val="17"/>
          <w:szCs w:val="17"/>
          <w:b w:val="1"/>
          <w:bCs w:val="1"/>
          <w:color w:val="auto"/>
        </w:rPr>
        <w:t>FURTHER RESOLVED</w:t>
      </w:r>
      <w:r>
        <w:rPr>
          <w:rFonts w:ascii="Arial" w:cs="Arial" w:eastAsia="Arial" w:hAnsi="Arial"/>
          <w:sz w:val="17"/>
          <w:szCs w:val="17"/>
          <w:color w:val="auto"/>
        </w:rPr>
        <w:t>, that the negotiation, execution and delivery of the New Fidelity Bond by any Officer of the Company, on substantially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terms and with the same coverage as the Current Fidelity Bond and with annual premiums of up to 110% of the Current Fidelity Bond, be and hereby is approved by the Board of Directors of the Company, including a majority of the Independent Directors; </w:t>
      </w:r>
      <w:r>
        <w:rPr>
          <w:rFonts w:ascii="Arial" w:cs="Arial" w:eastAsia="Arial" w:hAnsi="Arial"/>
          <w:sz w:val="17"/>
          <w:szCs w:val="17"/>
          <w:u w:val="single" w:color="auto"/>
          <w:color w:val="auto"/>
        </w:rPr>
        <w:t>and</w:t>
      </w:r>
    </w:p>
    <w:p>
      <w:pPr>
        <w:sectPr>
          <w:pgSz w:w="11900" w:h="16838" w:orient="portrait"/>
          <w:cols w:equalWidth="0" w:num="1">
            <w:col w:w="11420"/>
          </w:cols>
          <w:pgMar w:left="240" w:top="270" w:right="239" w:bottom="1440" w:gutter="0" w:footer="0" w:header="0"/>
        </w:sectPr>
      </w:pPr>
    </w:p>
    <w:bookmarkStart w:id="3" w:name="page4"/>
    <w:bookmarkEnd w:id="3"/>
    <w:p>
      <w:pPr>
        <w:ind w:right="6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FURTHER RESOLVED</w:t>
      </w:r>
      <w:r>
        <w:rPr>
          <w:rFonts w:ascii="Arial" w:cs="Arial" w:eastAsia="Arial" w:hAnsi="Arial"/>
          <w:sz w:val="18"/>
          <w:szCs w:val="18"/>
          <w:color w:val="auto"/>
        </w:rPr>
        <w:t>, that the Officers of the Company be, and hereby are, authorized to take all appropriate actions, with the advice of legal counsel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to provide and maintain the Fidelity Bond on behalf of the Company; </w:t>
      </w:r>
      <w:r>
        <w:rPr>
          <w:rFonts w:ascii="Arial" w:cs="Arial" w:eastAsia="Arial" w:hAnsi="Arial"/>
          <w:sz w:val="18"/>
          <w:szCs w:val="18"/>
          <w:u w:val="single" w:color="auto"/>
          <w:color w:val="auto"/>
        </w:rPr>
        <w:t>and</w:t>
      </w:r>
    </w:p>
    <w:p>
      <w:pPr>
        <w:spacing w:after="0" w:line="16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FURTHER RESOLVED</w:t>
      </w:r>
      <w:r>
        <w:rPr>
          <w:rFonts w:ascii="Arial" w:cs="Arial" w:eastAsia="Arial" w:hAnsi="Arial"/>
          <w:sz w:val="18"/>
          <w:szCs w:val="18"/>
          <w:color w:val="auto"/>
        </w:rPr>
        <w:t>, that the Chief Compliance Officer of the Company be, and hereby is, designated as the party responsible for making the necessary</w:t>
      </w:r>
      <w:r>
        <w:rPr>
          <w:rFonts w:ascii="Arial" w:cs="Arial" w:eastAsia="Arial" w:hAnsi="Arial"/>
          <w:sz w:val="18"/>
          <w:szCs w:val="18"/>
          <w:b w:val="1"/>
          <w:bCs w:val="1"/>
          <w:color w:val="auto"/>
        </w:rPr>
        <w:t xml:space="preserve"> </w:t>
      </w:r>
      <w:r>
        <w:rPr>
          <w:rFonts w:ascii="Arial" w:cs="Arial" w:eastAsia="Arial" w:hAnsi="Arial"/>
          <w:sz w:val="18"/>
          <w:szCs w:val="18"/>
          <w:color w:val="auto"/>
        </w:rPr>
        <w:t>filings and giving the notices with respect to such bond required by paragraph (g) of Rule 17g-1 under the 1940 Act.</w:t>
      </w:r>
    </w:p>
    <w:p>
      <w:pPr>
        <w:sectPr>
          <w:pgSz w:w="11900" w:h="16838" w:orient="portrait"/>
          <w:cols w:equalWidth="0" w:num="1">
            <w:col w:w="11360"/>
          </w:cols>
          <w:pgMar w:left="240" w:top="270" w:right="2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29"/>
        </w:trPr>
        <w:tc>
          <w:tcPr>
            <w:tcW w:w="3840" w:type="dxa"/>
            <w:vAlign w:val="bottom"/>
            <w:tcBorders>
              <w:top w:val="single" w:sz="8" w:color="auto"/>
              <w:left w:val="single" w:sz="8" w:color="auto"/>
            </w:tcBorders>
          </w:tcPr>
          <w:p>
            <w:pPr>
              <w:spacing w:after="0"/>
              <w:rPr>
                <w:sz w:val="19"/>
                <w:szCs w:val="19"/>
                <w:color w:val="auto"/>
              </w:rPr>
            </w:pPr>
          </w:p>
        </w:tc>
        <w:tc>
          <w:tcPr>
            <w:tcW w:w="7600" w:type="dxa"/>
            <w:vAlign w:val="bottom"/>
            <w:tcBorders>
              <w:top w:val="single" w:sz="8" w:color="auto"/>
              <w:right w:val="single" w:sz="8" w:color="auto"/>
            </w:tcBorders>
          </w:tcPr>
          <w:p>
            <w:pPr>
              <w:jc w:val="center"/>
              <w:ind w:right="3650"/>
              <w:spacing w:after="0"/>
              <w:rPr>
                <w:sz w:val="20"/>
                <w:szCs w:val="20"/>
                <w:color w:val="auto"/>
              </w:rPr>
            </w:pPr>
            <w:r>
              <w:rPr>
                <w:rFonts w:ascii="Arial" w:cs="Arial" w:eastAsia="Arial" w:hAnsi="Arial"/>
                <w:sz w:val="18"/>
                <w:szCs w:val="18"/>
                <w:b w:val="1"/>
                <w:bCs w:val="1"/>
                <w:color w:val="auto"/>
              </w:rPr>
              <w:t>FINANCIAL INSTITUTION BOND</w:t>
            </w:r>
          </w:p>
        </w:tc>
        <w:tc>
          <w:tcPr>
            <w:tcW w:w="0" w:type="dxa"/>
            <w:vAlign w:val="bottom"/>
          </w:tcPr>
          <w:p>
            <w:pPr>
              <w:spacing w:after="0"/>
              <w:rPr>
                <w:sz w:val="1"/>
                <w:szCs w:val="1"/>
                <w:color w:val="auto"/>
              </w:rPr>
            </w:pPr>
          </w:p>
        </w:tc>
      </w:tr>
      <w:tr>
        <w:trPr>
          <w:trHeight w:val="230"/>
        </w:trPr>
        <w:tc>
          <w:tcPr>
            <w:tcW w:w="3840" w:type="dxa"/>
            <w:vAlign w:val="bottom"/>
            <w:tcBorders>
              <w:left w:val="single" w:sz="8" w:color="auto"/>
            </w:tcBorders>
          </w:tcPr>
          <w:p>
            <w:pPr>
              <w:spacing w:after="0"/>
              <w:rPr>
                <w:sz w:val="20"/>
                <w:szCs w:val="20"/>
                <w:color w:val="auto"/>
              </w:rPr>
            </w:pPr>
          </w:p>
        </w:tc>
        <w:tc>
          <w:tcPr>
            <w:tcW w:w="7600" w:type="dxa"/>
            <w:vAlign w:val="bottom"/>
            <w:tcBorders>
              <w:right w:val="single" w:sz="8" w:color="auto"/>
            </w:tcBorders>
          </w:tcPr>
          <w:p>
            <w:pPr>
              <w:jc w:val="center"/>
              <w:ind w:right="3650"/>
              <w:spacing w:after="0"/>
              <w:rPr>
                <w:sz w:val="20"/>
                <w:szCs w:val="20"/>
                <w:color w:val="auto"/>
              </w:rPr>
            </w:pPr>
            <w:r>
              <w:rPr>
                <w:rFonts w:ascii="Arial" w:cs="Arial" w:eastAsia="Arial" w:hAnsi="Arial"/>
                <w:sz w:val="18"/>
                <w:szCs w:val="18"/>
                <w:color w:val="auto"/>
                <w:w w:val="90"/>
              </w:rPr>
              <w:t>Standard Form No. 14, Revised to October, 1987</w:t>
            </w:r>
          </w:p>
        </w:tc>
        <w:tc>
          <w:tcPr>
            <w:tcW w:w="0" w:type="dxa"/>
            <w:vAlign w:val="bottom"/>
          </w:tcPr>
          <w:p>
            <w:pPr>
              <w:spacing w:after="0"/>
              <w:rPr>
                <w:sz w:val="1"/>
                <w:szCs w:val="1"/>
                <w:color w:val="auto"/>
              </w:rPr>
            </w:pPr>
          </w:p>
        </w:tc>
      </w:tr>
      <w:tr>
        <w:trPr>
          <w:trHeight w:val="432"/>
        </w:trPr>
        <w:tc>
          <w:tcPr>
            <w:tcW w:w="384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ACE American Insurance Company</w:t>
            </w:r>
          </w:p>
        </w:tc>
        <w:tc>
          <w:tcPr>
            <w:tcW w:w="7600" w:type="dxa"/>
            <w:vAlign w:val="bottom"/>
            <w:tcBorders>
              <w:right w:val="single" w:sz="8" w:color="auto"/>
            </w:tcBorders>
          </w:tcPr>
          <w:p>
            <w:pPr>
              <w:ind w:left="4500"/>
              <w:spacing w:after="0"/>
              <w:rPr>
                <w:sz w:val="20"/>
                <w:szCs w:val="20"/>
                <w:color w:val="auto"/>
              </w:rPr>
            </w:pPr>
            <w:r>
              <w:rPr>
                <w:rFonts w:ascii="Arial" w:cs="Arial" w:eastAsia="Arial" w:hAnsi="Arial"/>
                <w:sz w:val="18"/>
                <w:szCs w:val="18"/>
                <w:b w:val="1"/>
                <w:bCs w:val="1"/>
                <w:color w:val="auto"/>
              </w:rPr>
              <w:t>Bond No. DON G25562823 004</w:t>
            </w:r>
          </w:p>
        </w:tc>
        <w:tc>
          <w:tcPr>
            <w:tcW w:w="0" w:type="dxa"/>
            <w:vAlign w:val="bottom"/>
          </w:tcPr>
          <w:p>
            <w:pPr>
              <w:spacing w:after="0"/>
              <w:rPr>
                <w:sz w:val="1"/>
                <w:szCs w:val="1"/>
                <w:color w:val="auto"/>
              </w:rPr>
            </w:pPr>
          </w:p>
        </w:tc>
      </w:tr>
      <w:tr>
        <w:trPr>
          <w:trHeight w:val="216"/>
        </w:trPr>
        <w:tc>
          <w:tcPr>
            <w:tcW w:w="3840" w:type="dxa"/>
            <w:vAlign w:val="bottom"/>
            <w:tcBorders>
              <w:left w:val="single" w:sz="8" w:color="auto"/>
            </w:tcBorders>
            <w:vMerge w:val="continue"/>
          </w:tcPr>
          <w:p>
            <w:pPr>
              <w:spacing w:after="0"/>
              <w:rPr>
                <w:sz w:val="18"/>
                <w:szCs w:val="18"/>
                <w:color w:val="auto"/>
              </w:rPr>
            </w:pPr>
          </w:p>
        </w:tc>
        <w:tc>
          <w:tcPr>
            <w:tcW w:w="76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3840" w:type="dxa"/>
            <w:vAlign w:val="bottom"/>
            <w:tcBorders>
              <w:left w:val="single" w:sz="8" w:color="auto"/>
            </w:tcBorders>
            <w:vMerge w:val="restart"/>
          </w:tcPr>
          <w:p>
            <w:pPr>
              <w:ind w:left="160"/>
              <w:spacing w:after="0"/>
              <w:rPr>
                <w:sz w:val="20"/>
                <w:szCs w:val="20"/>
                <w:color w:val="auto"/>
              </w:rPr>
            </w:pPr>
            <w:r>
              <w:rPr>
                <w:rFonts w:ascii="Arial" w:cs="Arial" w:eastAsia="Arial" w:hAnsi="Arial"/>
                <w:sz w:val="18"/>
                <w:szCs w:val="18"/>
                <w:b w:val="1"/>
                <w:bCs w:val="1"/>
                <w:color w:val="auto"/>
              </w:rPr>
              <w:t>DECLARATIONS</w:t>
            </w:r>
          </w:p>
        </w:tc>
        <w:tc>
          <w:tcPr>
            <w:tcW w:w="7600" w:type="dxa"/>
            <w:vAlign w:val="bottom"/>
            <w:tcBorders>
              <w:right w:val="single" w:sz="8" w:color="auto"/>
            </w:tcBorders>
          </w:tcPr>
          <w:p>
            <w:pPr>
              <w:ind w:left="860"/>
              <w:spacing w:after="0"/>
              <w:rPr>
                <w:sz w:val="20"/>
                <w:szCs w:val="20"/>
                <w:color w:val="auto"/>
              </w:rPr>
            </w:pPr>
            <w:r>
              <w:rPr>
                <w:rFonts w:ascii="Arial" w:cs="Arial" w:eastAsia="Arial" w:hAnsi="Arial"/>
                <w:sz w:val="18"/>
                <w:szCs w:val="18"/>
                <w:color w:val="auto"/>
              </w:rPr>
              <w:t>(Herein called Underwriter)</w:t>
            </w:r>
          </w:p>
        </w:tc>
        <w:tc>
          <w:tcPr>
            <w:tcW w:w="0" w:type="dxa"/>
            <w:vAlign w:val="bottom"/>
          </w:tcPr>
          <w:p>
            <w:pPr>
              <w:spacing w:after="0"/>
              <w:rPr>
                <w:sz w:val="1"/>
                <w:szCs w:val="1"/>
                <w:color w:val="auto"/>
              </w:rPr>
            </w:pPr>
          </w:p>
        </w:tc>
      </w:tr>
      <w:tr>
        <w:trPr>
          <w:trHeight w:val="198"/>
        </w:trPr>
        <w:tc>
          <w:tcPr>
            <w:tcW w:w="3840" w:type="dxa"/>
            <w:vAlign w:val="bottom"/>
            <w:tcBorders>
              <w:left w:val="single" w:sz="8" w:color="auto"/>
            </w:tcBorders>
            <w:vMerge w:val="continue"/>
          </w:tcPr>
          <w:p>
            <w:pPr>
              <w:spacing w:after="0"/>
              <w:rPr>
                <w:sz w:val="17"/>
                <w:szCs w:val="17"/>
                <w:color w:val="auto"/>
              </w:rPr>
            </w:pPr>
          </w:p>
        </w:tc>
        <w:tc>
          <w:tcPr>
            <w:tcW w:w="76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840" w:type="dxa"/>
            <w:vAlign w:val="bottom"/>
            <w:tcBorders>
              <w:left w:val="single" w:sz="8" w:color="auto"/>
            </w:tcBorders>
          </w:tcPr>
          <w:p>
            <w:pPr>
              <w:ind w:left="160"/>
              <w:spacing w:after="0"/>
              <w:rPr>
                <w:sz w:val="20"/>
                <w:szCs w:val="20"/>
                <w:color w:val="auto"/>
              </w:rPr>
            </w:pPr>
            <w:r>
              <w:rPr>
                <w:rFonts w:ascii="Arial" w:cs="Arial" w:eastAsia="Arial" w:hAnsi="Arial"/>
                <w:sz w:val="18"/>
                <w:szCs w:val="18"/>
                <w:b w:val="1"/>
                <w:bCs w:val="1"/>
                <w:color w:val="auto"/>
                <w:w w:val="95"/>
              </w:rPr>
              <w:t xml:space="preserve">Item 1. </w:t>
            </w:r>
            <w:r>
              <w:rPr>
                <w:rFonts w:ascii="Arial" w:cs="Arial" w:eastAsia="Arial" w:hAnsi="Arial"/>
                <w:sz w:val="18"/>
                <w:szCs w:val="18"/>
                <w:color w:val="auto"/>
                <w:w w:val="95"/>
              </w:rPr>
              <w:t>Name of Insured (herein called Insured):</w:t>
            </w:r>
          </w:p>
        </w:tc>
        <w:tc>
          <w:tcPr>
            <w:tcW w:w="76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TPG Specialty Lending, Inc.</w:t>
            </w:r>
          </w:p>
        </w:tc>
        <w:tc>
          <w:tcPr>
            <w:tcW w:w="0" w:type="dxa"/>
            <w:vAlign w:val="bottom"/>
          </w:tcPr>
          <w:p>
            <w:pPr>
              <w:spacing w:after="0"/>
              <w:rPr>
                <w:sz w:val="1"/>
                <w:szCs w:val="1"/>
                <w:color w:val="auto"/>
              </w:rPr>
            </w:pPr>
          </w:p>
        </w:tc>
      </w:tr>
      <w:tr>
        <w:trPr>
          <w:trHeight w:val="418"/>
        </w:trPr>
        <w:tc>
          <w:tcPr>
            <w:tcW w:w="3840" w:type="dxa"/>
            <w:vAlign w:val="bottom"/>
            <w:tcBorders>
              <w:left w:val="single" w:sz="8" w:color="auto"/>
            </w:tcBorders>
          </w:tcPr>
          <w:p>
            <w:pPr>
              <w:ind w:left="700"/>
              <w:spacing w:after="0"/>
              <w:rPr>
                <w:sz w:val="20"/>
                <w:szCs w:val="20"/>
                <w:color w:val="auto"/>
              </w:rPr>
            </w:pPr>
            <w:r>
              <w:rPr>
                <w:rFonts w:ascii="Arial" w:cs="Arial" w:eastAsia="Arial" w:hAnsi="Arial"/>
                <w:sz w:val="18"/>
                <w:szCs w:val="18"/>
                <w:color w:val="auto"/>
              </w:rPr>
              <w:t>Principal Address:</w:t>
            </w:r>
          </w:p>
        </w:tc>
        <w:tc>
          <w:tcPr>
            <w:tcW w:w="76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301 Commerce Street, Suite 3300</w:t>
            </w:r>
          </w:p>
        </w:tc>
        <w:tc>
          <w:tcPr>
            <w:tcW w:w="0" w:type="dxa"/>
            <w:vAlign w:val="bottom"/>
          </w:tcPr>
          <w:p>
            <w:pPr>
              <w:spacing w:after="0"/>
              <w:rPr>
                <w:sz w:val="1"/>
                <w:szCs w:val="1"/>
                <w:color w:val="auto"/>
              </w:rPr>
            </w:pPr>
          </w:p>
        </w:tc>
      </w:tr>
      <w:tr>
        <w:trPr>
          <w:trHeight w:val="230"/>
        </w:trPr>
        <w:tc>
          <w:tcPr>
            <w:tcW w:w="3840" w:type="dxa"/>
            <w:vAlign w:val="bottom"/>
            <w:tcBorders>
              <w:left w:val="single" w:sz="8" w:color="auto"/>
            </w:tcBorders>
          </w:tcPr>
          <w:p>
            <w:pPr>
              <w:spacing w:after="0"/>
              <w:rPr>
                <w:sz w:val="20"/>
                <w:szCs w:val="20"/>
                <w:color w:val="auto"/>
              </w:rPr>
            </w:pPr>
          </w:p>
        </w:tc>
        <w:tc>
          <w:tcPr>
            <w:tcW w:w="7600" w:type="dxa"/>
            <w:vAlign w:val="bottom"/>
            <w:tcBorders>
              <w:right w:val="single" w:sz="8" w:color="auto"/>
            </w:tcBorders>
          </w:tcPr>
          <w:p>
            <w:pPr>
              <w:ind w:left="1040"/>
              <w:spacing w:after="0"/>
              <w:rPr>
                <w:sz w:val="20"/>
                <w:szCs w:val="20"/>
                <w:color w:val="auto"/>
              </w:rPr>
            </w:pPr>
            <w:r>
              <w:rPr>
                <w:rFonts w:ascii="Arial" w:cs="Arial" w:eastAsia="Arial" w:hAnsi="Arial"/>
                <w:sz w:val="18"/>
                <w:szCs w:val="18"/>
                <w:color w:val="auto"/>
              </w:rPr>
              <w:t>Fort Worth, TX 76102</w:t>
            </w:r>
          </w:p>
        </w:tc>
        <w:tc>
          <w:tcPr>
            <w:tcW w:w="0" w:type="dxa"/>
            <w:vAlign w:val="bottom"/>
          </w:tcPr>
          <w:p>
            <w:pPr>
              <w:spacing w:after="0"/>
              <w:rPr>
                <w:sz w:val="1"/>
                <w:szCs w:val="1"/>
                <w:color w:val="auto"/>
              </w:rPr>
            </w:pPr>
          </w:p>
        </w:tc>
      </w:tr>
      <w:tr>
        <w:trPr>
          <w:trHeight w:val="507"/>
        </w:trPr>
        <w:tc>
          <w:tcPr>
            <w:tcW w:w="3840" w:type="dxa"/>
            <w:vAlign w:val="bottom"/>
            <w:tcBorders>
              <w:left w:val="single" w:sz="8" w:color="auto"/>
              <w:bottom w:val="single" w:sz="8" w:color="auto"/>
            </w:tcBorders>
          </w:tcPr>
          <w:p>
            <w:pPr>
              <w:spacing w:after="0"/>
              <w:rPr>
                <w:sz w:val="24"/>
                <w:szCs w:val="24"/>
                <w:color w:val="auto"/>
              </w:rPr>
            </w:pPr>
          </w:p>
        </w:tc>
        <w:tc>
          <w:tcPr>
            <w:tcW w:w="760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0"/>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3680" w:type="dxa"/>
            <w:vAlign w:val="bottom"/>
          </w:tcPr>
          <w:p>
            <w:pPr>
              <w:ind w:left="200"/>
              <w:spacing w:after="0"/>
              <w:rPr>
                <w:sz w:val="20"/>
                <w:szCs w:val="20"/>
                <w:color w:val="auto"/>
              </w:rPr>
            </w:pPr>
            <w:r>
              <w:rPr>
                <w:rFonts w:ascii="Arial" w:cs="Arial" w:eastAsia="Arial" w:hAnsi="Arial"/>
                <w:sz w:val="18"/>
                <w:szCs w:val="18"/>
                <w:color w:val="auto"/>
              </w:rPr>
              <w:t>Bond Period: from 12:01 a.m. on</w:t>
            </w:r>
          </w:p>
        </w:tc>
        <w:tc>
          <w:tcPr>
            <w:tcW w:w="2220" w:type="dxa"/>
            <w:vAlign w:val="bottom"/>
          </w:tcPr>
          <w:p>
            <w:pPr>
              <w:jc w:val="right"/>
              <w:ind w:right="690"/>
              <w:spacing w:after="0"/>
              <w:rPr>
                <w:sz w:val="20"/>
                <w:szCs w:val="20"/>
                <w:color w:val="auto"/>
              </w:rPr>
            </w:pPr>
            <w:r>
              <w:rPr>
                <w:rFonts w:ascii="Arial" w:cs="Arial" w:eastAsia="Arial" w:hAnsi="Arial"/>
                <w:sz w:val="18"/>
                <w:szCs w:val="18"/>
                <w:color w:val="auto"/>
              </w:rPr>
              <w:t>03/08/2018</w:t>
            </w:r>
          </w:p>
        </w:tc>
        <w:tc>
          <w:tcPr>
            <w:tcW w:w="1740" w:type="dxa"/>
            <w:vAlign w:val="bottom"/>
          </w:tcPr>
          <w:p>
            <w:pPr>
              <w:ind w:left="260"/>
              <w:spacing w:after="0"/>
              <w:rPr>
                <w:sz w:val="20"/>
                <w:szCs w:val="20"/>
                <w:color w:val="auto"/>
              </w:rPr>
            </w:pPr>
            <w:r>
              <w:rPr>
                <w:rFonts w:ascii="Arial" w:cs="Arial" w:eastAsia="Arial" w:hAnsi="Arial"/>
                <w:sz w:val="18"/>
                <w:szCs w:val="18"/>
                <w:color w:val="auto"/>
              </w:rPr>
              <w:t>to 12:01 a.m. on</w:t>
            </w:r>
          </w:p>
        </w:tc>
        <w:tc>
          <w:tcPr>
            <w:tcW w:w="1420" w:type="dxa"/>
            <w:vAlign w:val="bottom"/>
          </w:tcPr>
          <w:p>
            <w:pPr>
              <w:ind w:left="320"/>
              <w:spacing w:after="0"/>
              <w:rPr>
                <w:sz w:val="20"/>
                <w:szCs w:val="20"/>
                <w:color w:val="auto"/>
              </w:rPr>
            </w:pPr>
            <w:r>
              <w:rPr>
                <w:rFonts w:ascii="Arial" w:cs="Arial" w:eastAsia="Arial" w:hAnsi="Arial"/>
                <w:sz w:val="18"/>
                <w:szCs w:val="18"/>
                <w:color w:val="auto"/>
              </w:rPr>
              <w:t>03/08/2019</w:t>
            </w:r>
          </w:p>
        </w:tc>
        <w:tc>
          <w:tcPr>
            <w:tcW w:w="1620" w:type="dxa"/>
            <w:vAlign w:val="bottom"/>
          </w:tcPr>
          <w:p>
            <w:pPr>
              <w:ind w:left="260"/>
              <w:spacing w:after="0"/>
              <w:rPr>
                <w:sz w:val="20"/>
                <w:szCs w:val="20"/>
                <w:color w:val="auto"/>
              </w:rPr>
            </w:pPr>
            <w:r>
              <w:rPr>
                <w:rFonts w:ascii="Arial" w:cs="Arial" w:eastAsia="Arial" w:hAnsi="Arial"/>
                <w:sz w:val="18"/>
                <w:szCs w:val="18"/>
                <w:color w:val="auto"/>
              </w:rPr>
              <w:t>Standard time.</w:t>
            </w:r>
          </w:p>
        </w:tc>
      </w:tr>
      <w:tr>
        <w:trPr>
          <w:trHeight w:val="230"/>
        </w:trPr>
        <w:tc>
          <w:tcPr>
            <w:tcW w:w="74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220" w:type="dxa"/>
            <w:vAlign w:val="bottom"/>
          </w:tcPr>
          <w:p>
            <w:pPr>
              <w:jc w:val="right"/>
              <w:ind w:right="250"/>
              <w:spacing w:after="0"/>
              <w:rPr>
                <w:sz w:val="20"/>
                <w:szCs w:val="20"/>
                <w:color w:val="auto"/>
              </w:rPr>
            </w:pPr>
            <w:r>
              <w:rPr>
                <w:rFonts w:ascii="Arial" w:cs="Arial" w:eastAsia="Arial" w:hAnsi="Arial"/>
                <w:sz w:val="18"/>
                <w:szCs w:val="18"/>
                <w:color w:val="auto"/>
              </w:rPr>
              <w:t>(MONTH. DAY. YEAR)</w:t>
            </w:r>
          </w:p>
        </w:tc>
        <w:tc>
          <w:tcPr>
            <w:tcW w:w="1740" w:type="dxa"/>
            <w:vAlign w:val="bottom"/>
          </w:tcPr>
          <w:p>
            <w:pPr>
              <w:spacing w:after="0"/>
              <w:rPr>
                <w:sz w:val="20"/>
                <w:szCs w:val="20"/>
                <w:color w:val="auto"/>
              </w:rPr>
            </w:pPr>
          </w:p>
        </w:tc>
        <w:tc>
          <w:tcPr>
            <w:tcW w:w="3040" w:type="dxa"/>
            <w:vAlign w:val="bottom"/>
            <w:gridSpan w:val="2"/>
          </w:tcPr>
          <w:p>
            <w:pPr>
              <w:ind w:left="320"/>
              <w:spacing w:after="0"/>
              <w:rPr>
                <w:sz w:val="20"/>
                <w:szCs w:val="20"/>
                <w:color w:val="auto"/>
              </w:rPr>
            </w:pPr>
            <w:r>
              <w:rPr>
                <w:rFonts w:ascii="Arial" w:cs="Arial" w:eastAsia="Arial" w:hAnsi="Arial"/>
                <w:sz w:val="18"/>
                <w:szCs w:val="18"/>
                <w:color w:val="auto"/>
              </w:rPr>
              <w:t>(MONTH. DAY. YEAR)</w:t>
            </w:r>
          </w:p>
        </w:tc>
      </w:tr>
      <w:tr>
        <w:trPr>
          <w:trHeight w:val="135"/>
        </w:trPr>
        <w:tc>
          <w:tcPr>
            <w:tcW w:w="740" w:type="dxa"/>
            <w:vAlign w:val="bottom"/>
            <w:tcBorders>
              <w:bottom w:val="single" w:sz="8" w:color="auto"/>
            </w:tcBorders>
          </w:tcPr>
          <w:p>
            <w:pPr>
              <w:spacing w:after="0"/>
              <w:rPr>
                <w:sz w:val="11"/>
                <w:szCs w:val="11"/>
                <w:color w:val="auto"/>
              </w:rPr>
            </w:pPr>
          </w:p>
        </w:tc>
        <w:tc>
          <w:tcPr>
            <w:tcW w:w="5900" w:type="dxa"/>
            <w:vAlign w:val="bottom"/>
            <w:tcBorders>
              <w:bottom w:val="single" w:sz="8" w:color="auto"/>
            </w:tcBorders>
            <w:gridSpan w:val="2"/>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r>
      <w:tr>
        <w:trPr>
          <w:trHeight w:val="236"/>
        </w:trPr>
        <w:tc>
          <w:tcPr>
            <w:tcW w:w="74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5900" w:type="dxa"/>
            <w:vAlign w:val="bottom"/>
            <w:gridSpan w:val="2"/>
          </w:tcPr>
          <w:p>
            <w:pPr>
              <w:ind w:left="180"/>
              <w:spacing w:after="0"/>
              <w:rPr>
                <w:sz w:val="20"/>
                <w:szCs w:val="20"/>
                <w:color w:val="auto"/>
              </w:rPr>
            </w:pPr>
            <w:r>
              <w:rPr>
                <w:rFonts w:ascii="Arial" w:cs="Arial" w:eastAsia="Arial" w:hAnsi="Arial"/>
                <w:sz w:val="18"/>
                <w:szCs w:val="18"/>
                <w:color w:val="auto"/>
                <w:w w:val="96"/>
              </w:rPr>
              <w:t>The Aggregate Liability of the Underwriter during the Bond Period shall be</w:t>
            </w: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30"/>
        </w:trPr>
        <w:tc>
          <w:tcPr>
            <w:tcW w:w="74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$10,000,000</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135"/>
        </w:trPr>
        <w:tc>
          <w:tcPr>
            <w:tcW w:w="740" w:type="dxa"/>
            <w:vAlign w:val="bottom"/>
            <w:tcBorders>
              <w:bottom w:val="single" w:sz="8" w:color="auto"/>
            </w:tcBorders>
          </w:tcPr>
          <w:p>
            <w:pPr>
              <w:spacing w:after="0"/>
              <w:rPr>
                <w:sz w:val="11"/>
                <w:szCs w:val="11"/>
                <w:color w:val="auto"/>
              </w:rPr>
            </w:pPr>
          </w:p>
        </w:tc>
        <w:tc>
          <w:tcPr>
            <w:tcW w:w="3680" w:type="dxa"/>
            <w:vAlign w:val="bottom"/>
            <w:tcBorders>
              <w:bottom w:val="single" w:sz="8" w:color="auto"/>
            </w:tcBorders>
          </w:tcPr>
          <w:p>
            <w:pPr>
              <w:spacing w:after="0"/>
              <w:rPr>
                <w:sz w:val="11"/>
                <w:szCs w:val="11"/>
                <w:color w:val="auto"/>
              </w:rPr>
            </w:pPr>
          </w:p>
        </w:tc>
        <w:tc>
          <w:tcPr>
            <w:tcW w:w="2220" w:type="dxa"/>
            <w:vAlign w:val="bottom"/>
            <w:tcBorders>
              <w:bottom w:val="single" w:sz="8" w:color="auto"/>
            </w:tcBorders>
          </w:tcPr>
          <w:p>
            <w:pPr>
              <w:spacing w:after="0"/>
              <w:rPr>
                <w:sz w:val="11"/>
                <w:szCs w:val="11"/>
                <w:color w:val="auto"/>
              </w:rPr>
            </w:pPr>
          </w:p>
        </w:tc>
        <w:tc>
          <w:tcPr>
            <w:tcW w:w="17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r>
      <w:tr>
        <w:trPr>
          <w:trHeight w:val="236"/>
        </w:trPr>
        <w:tc>
          <w:tcPr>
            <w:tcW w:w="74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3680" w:type="dxa"/>
            <w:vAlign w:val="bottom"/>
          </w:tcPr>
          <w:p>
            <w:pPr>
              <w:ind w:left="180"/>
              <w:spacing w:after="0"/>
              <w:rPr>
                <w:sz w:val="20"/>
                <w:szCs w:val="20"/>
                <w:color w:val="auto"/>
              </w:rPr>
            </w:pPr>
            <w:r>
              <w:rPr>
                <w:rFonts w:ascii="Arial" w:cs="Arial" w:eastAsia="Arial" w:hAnsi="Arial"/>
                <w:sz w:val="18"/>
                <w:szCs w:val="18"/>
                <w:color w:val="auto"/>
              </w:rPr>
              <w:t>Subject to Sections 4 and 11 hereof,</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r>
        <w:trPr>
          <w:trHeight w:val="216"/>
        </w:trPr>
        <w:tc>
          <w:tcPr>
            <w:tcW w:w="740" w:type="dxa"/>
            <w:vAlign w:val="bottom"/>
          </w:tcPr>
          <w:p>
            <w:pPr>
              <w:spacing w:after="0"/>
              <w:rPr>
                <w:sz w:val="18"/>
                <w:szCs w:val="18"/>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w w:val="95"/>
              </w:rPr>
              <w:t>the Single Loss Limit of Liability is $5,000,000</w:t>
            </w:r>
          </w:p>
        </w:tc>
        <w:tc>
          <w:tcPr>
            <w:tcW w:w="2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30"/>
        </w:trPr>
        <w:tc>
          <w:tcPr>
            <w:tcW w:w="740" w:type="dxa"/>
            <w:vAlign w:val="bottom"/>
          </w:tcPr>
          <w:p>
            <w:pPr>
              <w:spacing w:after="0"/>
              <w:rPr>
                <w:sz w:val="20"/>
                <w:szCs w:val="20"/>
                <w:color w:val="auto"/>
              </w:rPr>
            </w:pPr>
          </w:p>
        </w:tc>
        <w:tc>
          <w:tcPr>
            <w:tcW w:w="3680" w:type="dxa"/>
            <w:vAlign w:val="bottom"/>
          </w:tcPr>
          <w:p>
            <w:pPr>
              <w:ind w:left="180"/>
              <w:spacing w:after="0"/>
              <w:rPr>
                <w:sz w:val="20"/>
                <w:szCs w:val="20"/>
                <w:color w:val="auto"/>
              </w:rPr>
            </w:pPr>
            <w:r>
              <w:rPr>
                <w:rFonts w:ascii="Arial" w:cs="Arial" w:eastAsia="Arial" w:hAnsi="Arial"/>
                <w:sz w:val="18"/>
                <w:szCs w:val="18"/>
                <w:color w:val="auto"/>
              </w:rPr>
              <w:t>and the Single Loss Deductible is $50,000</w:t>
            </w:r>
          </w:p>
        </w:tc>
        <w:tc>
          <w:tcPr>
            <w:tcW w:w="2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620" w:type="dxa"/>
            <w:vAlign w:val="bottom"/>
          </w:tcPr>
          <w:p>
            <w:pPr>
              <w:spacing w:after="0"/>
              <w:rPr>
                <w:sz w:val="20"/>
                <w:szCs w:val="20"/>
                <w:color w:val="auto"/>
              </w:rPr>
            </w:pPr>
          </w:p>
        </w:tc>
      </w:tr>
    </w:tbl>
    <w:p>
      <w:pPr>
        <w:spacing w:after="0" w:line="202" w:lineRule="exact"/>
        <w:rPr>
          <w:sz w:val="20"/>
          <w:szCs w:val="20"/>
          <w:color w:val="auto"/>
        </w:rPr>
      </w:pPr>
    </w:p>
    <w:p>
      <w:pPr>
        <w:ind w:left="920" w:right="80"/>
        <w:spacing w:after="0" w:line="264" w:lineRule="auto"/>
        <w:rPr>
          <w:sz w:val="20"/>
          <w:szCs w:val="20"/>
          <w:color w:val="auto"/>
        </w:rPr>
      </w:pPr>
      <w:r>
        <w:rPr>
          <w:rFonts w:ascii="Arial" w:cs="Arial" w:eastAsia="Arial" w:hAnsi="Arial"/>
          <w:sz w:val="18"/>
          <w:szCs w:val="18"/>
          <w:color w:val="auto"/>
        </w:rPr>
        <w:t>Provided, however, that if any amounts are inserted below opposite specified Insuring Agreements or Coverage, those amounts shall be controlling. Any amount set forth below shall be part of and not in addition to amounts set forth above. (If an Insuring Agreement or Coverage is to be deleted, insert Not Covered”.)</w:t>
      </w:r>
    </w:p>
    <w:p>
      <w:pPr>
        <w:spacing w:after="0" w:line="19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92"/>
              <w:spacing w:after="0"/>
              <w:rPr>
                <w:sz w:val="20"/>
                <w:szCs w:val="20"/>
                <w:color w:val="auto"/>
              </w:rPr>
            </w:pPr>
            <w:r>
              <w:rPr>
                <w:rFonts w:ascii="Arial" w:cs="Arial" w:eastAsia="Arial" w:hAnsi="Arial"/>
                <w:sz w:val="14"/>
                <w:szCs w:val="14"/>
                <w:color w:val="auto"/>
                <w:w w:val="96"/>
              </w:rPr>
              <w:t>Single Loss</w:t>
            </w:r>
          </w:p>
        </w:tc>
        <w:tc>
          <w:tcPr>
            <w:tcW w:w="1280" w:type="dxa"/>
            <w:vAlign w:val="bottom"/>
            <w:gridSpan w:val="4"/>
          </w:tcPr>
          <w:p>
            <w:pPr>
              <w:ind w:left="540"/>
              <w:spacing w:after="0"/>
              <w:rPr>
                <w:sz w:val="20"/>
                <w:szCs w:val="20"/>
                <w:color w:val="auto"/>
              </w:rPr>
            </w:pPr>
            <w:r>
              <w:rPr>
                <w:rFonts w:ascii="Arial" w:cs="Arial" w:eastAsia="Arial" w:hAnsi="Arial"/>
                <w:sz w:val="14"/>
                <w:szCs w:val="14"/>
                <w:color w:val="auto"/>
                <w:w w:val="99"/>
              </w:rPr>
              <w:t>Single Loss</w:t>
            </w:r>
          </w:p>
        </w:tc>
      </w:tr>
      <w:tr>
        <w:trPr>
          <w:trHeight w:val="167"/>
        </w:trPr>
        <w:tc>
          <w:tcPr>
            <w:tcW w:w="5080" w:type="dxa"/>
            <w:vAlign w:val="bottom"/>
          </w:tcPr>
          <w:p>
            <w:pPr>
              <w:spacing w:after="0"/>
              <w:rPr>
                <w:sz w:val="20"/>
                <w:szCs w:val="20"/>
                <w:color w:val="auto"/>
              </w:rPr>
            </w:pPr>
            <w:r>
              <w:rPr>
                <w:rFonts w:ascii="Arial" w:cs="Arial" w:eastAsia="Arial" w:hAnsi="Arial"/>
                <w:sz w:val="14"/>
                <w:szCs w:val="14"/>
                <w:color w:val="auto"/>
              </w:rPr>
              <w:t>Amount applicable to:</w:t>
            </w:r>
          </w:p>
        </w:tc>
        <w:tc>
          <w:tcPr>
            <w:tcW w:w="2320" w:type="dxa"/>
            <w:vAlign w:val="bottom"/>
            <w:gridSpan w:val="3"/>
          </w:tcPr>
          <w:p>
            <w:pPr>
              <w:ind w:left="1300"/>
              <w:spacing w:after="0"/>
              <w:rPr>
                <w:sz w:val="20"/>
                <w:szCs w:val="20"/>
                <w:color w:val="auto"/>
              </w:rPr>
            </w:pPr>
            <w:r>
              <w:rPr>
                <w:rFonts w:ascii="Arial" w:cs="Arial" w:eastAsia="Arial" w:hAnsi="Arial"/>
                <w:sz w:val="14"/>
                <w:szCs w:val="14"/>
                <w:color w:val="auto"/>
              </w:rPr>
              <w:t>Limit of Liability</w:t>
            </w:r>
          </w:p>
        </w:tc>
        <w:tc>
          <w:tcPr>
            <w:tcW w:w="5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color w:val="auto"/>
              </w:rPr>
              <w:t>Deductible</w:t>
            </w:r>
          </w:p>
        </w:tc>
      </w:tr>
      <w:tr>
        <w:trPr>
          <w:trHeight w:val="210"/>
        </w:trPr>
        <w:tc>
          <w:tcPr>
            <w:tcW w:w="50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Insuring Agreements (A) Employee Dishonesty</w:t>
            </w:r>
          </w:p>
        </w:tc>
        <w:tc>
          <w:tcPr>
            <w:tcW w:w="1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5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Insuring Agreement (B) Premises</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Insuring Agreement (C) Transit</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Insuring Agreement (D) Forgery or Alteration</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Insuring Agreement (E) Securities Forgery</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shd w:val="clear" w:color="auto" w:fill="CCEEFF"/>
          </w:tcPr>
          <w:p>
            <w:pPr>
              <w:spacing w:after="0"/>
              <w:rPr>
                <w:sz w:val="18"/>
                <w:szCs w:val="18"/>
                <w:color w:val="auto"/>
              </w:rPr>
            </w:pPr>
          </w:p>
        </w:tc>
      </w:tr>
      <w:tr>
        <w:trPr>
          <w:trHeight w:val="216"/>
        </w:trPr>
        <w:tc>
          <w:tcPr>
            <w:tcW w:w="5080" w:type="dxa"/>
            <w:vAlign w:val="bottom"/>
          </w:tcPr>
          <w:p>
            <w:pPr>
              <w:ind w:left="360"/>
              <w:spacing w:after="0"/>
              <w:rPr>
                <w:sz w:val="20"/>
                <w:szCs w:val="20"/>
                <w:color w:val="auto"/>
              </w:rPr>
            </w:pPr>
            <w:r>
              <w:rPr>
                <w:rFonts w:ascii="Arial" w:cs="Arial" w:eastAsia="Arial" w:hAnsi="Arial"/>
                <w:sz w:val="18"/>
                <w:szCs w:val="18"/>
                <w:color w:val="auto"/>
              </w:rPr>
              <w:t>Computer Insuring Agreements</w:t>
            </w:r>
          </w:p>
        </w:tc>
        <w:tc>
          <w:tcPr>
            <w:tcW w:w="1420" w:type="dxa"/>
            <w:vAlign w:val="bottom"/>
            <w:gridSpan w:val="2"/>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50,000</w:t>
            </w:r>
          </w:p>
        </w:tc>
        <w:tc>
          <w:tcPr>
            <w:tcW w:w="60" w:type="dxa"/>
            <w:vAlign w:val="bottom"/>
          </w:tcPr>
          <w:p>
            <w:pPr>
              <w:spacing w:after="0"/>
              <w:rPr>
                <w:sz w:val="18"/>
                <w:szCs w:val="18"/>
                <w:color w:val="auto"/>
              </w:rPr>
            </w:pPr>
          </w:p>
        </w:tc>
      </w:tr>
      <w:tr>
        <w:trPr>
          <w:trHeight w:val="216"/>
        </w:trPr>
        <w:tc>
          <w:tcPr>
            <w:tcW w:w="5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Claims Expense</w:t>
            </w:r>
          </w:p>
        </w:tc>
        <w:tc>
          <w:tcPr>
            <w:tcW w:w="1420" w:type="dxa"/>
            <w:vAlign w:val="bottom"/>
            <w:gridSpan w:val="2"/>
            <w:shd w:val="clear" w:color="auto" w:fill="CCEEFF"/>
          </w:tcPr>
          <w:p>
            <w:pPr>
              <w:ind w:left="130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6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920" w:right="80"/>
        <w:spacing w:after="0" w:line="277" w:lineRule="auto"/>
        <w:rPr>
          <w:sz w:val="20"/>
          <w:szCs w:val="20"/>
          <w:color w:val="auto"/>
        </w:rPr>
      </w:pPr>
      <w:r>
        <w:rPr>
          <w:rFonts w:ascii="Arial" w:cs="Arial" w:eastAsia="Arial" w:hAnsi="Arial"/>
          <w:sz w:val="18"/>
          <w:szCs w:val="18"/>
          <w:color w:val="auto"/>
        </w:rPr>
        <w:t>If “Not Covered” is inserted above opposite any specified Insuring Agreement or Coverage, such Insuring Agreement or Coverage and any other reference thereto in this bond shall be deemed to be deleted therefrom.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4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color w:val="auto"/>
        </w:rPr>
        <w:t>The liability of the Underwriter is subject to the terms of the following riders attached hereto:</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Endorsements #1 - 19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color w:val="auto"/>
        </w:rPr>
        <w:t>The Insured by the acceptance of this bond gives notice to the Underwriter terminating or canceling prior bond(s)</w:t>
      </w:r>
    </w:p>
    <w:p>
      <w:pPr>
        <w:spacing w:after="0" w:line="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policy(ies) No.(s) G25562823 003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such termination or cancelation to be effective as of the time this bond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268" w:right="219" w:bottom="1440" w:gutter="0" w:footer="0" w:header="0"/>
        </w:sectPr>
      </w:pPr>
    </w:p>
    <w:bookmarkStart w:id="5" w:name="page6"/>
    <w:bookmarkEnd w:id="5"/>
    <w:p>
      <w:pPr>
        <w:spacing w:after="0" w:line="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5037455</wp:posOffset>
            </wp:positionH>
            <wp:positionV relativeFrom="page">
              <wp:posOffset>243205</wp:posOffset>
            </wp:positionV>
            <wp:extent cx="1835150" cy="7029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835150" cy="702945"/>
                    </a:xfrm>
                    <a:prstGeom prst="rect">
                      <a:avLst/>
                    </a:prstGeom>
                    <a:noFill/>
                  </pic:spPr>
                </pic:pic>
              </a:graphicData>
            </a:graphic>
          </wp:anchor>
        </w:drawing>
      </w:r>
    </w:p>
    <w:p>
      <w:pPr>
        <w:ind w:left="8980"/>
        <w:spacing w:after="0"/>
        <w:rPr>
          <w:sz w:val="20"/>
          <w:szCs w:val="20"/>
          <w:color w:val="auto"/>
        </w:rPr>
      </w:pPr>
      <w:r>
        <w:rPr>
          <w:rFonts w:ascii="Arial" w:cs="Arial" w:eastAsia="Arial" w:hAnsi="Arial"/>
          <w:sz w:val="18"/>
          <w:szCs w:val="18"/>
          <w:color w:val="auto"/>
        </w:rPr>
        <w:t>JOHN J. LUPICA,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152400</wp:posOffset>
            </wp:positionV>
            <wp:extent cx="2898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32"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5062b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1 of 6</w:t>
      </w:r>
    </w:p>
    <w:p>
      <w:pPr>
        <w:sectPr>
          <w:pgSz w:w="11900" w:h="16838" w:orient="portrait"/>
          <w:cols w:equalWidth="0" w:num="1">
            <w:col w:w="11420"/>
          </w:cols>
          <w:pgMar w:left="240" w:top="1440" w:right="239" w:bottom="1440" w:gutter="0" w:footer="0" w:header="0"/>
        </w:sectPr>
      </w:pPr>
    </w:p>
    <w:bookmarkStart w:id="6" w:name="page7"/>
    <w:bookmarkEnd w:id="6"/>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60" w:firstLine="456"/>
        <w:spacing w:after="0" w:line="264" w:lineRule="auto"/>
        <w:rPr>
          <w:sz w:val="20"/>
          <w:szCs w:val="20"/>
          <w:color w:val="auto"/>
        </w:rPr>
      </w:pPr>
      <w:r>
        <w:rPr>
          <w:rFonts w:ascii="Arial" w:cs="Arial" w:eastAsia="Arial" w:hAnsi="Arial"/>
          <w:sz w:val="18"/>
          <w:szCs w:val="18"/>
          <w:color w:val="auto"/>
        </w:rPr>
        <w:t>The Underwriter, in consideration of an agreed premium, and in reliance upon all statements made and information furnished to the Underwriter by the Insured in applying for this bond, and subject to the Declarations, Insuring Agreements, General Agreements, Conditions and Limitations and other terms hereof, agrees to indemnify the Insured for:</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INSURING AGREEMENTS</w:t>
      </w:r>
    </w:p>
    <w:p>
      <w:pPr>
        <w:sectPr>
          <w:pgSz w:w="11900" w:h="16915" w:orient="portrait"/>
          <w:cols w:equalWidth="0" w:num="1">
            <w:col w:w="11400"/>
          </w:cols>
          <w:pgMar w:left="240" w:top="274" w:right="259" w:bottom="0" w:gutter="0" w:footer="0" w:header="0"/>
        </w:sectPr>
      </w:pPr>
    </w:p>
    <w:p>
      <w:pPr>
        <w:spacing w:after="0" w:line="310" w:lineRule="exact"/>
        <w:rPr>
          <w:sz w:val="20"/>
          <w:szCs w:val="20"/>
          <w:color w:val="auto"/>
        </w:rPr>
      </w:pPr>
    </w:p>
    <w:p>
      <w:pPr>
        <w:ind w:left="2340"/>
        <w:spacing w:after="0"/>
        <w:rPr>
          <w:sz w:val="20"/>
          <w:szCs w:val="20"/>
          <w:color w:val="auto"/>
        </w:rPr>
      </w:pPr>
      <w:r>
        <w:rPr>
          <w:rFonts w:ascii="Arial" w:cs="Arial" w:eastAsia="Arial" w:hAnsi="Arial"/>
          <w:sz w:val="18"/>
          <w:szCs w:val="18"/>
          <w:color w:val="auto"/>
        </w:rPr>
        <w:t>FIDELITY</w:t>
      </w:r>
    </w:p>
    <w:p>
      <w:pPr>
        <w:spacing w:after="0" w:line="225" w:lineRule="exact"/>
        <w:rPr>
          <w:sz w:val="20"/>
          <w:szCs w:val="20"/>
          <w:color w:val="auto"/>
        </w:rPr>
      </w:pPr>
    </w:p>
    <w:p>
      <w:pPr>
        <w:ind w:right="540" w:firstLine="368"/>
        <w:spacing w:after="0" w:line="342" w:lineRule="auto"/>
        <w:tabs>
          <w:tab w:leader="none" w:pos="655" w:val="left"/>
        </w:tabs>
        <w:numPr>
          <w:ilvl w:val="0"/>
          <w:numId w:val="3"/>
        </w:numPr>
        <w:rPr>
          <w:rFonts w:ascii="Arial" w:cs="Arial" w:eastAsia="Arial" w:hAnsi="Arial"/>
          <w:sz w:val="16"/>
          <w:szCs w:val="16"/>
          <w:color w:val="auto"/>
        </w:rPr>
      </w:pPr>
      <w:r>
        <w:rPr>
          <w:rFonts w:ascii="Arial" w:cs="Arial" w:eastAsia="Arial" w:hAnsi="Arial"/>
          <w:sz w:val="16"/>
          <w:szCs w:val="16"/>
          <w:color w:val="auto"/>
        </w:rPr>
        <w:t>Loss resulting directly from dishonest or fraudulent acts committed by an Employee acting alone or in collusion with others.</w:t>
      </w:r>
    </w:p>
    <w:p>
      <w:pPr>
        <w:spacing w:after="0" w:line="124" w:lineRule="exact"/>
        <w:rPr>
          <w:sz w:val="20"/>
          <w:szCs w:val="20"/>
          <w:color w:val="auto"/>
        </w:rPr>
      </w:pPr>
    </w:p>
    <w:p>
      <w:pPr>
        <w:ind w:firstLine="360"/>
        <w:spacing w:after="0" w:line="277" w:lineRule="auto"/>
        <w:rPr>
          <w:sz w:val="20"/>
          <w:szCs w:val="20"/>
          <w:color w:val="auto"/>
        </w:rPr>
      </w:pPr>
      <w:r>
        <w:rPr>
          <w:rFonts w:ascii="Arial" w:cs="Arial" w:eastAsia="Arial" w:hAnsi="Arial"/>
          <w:sz w:val="18"/>
          <w:szCs w:val="18"/>
          <w:color w:val="auto"/>
        </w:rPr>
        <w:t>Such dishonest or fraudulent acts must be committed by the Employee with the manifest intent:</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1100" w:right="20" w:hanging="363"/>
        <w:spacing w:after="0" w:line="277" w:lineRule="auto"/>
        <w:tabs>
          <w:tab w:leader="none" w:pos="11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Negotiable Instruments not payable to bearer or not endorsed, or with restrictive endorsements.</w:t>
      </w:r>
    </w:p>
    <w:p>
      <w:pPr>
        <w:spacing w:after="0" w:line="170" w:lineRule="exact"/>
        <w:rPr>
          <w:sz w:val="20"/>
          <w:szCs w:val="20"/>
          <w:color w:val="auto"/>
        </w:rPr>
      </w:pPr>
    </w:p>
    <w:p>
      <w:pPr>
        <w:ind w:right="120" w:firstLine="360"/>
        <w:spacing w:after="0" w:line="312" w:lineRule="auto"/>
        <w:rPr>
          <w:sz w:val="20"/>
          <w:szCs w:val="20"/>
          <w:color w:val="auto"/>
        </w:rPr>
      </w:pPr>
      <w:r>
        <w:rPr>
          <w:rFonts w:ascii="Arial" w:cs="Arial" w:eastAsia="Arial" w:hAnsi="Arial"/>
          <w:sz w:val="16"/>
          <w:szCs w:val="16"/>
          <w:color w:val="auto"/>
        </w:rPr>
        <w:t>Coverage under this insuring Agreement begins immediately upon the receipt of such Property by the natural person or Transportation Company and ends immediately upon delivery to the designated recipient or its agent.</w:t>
      </w:r>
    </w:p>
    <w:p>
      <w:pPr>
        <w:spacing w:after="0" w:line="268" w:lineRule="exact"/>
        <w:rPr>
          <w:sz w:val="20"/>
          <w:szCs w:val="20"/>
          <w:color w:val="auto"/>
        </w:rPr>
      </w:pPr>
    </w:p>
    <w:p>
      <w:pPr>
        <w:sectPr>
          <w:pgSz w:w="11900" w:h="16915" w:orient="portrait"/>
          <w:cols w:equalWidth="0" w:num="2">
            <w:col w:w="5440" w:space="380"/>
            <w:col w:w="5580"/>
          </w:cols>
          <w:pgMar w:left="240" w:top="274" w:right="259" w:bottom="0" w:gutter="0" w:footer="0" w:header="0"/>
          <w:type w:val="continuous"/>
        </w:sectPr>
      </w:pPr>
    </w:p>
    <w:p>
      <w:pPr>
        <w:ind w:left="740" w:hanging="367"/>
        <w:spacing w:after="0"/>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cause the Insured to sustain such loss; and</w:t>
      </w:r>
    </w:p>
    <w:p>
      <w:pPr>
        <w:spacing w:after="0" w:line="130" w:lineRule="exact"/>
        <w:rPr>
          <w:rFonts w:ascii="Arial" w:cs="Arial" w:eastAsia="Arial" w:hAnsi="Arial"/>
          <w:sz w:val="18"/>
          <w:szCs w:val="18"/>
          <w:color w:val="auto"/>
        </w:rPr>
      </w:pPr>
    </w:p>
    <w:p>
      <w:pPr>
        <w:ind w:left="740" w:right="220" w:hanging="367"/>
        <w:spacing w:after="0" w:line="277" w:lineRule="auto"/>
        <w:tabs>
          <w:tab w:leader="none" w:pos="7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obtain financial benefit for the Employee and which, in fact, result in obtaining such benefit.</w:t>
      </w:r>
    </w:p>
    <w:p>
      <w:pPr>
        <w:spacing w:after="0" w:line="170" w:lineRule="exact"/>
        <w:rPr>
          <w:sz w:val="20"/>
          <w:szCs w:val="20"/>
          <w:color w:val="auto"/>
        </w:rPr>
      </w:pPr>
    </w:p>
    <w:p>
      <w:pPr>
        <w:ind w:right="120" w:firstLine="360"/>
        <w:spacing w:after="0" w:line="259" w:lineRule="auto"/>
        <w:rPr>
          <w:sz w:val="20"/>
          <w:szCs w:val="20"/>
          <w:color w:val="auto"/>
        </w:rPr>
      </w:pPr>
      <w:r>
        <w:rPr>
          <w:rFonts w:ascii="Arial" w:cs="Arial" w:eastAsia="Arial" w:hAnsi="Arial"/>
          <w:sz w:val="18"/>
          <w:szCs w:val="18"/>
          <w:color w:val="auto"/>
        </w:rPr>
        <w:t>As used in this Insuring Agreement financial benefit does not include any employee benefits earned in the normal course of employment, including salaries, commissions, fees, bonuses, promotions, awards, profit sharing or pensions.</w:t>
      </w:r>
    </w:p>
    <w:p>
      <w:pPr>
        <w:spacing w:after="0" w:line="200" w:lineRule="exact"/>
        <w:rPr>
          <w:sz w:val="20"/>
          <w:szCs w:val="20"/>
          <w:color w:val="auto"/>
        </w:rPr>
      </w:pPr>
    </w:p>
    <w:p>
      <w:pPr>
        <w:spacing w:after="0" w:line="203" w:lineRule="exact"/>
        <w:rPr>
          <w:sz w:val="20"/>
          <w:szCs w:val="20"/>
          <w:color w:val="auto"/>
        </w:rPr>
      </w:pPr>
    </w:p>
    <w:p>
      <w:pPr>
        <w:ind w:left="2160"/>
        <w:spacing w:after="0"/>
        <w:rPr>
          <w:sz w:val="20"/>
          <w:szCs w:val="20"/>
          <w:color w:val="auto"/>
        </w:rPr>
      </w:pPr>
      <w:r>
        <w:rPr>
          <w:rFonts w:ascii="Arial" w:cs="Arial" w:eastAsia="Arial" w:hAnsi="Arial"/>
          <w:sz w:val="18"/>
          <w:szCs w:val="18"/>
          <w:color w:val="auto"/>
        </w:rPr>
        <w:t>ON PREMISES</w:t>
      </w:r>
    </w:p>
    <w:p>
      <w:pPr>
        <w:spacing w:after="0" w:line="225" w:lineRule="exact"/>
        <w:rPr>
          <w:sz w:val="20"/>
          <w:szCs w:val="20"/>
          <w:color w:val="auto"/>
        </w:rPr>
      </w:pPr>
    </w:p>
    <w:p>
      <w:pPr>
        <w:ind w:left="660" w:hanging="29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(1) Loss of Property resulting directly from</w:t>
      </w:r>
    </w:p>
    <w:p>
      <w:pPr>
        <w:spacing w:after="0" w:line="130" w:lineRule="exact"/>
        <w:rPr>
          <w:rFonts w:ascii="Arial" w:cs="Arial" w:eastAsia="Arial" w:hAnsi="Arial"/>
          <w:sz w:val="18"/>
          <w:szCs w:val="18"/>
          <w:color w:val="auto"/>
        </w:rPr>
      </w:pPr>
    </w:p>
    <w:p>
      <w:pPr>
        <w:ind w:left="1460" w:right="300" w:hanging="35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robbery, burglary, misplacement, mysterious unexplainable disappearance and damage thereto or destruction thereof, or</w:t>
      </w:r>
    </w:p>
    <w:p>
      <w:pPr>
        <w:spacing w:after="0" w:line="86" w:lineRule="exact"/>
        <w:rPr>
          <w:rFonts w:ascii="Arial" w:cs="Arial" w:eastAsia="Arial" w:hAnsi="Arial"/>
          <w:sz w:val="18"/>
          <w:szCs w:val="18"/>
          <w:color w:val="auto"/>
        </w:rPr>
      </w:pPr>
    </w:p>
    <w:p>
      <w:pPr>
        <w:ind w:left="1460" w:right="20" w:hanging="358"/>
        <w:spacing w:after="0" w:line="264" w:lineRule="auto"/>
        <w:tabs>
          <w:tab w:leader="none" w:pos="1460"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theft, false pretenses, common-law or statutory larceny, committed by a person present in an office or on the premises of the Insured.</w:t>
      </w:r>
    </w:p>
    <w:p>
      <w:pPr>
        <w:spacing w:after="0" w:line="73" w:lineRule="exact"/>
        <w:rPr>
          <w:sz w:val="20"/>
          <w:szCs w:val="20"/>
          <w:color w:val="auto"/>
        </w:rPr>
      </w:pPr>
    </w:p>
    <w:p>
      <w:pPr>
        <w:ind w:left="1080" w:right="200"/>
        <w:spacing w:after="0" w:line="277" w:lineRule="auto"/>
        <w:rPr>
          <w:sz w:val="20"/>
          <w:szCs w:val="20"/>
          <w:color w:val="auto"/>
        </w:rPr>
      </w:pPr>
      <w:r>
        <w:rPr>
          <w:rFonts w:ascii="Arial" w:cs="Arial" w:eastAsia="Arial" w:hAnsi="Arial"/>
          <w:sz w:val="18"/>
          <w:szCs w:val="18"/>
          <w:color w:val="auto"/>
        </w:rPr>
        <w:t>while the Property is lodged or deposited within offices or premises located anywhere.</w:t>
      </w:r>
    </w:p>
    <w:p>
      <w:pPr>
        <w:spacing w:after="0" w:line="62" w:lineRule="exact"/>
        <w:rPr>
          <w:sz w:val="20"/>
          <w:szCs w:val="20"/>
          <w:color w:val="auto"/>
        </w:rPr>
      </w:pPr>
    </w:p>
    <w:p>
      <w:pPr>
        <w:ind w:left="980" w:hanging="252"/>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Loss of or damage to</w:t>
      </w:r>
    </w:p>
    <w:p>
      <w:pPr>
        <w:spacing w:after="0" w:line="130" w:lineRule="exact"/>
        <w:rPr>
          <w:rFonts w:ascii="Arial" w:cs="Arial" w:eastAsia="Arial" w:hAnsi="Arial"/>
          <w:sz w:val="18"/>
          <w:szCs w:val="18"/>
          <w:color w:val="auto"/>
        </w:rPr>
      </w:pPr>
    </w:p>
    <w:p>
      <w:pPr>
        <w:ind w:left="1460" w:right="100" w:hanging="358"/>
        <w:spacing w:after="0" w:line="257"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furnishings, fixtures, supplies or equipment within an office of the Insured covered under this bond resulting directly from larceny or theft in, or by burglary or robbery of, such office, or attempt thereat, or by vandalism or malicious mischief, or</w:t>
      </w:r>
    </w:p>
    <w:p>
      <w:pPr>
        <w:spacing w:after="0" w:line="93" w:lineRule="exact"/>
        <w:rPr>
          <w:rFonts w:ascii="Arial" w:cs="Arial" w:eastAsia="Arial" w:hAnsi="Arial"/>
          <w:sz w:val="18"/>
          <w:szCs w:val="18"/>
          <w:color w:val="auto"/>
        </w:rPr>
      </w:pPr>
    </w:p>
    <w:p>
      <w:pPr>
        <w:ind w:left="1460" w:right="20" w:hanging="358"/>
        <w:spacing w:after="0" w:line="259" w:lineRule="auto"/>
        <w:tabs>
          <w:tab w:leader="none" w:pos="1460" w:val="left"/>
        </w:tabs>
        <w:numPr>
          <w:ilvl w:val="1"/>
          <w:numId w:val="7"/>
        </w:numPr>
        <w:rPr>
          <w:rFonts w:ascii="Arial" w:cs="Arial" w:eastAsia="Arial" w:hAnsi="Arial"/>
          <w:sz w:val="18"/>
          <w:szCs w:val="18"/>
          <w:color w:val="auto"/>
        </w:rPr>
      </w:pPr>
      <w:r>
        <w:rPr>
          <w:rFonts w:ascii="Arial" w:cs="Arial" w:eastAsia="Arial" w:hAnsi="Arial"/>
          <w:sz w:val="18"/>
          <w:szCs w:val="18"/>
          <w:color w:val="auto"/>
        </w:rPr>
        <w:t>such office resulting from larceny or theft in, or by burglary or robbery of such office or attempt thereat, or to the interior of such office by vandalism or malicious mischief,</w:t>
      </w:r>
    </w:p>
    <w:p>
      <w:pPr>
        <w:spacing w:after="0" w:line="18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1840" w:right="40" w:hanging="373"/>
        <w:spacing w:after="0" w:line="264" w:lineRule="auto"/>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Insured is the owner of such furnishings, fixtures, supplies, equipment, or office or is liable for such loss or damage, and</w:t>
      </w:r>
    </w:p>
    <w:p>
      <w:pPr>
        <w:spacing w:after="0" w:line="86" w:lineRule="exact"/>
        <w:rPr>
          <w:rFonts w:ascii="Arial" w:cs="Arial" w:eastAsia="Arial" w:hAnsi="Arial"/>
          <w:sz w:val="18"/>
          <w:szCs w:val="18"/>
          <w:color w:val="auto"/>
        </w:rPr>
      </w:pPr>
    </w:p>
    <w:p>
      <w:pPr>
        <w:ind w:left="1840" w:hanging="373"/>
        <w:spacing w:after="0"/>
        <w:tabs>
          <w:tab w:leader="none" w:pos="18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is not caused by fire.</w:t>
      </w:r>
    </w:p>
    <w:p>
      <w:pPr>
        <w:spacing w:after="0" w:line="200" w:lineRule="exact"/>
        <w:rPr>
          <w:sz w:val="20"/>
          <w:szCs w:val="20"/>
          <w:color w:val="auto"/>
        </w:rPr>
      </w:pPr>
    </w:p>
    <w:p>
      <w:pPr>
        <w:spacing w:after="0" w:line="241"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IN TRANSIT</w:t>
      </w:r>
    </w:p>
    <w:p>
      <w:pPr>
        <w:spacing w:after="0" w:line="225" w:lineRule="exact"/>
        <w:rPr>
          <w:sz w:val="20"/>
          <w:szCs w:val="20"/>
          <w:color w:val="auto"/>
        </w:rPr>
      </w:pPr>
    </w:p>
    <w:p>
      <w:pPr>
        <w:ind w:right="60" w:firstLine="368"/>
        <w:spacing w:after="0" w:line="257" w:lineRule="auto"/>
        <w:tabs>
          <w:tab w:leader="none" w:pos="645" w:val="left"/>
        </w:tabs>
        <w:numPr>
          <w:ilvl w:val="0"/>
          <w:numId w:val="9"/>
        </w:numPr>
        <w:rPr>
          <w:rFonts w:ascii="Arial" w:cs="Arial" w:eastAsia="Arial" w:hAnsi="Arial"/>
          <w:sz w:val="18"/>
          <w:szCs w:val="18"/>
          <w:color w:val="auto"/>
        </w:rPr>
      </w:pPr>
      <w:r>
        <w:rPr>
          <w:rFonts w:ascii="Arial" w:cs="Arial" w:eastAsia="Arial" w:hAnsi="Arial"/>
          <w:sz w:val="18"/>
          <w:szCs w:val="18"/>
          <w:color w:val="auto"/>
        </w:rPr>
        <w:t>Loss of Property resulting directly from robbery, common-law or statutory larceny, theft, misplacement, mysterious unexplainable disappearance, being lost or made away with, and damage thereto or destruction thereof, while the Property is in transit anywhere in the custody of</w:t>
      </w:r>
    </w:p>
    <w:p>
      <w:pPr>
        <w:spacing w:after="0" w:line="94" w:lineRule="exact"/>
        <w:rPr>
          <w:sz w:val="20"/>
          <w:szCs w:val="20"/>
          <w:color w:val="auto"/>
        </w:rPr>
      </w:pPr>
    </w:p>
    <w:p>
      <w:pPr>
        <w:ind w:left="740" w:hanging="367"/>
        <w:spacing w:after="0" w:line="259"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natural person acting as a messenger of the Insured (or another natural person acting as messenger or custodian during an emergency arising from the incapacity of the original messenger), or</w:t>
      </w:r>
    </w:p>
    <w:p>
      <w:pPr>
        <w:spacing w:after="0" w:line="92" w:lineRule="exact"/>
        <w:rPr>
          <w:rFonts w:ascii="Arial" w:cs="Arial" w:eastAsia="Arial" w:hAnsi="Arial"/>
          <w:sz w:val="18"/>
          <w:szCs w:val="18"/>
          <w:color w:val="auto"/>
        </w:rPr>
      </w:pPr>
    </w:p>
    <w:p>
      <w:pPr>
        <w:ind w:left="740" w:right="180" w:hanging="367"/>
        <w:spacing w:after="0" w:line="277" w:lineRule="auto"/>
        <w:tabs>
          <w:tab w:leader="none" w:pos="7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Transportation Company and being transported in an armored motor vehicle, or</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ind w:left="1660"/>
        <w:spacing w:after="0"/>
        <w:rPr>
          <w:sz w:val="20"/>
          <w:szCs w:val="20"/>
          <w:color w:val="auto"/>
        </w:rPr>
      </w:pPr>
      <w:r>
        <w:rPr>
          <w:rFonts w:ascii="Arial" w:cs="Arial" w:eastAsia="Arial" w:hAnsi="Arial"/>
          <w:sz w:val="18"/>
          <w:szCs w:val="18"/>
          <w:color w:val="auto"/>
        </w:rPr>
        <w:t>FORGERY OR ALTERATION</w:t>
      </w:r>
    </w:p>
    <w:p>
      <w:pPr>
        <w:spacing w:after="0" w:line="225" w:lineRule="exact"/>
        <w:rPr>
          <w:sz w:val="20"/>
          <w:szCs w:val="20"/>
          <w:color w:val="auto"/>
        </w:rPr>
      </w:pPr>
    </w:p>
    <w:p>
      <w:pPr>
        <w:ind w:left="660" w:hanging="29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resulting directly from</w:t>
      </w:r>
    </w:p>
    <w:p>
      <w:pPr>
        <w:spacing w:after="0" w:line="225" w:lineRule="exact"/>
        <w:rPr>
          <w:rFonts w:ascii="Arial" w:cs="Arial" w:eastAsia="Arial" w:hAnsi="Arial"/>
          <w:sz w:val="18"/>
          <w:szCs w:val="18"/>
          <w:color w:val="auto"/>
        </w:rPr>
      </w:pPr>
    </w:p>
    <w:p>
      <w:pPr>
        <w:ind w:right="40" w:firstLine="728"/>
        <w:spacing w:after="0" w:line="286" w:lineRule="auto"/>
        <w:tabs>
          <w:tab w:leader="none" w:pos="975" w:val="left"/>
        </w:tabs>
        <w:numPr>
          <w:ilvl w:val="1"/>
          <w:numId w:val="11"/>
        </w:numPr>
        <w:rPr>
          <w:rFonts w:ascii="Arial" w:cs="Arial" w:eastAsia="Arial" w:hAnsi="Arial"/>
          <w:sz w:val="17"/>
          <w:szCs w:val="17"/>
          <w:color w:val="auto"/>
        </w:rPr>
      </w:pPr>
      <w:r>
        <w:rPr>
          <w:rFonts w:ascii="Arial" w:cs="Arial" w:eastAsia="Arial" w:hAnsi="Arial"/>
          <w:sz w:val="17"/>
          <w:szCs w:val="17"/>
          <w:color w:val="auto"/>
        </w:rPr>
        <w:t>Forgery or alteration of, on or in any Negotiable Instrument (except an Evidence of Debt), Acceptance, Withdrawal Order, receipt for the withdrawal of Property, Certificate of Deposit or Letter of Credit.</w:t>
      </w:r>
    </w:p>
    <w:p>
      <w:pPr>
        <w:spacing w:after="0" w:line="165" w:lineRule="exact"/>
        <w:rPr>
          <w:rFonts w:ascii="Arial" w:cs="Arial" w:eastAsia="Arial" w:hAnsi="Arial"/>
          <w:sz w:val="17"/>
          <w:szCs w:val="17"/>
          <w:color w:val="auto"/>
        </w:rPr>
      </w:pPr>
    </w:p>
    <w:p>
      <w:pPr>
        <w:ind w:right="200" w:firstLine="728"/>
        <w:spacing w:after="0" w:line="270" w:lineRule="auto"/>
        <w:tabs>
          <w:tab w:leader="none" w:pos="975" w:val="left"/>
        </w:tabs>
        <w:numPr>
          <w:ilvl w:val="1"/>
          <w:numId w:val="11"/>
        </w:numPr>
        <w:rPr>
          <w:rFonts w:ascii="Arial" w:cs="Arial" w:eastAsia="Arial" w:hAnsi="Arial"/>
          <w:sz w:val="17"/>
          <w:szCs w:val="17"/>
          <w:color w:val="auto"/>
        </w:rPr>
      </w:pPr>
      <w:r>
        <w:rPr>
          <w:rFonts w:ascii="Arial" w:cs="Arial" w:eastAsia="Arial" w:hAnsi="Arial"/>
          <w:sz w:val="17"/>
          <w:szCs w:val="17"/>
          <w:color w:val="auto"/>
        </w:rPr>
        <w:t>transferring, paying or delivering any funds or Property or establishing any credit or giving any value on the faith of any written instructions or advices directed to the Insured and authorizing or acknowledging the transfer, payment, delivery or receipt of funds or Property, which instructions or advices purport to have been signed or endorsed by any customer of the Insured or by any financial institution but which instructions or advices either bear a signature which is a Forgery or have been altered without the knowledge and consent of such customer or financial institution.</w:t>
      </w:r>
    </w:p>
    <w:p>
      <w:pPr>
        <w:spacing w:after="0" w:line="182"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pacing w:after="0" w:line="38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ind w:right="20" w:firstLine="368"/>
        <w:spacing w:after="0" w:line="277"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Loss resulting directly from the Insured having, in good faith, for its own account or for the account of others,</w:t>
      </w:r>
    </w:p>
    <w:p>
      <w:pPr>
        <w:spacing w:after="0" w:line="170" w:lineRule="exact"/>
        <w:rPr>
          <w:rFonts w:ascii="Arial" w:cs="Arial" w:eastAsia="Arial" w:hAnsi="Arial"/>
          <w:sz w:val="18"/>
          <w:szCs w:val="18"/>
          <w:color w:val="auto"/>
        </w:rPr>
      </w:pPr>
    </w:p>
    <w:p>
      <w:pPr>
        <w:ind w:right="160" w:firstLine="728"/>
        <w:spacing w:after="0" w:line="277" w:lineRule="auto"/>
        <w:tabs>
          <w:tab w:leader="none" w:pos="97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original</w:t>
      </w:r>
    </w:p>
    <w:p>
      <w:pPr>
        <w:spacing w:after="0" w:line="75" w:lineRule="exact"/>
        <w:rPr>
          <w:rFonts w:ascii="Arial" w:cs="Arial" w:eastAsia="Arial" w:hAnsi="Arial"/>
          <w:sz w:val="18"/>
          <w:szCs w:val="18"/>
          <w:color w:val="auto"/>
        </w:rPr>
      </w:pPr>
    </w:p>
    <w:p>
      <w:pPr>
        <w:ind w:left="1460" w:hanging="358"/>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Certificated Security,</w:t>
      </w:r>
    </w:p>
    <w:p>
      <w:pPr>
        <w:spacing w:after="0" w:line="130" w:lineRule="exact"/>
        <w:rPr>
          <w:rFonts w:ascii="Arial" w:cs="Arial" w:eastAsia="Arial" w:hAnsi="Arial"/>
          <w:sz w:val="18"/>
          <w:szCs w:val="18"/>
          <w:color w:val="auto"/>
        </w:rPr>
      </w:pPr>
    </w:p>
    <w:p>
      <w:pPr>
        <w:ind w:left="1460" w:right="40" w:hanging="358"/>
        <w:spacing w:after="0" w:line="308" w:lineRule="auto"/>
        <w:tabs>
          <w:tab w:leader="none" w:pos="1460" w:val="left"/>
        </w:tabs>
        <w:numPr>
          <w:ilvl w:val="2"/>
          <w:numId w:val="12"/>
        </w:numPr>
        <w:rPr>
          <w:rFonts w:ascii="Arial" w:cs="Arial" w:eastAsia="Arial" w:hAnsi="Arial"/>
          <w:sz w:val="17"/>
          <w:szCs w:val="17"/>
          <w:color w:val="auto"/>
        </w:rPr>
      </w:pPr>
      <w:r>
        <w:rPr>
          <w:rFonts w:ascii="Arial" w:cs="Arial" w:eastAsia="Arial" w:hAnsi="Arial"/>
          <w:sz w:val="17"/>
          <w:szCs w:val="17"/>
          <w:color w:val="auto"/>
        </w:rPr>
        <w:t>deed, mortgage or other instrument conveying title to, or creating or discharging a lien upon, real property,</w:t>
      </w:r>
    </w:p>
    <w:p>
      <w:pPr>
        <w:spacing w:after="0" w:line="51" w:lineRule="exact"/>
        <w:rPr>
          <w:rFonts w:ascii="Arial" w:cs="Arial" w:eastAsia="Arial" w:hAnsi="Arial"/>
          <w:sz w:val="17"/>
          <w:szCs w:val="17"/>
          <w:color w:val="auto"/>
        </w:rPr>
      </w:pPr>
    </w:p>
    <w:p>
      <w:pPr>
        <w:ind w:left="1460" w:hanging="358"/>
        <w:spacing w:after="0"/>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Evidence of Debt,</w:t>
      </w:r>
    </w:p>
    <w:p>
      <w:pPr>
        <w:spacing w:after="0" w:line="130" w:lineRule="exact"/>
        <w:rPr>
          <w:rFonts w:ascii="Arial" w:cs="Arial" w:eastAsia="Arial" w:hAnsi="Arial"/>
          <w:sz w:val="18"/>
          <w:szCs w:val="18"/>
          <w:color w:val="auto"/>
        </w:rPr>
      </w:pPr>
    </w:p>
    <w:p>
      <w:pPr>
        <w:ind w:left="1460" w:right="400" w:hanging="358"/>
        <w:spacing w:after="0" w:line="277" w:lineRule="auto"/>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Instruction to a Federal Reserve Bank of the United States, or</w:t>
      </w:r>
    </w:p>
    <w:p>
      <w:pPr>
        <w:spacing w:after="0" w:line="75" w:lineRule="exact"/>
        <w:rPr>
          <w:rFonts w:ascii="Arial" w:cs="Arial" w:eastAsia="Arial" w:hAnsi="Arial"/>
          <w:sz w:val="18"/>
          <w:szCs w:val="18"/>
          <w:color w:val="auto"/>
        </w:rPr>
      </w:pPr>
    </w:p>
    <w:p>
      <w:pPr>
        <w:ind w:left="1460" w:right="400" w:hanging="358"/>
        <w:spacing w:after="0" w:line="277" w:lineRule="auto"/>
        <w:tabs>
          <w:tab w:leader="none" w:pos="1460" w:val="left"/>
        </w:tabs>
        <w:numPr>
          <w:ilvl w:val="2"/>
          <w:numId w:val="12"/>
        </w:numPr>
        <w:rPr>
          <w:rFonts w:ascii="Arial" w:cs="Arial" w:eastAsia="Arial" w:hAnsi="Arial"/>
          <w:sz w:val="18"/>
          <w:szCs w:val="18"/>
          <w:color w:val="auto"/>
        </w:rPr>
      </w:pPr>
      <w:r>
        <w:rPr>
          <w:rFonts w:ascii="Arial" w:cs="Arial" w:eastAsia="Arial" w:hAnsi="Arial"/>
          <w:sz w:val="18"/>
          <w:szCs w:val="18"/>
          <w:color w:val="auto"/>
        </w:rPr>
        <w:t>Statement of Uncertificated Security of any Federal Reserve Bank of the United States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which</w:t>
      </w:r>
    </w:p>
    <w:p>
      <w:pPr>
        <w:spacing w:after="0" w:line="131" w:lineRule="exact"/>
        <w:rPr>
          <w:sz w:val="20"/>
          <w:szCs w:val="20"/>
          <w:color w:val="auto"/>
        </w:rPr>
      </w:pPr>
    </w:p>
    <w:p>
      <w:pPr>
        <w:ind w:left="1840" w:hanging="373"/>
        <w:spacing w:after="0" w:line="302" w:lineRule="auto"/>
        <w:tabs>
          <w:tab w:leader="none" w:pos="18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bears a signature of any maker, drawer, issuer, endorser, assignor, lessee, transfer agent, registrar, acceptor, surety, guarantor, or of any person signing in any other capacity which is a Forgery, or</w:t>
      </w:r>
    </w:p>
    <w:p>
      <w:pPr>
        <w:spacing w:after="0" w:line="59" w:lineRule="exact"/>
        <w:rPr>
          <w:rFonts w:ascii="Arial" w:cs="Arial" w:eastAsia="Arial" w:hAnsi="Arial"/>
          <w:sz w:val="16"/>
          <w:szCs w:val="16"/>
          <w:color w:val="auto"/>
        </w:rPr>
      </w:pPr>
    </w:p>
    <w:p>
      <w:pPr>
        <w:ind w:left="1840" w:hanging="373"/>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altered, or</w:t>
      </w:r>
    </w:p>
    <w:p>
      <w:pPr>
        <w:spacing w:after="0" w:line="130" w:lineRule="exact"/>
        <w:rPr>
          <w:rFonts w:ascii="Arial" w:cs="Arial" w:eastAsia="Arial" w:hAnsi="Arial"/>
          <w:sz w:val="18"/>
          <w:szCs w:val="18"/>
          <w:color w:val="auto"/>
        </w:rPr>
      </w:pPr>
    </w:p>
    <w:p>
      <w:pPr>
        <w:ind w:left="1840" w:hanging="373"/>
        <w:spacing w:after="0"/>
        <w:tabs>
          <w:tab w:leader="none" w:pos="18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is lost or stolen;</w:t>
      </w:r>
    </w:p>
    <w:p>
      <w:pPr>
        <w:spacing w:after="0" w:line="225" w:lineRule="exact"/>
        <w:rPr>
          <w:rFonts w:ascii="Arial" w:cs="Arial" w:eastAsia="Arial" w:hAnsi="Arial"/>
          <w:sz w:val="18"/>
          <w:szCs w:val="18"/>
          <w:color w:val="auto"/>
        </w:rPr>
      </w:pPr>
    </w:p>
    <w:p>
      <w:pPr>
        <w:ind w:right="60" w:firstLine="728"/>
        <w:spacing w:after="0" w:line="264"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guaranteed in writing or witnessed any signature upon any transfer, assignment, bill of sale, power of attorney, Guarantee , or any items listed in (a) through (c) above;</w:t>
      </w:r>
    </w:p>
    <w:p>
      <w:pPr>
        <w:spacing w:after="0" w:line="181" w:lineRule="exact"/>
        <w:rPr>
          <w:rFonts w:ascii="Arial" w:cs="Arial" w:eastAsia="Arial" w:hAnsi="Arial"/>
          <w:sz w:val="18"/>
          <w:szCs w:val="18"/>
          <w:color w:val="auto"/>
        </w:rPr>
      </w:pPr>
    </w:p>
    <w:p>
      <w:pPr>
        <w:ind w:right="40" w:firstLine="728"/>
        <w:spacing w:after="0" w:line="264" w:lineRule="auto"/>
        <w:tabs>
          <w:tab w:leader="none" w:pos="97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acquired, sold or delivered, or given value, extended credit or assumed liability, on the faith of any item listed in (a) and (b) above which is a Counterfeit.</w:t>
      </w:r>
    </w:p>
    <w:p>
      <w:pPr>
        <w:spacing w:after="0" w:line="18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8"/>
          <w:szCs w:val="18"/>
          <w:color w:val="auto"/>
        </w:rPr>
        <w:t>A mechanically reproduced facsimile signature is treated the same as a handwritten signature.</w:t>
      </w:r>
    </w:p>
    <w:p>
      <w:pPr>
        <w:sectPr>
          <w:pgSz w:w="11900" w:h="16915" w:orient="portrait"/>
          <w:cols w:equalWidth="0" w:num="2">
            <w:col w:w="5480" w:space="340"/>
            <w:col w:w="5580"/>
          </w:cols>
          <w:pgMar w:left="240" w:top="274" w:right="259" w:bottom="0" w:gutter="0" w:footer="0" w:header="0"/>
          <w:type w:val="continuous"/>
        </w:sectPr>
      </w:pPr>
    </w:p>
    <w:bookmarkStart w:id="7" w:name="page8"/>
    <w:bookmarkEnd w:id="7"/>
    <w:p>
      <w:pPr>
        <w:ind w:left="740" w:right="8" w:hanging="367"/>
        <w:spacing w:after="0" w:line="312" w:lineRule="auto"/>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Transportation Company and being transported in a conveyance other than an armored motor vehicle provided that covered Property transported in such manner is limited to the following:</w:t>
      </w:r>
    </w:p>
    <w:p>
      <w:pPr>
        <w:spacing w:after="0" w:line="52" w:lineRule="exact"/>
        <w:rPr>
          <w:rFonts w:ascii="Arial" w:cs="Arial" w:eastAsia="Arial" w:hAnsi="Arial"/>
          <w:sz w:val="16"/>
          <w:szCs w:val="16"/>
          <w:color w:val="auto"/>
        </w:rPr>
      </w:pPr>
    </w:p>
    <w:p>
      <w:pPr>
        <w:ind w:left="1100" w:hanging="363"/>
        <w:spacing w:after="0"/>
        <w:tabs>
          <w:tab w:leader="none" w:pos="11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records, whether recorded in writing or electronically, and</w:t>
      </w:r>
    </w:p>
    <w:p>
      <w:pPr>
        <w:spacing w:after="0" w:line="142" w:lineRule="exact"/>
        <w:rPr>
          <w:rFonts w:ascii="Arial" w:cs="Arial" w:eastAsia="Arial" w:hAnsi="Arial"/>
          <w:sz w:val="17"/>
          <w:szCs w:val="17"/>
          <w:color w:val="auto"/>
        </w:rPr>
      </w:pPr>
    </w:p>
    <w:p>
      <w:pPr>
        <w:ind w:left="1100" w:right="348" w:hanging="363"/>
        <w:spacing w:after="0" w:line="308" w:lineRule="auto"/>
        <w:tabs>
          <w:tab w:leader="none" w:pos="1100" w:val="left"/>
        </w:tabs>
        <w:numPr>
          <w:ilvl w:val="1"/>
          <w:numId w:val="15"/>
        </w:numPr>
        <w:rPr>
          <w:rFonts w:ascii="Arial" w:cs="Arial" w:eastAsia="Arial" w:hAnsi="Arial"/>
          <w:sz w:val="17"/>
          <w:szCs w:val="17"/>
          <w:color w:val="auto"/>
        </w:rPr>
      </w:pPr>
      <w:r>
        <w:rPr>
          <w:rFonts w:ascii="Arial" w:cs="Arial" w:eastAsia="Arial" w:hAnsi="Arial"/>
          <w:sz w:val="17"/>
          <w:szCs w:val="17"/>
          <w:color w:val="auto"/>
        </w:rPr>
        <w:t>Certificated Securities issued in registered form and not endorsed, or with restrictive endorsements, and</w:t>
      </w:r>
    </w:p>
    <w:p>
      <w:pPr>
        <w:spacing w:after="0" w:line="20" w:lineRule="exact"/>
        <w:rPr>
          <w:sz w:val="20"/>
          <w:szCs w:val="20"/>
          <w:color w:val="auto"/>
        </w:rPr>
      </w:pPr>
      <w:r>
        <w:rPr>
          <w:sz w:val="20"/>
          <w:szCs w:val="20"/>
          <w:color w:val="auto"/>
        </w:rPr>
        <w:br w:type="column"/>
      </w:r>
    </w:p>
    <w:p>
      <w:pPr>
        <w:ind w:left="1312"/>
        <w:spacing w:after="0"/>
        <w:rPr>
          <w:sz w:val="20"/>
          <w:szCs w:val="20"/>
          <w:color w:val="auto"/>
        </w:rPr>
      </w:pPr>
      <w:r>
        <w:rPr>
          <w:rFonts w:ascii="Arial" w:cs="Arial" w:eastAsia="Arial" w:hAnsi="Arial"/>
          <w:sz w:val="18"/>
          <w:szCs w:val="18"/>
          <w:color w:val="auto"/>
        </w:rPr>
        <w:t>COUNTERFEIT CURRENCY</w:t>
      </w:r>
    </w:p>
    <w:p>
      <w:pPr>
        <w:spacing w:after="0" w:line="225" w:lineRule="exact"/>
        <w:rPr>
          <w:sz w:val="20"/>
          <w:szCs w:val="20"/>
          <w:color w:val="auto"/>
        </w:rPr>
      </w:pPr>
    </w:p>
    <w:p>
      <w:pPr>
        <w:jc w:val="both"/>
        <w:ind w:left="-368" w:right="40" w:firstLine="368"/>
        <w:spacing w:after="0" w:line="286" w:lineRule="auto"/>
        <w:tabs>
          <w:tab w:leader="none" w:pos="257" w:val="left"/>
        </w:tabs>
        <w:numPr>
          <w:ilvl w:val="0"/>
          <w:numId w:val="16"/>
        </w:numPr>
        <w:rPr>
          <w:rFonts w:ascii="Arial" w:cs="Arial" w:eastAsia="Arial" w:hAnsi="Arial"/>
          <w:sz w:val="17"/>
          <w:szCs w:val="17"/>
          <w:color w:val="auto"/>
        </w:rPr>
      </w:pPr>
      <w:r>
        <w:rPr>
          <w:rFonts w:ascii="Arial" w:cs="Arial" w:eastAsia="Arial" w:hAnsi="Arial"/>
          <w:sz w:val="17"/>
          <w:szCs w:val="17"/>
          <w:color w:val="auto"/>
        </w:rPr>
        <w:t>Loss resulting directly from the receipt by the Insured, in good faith, of any Counterfeit Money of the United States of America, Canada or of any other country in which the Insured maintains a branch office.</w:t>
      </w:r>
    </w:p>
    <w:p>
      <w:pPr>
        <w:spacing w:after="0" w:line="678" w:lineRule="exact"/>
        <w:rPr>
          <w:sz w:val="20"/>
          <w:szCs w:val="20"/>
          <w:color w:val="auto"/>
        </w:rPr>
      </w:pPr>
    </w:p>
    <w:p>
      <w:pPr>
        <w:sectPr>
          <w:pgSz w:w="11900" w:h="16838" w:orient="portrait"/>
          <w:cols w:equalWidth="0" w:num="2">
            <w:col w:w="5468" w:space="720"/>
            <w:col w:w="5232"/>
          </w:cols>
          <w:pgMar w:left="240" w:top="125" w:right="239" w:bottom="1440" w:gutter="0" w:footer="0" w:header="0"/>
        </w:sect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AGREEMENTS</w:t>
      </w:r>
    </w:p>
    <w:p>
      <w:pPr>
        <w:sectPr>
          <w:pgSz w:w="11900" w:h="16838" w:orient="portrait"/>
          <w:cols w:equalWidth="0" w:num="1">
            <w:col w:w="11420"/>
          </w:cols>
          <w:pgMar w:left="240" w:top="125" w:right="239" w:bottom="1440" w:gutter="0" w:footer="0" w:header="0"/>
          <w:type w:val="continuous"/>
        </w:sectPr>
      </w:pPr>
    </w:p>
    <w:p>
      <w:pPr>
        <w:spacing w:after="0" w:line="310" w:lineRule="exact"/>
        <w:rPr>
          <w:sz w:val="20"/>
          <w:szCs w:val="20"/>
          <w:color w:val="auto"/>
        </w:rPr>
      </w:pPr>
    </w:p>
    <w:p>
      <w:pPr>
        <w:jc w:val="center"/>
        <w:ind w:left="140"/>
        <w:spacing w:after="0"/>
        <w:rPr>
          <w:sz w:val="20"/>
          <w:szCs w:val="20"/>
          <w:color w:val="auto"/>
        </w:rPr>
      </w:pPr>
      <w:r>
        <w:rPr>
          <w:rFonts w:ascii="Arial" w:cs="Arial" w:eastAsia="Arial" w:hAnsi="Arial"/>
          <w:sz w:val="18"/>
          <w:szCs w:val="18"/>
          <w:color w:val="auto"/>
        </w:rPr>
        <w:t>NOMINEES</w:t>
      </w:r>
    </w:p>
    <w:p>
      <w:pPr>
        <w:spacing w:after="0" w:line="225" w:lineRule="exact"/>
        <w:rPr>
          <w:sz w:val="20"/>
          <w:szCs w:val="20"/>
          <w:color w:val="auto"/>
        </w:rPr>
      </w:pPr>
    </w:p>
    <w:p>
      <w:pPr>
        <w:ind w:right="100" w:firstLine="360"/>
        <w:spacing w:after="0" w:line="297" w:lineRule="auto"/>
        <w:rPr>
          <w:sz w:val="20"/>
          <w:szCs w:val="20"/>
          <w:color w:val="auto"/>
        </w:rPr>
      </w:pPr>
      <w:r>
        <w:rPr>
          <w:rFonts w:ascii="Arial" w:cs="Arial" w:eastAsia="Arial" w:hAnsi="Arial"/>
          <w:sz w:val="16"/>
          <w:szCs w:val="16"/>
          <w:color w:val="auto"/>
        </w:rPr>
        <w:t>A. Loss sustained by any nominee organized by the Insured for the purpose of handling certain of its business transactions and composed exclusively of its Employees shall, for all the purposes of this bond and whether or not any partner of such nominee is implicated in such loss. be deemed to be loss sustained by the Insured.</w:t>
      </w:r>
    </w:p>
    <w:p>
      <w:pPr>
        <w:spacing w:after="0" w:line="374" w:lineRule="exact"/>
        <w:rPr>
          <w:sz w:val="20"/>
          <w:szCs w:val="20"/>
          <w:color w:val="auto"/>
        </w:rPr>
      </w:pPr>
    </w:p>
    <w:p>
      <w:pPr>
        <w:jc w:val="center"/>
        <w:ind w:left="120" w:right="140"/>
        <w:spacing w:after="0" w:line="308" w:lineRule="auto"/>
        <w:rPr>
          <w:sz w:val="20"/>
          <w:szCs w:val="20"/>
          <w:color w:val="auto"/>
        </w:rPr>
      </w:pPr>
      <w:r>
        <w:rPr>
          <w:rFonts w:ascii="Arial" w:cs="Arial" w:eastAsia="Arial" w:hAnsi="Arial"/>
          <w:sz w:val="17"/>
          <w:szCs w:val="17"/>
          <w:color w:val="auto"/>
        </w:rPr>
        <w:t>ADDITIONAL OFFICES OR EMPLOYEES – CONSOLIDATION, MERGER OR PURCHASE OF ASSETS – NOTICE</w:t>
      </w:r>
    </w:p>
    <w:p>
      <w:pPr>
        <w:spacing w:after="0" w:line="147" w:lineRule="exact"/>
        <w:rPr>
          <w:sz w:val="20"/>
          <w:szCs w:val="20"/>
          <w:color w:val="auto"/>
        </w:rPr>
      </w:pPr>
    </w:p>
    <w:p>
      <w:pPr>
        <w:ind w:firstLine="360"/>
        <w:spacing w:after="0" w:line="293" w:lineRule="auto"/>
        <w:rPr>
          <w:sz w:val="20"/>
          <w:szCs w:val="20"/>
          <w:color w:val="auto"/>
        </w:rPr>
      </w:pPr>
      <w:r>
        <w:rPr>
          <w:rFonts w:ascii="Arial" w:cs="Arial" w:eastAsia="Arial" w:hAnsi="Arial"/>
          <w:sz w:val="16"/>
          <w:szCs w:val="16"/>
          <w:color w:val="auto"/>
        </w:rPr>
        <w:t>B. If the Insured shall, while this bond is in force, establish any additional offices, other than by consolidation or merger with, or purchase or acquisition of assets or liabilities of, another institution, such offices shall be automatically covered hereunder from the date of such establishment without the requirement of notice to the Underwriter or the Payment of additional premium for the remainder of the premium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ind w:right="180" w:firstLine="359"/>
        <w:spacing w:after="0" w:line="259" w:lineRule="auto"/>
        <w:rPr>
          <w:sz w:val="20"/>
          <w:szCs w:val="20"/>
          <w:color w:val="auto"/>
        </w:rPr>
      </w:pPr>
      <w:r>
        <w:rPr>
          <w:rFonts w:ascii="Arial" w:cs="Arial" w:eastAsia="Arial" w:hAnsi="Arial"/>
          <w:sz w:val="18"/>
          <w:szCs w:val="18"/>
          <w:color w:val="auto"/>
        </w:rPr>
        <w:t>If the Insured shall, while this bond is in force, consolidate or merge with, or purchase or acquire assets or liabilities of, another institution, the Insured shall not have such coverage as is afforded under this bond for loss which</w:t>
      </w:r>
    </w:p>
    <w:p>
      <w:pPr>
        <w:spacing w:after="0" w:line="187" w:lineRule="exact"/>
        <w:rPr>
          <w:sz w:val="20"/>
          <w:szCs w:val="20"/>
          <w:color w:val="auto"/>
        </w:rPr>
      </w:pPr>
    </w:p>
    <w:p>
      <w:pPr>
        <w:ind w:left="620" w:hanging="252"/>
        <w:spacing w:after="0"/>
        <w:tabs>
          <w:tab w:leader="none" w:pos="6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occurred or will occur in offices or premises, or</w:t>
      </w:r>
    </w:p>
    <w:p>
      <w:pPr>
        <w:spacing w:after="0" w:line="225" w:lineRule="exact"/>
        <w:rPr>
          <w:rFonts w:ascii="Arial" w:cs="Arial" w:eastAsia="Arial" w:hAnsi="Arial"/>
          <w:sz w:val="18"/>
          <w:szCs w:val="18"/>
          <w:color w:val="auto"/>
        </w:rPr>
      </w:pPr>
    </w:p>
    <w:p>
      <w:pPr>
        <w:ind w:right="160" w:firstLine="368"/>
        <w:spacing w:after="0" w:line="277" w:lineRule="auto"/>
        <w:tabs>
          <w:tab w:leader="none" w:pos="614"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been caused or will be caused by an employee or employees of such institution, or</w:t>
      </w:r>
    </w:p>
    <w:p>
      <w:pPr>
        <w:spacing w:after="0" w:line="170" w:lineRule="exact"/>
        <w:rPr>
          <w:rFonts w:ascii="Arial" w:cs="Arial" w:eastAsia="Arial" w:hAnsi="Arial"/>
          <w:sz w:val="18"/>
          <w:szCs w:val="18"/>
          <w:color w:val="auto"/>
        </w:rPr>
      </w:pPr>
    </w:p>
    <w:p>
      <w:pPr>
        <w:ind w:firstLine="368"/>
        <w:spacing w:after="0" w:line="264" w:lineRule="auto"/>
        <w:tabs>
          <w:tab w:leader="none" w:pos="604" w:val="left"/>
        </w:tabs>
        <w:numPr>
          <w:ilvl w:val="0"/>
          <w:numId w:val="17"/>
        </w:numPr>
        <w:rPr>
          <w:rFonts w:ascii="Arial" w:cs="Arial" w:eastAsia="Arial" w:hAnsi="Arial"/>
          <w:sz w:val="18"/>
          <w:szCs w:val="18"/>
          <w:color w:val="auto"/>
        </w:rPr>
      </w:pPr>
      <w:r>
        <w:rPr>
          <w:rFonts w:ascii="Arial" w:cs="Arial" w:eastAsia="Arial" w:hAnsi="Arial"/>
          <w:sz w:val="18"/>
          <w:szCs w:val="18"/>
          <w:color w:val="auto"/>
        </w:rPr>
        <w:t>has arisen or will arise out of the assets or liabilities acquired by the Insured as a result of such consolidation, merger or purchase or acquisition of assets or liabilities unless the Insured shall</w:t>
      </w:r>
    </w:p>
    <w:p>
      <w:pPr>
        <w:spacing w:after="0" w:line="86" w:lineRule="exact"/>
        <w:rPr>
          <w:rFonts w:ascii="Arial" w:cs="Arial" w:eastAsia="Arial" w:hAnsi="Arial"/>
          <w:sz w:val="18"/>
          <w:szCs w:val="18"/>
          <w:color w:val="auto"/>
        </w:rPr>
      </w:pPr>
    </w:p>
    <w:p>
      <w:pPr>
        <w:ind w:left="1100" w:right="160" w:hanging="363"/>
        <w:spacing w:after="0" w:line="259" w:lineRule="auto"/>
        <w:tabs>
          <w:tab w:leader="none" w:pos="1100" w:val="left"/>
        </w:tabs>
        <w:numPr>
          <w:ilvl w:val="1"/>
          <w:numId w:val="17"/>
        </w:numPr>
        <w:rPr>
          <w:rFonts w:ascii="Arial" w:cs="Arial" w:eastAsia="Arial" w:hAnsi="Arial"/>
          <w:sz w:val="18"/>
          <w:szCs w:val="18"/>
          <w:color w:val="auto"/>
        </w:rPr>
      </w:pPr>
      <w:r>
        <w:rPr>
          <w:rFonts w:ascii="Arial" w:cs="Arial" w:eastAsia="Arial" w:hAnsi="Arial"/>
          <w:sz w:val="18"/>
          <w:szCs w:val="18"/>
          <w:color w:val="auto"/>
        </w:rPr>
        <w:t>give the Underwriter written notice of the proposed consolidation, merger or purchase or acquisition of assets or liabilities prior to the proposed effective date of such action and</w:t>
      </w:r>
    </w:p>
    <w:p>
      <w:pPr>
        <w:spacing w:after="0" w:line="92" w:lineRule="exact"/>
        <w:rPr>
          <w:rFonts w:ascii="Arial" w:cs="Arial" w:eastAsia="Arial" w:hAnsi="Arial"/>
          <w:sz w:val="18"/>
          <w:szCs w:val="18"/>
          <w:color w:val="auto"/>
        </w:rPr>
      </w:pPr>
    </w:p>
    <w:p>
      <w:pPr>
        <w:ind w:left="1100" w:right="180" w:hanging="363"/>
        <w:spacing w:after="0" w:line="312" w:lineRule="auto"/>
        <w:tabs>
          <w:tab w:leader="none" w:pos="1100" w:val="left"/>
        </w:tabs>
        <w:numPr>
          <w:ilvl w:val="1"/>
          <w:numId w:val="17"/>
        </w:numPr>
        <w:rPr>
          <w:rFonts w:ascii="Arial" w:cs="Arial" w:eastAsia="Arial" w:hAnsi="Arial"/>
          <w:sz w:val="16"/>
          <w:szCs w:val="16"/>
          <w:color w:val="auto"/>
        </w:rPr>
      </w:pPr>
      <w:r>
        <w:rPr>
          <w:rFonts w:ascii="Arial" w:cs="Arial" w:eastAsia="Arial" w:hAnsi="Arial"/>
          <w:sz w:val="16"/>
          <w:szCs w:val="16"/>
          <w:color w:val="auto"/>
        </w:rPr>
        <w:t>obtain the written consent of the Underwriter to extend the coverage provided by this bond to such additional offices or premises, Employees and other exposures, and</w:t>
      </w:r>
    </w:p>
    <w:p>
      <w:pPr>
        <w:spacing w:after="0" w:line="200" w:lineRule="exact"/>
        <w:rPr>
          <w:sz w:val="20"/>
          <w:szCs w:val="20"/>
          <w:color w:val="auto"/>
        </w:rPr>
      </w:pPr>
    </w:p>
    <w:p>
      <w:pPr>
        <w:sectPr>
          <w:pgSz w:w="11900" w:h="16838" w:orient="portrait"/>
          <w:cols w:equalWidth="0" w:num="2">
            <w:col w:w="5360" w:space="460"/>
            <w:col w:w="5600"/>
          </w:cols>
          <w:pgMar w:left="240" w:top="125" w:right="239" w:bottom="1440" w:gutter="0" w:footer="0" w:header="0"/>
          <w:type w:val="continuous"/>
        </w:sectPr>
      </w:pPr>
    </w:p>
    <w:p>
      <w:pPr>
        <w:spacing w:after="0" w:line="14"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2 of 6</w:t>
      </w:r>
    </w:p>
    <w:p>
      <w:pPr>
        <w:sectPr>
          <w:pgSz w:w="11900" w:h="16838" w:orient="portrait"/>
          <w:cols w:equalWidth="0" w:num="1">
            <w:col w:w="11420"/>
          </w:cols>
          <w:pgMar w:left="240" w:top="125" w:right="239" w:bottom="1440" w:gutter="0" w:footer="0" w:header="0"/>
          <w:type w:val="continuous"/>
        </w:sectPr>
      </w:pPr>
    </w:p>
    <w:bookmarkStart w:id="8" w:name="page9"/>
    <w:bookmarkEnd w:id="8"/>
    <w:p>
      <w:pPr>
        <w:ind w:left="1100" w:right="380" w:hanging="363"/>
        <w:spacing w:after="0" w:line="277" w:lineRule="auto"/>
        <w:tabs>
          <w:tab w:leader="none" w:pos="11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upon obtaining such consent, pay to the Underwriter an additional premium.</w:t>
      </w:r>
    </w:p>
    <w:p>
      <w:pPr>
        <w:spacing w:after="0" w:line="387"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CHANGE OF CONTROL—NOTICE</w:t>
      </w:r>
    </w:p>
    <w:p>
      <w:pPr>
        <w:spacing w:after="0" w:line="225" w:lineRule="exact"/>
        <w:rPr>
          <w:sz w:val="20"/>
          <w:szCs w:val="20"/>
          <w:color w:val="auto"/>
        </w:rPr>
      </w:pPr>
    </w:p>
    <w:p>
      <w:pPr>
        <w:ind w:right="40" w:firstLine="360"/>
        <w:spacing w:after="0" w:line="277" w:lineRule="auto"/>
        <w:rPr>
          <w:sz w:val="20"/>
          <w:szCs w:val="20"/>
          <w:color w:val="auto"/>
        </w:rPr>
      </w:pPr>
      <w:r>
        <w:rPr>
          <w:rFonts w:ascii="Arial" w:cs="Arial" w:eastAsia="Arial" w:hAnsi="Arial"/>
          <w:sz w:val="18"/>
          <w:szCs w:val="18"/>
          <w:color w:val="auto"/>
        </w:rPr>
        <w:t>C. When the Insured learns of a change in control, it shall give written notice to the Underwriter.</w:t>
      </w:r>
    </w:p>
    <w:p>
      <w:pPr>
        <w:spacing w:after="0" w:line="170" w:lineRule="exact"/>
        <w:rPr>
          <w:sz w:val="20"/>
          <w:szCs w:val="20"/>
          <w:color w:val="auto"/>
        </w:rPr>
      </w:pPr>
    </w:p>
    <w:p>
      <w:pPr>
        <w:ind w:right="100" w:firstLine="360"/>
        <w:spacing w:after="0" w:line="289" w:lineRule="auto"/>
        <w:rPr>
          <w:sz w:val="20"/>
          <w:szCs w:val="20"/>
          <w:color w:val="auto"/>
        </w:rPr>
      </w:pPr>
      <w:r>
        <w:rPr>
          <w:rFonts w:ascii="Arial" w:cs="Arial" w:eastAsia="Arial" w:hAnsi="Arial"/>
          <w:sz w:val="16"/>
          <w:szCs w:val="16"/>
          <w:color w:val="auto"/>
        </w:rPr>
        <w:t>As used in this General Agreement, control means the power to determine the management or policy of a controlling holding company or the Insured by virtue of voting stock ownership. A change in ownership of voting stock which results in direct or indirect ownership by a stockholder or an affiliated group of stockholders of ten percent (10%) or more of such stock shall be presumed to result in a change of control for the purpose of the required notice. Failure to give the required notice shall result in termination of coverage for any loss involving a transferee. to be effective upon the date of the stock transfer.</w:t>
      </w:r>
    </w:p>
    <w:p>
      <w:pPr>
        <w:spacing w:after="0" w:line="38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REPRESENTATION OF INSURED</w:t>
      </w:r>
    </w:p>
    <w:p>
      <w:pPr>
        <w:spacing w:after="0" w:line="225" w:lineRule="exact"/>
        <w:rPr>
          <w:sz w:val="20"/>
          <w:szCs w:val="20"/>
          <w:color w:val="auto"/>
        </w:rPr>
      </w:pPr>
    </w:p>
    <w:p>
      <w:pPr>
        <w:ind w:firstLine="360"/>
        <w:spacing w:after="0" w:line="276" w:lineRule="auto"/>
        <w:rPr>
          <w:sz w:val="20"/>
          <w:szCs w:val="20"/>
          <w:color w:val="auto"/>
        </w:rPr>
      </w:pPr>
      <w:r>
        <w:rPr>
          <w:rFonts w:ascii="Arial" w:cs="Arial" w:eastAsia="Arial" w:hAnsi="Arial"/>
          <w:sz w:val="17"/>
          <w:szCs w:val="17"/>
          <w:color w:val="auto"/>
        </w:rPr>
        <w:t>D. The Insured represents that the information furnished in the application for this bond is complete, true and correct. Such application constitutes part of this bond. Any misrepresentation, omission, concealment or incorrect statement of a material fact, in the application or otherwise, shall be grounds for the rescission of this bond.</w:t>
      </w:r>
    </w:p>
    <w:p>
      <w:pPr>
        <w:spacing w:after="0" w:line="389"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JOINT INSURED</w:t>
      </w:r>
    </w:p>
    <w:p>
      <w:pPr>
        <w:spacing w:after="0" w:line="225" w:lineRule="exact"/>
        <w:rPr>
          <w:sz w:val="20"/>
          <w:szCs w:val="20"/>
          <w:color w:val="auto"/>
        </w:rPr>
      </w:pPr>
    </w:p>
    <w:p>
      <w:pPr>
        <w:ind w:firstLine="360"/>
        <w:spacing w:after="0" w:line="269" w:lineRule="auto"/>
        <w:rPr>
          <w:sz w:val="20"/>
          <w:szCs w:val="20"/>
          <w:color w:val="auto"/>
        </w:rPr>
      </w:pPr>
      <w:r>
        <w:rPr>
          <w:rFonts w:ascii="Arial" w:cs="Arial" w:eastAsia="Arial" w:hAnsi="Arial"/>
          <w:sz w:val="17"/>
          <w:szCs w:val="17"/>
          <w:color w:val="auto"/>
        </w:rPr>
        <w:t>E. If two or more Insureds are covered under this bond, the first named Insured shall act for all Insureds. Payment by the Underwriter to the first named Insured of loss sustained by any Insured shall fully release the Underwriter on account of such loss. If the first named Insured ceases to be covered under this bond, the Insured next named shall thereafter be considered as the first named Insured. Knowledge possessed or discovery made by any Insured shall constitute knowledge or discovery by all Insureds for all purposes of this bond. The liability of the Underwriter for loss or losses sustained by all Insureds shall not exceed the amount for which the Underwriter would have been liable had all such loss or losses been sustained by one Insured.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 OF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-704850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AGAINST INSURED—ELECTION TO DEFEND</w:t>
      </w:r>
    </w:p>
    <w:p>
      <w:pPr>
        <w:spacing w:after="0" w:line="211" w:lineRule="exact"/>
        <w:rPr>
          <w:sz w:val="20"/>
          <w:szCs w:val="20"/>
          <w:color w:val="auto"/>
        </w:rPr>
      </w:pPr>
    </w:p>
    <w:p>
      <w:pPr>
        <w:ind w:right="140" w:firstLine="359"/>
        <w:spacing w:after="0" w:line="273" w:lineRule="auto"/>
        <w:rPr>
          <w:sz w:val="20"/>
          <w:szCs w:val="20"/>
          <w:color w:val="auto"/>
        </w:rPr>
      </w:pPr>
      <w:r>
        <w:rPr>
          <w:rFonts w:ascii="Arial" w:cs="Arial" w:eastAsia="Arial" w:hAnsi="Arial"/>
          <w:sz w:val="17"/>
          <w:szCs w:val="17"/>
          <w:color w:val="auto"/>
        </w:rPr>
        <w:t>F. The Insured shall notify the Underwriter at the earliest practicable moment, not to exceed 30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178" w:lineRule="exact"/>
        <w:rPr>
          <w:sz w:val="20"/>
          <w:szCs w:val="20"/>
          <w:color w:val="auto"/>
        </w:rPr>
      </w:pPr>
    </w:p>
    <w:p>
      <w:pPr>
        <w:ind w:right="40" w:firstLine="359"/>
        <w:spacing w:after="0" w:line="276" w:lineRule="auto"/>
        <w:rPr>
          <w:sz w:val="20"/>
          <w:szCs w:val="20"/>
          <w:color w:val="auto"/>
        </w:rPr>
      </w:pPr>
      <w:r>
        <w:rPr>
          <w:rFonts w:ascii="Arial" w:cs="Arial" w:eastAsia="Arial" w:hAnsi="Arial"/>
          <w:sz w:val="17"/>
          <w:szCs w:val="17"/>
          <w:color w:val="auto"/>
        </w:rPr>
        <w:t>The Underwriter, at its sole option, may elect to conduct the defense of such legal proceeding, in whole or in part. The defense by the Underwriter shall be in the Insured’s name through attorneys selected by the Underwriter. The Insured shall provide all reasonable information and assistance required by the Underwriter for such defense.</w:t>
      </w:r>
    </w:p>
    <w:p>
      <w:pPr>
        <w:spacing w:after="0" w:line="173" w:lineRule="exact"/>
        <w:rPr>
          <w:sz w:val="20"/>
          <w:szCs w:val="20"/>
          <w:color w:val="auto"/>
        </w:rPr>
      </w:pPr>
    </w:p>
    <w:p>
      <w:pPr>
        <w:ind w:firstLine="359"/>
        <w:spacing w:after="0" w:line="255" w:lineRule="auto"/>
        <w:rPr>
          <w:sz w:val="20"/>
          <w:szCs w:val="20"/>
          <w:color w:val="auto"/>
        </w:rPr>
      </w:pPr>
      <w:r>
        <w:rPr>
          <w:rFonts w:ascii="Arial" w:cs="Arial" w:eastAsia="Arial" w:hAnsi="Arial"/>
          <w:sz w:val="18"/>
          <w:szCs w:val="18"/>
          <w:color w:val="auto"/>
        </w:rPr>
        <w:t>If the Underwriter elects to defend the Insured, in whole or in part, any judgment against the Insured on those counts or causes of action which the Underwriter defended on behalf of the Insured or any settlement in which the Underwriter participates and all attorneys’ fees, costs and expenses incurred by the Underwriter in the defense of the litigation shall be a loss covered by this bond.</w:t>
      </w:r>
    </w:p>
    <w:p>
      <w:pPr>
        <w:spacing w:after="0" w:line="193" w:lineRule="exact"/>
        <w:rPr>
          <w:sz w:val="20"/>
          <w:szCs w:val="20"/>
          <w:color w:val="auto"/>
        </w:rPr>
      </w:pPr>
    </w:p>
    <w:p>
      <w:pPr>
        <w:ind w:right="20" w:firstLine="359"/>
        <w:spacing w:after="0" w:line="291" w:lineRule="auto"/>
        <w:rPr>
          <w:sz w:val="20"/>
          <w:szCs w:val="20"/>
          <w:color w:val="auto"/>
        </w:rPr>
      </w:pPr>
      <w:r>
        <w:rPr>
          <w:rFonts w:ascii="Arial" w:cs="Arial" w:eastAsia="Arial" w:hAnsi="Arial"/>
          <w:sz w:val="16"/>
          <w:szCs w:val="16"/>
          <w:color w:val="auto"/>
        </w:rPr>
        <w:t>If the Insured does not give the notices required in subsection (a) of Section 5 of this bond and in the first paragraph of this General Agreement, or if the Underwriter elects not to defend any causes of action, neither a judgment against the Insured, nor a settlement of any legal proceeding by the Insured, shall determine the existence, extent or amount of coverage under this bond for loss sustained by the Insured, and the Underwriter shall not be liable for any attorneys’ fees, costs and expenses incurred by the Insured.</w:t>
      </w:r>
    </w:p>
    <w:p>
      <w:pPr>
        <w:spacing w:after="0" w:line="167" w:lineRule="exact"/>
        <w:rPr>
          <w:sz w:val="20"/>
          <w:szCs w:val="20"/>
          <w:color w:val="auto"/>
        </w:rPr>
      </w:pPr>
    </w:p>
    <w:p>
      <w:pPr>
        <w:ind w:right="80" w:firstLine="359"/>
        <w:spacing w:after="0" w:line="290" w:lineRule="auto"/>
        <w:rPr>
          <w:sz w:val="20"/>
          <w:szCs w:val="20"/>
          <w:color w:val="auto"/>
        </w:rPr>
      </w:pPr>
      <w:r>
        <w:rPr>
          <w:rFonts w:ascii="Arial" w:cs="Arial" w:eastAsia="Arial" w:hAnsi="Arial"/>
          <w:sz w:val="16"/>
          <w:szCs w:val="16"/>
          <w:color w:val="auto"/>
        </w:rPr>
        <w:t>With respect to this General Agreement, subsections (b) and (d) of Section 5 of this bond apply upon the entry of such judgment or the occurrence of such settlement instead of upon discovery of loss. In addition, the Insured must notify the Underwriter within 30 days after such judgment is entered against it or after the Insured settles such legal proceeding, and, subject to subsection (e) of Section 5, the Insured may not bring legal proceedings for the recovery of such loss after the expiration of 24 months from the date of such final judgment or settlement.</w:t>
      </w:r>
    </w:p>
    <w:p>
      <w:pPr>
        <w:spacing w:after="0" w:line="200" w:lineRule="exact"/>
        <w:rPr>
          <w:sz w:val="20"/>
          <w:szCs w:val="20"/>
          <w:color w:val="auto"/>
        </w:rPr>
      </w:pPr>
    </w:p>
    <w:p>
      <w:pPr>
        <w:sectPr>
          <w:pgSz w:w="11900" w:h="16838" w:orient="portrait"/>
          <w:cols w:equalWidth="0" w:num="2">
            <w:col w:w="5480" w:space="340"/>
            <w:col w:w="5580"/>
          </w:cols>
          <w:pgMar w:left="240" w:top="328" w:right="259" w:bottom="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CONDITIONS AND LIMITATIONS</w:t>
      </w:r>
    </w:p>
    <w:p>
      <w:pPr>
        <w:sectPr>
          <w:pgSz w:w="11900" w:h="16838" w:orient="portrait"/>
          <w:cols w:equalWidth="0" w:num="1">
            <w:col w:w="11400"/>
          </w:cols>
          <w:pgMar w:left="240" w:top="328" w:right="259" w:bottom="0" w:gutter="0" w:footer="0" w:header="0"/>
          <w:type w:val="continuous"/>
        </w:sectPr>
      </w:pPr>
    </w:p>
    <w:p>
      <w:pPr>
        <w:spacing w:after="0" w:line="310"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 As used in this bond:</w:t>
      </w:r>
    </w:p>
    <w:p>
      <w:pPr>
        <w:spacing w:after="0" w:line="117" w:lineRule="exact"/>
        <w:rPr>
          <w:sz w:val="20"/>
          <w:szCs w:val="20"/>
          <w:color w:val="auto"/>
        </w:rPr>
      </w:pPr>
    </w:p>
    <w:p>
      <w:pPr>
        <w:ind w:right="428" w:firstLine="368"/>
        <w:spacing w:after="0" w:line="277" w:lineRule="auto"/>
        <w:tabs>
          <w:tab w:leader="none" w:pos="59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Acceptance means a draft which the drawee has, by signature written thereon, engaged to honor as presented.</w:t>
      </w:r>
    </w:p>
    <w:p>
      <w:pPr>
        <w:spacing w:after="0" w:line="170" w:lineRule="exact"/>
        <w:rPr>
          <w:rFonts w:ascii="Arial" w:cs="Arial" w:eastAsia="Arial" w:hAnsi="Arial"/>
          <w:sz w:val="18"/>
          <w:szCs w:val="18"/>
          <w:color w:val="auto"/>
        </w:rPr>
      </w:pPr>
    </w:p>
    <w:p>
      <w:pPr>
        <w:ind w:right="188" w:firstLine="368"/>
        <w:spacing w:after="0" w:line="342" w:lineRule="auto"/>
        <w:tabs>
          <w:tab w:leader="none" w:pos="6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Certificate of Deposit means an acknowledgment in writing by a financial institution of receipt of Money with an engagement to repay it.</w:t>
      </w:r>
    </w:p>
    <w:p>
      <w:pPr>
        <w:spacing w:after="0" w:line="123" w:lineRule="exact"/>
        <w:rPr>
          <w:rFonts w:ascii="Arial" w:cs="Arial" w:eastAsia="Arial" w:hAnsi="Arial"/>
          <w:sz w:val="16"/>
          <w:szCs w:val="16"/>
          <w:color w:val="auto"/>
        </w:rPr>
      </w:pPr>
    </w:p>
    <w:p>
      <w:pPr>
        <w:ind w:right="128" w:firstLine="368"/>
        <w:spacing w:after="0" w:line="264" w:lineRule="auto"/>
        <w:tabs>
          <w:tab w:leader="none" w:pos="60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Certificated Security means a share, participation or other interest in property of or an enterprise of the issuer or an obligation of the issuer, which is:</w:t>
      </w:r>
    </w:p>
    <w:p>
      <w:pPr>
        <w:spacing w:after="0" w:line="86" w:lineRule="exact"/>
        <w:rPr>
          <w:rFonts w:ascii="Arial" w:cs="Arial" w:eastAsia="Arial" w:hAnsi="Arial"/>
          <w:sz w:val="18"/>
          <w:szCs w:val="18"/>
          <w:color w:val="auto"/>
        </w:rPr>
      </w:pPr>
    </w:p>
    <w:p>
      <w:pPr>
        <w:ind w:left="1100" w:right="148" w:hanging="363"/>
        <w:spacing w:after="0" w:line="277" w:lineRule="auto"/>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represented by an instrument issued in bearer or registered form;</w:t>
      </w:r>
    </w:p>
    <w:p>
      <w:pPr>
        <w:spacing w:after="0" w:line="75" w:lineRule="exact"/>
        <w:rPr>
          <w:rFonts w:ascii="Arial" w:cs="Arial" w:eastAsia="Arial" w:hAnsi="Arial"/>
          <w:sz w:val="18"/>
          <w:szCs w:val="18"/>
          <w:color w:val="auto"/>
        </w:rPr>
      </w:pPr>
    </w:p>
    <w:p>
      <w:pPr>
        <w:ind w:left="1100" w:right="128" w:hanging="363"/>
        <w:spacing w:after="0" w:line="286" w:lineRule="auto"/>
        <w:tabs>
          <w:tab w:leader="none" w:pos="11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of a type commonly dealt in on securities exchanges or markets or commonly recognized in any area in which it is issued or dealt in as a medium for investment; and</w:t>
      </w:r>
    </w:p>
    <w:p>
      <w:pPr>
        <w:spacing w:after="0" w:line="70" w:lineRule="exact"/>
        <w:rPr>
          <w:rFonts w:ascii="Arial" w:cs="Arial" w:eastAsia="Arial" w:hAnsi="Arial"/>
          <w:sz w:val="17"/>
          <w:szCs w:val="17"/>
          <w:color w:val="auto"/>
        </w:rPr>
      </w:pPr>
    </w:p>
    <w:p>
      <w:pPr>
        <w:ind w:left="1100" w:right="88" w:hanging="363"/>
        <w:spacing w:after="0" w:line="264" w:lineRule="auto"/>
        <w:tabs>
          <w:tab w:leader="none" w:pos="11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1" w:lineRule="exact"/>
        <w:rPr>
          <w:rFonts w:ascii="Arial" w:cs="Arial" w:eastAsia="Arial" w:hAnsi="Arial"/>
          <w:sz w:val="18"/>
          <w:szCs w:val="18"/>
          <w:color w:val="auto"/>
        </w:rPr>
      </w:pPr>
    </w:p>
    <w:p>
      <w:pPr>
        <w:ind w:right="68" w:firstLine="368"/>
        <w:spacing w:after="0" w:line="277" w:lineRule="auto"/>
        <w:tabs>
          <w:tab w:leader="none" w:pos="6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Counterfeit means an imitation of an actual valid original which is intended to deceive and to be taken as the original.</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ind w:left="732" w:right="20" w:hanging="363"/>
        <w:spacing w:after="0" w:line="277" w:lineRule="auto"/>
        <w:tabs>
          <w:tab w:leader="none" w:pos="732"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Partner of the Insured, unless not covered as stated in item 4 of the Declarations.</w:t>
      </w:r>
    </w:p>
    <w:p>
      <w:pPr>
        <w:spacing w:after="0" w:line="170" w:lineRule="exact"/>
        <w:rPr>
          <w:rFonts w:ascii="Arial" w:cs="Arial" w:eastAsia="Arial" w:hAnsi="Arial"/>
          <w:sz w:val="18"/>
          <w:szCs w:val="18"/>
          <w:color w:val="auto"/>
        </w:rPr>
      </w:pPr>
    </w:p>
    <w:p>
      <w:pPr>
        <w:ind w:left="-368" w:right="220" w:firstLine="368"/>
        <w:spacing w:after="0" w:line="259" w:lineRule="auto"/>
        <w:tabs>
          <w:tab w:leader="none" w:pos="217" w:val="left"/>
        </w:tabs>
        <w:numPr>
          <w:ilvl w:val="0"/>
          <w:numId w:val="21"/>
        </w:numPr>
        <w:rPr>
          <w:rFonts w:ascii="Arial" w:cs="Arial" w:eastAsia="Arial" w:hAnsi="Arial"/>
          <w:sz w:val="18"/>
          <w:szCs w:val="18"/>
          <w:color w:val="auto"/>
        </w:rPr>
      </w:pPr>
      <w:r>
        <w:rPr>
          <w:rFonts w:ascii="Arial" w:cs="Arial" w:eastAsia="Arial" w:hAnsi="Arial"/>
          <w:sz w:val="18"/>
          <w:szCs w:val="18"/>
          <w:color w:val="auto"/>
        </w:rPr>
        <w:t>Evidence of Debt means an instrument, including a Negotiable Instrument, executed by a customer of the Insured and held by the Insured which in the regular course of business is treated as evidencing the customer’s debt to the Insured.</w:t>
      </w:r>
    </w:p>
    <w:p>
      <w:pPr>
        <w:spacing w:after="0" w:line="186" w:lineRule="exact"/>
        <w:rPr>
          <w:rFonts w:ascii="Arial" w:cs="Arial" w:eastAsia="Arial" w:hAnsi="Arial"/>
          <w:sz w:val="18"/>
          <w:szCs w:val="18"/>
          <w:color w:val="auto"/>
        </w:rPr>
      </w:pPr>
    </w:p>
    <w:p>
      <w:pPr>
        <w:ind w:left="-368" w:right="20" w:firstLine="368"/>
        <w:spacing w:after="0" w:line="264" w:lineRule="auto"/>
        <w:tabs>
          <w:tab w:leader="none" w:pos="247"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Interest in the Insured of the Insured’s general partner(s), or limited partner(s), committing dishonest or fraudulent acts covered by this bond or concerned or implicated therein means:</w:t>
      </w:r>
    </w:p>
    <w:p>
      <w:pPr>
        <w:spacing w:after="0" w:line="86" w:lineRule="exact"/>
        <w:rPr>
          <w:rFonts w:ascii="Arial" w:cs="Arial" w:eastAsia="Arial" w:hAnsi="Arial"/>
          <w:sz w:val="18"/>
          <w:szCs w:val="18"/>
          <w:color w:val="auto"/>
        </w:rPr>
      </w:pPr>
    </w:p>
    <w:p>
      <w:pPr>
        <w:ind w:left="732" w:right="80" w:hanging="363"/>
        <w:spacing w:after="0" w:line="259" w:lineRule="auto"/>
        <w:tabs>
          <w:tab w:leader="none" w:pos="732" w:val="left"/>
        </w:tabs>
        <w:numPr>
          <w:ilvl w:val="1"/>
          <w:numId w:val="21"/>
        </w:numPr>
        <w:rPr>
          <w:rFonts w:ascii="Arial" w:cs="Arial" w:eastAsia="Arial" w:hAnsi="Arial"/>
          <w:sz w:val="18"/>
          <w:szCs w:val="18"/>
          <w:color w:val="auto"/>
        </w:rPr>
      </w:pPr>
      <w:r>
        <w:rPr>
          <w:rFonts w:ascii="Arial" w:cs="Arial" w:eastAsia="Arial" w:hAnsi="Arial"/>
          <w:sz w:val="18"/>
          <w:szCs w:val="18"/>
          <w:color w:val="auto"/>
        </w:rPr>
        <w:t>as respects general partners the value of all right, title and interest of such general partner(s), determined as of the close of business on the date of discovery of loss covered by this bond, in the aggregate of:</w:t>
      </w:r>
    </w:p>
    <w:p>
      <w:pPr>
        <w:spacing w:after="0" w:line="2266" w:lineRule="exact"/>
        <w:rPr>
          <w:sz w:val="20"/>
          <w:szCs w:val="20"/>
          <w:color w:val="auto"/>
        </w:rPr>
      </w:pPr>
    </w:p>
    <w:p>
      <w:pPr>
        <w:sectPr>
          <w:pgSz w:w="11900" w:h="16838" w:orient="portrait"/>
          <w:cols w:equalWidth="0" w:num="2">
            <w:col w:w="5468" w:space="720"/>
            <w:col w:w="5212"/>
          </w:cols>
          <w:pgMar w:left="240" w:top="328" w:right="259" w:bottom="0" w:gutter="0" w:footer="0" w:header="0"/>
          <w:type w:val="continuous"/>
        </w:sectPr>
      </w:pPr>
    </w:p>
    <w:p>
      <w:pPr>
        <w:ind w:left="360"/>
        <w:spacing w:after="0"/>
        <w:rPr>
          <w:sz w:val="20"/>
          <w:szCs w:val="20"/>
          <w:color w:val="auto"/>
        </w:rPr>
      </w:pPr>
      <w:r>
        <w:rPr>
          <w:rFonts w:ascii="Arial" w:cs="Arial" w:eastAsia="Arial" w:hAnsi="Arial"/>
          <w:sz w:val="16"/>
          <w:szCs w:val="16"/>
          <w:color w:val="auto"/>
        </w:rPr>
        <w:t>(e) Employee means</w:t>
      </w:r>
    </w:p>
    <w:p>
      <w:pPr>
        <w:sectPr>
          <w:pgSz w:w="11900" w:h="16838" w:orient="portrait"/>
          <w:cols w:equalWidth="0" w:num="1">
            <w:col w:w="11400"/>
          </w:cols>
          <w:pgMar w:left="240" w:top="328" w:right="259" w:bottom="0" w:gutter="0" w:footer="0" w:header="0"/>
          <w:type w:val="continuous"/>
        </w:sectPr>
      </w:pPr>
    </w:p>
    <w:bookmarkStart w:id="9" w:name="page10"/>
    <w:bookmarkEnd w:id="9"/>
    <w:p>
      <w:pPr>
        <w:ind w:left="1460" w:right="840" w:hanging="358"/>
        <w:spacing w:after="0" w:line="255"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natural person in the service of the Insured at any of the Insured’s offices or premises covered hereunder whom the Insured compensates directly by salary or commissions and whom the Insured has the right to direct and control while performing services for the Insured;</w:t>
      </w:r>
    </w:p>
    <w:p>
      <w:pPr>
        <w:spacing w:after="0" w:line="98" w:lineRule="exact"/>
        <w:rPr>
          <w:rFonts w:ascii="Arial" w:cs="Arial" w:eastAsia="Arial" w:hAnsi="Arial"/>
          <w:sz w:val="18"/>
          <w:szCs w:val="18"/>
          <w:color w:val="auto"/>
        </w:rPr>
      </w:pPr>
    </w:p>
    <w:p>
      <w:pPr>
        <w:jc w:val="both"/>
        <w:ind w:left="1460" w:right="740" w:hanging="358"/>
        <w:spacing w:after="0" w:line="264"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attorney retained by the Insured and an employee of such attorney while either is performing legal services for the Insured;</w:t>
      </w:r>
    </w:p>
    <w:p>
      <w:pPr>
        <w:spacing w:after="0" w:line="86" w:lineRule="exact"/>
        <w:rPr>
          <w:rFonts w:ascii="Arial" w:cs="Arial" w:eastAsia="Arial" w:hAnsi="Arial"/>
          <w:sz w:val="18"/>
          <w:szCs w:val="18"/>
          <w:color w:val="auto"/>
        </w:rPr>
      </w:pPr>
    </w:p>
    <w:p>
      <w:pPr>
        <w:ind w:left="1460" w:right="800" w:hanging="358"/>
        <w:spacing w:after="0" w:line="255"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person provided by an employment contractor to perform employee duties for the Insured under the Insured’s supervision at any of the Insured’s offices or premises covered hereunder; and a guest student pursuing studies or duties in any of said offices or premises;</w:t>
      </w:r>
    </w:p>
    <w:p>
      <w:pPr>
        <w:spacing w:after="0" w:line="98" w:lineRule="exact"/>
        <w:rPr>
          <w:rFonts w:ascii="Arial" w:cs="Arial" w:eastAsia="Arial" w:hAnsi="Arial"/>
          <w:sz w:val="18"/>
          <w:szCs w:val="18"/>
          <w:color w:val="auto"/>
        </w:rPr>
      </w:pPr>
    </w:p>
    <w:p>
      <w:pPr>
        <w:ind w:left="1460" w:right="720" w:hanging="358"/>
        <w:spacing w:after="0" w:line="342" w:lineRule="auto"/>
        <w:tabs>
          <w:tab w:leader="none" w:pos="1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 employee of an institution merged or consolidated with the Insured prior to the effective date of this bond;</w:t>
      </w:r>
    </w:p>
    <w:p>
      <w:pPr>
        <w:spacing w:after="0" w:line="29" w:lineRule="exact"/>
        <w:rPr>
          <w:rFonts w:ascii="Arial" w:cs="Arial" w:eastAsia="Arial" w:hAnsi="Arial"/>
          <w:sz w:val="16"/>
          <w:szCs w:val="16"/>
          <w:color w:val="auto"/>
        </w:rPr>
      </w:pPr>
    </w:p>
    <w:p>
      <w:pPr>
        <w:ind w:left="1460" w:right="800" w:hanging="358"/>
        <w:spacing w:after="0" w:line="287" w:lineRule="auto"/>
        <w:tabs>
          <w:tab w:leader="none" w:pos="1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each natural person, partnership or corporation authorized by the Insured to perform services as data processor of checks or other accounting records of the Insured (not including preparation or modification of computer software or programs), herein called Processor. (Each such Processor, and the partners. officers and employees of such Processor shall, collectively, be deemed to be one Employee for all the purposes of this bond, excepting, however, the second paragraph of Section 12. A Federal Reserve Bank or clearing house shall not be construed to be a processor.) and</w:t>
      </w:r>
    </w:p>
    <w:p>
      <w:pPr>
        <w:spacing w:after="0" w:line="20" w:lineRule="exact"/>
        <w:rPr>
          <w:sz w:val="20"/>
          <w:szCs w:val="20"/>
          <w:color w:val="auto"/>
        </w:rPr>
      </w:pPr>
      <w:r>
        <w:rPr>
          <w:sz w:val="20"/>
          <w:szCs w:val="20"/>
          <w:color w:val="auto"/>
        </w:rPr>
        <w:br w:type="column"/>
      </w:r>
    </w:p>
    <w:p>
      <w:pPr>
        <w:ind w:left="380" w:right="40" w:hanging="358"/>
        <w:spacing w:after="0" w:line="267"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“net worth” of the Insured, which for the purposes of this bond, shall be deemed to be the excess of its total assets over its total liabilities, without adjustment to give effect to loss covered by this bond, (except that credit balances and equities in proprietary accounts of the Insured, which shall include capital accounts of partners, investment and trading accounts of the Insured, participations of the Insured in joint accounts. and accounts of partners which are covered by agreements providing for the inclusion of equities therein as partnership property, shall not be considered as liabilities) with securities, spot commodities, commodity future contracts in such proprietary accounts and all other assets marked to market or fair value and with adjustment for profits and losses at the market of contractual commitments for such proprietary accounts of the Insured; and</w:t>
      </w:r>
    </w:p>
    <w:p>
      <w:pPr>
        <w:spacing w:after="0" w:line="98" w:lineRule="exact"/>
        <w:rPr>
          <w:rFonts w:ascii="Arial" w:cs="Arial" w:eastAsia="Arial" w:hAnsi="Arial"/>
          <w:sz w:val="17"/>
          <w:szCs w:val="17"/>
          <w:color w:val="auto"/>
        </w:rPr>
      </w:pPr>
    </w:p>
    <w:p>
      <w:pPr>
        <w:ind w:left="380" w:right="20" w:hanging="358"/>
        <w:spacing w:after="0" w:line="276"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value of all other Money, securities and property belonging to such general partner(s), or in which such general partner(s) have a pecuniary interest, held by or in the custody of and legally available to the Insured as set-off against loss covered by this bond;</w:t>
      </w:r>
    </w:p>
    <w:p>
      <w:pPr>
        <w:spacing w:after="0" w:line="64"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provided, however, that if such “net worth” adjusted to give effect to loss covered by this bond and such value of all other Money, securities and property as set forth in (g)(1)(b) preceding, plus the amount of coverage afforded by this bond on account of such loss, is not sufficient to enable the Insured</w:t>
      </w:r>
    </w:p>
    <w:p>
      <w:pPr>
        <w:spacing w:after="0" w:line="877" w:lineRule="exact"/>
        <w:rPr>
          <w:sz w:val="20"/>
          <w:szCs w:val="20"/>
          <w:color w:val="auto"/>
        </w:rPr>
      </w:pPr>
    </w:p>
    <w:p>
      <w:pPr>
        <w:sectPr>
          <w:pgSz w:w="11900" w:h="16838" w:orient="portrait"/>
          <w:cols w:equalWidth="0" w:num="2">
            <w:col w:w="6180" w:space="720"/>
            <w:col w:w="4520"/>
          </w:cols>
          <w:pgMar w:left="240" w:top="139" w:right="239" w:bottom="1440" w:gutter="0" w:footer="0" w:header="0"/>
        </w:sectPr>
      </w:pPr>
    </w:p>
    <w:p>
      <w:pPr>
        <w:spacing w:after="0" w:line="36"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5026c</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3 of 6</w:t>
      </w:r>
    </w:p>
    <w:p>
      <w:pPr>
        <w:sectPr>
          <w:pgSz w:w="11900" w:h="16838" w:orient="portrait"/>
          <w:cols w:equalWidth="0" w:num="1">
            <w:col w:w="11420"/>
          </w:cols>
          <w:pgMar w:left="240" w:top="139" w:right="239" w:bottom="1440" w:gutter="0" w:footer="0" w:header="0"/>
          <w:type w:val="continuous"/>
        </w:sectPr>
      </w:pPr>
    </w:p>
    <w:bookmarkStart w:id="10" w:name="page11"/>
    <w:bookmarkEnd w:id="10"/>
    <w:p>
      <w:pPr>
        <w:spacing w:after="0" w:line="29" w:lineRule="exact"/>
        <w:rPr>
          <w:sz w:val="20"/>
          <w:szCs w:val="20"/>
          <w:color w:val="auto"/>
        </w:rPr>
      </w:pPr>
    </w:p>
    <w:p>
      <w:pPr>
        <w:ind w:left="1072" w:right="80"/>
        <w:spacing w:after="0" w:line="270" w:lineRule="auto"/>
        <w:rPr>
          <w:sz w:val="20"/>
          <w:szCs w:val="20"/>
          <w:color w:val="auto"/>
        </w:rPr>
      </w:pPr>
      <w:r>
        <w:rPr>
          <w:rFonts w:ascii="Arial" w:cs="Arial" w:eastAsia="Arial" w:hAnsi="Arial"/>
          <w:sz w:val="17"/>
          <w:szCs w:val="17"/>
          <w:color w:val="auto"/>
        </w:rPr>
        <w:t>to meet its obligations, including its obligations to its partners other than to such general partner(s), then the Financial Interest in the Insured, as above defined, of such general partner(s) shall be reduced in an amount necessary, or eliminated if need be, in order to enable the Insured upon payment of loss under this bond to meet such obligations, to the extent that such payment will enable the Insured to meet such obligations, without any benefit accruing to such general partner(s) from such payment; and</w:t>
      </w:r>
    </w:p>
    <w:p>
      <w:pPr>
        <w:spacing w:after="0" w:line="83" w:lineRule="exact"/>
        <w:rPr>
          <w:sz w:val="20"/>
          <w:szCs w:val="20"/>
          <w:color w:val="auto"/>
        </w:rPr>
      </w:pPr>
    </w:p>
    <w:p>
      <w:pPr>
        <w:ind w:left="732" w:right="600" w:hanging="363"/>
        <w:spacing w:after="0" w:line="277" w:lineRule="auto"/>
        <w:tabs>
          <w:tab w:leader="none" w:pos="732" w:val="left"/>
        </w:tabs>
        <w:numPr>
          <w:ilvl w:val="1"/>
          <w:numId w:val="24"/>
        </w:numPr>
        <w:rPr>
          <w:rFonts w:ascii="Arial" w:cs="Arial" w:eastAsia="Arial" w:hAnsi="Arial"/>
          <w:sz w:val="18"/>
          <w:szCs w:val="18"/>
          <w:color w:val="auto"/>
        </w:rPr>
      </w:pPr>
      <w:r>
        <w:rPr>
          <w:rFonts w:ascii="Arial" w:cs="Arial" w:eastAsia="Arial" w:hAnsi="Arial"/>
          <w:sz w:val="18"/>
          <w:szCs w:val="18"/>
          <w:color w:val="auto"/>
        </w:rPr>
        <w:t>as respects limited partners the value of such limited partner’s(’) investment in the Insured.</w:t>
      </w:r>
    </w:p>
    <w:p>
      <w:pPr>
        <w:spacing w:after="0" w:line="170" w:lineRule="exact"/>
        <w:rPr>
          <w:rFonts w:ascii="Arial" w:cs="Arial" w:eastAsia="Arial" w:hAnsi="Arial"/>
          <w:sz w:val="18"/>
          <w:szCs w:val="18"/>
          <w:color w:val="auto"/>
        </w:rPr>
      </w:pPr>
    </w:p>
    <w:p>
      <w:pPr>
        <w:ind w:left="-368" w:right="380" w:firstLine="368"/>
        <w:spacing w:after="0" w:line="279" w:lineRule="auto"/>
        <w:tabs>
          <w:tab w:leader="none" w:pos="247" w:val="left"/>
        </w:tabs>
        <w:numPr>
          <w:ilvl w:val="0"/>
          <w:numId w:val="25"/>
        </w:numPr>
        <w:rPr>
          <w:rFonts w:ascii="Arial" w:cs="Arial" w:eastAsia="Arial" w:hAnsi="Arial"/>
          <w:sz w:val="17"/>
          <w:szCs w:val="17"/>
          <w:color w:val="auto"/>
        </w:rPr>
      </w:pPr>
      <w:r>
        <w:rPr>
          <w:rFonts w:ascii="Arial" w:cs="Arial" w:eastAsia="Arial" w:hAnsi="Arial"/>
          <w:sz w:val="17"/>
          <w:szCs w:val="17"/>
          <w:color w:val="auto"/>
        </w:rPr>
        <w:t>Forgery means the signing of the name of another person or organization with intent to deceive; it does not mean a signature which consists in whole or in part of one’s own name signed with or without authority, in any capacity, for any purpose.</w:t>
      </w:r>
    </w:p>
    <w:p>
      <w:pPr>
        <w:spacing w:after="0" w:line="171" w:lineRule="exact"/>
        <w:rPr>
          <w:rFonts w:ascii="Arial" w:cs="Arial" w:eastAsia="Arial" w:hAnsi="Arial"/>
          <w:sz w:val="17"/>
          <w:szCs w:val="17"/>
          <w:color w:val="auto"/>
        </w:rPr>
      </w:pPr>
    </w:p>
    <w:p>
      <w:pPr>
        <w:jc w:val="both"/>
        <w:ind w:left="-368" w:right="60" w:firstLine="368"/>
        <w:spacing w:after="0" w:line="279" w:lineRule="auto"/>
        <w:tabs>
          <w:tab w:leader="none" w:pos="2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Guarantee means a written undertaking obligating the signer to pay the debt of another to the Insured or its assignee or to a financial institution from which the Insured has purchased participation in the debt, if the debt is not paid in accordance with its terms.</w:t>
      </w:r>
    </w:p>
    <w:p>
      <w:pPr>
        <w:spacing w:after="0" w:line="171" w:lineRule="exact"/>
        <w:rPr>
          <w:rFonts w:ascii="Arial" w:cs="Arial" w:eastAsia="Arial" w:hAnsi="Arial"/>
          <w:sz w:val="17"/>
          <w:szCs w:val="17"/>
          <w:color w:val="auto"/>
        </w:rPr>
      </w:pPr>
    </w:p>
    <w:p>
      <w:pPr>
        <w:ind w:left="-368" w:right="100" w:firstLine="368"/>
        <w:spacing w:after="0" w:line="286" w:lineRule="auto"/>
        <w:tabs>
          <w:tab w:leader="none" w:pos="207"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Instruction means a written order to the issuer of an Uncertificated Security requesting that the transfer, pledge, or release from pledge of the Uncertificated Security specified be registered.</w:t>
      </w:r>
    </w:p>
    <w:p>
      <w:pPr>
        <w:spacing w:after="0" w:line="165" w:lineRule="exact"/>
        <w:rPr>
          <w:rFonts w:ascii="Arial" w:cs="Arial" w:eastAsia="Arial" w:hAnsi="Arial"/>
          <w:sz w:val="17"/>
          <w:szCs w:val="17"/>
          <w:color w:val="auto"/>
        </w:rPr>
      </w:pPr>
    </w:p>
    <w:p>
      <w:pPr>
        <w:ind w:left="-368" w:firstLine="368"/>
        <w:spacing w:after="0" w:line="259" w:lineRule="auto"/>
        <w:tabs>
          <w:tab w:leader="none" w:pos="247" w:val="left"/>
        </w:tabs>
        <w:numPr>
          <w:ilvl w:val="0"/>
          <w:numId w:val="25"/>
        </w:numPr>
        <w:rPr>
          <w:rFonts w:ascii="Arial" w:cs="Arial" w:eastAsia="Arial" w:hAnsi="Arial"/>
          <w:sz w:val="18"/>
          <w:szCs w:val="18"/>
          <w:color w:val="auto"/>
        </w:rPr>
      </w:pPr>
      <w:r>
        <w:rPr>
          <w:rFonts w:ascii="Arial" w:cs="Arial" w:eastAsia="Arial" w:hAnsi="Arial"/>
          <w:sz w:val="18"/>
          <w:szCs w:val="18"/>
          <w:color w:val="auto"/>
        </w:rPr>
        <w:t>Letter of Credit means an engagement in writing by a bank or other person made at the request of a customer that the bank or other person will honor drafts or other demands for payment upon compliance with the conditions specified in the Letter of Credit.</w:t>
      </w:r>
    </w:p>
    <w:p>
      <w:pPr>
        <w:spacing w:after="0" w:line="187" w:lineRule="exact"/>
        <w:rPr>
          <w:sz w:val="20"/>
          <w:szCs w:val="20"/>
          <w:color w:val="auto"/>
        </w:rPr>
      </w:pPr>
    </w:p>
    <w:p>
      <w:pPr>
        <w:ind w:left="-368" w:right="160" w:firstLine="368"/>
        <w:spacing w:after="0" w:line="342" w:lineRule="auto"/>
        <w:tabs>
          <w:tab w:leader="none" w:pos="217" w:val="left"/>
        </w:tabs>
        <w:numPr>
          <w:ilvl w:val="0"/>
          <w:numId w:val="26"/>
        </w:numPr>
        <w:rPr>
          <w:rFonts w:ascii="Arial" w:cs="Arial" w:eastAsia="Arial" w:hAnsi="Arial"/>
          <w:sz w:val="16"/>
          <w:szCs w:val="16"/>
          <w:color w:val="auto"/>
        </w:rPr>
      </w:pPr>
      <w:r>
        <w:rPr>
          <w:rFonts w:ascii="Arial" w:cs="Arial" w:eastAsia="Arial" w:hAnsi="Arial"/>
          <w:sz w:val="16"/>
          <w:szCs w:val="16"/>
          <w:color w:val="auto"/>
        </w:rPr>
        <w:t>Money means a medium of exchange in current use authorized or adopted by a domestic or foreign government as a part of its currency.</w:t>
      </w:r>
    </w:p>
    <w:p>
      <w:pPr>
        <w:spacing w:after="0" w:line="124" w:lineRule="exact"/>
        <w:rPr>
          <w:sz w:val="20"/>
          <w:szCs w:val="20"/>
          <w:color w:val="auto"/>
        </w:rPr>
      </w:pPr>
    </w:p>
    <w:p>
      <w:pPr>
        <w:ind w:left="312" w:hanging="312"/>
        <w:spacing w:after="0"/>
        <w:tabs>
          <w:tab w:leader="none" w:pos="312"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Negotiable Instrument means any writing</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signed by the maker or drawer; and</w:t>
      </w:r>
    </w:p>
    <w:p>
      <w:pPr>
        <w:spacing w:after="0" w:line="130" w:lineRule="exact"/>
        <w:rPr>
          <w:rFonts w:ascii="Arial" w:cs="Arial" w:eastAsia="Arial" w:hAnsi="Arial"/>
          <w:sz w:val="18"/>
          <w:szCs w:val="18"/>
          <w:color w:val="auto"/>
        </w:rPr>
      </w:pPr>
    </w:p>
    <w:p>
      <w:pPr>
        <w:ind w:left="1092" w:right="60" w:hanging="358"/>
        <w:spacing w:after="0" w:line="312" w:lineRule="auto"/>
        <w:tabs>
          <w:tab w:leader="none" w:pos="1092" w:val="left"/>
        </w:tabs>
        <w:numPr>
          <w:ilvl w:val="1"/>
          <w:numId w:val="27"/>
        </w:numPr>
        <w:rPr>
          <w:rFonts w:ascii="Arial" w:cs="Arial" w:eastAsia="Arial" w:hAnsi="Arial"/>
          <w:sz w:val="16"/>
          <w:szCs w:val="16"/>
          <w:color w:val="auto"/>
        </w:rPr>
      </w:pPr>
      <w:r>
        <w:rPr>
          <w:rFonts w:ascii="Arial" w:cs="Arial" w:eastAsia="Arial" w:hAnsi="Arial"/>
          <w:sz w:val="16"/>
          <w:szCs w:val="16"/>
          <w:color w:val="auto"/>
        </w:rPr>
        <w:t>containing any unconditional promise or order to pay a sum certain in Money and no other promise, order, obligation or power given by the maker or drawer; and</w:t>
      </w:r>
    </w:p>
    <w:p>
      <w:pPr>
        <w:spacing w:after="0" w:line="52" w:lineRule="exact"/>
        <w:rPr>
          <w:rFonts w:ascii="Arial" w:cs="Arial" w:eastAsia="Arial" w:hAnsi="Arial"/>
          <w:sz w:val="16"/>
          <w:szCs w:val="16"/>
          <w:color w:val="auto"/>
        </w:rPr>
      </w:pPr>
    </w:p>
    <w:p>
      <w:pPr>
        <w:ind w:left="1092" w:hanging="358"/>
        <w:spacing w:after="0"/>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is payable on demand or at a definite time; and</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is payable to order or bearer.</w:t>
      </w:r>
    </w:p>
    <w:p>
      <w:pPr>
        <w:spacing w:after="0" w:line="225" w:lineRule="exact"/>
        <w:rPr>
          <w:rFonts w:ascii="Arial" w:cs="Arial" w:eastAsia="Arial" w:hAnsi="Arial"/>
          <w:sz w:val="18"/>
          <w:szCs w:val="18"/>
          <w:color w:val="auto"/>
        </w:rPr>
      </w:pPr>
    </w:p>
    <w:p>
      <w:pPr>
        <w:ind w:left="252" w:hanging="252"/>
        <w:spacing w:after="0"/>
        <w:tabs>
          <w:tab w:leader="none" w:pos="252"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Partner means a natural person who</w:t>
      </w:r>
    </w:p>
    <w:p>
      <w:pPr>
        <w:spacing w:after="0" w:line="130" w:lineRule="exact"/>
        <w:rPr>
          <w:rFonts w:ascii="Arial" w:cs="Arial" w:eastAsia="Arial" w:hAnsi="Arial"/>
          <w:sz w:val="18"/>
          <w:szCs w:val="18"/>
          <w:color w:val="auto"/>
        </w:rPr>
      </w:pPr>
    </w:p>
    <w:p>
      <w:pPr>
        <w:ind w:left="1092" w:hanging="358"/>
        <w:spacing w:after="0"/>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is a general partner of the Insured, or</w:t>
      </w:r>
    </w:p>
    <w:p>
      <w:pPr>
        <w:spacing w:after="0" w:line="130" w:lineRule="exact"/>
        <w:rPr>
          <w:rFonts w:ascii="Arial" w:cs="Arial" w:eastAsia="Arial" w:hAnsi="Arial"/>
          <w:sz w:val="18"/>
          <w:szCs w:val="18"/>
          <w:color w:val="auto"/>
        </w:rPr>
      </w:pPr>
    </w:p>
    <w:p>
      <w:pPr>
        <w:ind w:left="1092" w:right="340" w:hanging="358"/>
        <w:spacing w:after="0" w:line="308" w:lineRule="auto"/>
        <w:tabs>
          <w:tab w:leader="none" w:pos="1092" w:val="left"/>
        </w:tabs>
        <w:numPr>
          <w:ilvl w:val="1"/>
          <w:numId w:val="27"/>
        </w:numPr>
        <w:rPr>
          <w:rFonts w:ascii="Arial" w:cs="Arial" w:eastAsia="Arial" w:hAnsi="Arial"/>
          <w:sz w:val="17"/>
          <w:szCs w:val="17"/>
          <w:color w:val="auto"/>
        </w:rPr>
      </w:pPr>
      <w:r>
        <w:rPr>
          <w:rFonts w:ascii="Arial" w:cs="Arial" w:eastAsia="Arial" w:hAnsi="Arial"/>
          <w:sz w:val="17"/>
          <w:szCs w:val="17"/>
          <w:color w:val="auto"/>
        </w:rPr>
        <w:t>is a limited partner and an Employee (as defined in Section 1 (e) (1) of the bond) of the Insured.</w:t>
      </w:r>
    </w:p>
    <w:p>
      <w:pPr>
        <w:spacing w:after="0" w:line="146" w:lineRule="exact"/>
        <w:rPr>
          <w:rFonts w:ascii="Arial" w:cs="Arial" w:eastAsia="Arial" w:hAnsi="Arial"/>
          <w:sz w:val="17"/>
          <w:szCs w:val="17"/>
          <w:color w:val="auto"/>
        </w:rPr>
      </w:pPr>
    </w:p>
    <w:p>
      <w:pPr>
        <w:ind w:left="-368" w:right="20" w:firstLine="368"/>
        <w:spacing w:after="0" w:line="270" w:lineRule="auto"/>
        <w:tabs>
          <w:tab w:leader="none" w:pos="247" w:val="left"/>
        </w:tabs>
        <w:numPr>
          <w:ilvl w:val="0"/>
          <w:numId w:val="27"/>
        </w:numPr>
        <w:rPr>
          <w:rFonts w:ascii="Arial" w:cs="Arial" w:eastAsia="Arial" w:hAnsi="Arial"/>
          <w:sz w:val="17"/>
          <w:szCs w:val="17"/>
          <w:color w:val="auto"/>
        </w:rPr>
      </w:pPr>
      <w:r>
        <w:rPr>
          <w:rFonts w:ascii="Arial" w:cs="Arial" w:eastAsia="Arial" w:hAnsi="Arial"/>
          <w:sz w:val="17"/>
          <w:szCs w:val="17"/>
          <w:color w:val="auto"/>
        </w:rPr>
        <w:t>Property means Money, Certificated Securities, Uncertificated Securities of any Federal Reserve Bank of the United States, Negotiable Instruments, Certificates of Deposit, documents of title, Acceptances, Evidences of Debt, security agreements, Withdrawal Orders, certificates of origin or title, Letters of Credit, insurance policies, abstracts of title, deeds and mortgages on real estate, revenue and other stamps, tokens, unsold state lottery tickets, books of account and other records whether recorded in writing or electronically, gems, jewelry, precious metals of all kinds and in any form, and tangible items of personal property which are not hereinbefore enumerated.</w:t>
      </w:r>
    </w:p>
    <w:p>
      <w:pPr>
        <w:spacing w:after="0" w:line="177" w:lineRule="exact"/>
        <w:rPr>
          <w:rFonts w:ascii="Arial" w:cs="Arial" w:eastAsia="Arial" w:hAnsi="Arial"/>
          <w:sz w:val="17"/>
          <w:szCs w:val="17"/>
          <w:color w:val="auto"/>
        </w:rPr>
      </w:pPr>
    </w:p>
    <w:p>
      <w:pPr>
        <w:ind w:left="-368" w:right="100" w:firstLine="368"/>
        <w:spacing w:after="0" w:line="277" w:lineRule="auto"/>
        <w:tabs>
          <w:tab w:leader="none" w:pos="247" w:val="left"/>
        </w:tabs>
        <w:numPr>
          <w:ilvl w:val="0"/>
          <w:numId w:val="27"/>
        </w:numPr>
        <w:rPr>
          <w:rFonts w:ascii="Arial" w:cs="Arial" w:eastAsia="Arial" w:hAnsi="Arial"/>
          <w:sz w:val="18"/>
          <w:szCs w:val="18"/>
          <w:color w:val="auto"/>
        </w:rPr>
      </w:pPr>
      <w:r>
        <w:rPr>
          <w:rFonts w:ascii="Arial" w:cs="Arial" w:eastAsia="Arial" w:hAnsi="Arial"/>
          <w:sz w:val="18"/>
          <w:szCs w:val="18"/>
          <w:color w:val="auto"/>
        </w:rPr>
        <w:t>Statement of Uncertificated Security means a written statement of the issuer of an Uncertificated Security containing:</w:t>
      </w:r>
    </w:p>
    <w:p>
      <w:pPr>
        <w:spacing w:after="0" w:line="75" w:lineRule="exact"/>
        <w:rPr>
          <w:rFonts w:ascii="Arial" w:cs="Arial" w:eastAsia="Arial" w:hAnsi="Arial"/>
          <w:sz w:val="18"/>
          <w:szCs w:val="18"/>
          <w:color w:val="auto"/>
        </w:rPr>
      </w:pPr>
    </w:p>
    <w:p>
      <w:pPr>
        <w:ind w:left="1092" w:right="200" w:hanging="358"/>
        <w:spacing w:after="0" w:line="277" w:lineRule="auto"/>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a description of the Issue of which the Uncertificated Security is a part;</w:t>
      </w:r>
    </w:p>
    <w:p>
      <w:pPr>
        <w:spacing w:after="0" w:line="75" w:lineRule="exact"/>
        <w:rPr>
          <w:rFonts w:ascii="Arial" w:cs="Arial" w:eastAsia="Arial" w:hAnsi="Arial"/>
          <w:sz w:val="18"/>
          <w:szCs w:val="18"/>
          <w:color w:val="auto"/>
        </w:rPr>
      </w:pPr>
    </w:p>
    <w:p>
      <w:pPr>
        <w:ind w:left="1092" w:hanging="358"/>
        <w:spacing w:after="0"/>
        <w:tabs>
          <w:tab w:leader="none" w:pos="1092" w:val="left"/>
        </w:tabs>
        <w:numPr>
          <w:ilvl w:val="1"/>
          <w:numId w:val="27"/>
        </w:numPr>
        <w:rPr>
          <w:rFonts w:ascii="Arial" w:cs="Arial" w:eastAsia="Arial" w:hAnsi="Arial"/>
          <w:sz w:val="18"/>
          <w:szCs w:val="18"/>
          <w:color w:val="auto"/>
        </w:rPr>
      </w:pPr>
      <w:r>
        <w:rPr>
          <w:rFonts w:ascii="Arial" w:cs="Arial" w:eastAsia="Arial" w:hAnsi="Arial"/>
          <w:sz w:val="18"/>
          <w:szCs w:val="18"/>
          <w:color w:val="auto"/>
        </w:rPr>
        <w:t>the number of shares or units:</w:t>
      </w:r>
    </w:p>
    <w:p>
      <w:pPr>
        <w:spacing w:after="0" w:line="130" w:lineRule="exact"/>
        <w:rPr>
          <w:rFonts w:ascii="Arial" w:cs="Arial" w:eastAsia="Arial" w:hAnsi="Arial"/>
          <w:sz w:val="18"/>
          <w:szCs w:val="18"/>
          <w:color w:val="auto"/>
        </w:rPr>
      </w:pPr>
    </w:p>
    <w:p>
      <w:pPr>
        <w:ind w:left="1472" w:hanging="373"/>
        <w:spacing w:after="0"/>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transferred to the registered owner;</w:t>
      </w:r>
    </w:p>
    <w:p>
      <w:pPr>
        <w:spacing w:after="0" w:line="130" w:lineRule="exact"/>
        <w:rPr>
          <w:rFonts w:ascii="Arial" w:cs="Arial" w:eastAsia="Arial" w:hAnsi="Arial"/>
          <w:sz w:val="18"/>
          <w:szCs w:val="18"/>
          <w:color w:val="auto"/>
        </w:rPr>
      </w:pPr>
    </w:p>
    <w:p>
      <w:pPr>
        <w:ind w:left="1472" w:right="120" w:hanging="373"/>
        <w:spacing w:after="0" w:line="277" w:lineRule="auto"/>
        <w:tabs>
          <w:tab w:leader="none" w:pos="1472" w:val="left"/>
        </w:tabs>
        <w:numPr>
          <w:ilvl w:val="2"/>
          <w:numId w:val="27"/>
        </w:numPr>
        <w:rPr>
          <w:rFonts w:ascii="Arial" w:cs="Arial" w:eastAsia="Arial" w:hAnsi="Arial"/>
          <w:sz w:val="18"/>
          <w:szCs w:val="18"/>
          <w:color w:val="auto"/>
        </w:rPr>
      </w:pPr>
      <w:r>
        <w:rPr>
          <w:rFonts w:ascii="Arial" w:cs="Arial" w:eastAsia="Arial" w:hAnsi="Arial"/>
          <w:sz w:val="18"/>
          <w:szCs w:val="18"/>
          <w:color w:val="auto"/>
        </w:rPr>
        <w:t>pledged by the registered owner to the registered pledgee;</w:t>
      </w:r>
    </w:p>
    <w:p>
      <w:pPr>
        <w:spacing w:after="0" w:line="75" w:lineRule="exact"/>
        <w:rPr>
          <w:rFonts w:ascii="Arial" w:cs="Arial" w:eastAsia="Arial" w:hAnsi="Arial"/>
          <w:sz w:val="18"/>
          <w:szCs w:val="18"/>
          <w:color w:val="auto"/>
        </w:rPr>
      </w:pPr>
    </w:p>
    <w:p>
      <w:pPr>
        <w:ind w:left="1472" w:hanging="373"/>
        <w:spacing w:after="0"/>
        <w:tabs>
          <w:tab w:leader="none" w:pos="1472" w:val="left"/>
        </w:tabs>
        <w:numPr>
          <w:ilvl w:val="2"/>
          <w:numId w:val="27"/>
        </w:numPr>
        <w:rPr>
          <w:rFonts w:ascii="Arial" w:cs="Arial" w:eastAsia="Arial" w:hAnsi="Arial"/>
          <w:sz w:val="17"/>
          <w:szCs w:val="17"/>
          <w:color w:val="auto"/>
        </w:rPr>
      </w:pPr>
      <w:r>
        <w:rPr>
          <w:rFonts w:ascii="Arial" w:cs="Arial" w:eastAsia="Arial" w:hAnsi="Arial"/>
          <w:sz w:val="17"/>
          <w:szCs w:val="17"/>
          <w:color w:val="auto"/>
        </w:rPr>
        <w:t>released from pledge by the registered pledgee;</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460" w:right="20" w:hanging="358"/>
        <w:spacing w:after="0" w:line="264" w:lineRule="auto"/>
        <w:tabs>
          <w:tab w:leader="none" w:pos="14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either one of a class or series or by its terms divisible into a class or series of shares, participations, interests or obligations.</w:t>
      </w:r>
    </w:p>
    <w:p>
      <w:pPr>
        <w:spacing w:after="0" w:line="181" w:lineRule="exact"/>
        <w:rPr>
          <w:rFonts w:ascii="Arial" w:cs="Arial" w:eastAsia="Arial" w:hAnsi="Arial"/>
          <w:sz w:val="18"/>
          <w:szCs w:val="18"/>
          <w:color w:val="auto"/>
        </w:rPr>
      </w:pPr>
    </w:p>
    <w:p>
      <w:pPr>
        <w:ind w:right="80" w:firstLine="368"/>
        <w:spacing w:after="0" w:line="312" w:lineRule="auto"/>
        <w:tabs>
          <w:tab w:leader="none" w:pos="594" w:val="left"/>
        </w:tabs>
        <w:numPr>
          <w:ilvl w:val="0"/>
          <w:numId w:val="29"/>
        </w:numPr>
        <w:rPr>
          <w:rFonts w:ascii="Arial" w:cs="Arial" w:eastAsia="Arial" w:hAnsi="Arial"/>
          <w:sz w:val="16"/>
          <w:szCs w:val="16"/>
          <w:color w:val="auto"/>
        </w:rPr>
      </w:pPr>
      <w:r>
        <w:rPr>
          <w:rFonts w:ascii="Arial" w:cs="Arial" w:eastAsia="Arial" w:hAnsi="Arial"/>
          <w:sz w:val="16"/>
          <w:szCs w:val="16"/>
          <w:color w:val="auto"/>
        </w:rPr>
        <w:t>Withdrawal Order means a non-negotiable instrument, other than an Instruction, signed by a customer of the Insured authorizing the Insured to debit the customer’s account in the amount of funds stated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-1123315</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343"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EXCLUSIONS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2. This bond does not cover:</w:t>
      </w:r>
    </w:p>
    <w:p>
      <w:pPr>
        <w:spacing w:after="0" w:line="117" w:lineRule="exact"/>
        <w:rPr>
          <w:sz w:val="20"/>
          <w:szCs w:val="20"/>
          <w:color w:val="auto"/>
        </w:rPr>
      </w:pPr>
    </w:p>
    <w:p>
      <w:pPr>
        <w:ind w:right="40" w:firstLine="368"/>
        <w:spacing w:after="0" w:line="277" w:lineRule="auto"/>
        <w:tabs>
          <w:tab w:leader="none" w:pos="604"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resulting directly or indirectly from forgery or alteration, except when covered under Insuring Agreements (A), (D) or (E);</w:t>
      </w:r>
    </w:p>
    <w:p>
      <w:pPr>
        <w:spacing w:after="0" w:line="170" w:lineRule="exact"/>
        <w:rPr>
          <w:rFonts w:ascii="Arial" w:cs="Arial" w:eastAsia="Arial" w:hAnsi="Arial"/>
          <w:sz w:val="18"/>
          <w:szCs w:val="18"/>
          <w:color w:val="auto"/>
        </w:rPr>
      </w:pPr>
    </w:p>
    <w:p>
      <w:pPr>
        <w:ind w:right="60" w:firstLine="368"/>
        <w:spacing w:after="0" w:line="255" w:lineRule="auto"/>
        <w:tabs>
          <w:tab w:leader="none" w:pos="614"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due to riot or civil commotion outside the United States of America and Canada; or loss due to military, naval or usurped power, war or insurrection unless such loss occurs in transit in the circumstances recited in Insuring Agreement (C), and unless, when such transit was initiated, there was no knowledge of such riot, civil commotion, military, naval or usurped power, war or insurrection on the part of any person acting for the Insured in initiating such transit;</w:t>
      </w:r>
    </w:p>
    <w:p>
      <w:pPr>
        <w:spacing w:after="0" w:line="189" w:lineRule="exact"/>
        <w:rPr>
          <w:rFonts w:ascii="Arial" w:cs="Arial" w:eastAsia="Arial" w:hAnsi="Arial"/>
          <w:sz w:val="18"/>
          <w:szCs w:val="18"/>
          <w:color w:val="auto"/>
        </w:rPr>
      </w:pPr>
    </w:p>
    <w:p>
      <w:pPr>
        <w:ind w:right="20" w:firstLine="368"/>
        <w:spacing w:after="0" w:line="286" w:lineRule="auto"/>
        <w:tabs>
          <w:tab w:leader="none" w:pos="604"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resulting directly or indirectly from the effects of nuclear fission or fusion or radioactivity; provided, however, that this paragraph shall not apply to loss resulting from industrial uses of nuclear energy;</w:t>
      </w:r>
    </w:p>
    <w:p>
      <w:pPr>
        <w:spacing w:after="0" w:line="165" w:lineRule="exact"/>
        <w:rPr>
          <w:rFonts w:ascii="Arial" w:cs="Arial" w:eastAsia="Arial" w:hAnsi="Arial"/>
          <w:sz w:val="17"/>
          <w:szCs w:val="17"/>
          <w:color w:val="auto"/>
        </w:rPr>
      </w:pPr>
    </w:p>
    <w:p>
      <w:pPr>
        <w:ind w:right="20" w:firstLine="368"/>
        <w:spacing w:after="0" w:line="273" w:lineRule="auto"/>
        <w:tabs>
          <w:tab w:leader="none" w:pos="614" w:val="left"/>
        </w:tabs>
        <w:numPr>
          <w:ilvl w:val="0"/>
          <w:numId w:val="30"/>
        </w:numPr>
        <w:rPr>
          <w:rFonts w:ascii="Arial" w:cs="Arial" w:eastAsia="Arial" w:hAnsi="Arial"/>
          <w:sz w:val="17"/>
          <w:szCs w:val="17"/>
          <w:color w:val="auto"/>
        </w:rPr>
      </w:pPr>
      <w:r>
        <w:rPr>
          <w:rFonts w:ascii="Arial" w:cs="Arial" w:eastAsia="Arial" w:hAnsi="Arial"/>
          <w:sz w:val="17"/>
          <w:szCs w:val="17"/>
          <w:color w:val="auto"/>
        </w:rPr>
        <w:t>loss resulting from any act or acts of any person who is a member of the Board of Directors of the Insured or a member of any equivalent body by whatsoever name known unless such person is also an Employee or an elected official of the Insured in some other capacity, nor, in any event, loss resulting from the act or acts of any person while acting in the capacity of a member of such Board or equivalent body;</w:t>
      </w:r>
    </w:p>
    <w:p>
      <w:pPr>
        <w:spacing w:after="0" w:line="178" w:lineRule="exact"/>
        <w:rPr>
          <w:rFonts w:ascii="Arial" w:cs="Arial" w:eastAsia="Arial" w:hAnsi="Arial"/>
          <w:sz w:val="17"/>
          <w:szCs w:val="17"/>
          <w:color w:val="auto"/>
        </w:rPr>
      </w:pPr>
    </w:p>
    <w:p>
      <w:pPr>
        <w:ind w:left="620" w:hanging="252"/>
        <w:spacing w:after="0"/>
        <w:tabs>
          <w:tab w:leader="none" w:pos="6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loss resulting directly or indirectly from the complete or partial</w:t>
      </w:r>
    </w:p>
    <w:p>
      <w:pPr>
        <w:spacing w:after="0" w:line="2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non-payment of, or default upon, any loan or transaction involving the Insured as a lender or borrower, or extension of credit, including the purchase, discounting or other acquisition of false or genuine accounts, invoices, notes, agreements or Evidences of Debt, whether such loan, transaction or extension was procured in good faith or through trick, artifice, fraud or false pretenses: except when covered under Insuring Agreements (A), (D) or (E);</w:t>
      </w:r>
    </w:p>
    <w:p>
      <w:pPr>
        <w:spacing w:after="0" w:line="193" w:lineRule="exact"/>
        <w:rPr>
          <w:sz w:val="20"/>
          <w:szCs w:val="20"/>
          <w:color w:val="auto"/>
        </w:rPr>
      </w:pPr>
    </w:p>
    <w:p>
      <w:pPr>
        <w:ind w:left="600" w:hanging="232"/>
        <w:spacing w:after="0"/>
        <w:tabs>
          <w:tab w:leader="none" w:pos="6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 resulting from any violation by the Insured or by any Employee</w:t>
      </w:r>
    </w:p>
    <w:p>
      <w:pPr>
        <w:spacing w:after="0" w:line="275" w:lineRule="exact"/>
        <w:rPr>
          <w:rFonts w:ascii="Arial" w:cs="Arial" w:eastAsia="Arial" w:hAnsi="Arial"/>
          <w:sz w:val="16"/>
          <w:szCs w:val="16"/>
          <w:color w:val="auto"/>
        </w:rPr>
      </w:pPr>
    </w:p>
    <w:p>
      <w:pPr>
        <w:ind w:left="1100" w:right="40" w:hanging="363"/>
        <w:spacing w:after="0" w:line="259"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of law regulating (i) the issuance, purchase or sale of securities. (ii) securities transactions upon security exchanges or over the counter market, (iii) investment companies, or (iv) investment advisers, or</w:t>
      </w:r>
    </w:p>
    <w:p>
      <w:pPr>
        <w:spacing w:after="0" w:line="92" w:lineRule="exact"/>
        <w:rPr>
          <w:rFonts w:ascii="Arial" w:cs="Arial" w:eastAsia="Arial" w:hAnsi="Arial"/>
          <w:sz w:val="18"/>
          <w:szCs w:val="18"/>
          <w:color w:val="auto"/>
        </w:rPr>
      </w:pPr>
    </w:p>
    <w:p>
      <w:pPr>
        <w:ind w:left="1100" w:right="200" w:hanging="363"/>
        <w:spacing w:after="0" w:line="255" w:lineRule="auto"/>
        <w:tabs>
          <w:tab w:leader="none" w:pos="110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of any rule or regulation made pursuant to any such law, unless it is established by the Insured that the act or acts which caused the said loss involved fraudulent or dishonest conduct which would have caused a loss to the Insured in a similar amount in the absence of such laws, rules or regulations;</w:t>
      </w:r>
    </w:p>
    <w:p>
      <w:pPr>
        <w:spacing w:after="0" w:line="193" w:lineRule="exact"/>
        <w:rPr>
          <w:rFonts w:ascii="Arial" w:cs="Arial" w:eastAsia="Arial" w:hAnsi="Arial"/>
          <w:sz w:val="18"/>
          <w:szCs w:val="18"/>
          <w:color w:val="auto"/>
        </w:rPr>
      </w:pPr>
    </w:p>
    <w:p>
      <w:pPr>
        <w:ind w:right="120" w:firstLine="368"/>
        <w:spacing w:after="0" w:line="302" w:lineRule="auto"/>
        <w:tabs>
          <w:tab w:leader="none" w:pos="614"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 resulting directly or indirectly from the failure of a financial or depository institution, or its receiver or liquidator, to pay or deliver, on demand of the Insured, funds or Property of the Insured held by it in any capacity, except when covered under Insuring Agreements (A) or (B)(1)(a);</w:t>
      </w:r>
    </w:p>
    <w:p>
      <w:pPr>
        <w:spacing w:after="0" w:line="154" w:lineRule="exact"/>
        <w:rPr>
          <w:rFonts w:ascii="Arial" w:cs="Arial" w:eastAsia="Arial" w:hAnsi="Arial"/>
          <w:sz w:val="16"/>
          <w:szCs w:val="16"/>
          <w:color w:val="auto"/>
        </w:rPr>
      </w:pPr>
    </w:p>
    <w:p>
      <w:pPr>
        <w:jc w:val="both"/>
        <w:ind w:right="220" w:firstLine="368"/>
        <w:spacing w:after="0" w:line="279" w:lineRule="auto"/>
        <w:tabs>
          <w:tab w:leader="none" w:pos="614" w:val="left"/>
        </w:tabs>
        <w:numPr>
          <w:ilvl w:val="0"/>
          <w:numId w:val="31"/>
        </w:numPr>
        <w:rPr>
          <w:rFonts w:ascii="Arial" w:cs="Arial" w:eastAsia="Arial" w:hAnsi="Arial"/>
          <w:sz w:val="17"/>
          <w:szCs w:val="17"/>
          <w:color w:val="auto"/>
        </w:rPr>
      </w:pPr>
      <w:r>
        <w:rPr>
          <w:rFonts w:ascii="Arial" w:cs="Arial" w:eastAsia="Arial" w:hAnsi="Arial"/>
          <w:sz w:val="17"/>
          <w:szCs w:val="17"/>
          <w:color w:val="auto"/>
        </w:rPr>
        <w:t>loss caused by an Employee, except when covered under Insuring Agreement (A) or when covered under Insuring Agreement (B) or (C) and resulting directly from misplacement, mysterious unexplainable disappearance or destruction of or damage to Property:</w:t>
      </w:r>
    </w:p>
    <w:p>
      <w:pPr>
        <w:spacing w:after="0" w:line="171" w:lineRule="exact"/>
        <w:rPr>
          <w:rFonts w:ascii="Arial" w:cs="Arial" w:eastAsia="Arial" w:hAnsi="Arial"/>
          <w:sz w:val="17"/>
          <w:szCs w:val="17"/>
          <w:color w:val="auto"/>
        </w:rPr>
      </w:pPr>
    </w:p>
    <w:p>
      <w:pPr>
        <w:ind w:firstLine="368"/>
        <w:spacing w:after="0" w:line="297" w:lineRule="auto"/>
        <w:tabs>
          <w:tab w:leader="none" w:pos="574" w:val="left"/>
        </w:tabs>
        <w:numPr>
          <w:ilvl w:val="0"/>
          <w:numId w:val="31"/>
        </w:numPr>
        <w:rPr>
          <w:rFonts w:ascii="Arial" w:cs="Arial" w:eastAsia="Arial" w:hAnsi="Arial"/>
          <w:sz w:val="16"/>
          <w:szCs w:val="16"/>
          <w:color w:val="auto"/>
        </w:rPr>
      </w:pPr>
      <w:r>
        <w:rPr>
          <w:rFonts w:ascii="Arial" w:cs="Arial" w:eastAsia="Arial" w:hAnsi="Arial"/>
          <w:sz w:val="16"/>
          <w:szCs w:val="16"/>
          <w:color w:val="auto"/>
        </w:rPr>
        <w:t>loss resulting directly or indirectly from transactions in a customer’s account, whether authorized or unauthorized, except the unlawful withdrawal and conversion of Money, securities or precious metals, directly from a customer’s account by an Employee provided such unlawful withdrawal and conversion is covered under Insuring Agreement (A):</w:t>
      </w:r>
    </w:p>
    <w:p>
      <w:pPr>
        <w:spacing w:after="0" w:line="158" w:lineRule="exact"/>
        <w:rPr>
          <w:rFonts w:ascii="Arial" w:cs="Arial" w:eastAsia="Arial" w:hAnsi="Arial"/>
          <w:sz w:val="16"/>
          <w:szCs w:val="16"/>
          <w:color w:val="auto"/>
        </w:rPr>
      </w:pPr>
    </w:p>
    <w:p>
      <w:pPr>
        <w:ind w:right="80" w:firstLine="368"/>
        <w:spacing w:after="0" w:line="342" w:lineRule="auto"/>
        <w:tabs>
          <w:tab w:leader="none" w:pos="574" w:val="left"/>
        </w:tabs>
        <w:numPr>
          <w:ilvl w:val="0"/>
          <w:numId w:val="31"/>
        </w:numPr>
        <w:rPr>
          <w:rFonts w:ascii="Arial" w:cs="Arial" w:eastAsia="Arial" w:hAnsi="Arial"/>
          <w:sz w:val="16"/>
          <w:szCs w:val="16"/>
          <w:color w:val="auto"/>
        </w:rPr>
      </w:pPr>
      <w:r>
        <w:rPr>
          <w:rFonts w:ascii="Arial" w:cs="Arial" w:eastAsia="Arial" w:hAnsi="Arial"/>
          <w:sz w:val="16"/>
          <w:szCs w:val="16"/>
          <w:color w:val="auto"/>
        </w:rPr>
        <w:t>damages resulting from any civil, criminal or other legal proceeding in which the Insured is alleged to have engaged in racketeering activity</w:t>
      </w:r>
    </w:p>
    <w:p>
      <w:pPr>
        <w:sectPr>
          <w:pgSz w:w="11900" w:h="16867" w:orient="portrait"/>
          <w:cols w:equalWidth="0" w:num="2">
            <w:col w:w="5112" w:space="340"/>
            <w:col w:w="5580"/>
          </w:cols>
          <w:pgMar w:left="608" w:top="328" w:right="259" w:bottom="0" w:gutter="0" w:footer="0" w:header="0"/>
        </w:sectPr>
      </w:pPr>
    </w:p>
    <w:bookmarkStart w:id="11" w:name="page12"/>
    <w:bookmarkEnd w:id="11"/>
    <w:p>
      <w:pPr>
        <w:ind w:left="1840" w:right="60" w:hanging="373"/>
        <w:spacing w:after="0" w:line="277" w:lineRule="auto"/>
        <w:tabs>
          <w:tab w:leader="none" w:pos="1840" w:val="left"/>
        </w:tabs>
        <w:numPr>
          <w:ilvl w:val="2"/>
          <w:numId w:val="32"/>
        </w:numPr>
        <w:rPr>
          <w:rFonts w:ascii="Arial" w:cs="Arial" w:eastAsia="Arial" w:hAnsi="Arial"/>
          <w:sz w:val="18"/>
          <w:szCs w:val="18"/>
          <w:color w:val="auto"/>
        </w:rPr>
      </w:pPr>
      <w:r>
        <w:rPr>
          <w:rFonts w:ascii="Arial" w:cs="Arial" w:eastAsia="Arial" w:hAnsi="Arial"/>
          <w:sz w:val="18"/>
          <w:szCs w:val="18"/>
          <w:color w:val="auto"/>
        </w:rPr>
        <w:t>registered in the name of the registered owner on the date of the statement; or</w:t>
      </w:r>
    </w:p>
    <w:p>
      <w:pPr>
        <w:spacing w:after="0" w:line="75" w:lineRule="exact"/>
        <w:rPr>
          <w:rFonts w:ascii="Arial" w:cs="Arial" w:eastAsia="Arial" w:hAnsi="Arial"/>
          <w:sz w:val="18"/>
          <w:szCs w:val="18"/>
          <w:color w:val="auto"/>
        </w:rPr>
      </w:pPr>
    </w:p>
    <w:p>
      <w:pPr>
        <w:ind w:left="1840" w:hanging="373"/>
        <w:spacing w:after="0"/>
        <w:tabs>
          <w:tab w:leader="none" w:pos="1840" w:val="left"/>
        </w:tabs>
        <w:numPr>
          <w:ilvl w:val="2"/>
          <w:numId w:val="32"/>
        </w:numPr>
        <w:rPr>
          <w:rFonts w:ascii="Arial" w:cs="Arial" w:eastAsia="Arial" w:hAnsi="Arial"/>
          <w:sz w:val="17"/>
          <w:szCs w:val="17"/>
          <w:color w:val="auto"/>
        </w:rPr>
      </w:pPr>
      <w:r>
        <w:rPr>
          <w:rFonts w:ascii="Arial" w:cs="Arial" w:eastAsia="Arial" w:hAnsi="Arial"/>
          <w:sz w:val="17"/>
          <w:szCs w:val="17"/>
          <w:color w:val="auto"/>
        </w:rPr>
        <w:t>subject to pledge on the date of the statement;</w:t>
      </w:r>
    </w:p>
    <w:p>
      <w:pPr>
        <w:spacing w:after="0" w:line="142" w:lineRule="exact"/>
        <w:rPr>
          <w:rFonts w:ascii="Arial" w:cs="Arial" w:eastAsia="Arial" w:hAnsi="Arial"/>
          <w:sz w:val="17"/>
          <w:szCs w:val="17"/>
          <w:color w:val="auto"/>
        </w:rPr>
      </w:pPr>
    </w:p>
    <w:p>
      <w:pPr>
        <w:ind w:left="1460" w:right="420" w:hanging="358"/>
        <w:spacing w:after="0" w:line="277"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name and address of the registered owner and registered pledge;</w:t>
      </w:r>
    </w:p>
    <w:p>
      <w:pPr>
        <w:spacing w:after="0" w:line="75" w:lineRule="exact"/>
        <w:rPr>
          <w:rFonts w:ascii="Arial" w:cs="Arial" w:eastAsia="Arial" w:hAnsi="Arial"/>
          <w:sz w:val="18"/>
          <w:szCs w:val="18"/>
          <w:color w:val="auto"/>
        </w:rPr>
      </w:pPr>
    </w:p>
    <w:p>
      <w:pPr>
        <w:ind w:left="1460" w:hanging="358"/>
        <w:spacing w:after="0" w:line="257" w:lineRule="auto"/>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a notation of any liens and restrictions of the issuer and any adverse claims to which the Uncertificated Security is or may be subject or a statement that there are none of those liens, restrictions or adverse claims; and</w:t>
      </w:r>
    </w:p>
    <w:p>
      <w:pPr>
        <w:spacing w:after="0" w:line="93" w:lineRule="exact"/>
        <w:rPr>
          <w:rFonts w:ascii="Arial" w:cs="Arial" w:eastAsia="Arial" w:hAnsi="Arial"/>
          <w:sz w:val="18"/>
          <w:szCs w:val="18"/>
          <w:color w:val="auto"/>
        </w:rPr>
      </w:pPr>
    </w:p>
    <w:p>
      <w:pPr>
        <w:ind w:left="1460" w:hanging="358"/>
        <w:spacing w:after="0"/>
        <w:tabs>
          <w:tab w:leader="none" w:pos="146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the date:</w:t>
      </w:r>
    </w:p>
    <w:p>
      <w:pPr>
        <w:spacing w:after="0" w:line="130" w:lineRule="exact"/>
        <w:rPr>
          <w:rFonts w:ascii="Arial" w:cs="Arial" w:eastAsia="Arial" w:hAnsi="Arial"/>
          <w:sz w:val="18"/>
          <w:szCs w:val="18"/>
          <w:color w:val="auto"/>
        </w:rPr>
      </w:pPr>
    </w:p>
    <w:p>
      <w:pPr>
        <w:ind w:left="1840" w:right="440" w:hanging="373"/>
        <w:spacing w:after="0" w:line="264" w:lineRule="auto"/>
        <w:tabs>
          <w:tab w:leader="none" w:pos="18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transfer of the shares or units to the new registered owner of the shares or units was registered;</w:t>
      </w:r>
    </w:p>
    <w:p>
      <w:pPr>
        <w:spacing w:after="0" w:line="86" w:lineRule="exact"/>
        <w:rPr>
          <w:rFonts w:ascii="Arial" w:cs="Arial" w:eastAsia="Arial" w:hAnsi="Arial"/>
          <w:sz w:val="18"/>
          <w:szCs w:val="18"/>
          <w:color w:val="auto"/>
        </w:rPr>
      </w:pPr>
    </w:p>
    <w:p>
      <w:pPr>
        <w:ind w:left="1840" w:right="700" w:hanging="373"/>
        <w:spacing w:after="0" w:line="277" w:lineRule="auto"/>
        <w:tabs>
          <w:tab w:leader="none" w:pos="18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the pledge of the registered pledgee was registered, or</w:t>
      </w:r>
    </w:p>
    <w:p>
      <w:pPr>
        <w:spacing w:after="0" w:line="75" w:lineRule="exact"/>
        <w:rPr>
          <w:rFonts w:ascii="Arial" w:cs="Arial" w:eastAsia="Arial" w:hAnsi="Arial"/>
          <w:sz w:val="18"/>
          <w:szCs w:val="18"/>
          <w:color w:val="auto"/>
        </w:rPr>
      </w:pPr>
    </w:p>
    <w:p>
      <w:pPr>
        <w:ind w:left="1840" w:right="460" w:hanging="373"/>
        <w:spacing w:after="0" w:line="277" w:lineRule="auto"/>
        <w:tabs>
          <w:tab w:leader="none" w:pos="1840" w:val="left"/>
        </w:tabs>
        <w:numPr>
          <w:ilvl w:val="2"/>
          <w:numId w:val="33"/>
        </w:numPr>
        <w:rPr>
          <w:rFonts w:ascii="Arial" w:cs="Arial" w:eastAsia="Arial" w:hAnsi="Arial"/>
          <w:sz w:val="18"/>
          <w:szCs w:val="18"/>
          <w:color w:val="auto"/>
        </w:rPr>
      </w:pPr>
      <w:r>
        <w:rPr>
          <w:rFonts w:ascii="Arial" w:cs="Arial" w:eastAsia="Arial" w:hAnsi="Arial"/>
          <w:sz w:val="18"/>
          <w:szCs w:val="18"/>
          <w:color w:val="auto"/>
        </w:rPr>
        <w:t>of the statement, if it is a periodic or annual statement.</w:t>
      </w:r>
    </w:p>
    <w:p>
      <w:pPr>
        <w:spacing w:after="0" w:line="170" w:lineRule="exact"/>
        <w:rPr>
          <w:rFonts w:ascii="Arial" w:cs="Arial" w:eastAsia="Arial" w:hAnsi="Arial"/>
          <w:sz w:val="18"/>
          <w:szCs w:val="18"/>
          <w:color w:val="auto"/>
        </w:rPr>
      </w:pPr>
    </w:p>
    <w:p>
      <w:pPr>
        <w:ind w:right="120" w:firstLine="368"/>
        <w:spacing w:after="0" w:line="264" w:lineRule="auto"/>
        <w:tabs>
          <w:tab w:leader="none" w:pos="615" w:val="left"/>
        </w:tabs>
        <w:numPr>
          <w:ilvl w:val="0"/>
          <w:numId w:val="34"/>
        </w:numPr>
        <w:rPr>
          <w:rFonts w:ascii="Arial" w:cs="Arial" w:eastAsia="Arial" w:hAnsi="Arial"/>
          <w:sz w:val="18"/>
          <w:szCs w:val="18"/>
          <w:color w:val="auto"/>
        </w:rPr>
      </w:pPr>
      <w:r>
        <w:rPr>
          <w:rFonts w:ascii="Arial" w:cs="Arial" w:eastAsia="Arial" w:hAnsi="Arial"/>
          <w:sz w:val="18"/>
          <w:szCs w:val="18"/>
          <w:color w:val="auto"/>
        </w:rPr>
        <w:t>Transportation Company means any organization which provides its own or leased vehicles for transportation or which provides freight forwarding or air express services.</w:t>
      </w:r>
    </w:p>
    <w:p>
      <w:pPr>
        <w:spacing w:after="0" w:line="181" w:lineRule="exact"/>
        <w:rPr>
          <w:rFonts w:ascii="Arial" w:cs="Arial" w:eastAsia="Arial" w:hAnsi="Arial"/>
          <w:sz w:val="18"/>
          <w:szCs w:val="18"/>
          <w:color w:val="auto"/>
        </w:rPr>
      </w:pPr>
    </w:p>
    <w:p>
      <w:pPr>
        <w:ind w:right="140" w:firstLine="368"/>
        <w:spacing w:after="0" w:line="264" w:lineRule="auto"/>
        <w:tabs>
          <w:tab w:leader="none" w:pos="5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Uncertificated Security means a share, participation or other interest in property of or an enterprise of the issuer or an obligation of the issuer, which is:</w:t>
      </w:r>
    </w:p>
    <w:p>
      <w:pPr>
        <w:spacing w:after="0" w:line="86" w:lineRule="exact"/>
        <w:rPr>
          <w:rFonts w:ascii="Arial" w:cs="Arial" w:eastAsia="Arial" w:hAnsi="Arial"/>
          <w:sz w:val="18"/>
          <w:szCs w:val="18"/>
          <w:color w:val="auto"/>
        </w:rPr>
      </w:pPr>
    </w:p>
    <w:p>
      <w:pPr>
        <w:ind w:left="1460" w:right="260" w:hanging="358"/>
        <w:spacing w:after="0" w:line="312" w:lineRule="auto"/>
        <w:tabs>
          <w:tab w:leader="none" w:pos="1460" w:val="left"/>
        </w:tabs>
        <w:numPr>
          <w:ilvl w:val="1"/>
          <w:numId w:val="34"/>
        </w:numPr>
        <w:rPr>
          <w:rFonts w:ascii="Arial" w:cs="Arial" w:eastAsia="Arial" w:hAnsi="Arial"/>
          <w:sz w:val="16"/>
          <w:szCs w:val="16"/>
          <w:color w:val="auto"/>
        </w:rPr>
      </w:pPr>
      <w:r>
        <w:rPr>
          <w:rFonts w:ascii="Arial" w:cs="Arial" w:eastAsia="Arial" w:hAnsi="Arial"/>
          <w:sz w:val="16"/>
          <w:szCs w:val="16"/>
          <w:color w:val="auto"/>
        </w:rPr>
        <w:t>not represented by an instrument and the transfer of which is registered upon books maintained for that purpose by or on behalf of the issuer;</w:t>
      </w:r>
    </w:p>
    <w:p>
      <w:pPr>
        <w:spacing w:after="0" w:line="52" w:lineRule="exact"/>
        <w:rPr>
          <w:rFonts w:ascii="Arial" w:cs="Arial" w:eastAsia="Arial" w:hAnsi="Arial"/>
          <w:sz w:val="16"/>
          <w:szCs w:val="16"/>
          <w:color w:val="auto"/>
        </w:rPr>
      </w:pPr>
    </w:p>
    <w:p>
      <w:pPr>
        <w:ind w:left="1460" w:hanging="358"/>
        <w:spacing w:after="0" w:line="277" w:lineRule="auto"/>
        <w:tabs>
          <w:tab w:leader="none" w:pos="146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of a type commonly dealt in on securities exchanges or markets: and</w:t>
      </w:r>
    </w:p>
    <w:p>
      <w:pPr>
        <w:spacing w:after="0" w:line="20" w:lineRule="exact"/>
        <w:rPr>
          <w:sz w:val="20"/>
          <w:szCs w:val="20"/>
          <w:color w:val="auto"/>
        </w:rPr>
      </w:pPr>
      <w:r>
        <w:rPr>
          <w:sz w:val="20"/>
          <w:szCs w:val="20"/>
          <w:color w:val="auto"/>
        </w:rPr>
        <w:br w:type="column"/>
      </w:r>
    </w:p>
    <w:p>
      <w:pPr>
        <w:ind w:right="80"/>
        <w:spacing w:after="0" w:line="276" w:lineRule="auto"/>
        <w:rPr>
          <w:sz w:val="20"/>
          <w:szCs w:val="20"/>
          <w:color w:val="auto"/>
        </w:rPr>
      </w:pPr>
      <w:r>
        <w:rPr>
          <w:rFonts w:ascii="Arial" w:cs="Arial" w:eastAsia="Arial" w:hAnsi="Arial"/>
          <w:sz w:val="17"/>
          <w:szCs w:val="17"/>
          <w:color w:val="auto"/>
        </w:rPr>
        <w:t>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73" w:lineRule="exact"/>
        <w:rPr>
          <w:sz w:val="20"/>
          <w:szCs w:val="20"/>
          <w:color w:val="auto"/>
        </w:rPr>
      </w:pPr>
    </w:p>
    <w:p>
      <w:pPr>
        <w:ind w:firstLine="368"/>
        <w:spacing w:after="0" w:line="264" w:lineRule="auto"/>
        <w:tabs>
          <w:tab w:leader="none" w:pos="6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identification, cash management or other cards</w:t>
      </w:r>
    </w:p>
    <w:p>
      <w:pPr>
        <w:spacing w:after="0" w:line="86" w:lineRule="exact"/>
        <w:rPr>
          <w:rFonts w:ascii="Arial" w:cs="Arial" w:eastAsia="Arial" w:hAnsi="Arial"/>
          <w:sz w:val="18"/>
          <w:szCs w:val="18"/>
          <w:color w:val="auto"/>
        </w:rPr>
      </w:pPr>
    </w:p>
    <w:p>
      <w:pPr>
        <w:ind w:left="1460" w:hanging="358"/>
        <w:spacing w:after="0"/>
        <w:tabs>
          <w:tab w:leader="none" w:pos="1460" w:val="left"/>
        </w:tabs>
        <w:numPr>
          <w:ilvl w:val="1"/>
          <w:numId w:val="35"/>
        </w:numPr>
        <w:rPr>
          <w:rFonts w:ascii="Arial" w:cs="Arial" w:eastAsia="Arial" w:hAnsi="Arial"/>
          <w:sz w:val="18"/>
          <w:szCs w:val="18"/>
          <w:color w:val="auto"/>
        </w:rPr>
      </w:pPr>
      <w:r>
        <w:rPr>
          <w:rFonts w:ascii="Arial" w:cs="Arial" w:eastAsia="Arial" w:hAnsi="Arial"/>
          <w:sz w:val="18"/>
          <w:szCs w:val="18"/>
          <w:color w:val="auto"/>
        </w:rPr>
        <w:t>in obtaining credit or funds, or</w:t>
      </w:r>
    </w:p>
    <w:p>
      <w:pPr>
        <w:spacing w:after="0" w:line="130" w:lineRule="exact"/>
        <w:rPr>
          <w:rFonts w:ascii="Arial" w:cs="Arial" w:eastAsia="Arial" w:hAnsi="Arial"/>
          <w:sz w:val="18"/>
          <w:szCs w:val="18"/>
          <w:color w:val="auto"/>
        </w:rPr>
      </w:pPr>
    </w:p>
    <w:p>
      <w:pPr>
        <w:ind w:left="1460" w:right="100" w:hanging="358"/>
        <w:spacing w:after="0" w:line="279" w:lineRule="auto"/>
        <w:tabs>
          <w:tab w:leader="none" w:pos="1460" w:val="left"/>
        </w:tabs>
        <w:numPr>
          <w:ilvl w:val="1"/>
          <w:numId w:val="35"/>
        </w:numPr>
        <w:rPr>
          <w:rFonts w:ascii="Arial" w:cs="Arial" w:eastAsia="Arial" w:hAnsi="Arial"/>
          <w:sz w:val="17"/>
          <w:szCs w:val="17"/>
          <w:color w:val="auto"/>
        </w:rPr>
      </w:pPr>
      <w:r>
        <w:rPr>
          <w:rFonts w:ascii="Arial" w:cs="Arial" w:eastAsia="Arial" w:hAnsi="Arial"/>
          <w:sz w:val="17"/>
          <w:szCs w:val="17"/>
          <w:color w:val="auto"/>
        </w:rPr>
        <w:t>in gaining access to automated mechanical devices which, on behalf of the Insured, disburse Money, accept deposits, cash checks, drafts or similar written instruments or make credit card loans, or</w:t>
      </w:r>
    </w:p>
    <w:p>
      <w:pPr>
        <w:spacing w:after="0" w:line="76" w:lineRule="exact"/>
        <w:rPr>
          <w:rFonts w:ascii="Arial" w:cs="Arial" w:eastAsia="Arial" w:hAnsi="Arial"/>
          <w:sz w:val="17"/>
          <w:szCs w:val="17"/>
          <w:color w:val="auto"/>
        </w:rPr>
      </w:pPr>
    </w:p>
    <w:p>
      <w:pPr>
        <w:ind w:left="1460" w:right="180" w:hanging="358"/>
        <w:spacing w:after="0" w:line="316" w:lineRule="auto"/>
        <w:tabs>
          <w:tab w:leader="none" w:pos="1460" w:val="left"/>
        </w:tabs>
        <w:numPr>
          <w:ilvl w:val="1"/>
          <w:numId w:val="35"/>
        </w:numPr>
        <w:rPr>
          <w:rFonts w:ascii="Arial" w:cs="Arial" w:eastAsia="Arial" w:hAnsi="Arial"/>
          <w:sz w:val="15"/>
          <w:szCs w:val="15"/>
          <w:color w:val="auto"/>
        </w:rPr>
      </w:pPr>
      <w:r>
        <w:rPr>
          <w:rFonts w:ascii="Arial" w:cs="Arial" w:eastAsia="Arial" w:hAnsi="Arial"/>
          <w:sz w:val="15"/>
          <w:szCs w:val="15"/>
          <w:color w:val="auto"/>
        </w:rPr>
        <w:t>in gaining access to point of sale terminals, customer-bank communication terminals, or similar electronic terminals of electronic funds transfer systems, whether such cards were issued, or purport to have been issued, by the Insured or by anyone other than the Insured, except when covered under Insuring Agreement (A);</w:t>
      </w:r>
    </w:p>
    <w:p>
      <w:pPr>
        <w:spacing w:after="0" w:line="150" w:lineRule="exact"/>
        <w:rPr>
          <w:sz w:val="20"/>
          <w:szCs w:val="20"/>
          <w:color w:val="auto"/>
        </w:rPr>
      </w:pPr>
    </w:p>
    <w:p>
      <w:pPr>
        <w:ind w:right="40" w:firstLine="368"/>
        <w:spacing w:after="0" w:line="259" w:lineRule="auto"/>
        <w:tabs>
          <w:tab w:leader="none" w:pos="584" w:val="left"/>
        </w:tabs>
        <w:numPr>
          <w:ilvl w:val="0"/>
          <w:numId w:val="36"/>
        </w:numPr>
        <w:rPr>
          <w:rFonts w:ascii="Arial" w:cs="Arial" w:eastAsia="Arial" w:hAnsi="Arial"/>
          <w:sz w:val="18"/>
          <w:szCs w:val="18"/>
          <w:color w:val="auto"/>
        </w:rPr>
      </w:pPr>
      <w:r>
        <w:rPr>
          <w:rFonts w:ascii="Arial" w:cs="Arial" w:eastAsia="Arial" w:hAnsi="Arial"/>
          <w:sz w:val="18"/>
          <w:szCs w:val="18"/>
          <w:color w:val="auto"/>
        </w:rPr>
        <w:t>loss involving automated mechanical devices which, on behalf of the Insured, disburse Money, accept deposits, cash checks, drafts or similar written instruments or make credit card loans, except when covered under Insuring Agreement (A);</w:t>
      </w:r>
    </w:p>
    <w:p>
      <w:pPr>
        <w:spacing w:after="0" w:line="2242" w:lineRule="exact"/>
        <w:rPr>
          <w:sz w:val="20"/>
          <w:szCs w:val="20"/>
          <w:color w:val="auto"/>
        </w:rPr>
      </w:pPr>
    </w:p>
    <w:p>
      <w:pPr>
        <w:sectPr>
          <w:pgSz w:w="11900" w:h="16838" w:orient="portrait"/>
          <w:cols w:equalWidth="0" w:num="2">
            <w:col w:w="5440" w:space="380"/>
            <w:col w:w="5600"/>
          </w:cols>
          <w:pgMar w:left="240" w:top="125" w:right="239" w:bottom="1440" w:gutter="0" w:footer="0" w:header="0"/>
        </w:sectPr>
      </w:pPr>
    </w:p>
    <w:p>
      <w:pPr>
        <w:spacing w:after="0" w:line="51"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4 of 6</w:t>
      </w:r>
    </w:p>
    <w:p>
      <w:pPr>
        <w:sectPr>
          <w:pgSz w:w="11900" w:h="16838" w:orient="portrait"/>
          <w:cols w:equalWidth="0" w:num="1">
            <w:col w:w="11420"/>
          </w:cols>
          <w:pgMar w:left="240" w:top="125" w:right="239" w:bottom="1440" w:gutter="0" w:footer="0" w:header="0"/>
          <w:type w:val="continuous"/>
        </w:sectPr>
      </w:pPr>
    </w:p>
    <w:bookmarkStart w:id="12" w:name="page13"/>
    <w:bookmarkEnd w:id="12"/>
    <w:p>
      <w:pPr>
        <w:ind w:right="120" w:firstLine="368"/>
        <w:spacing w:after="0" w:line="277" w:lineRule="auto"/>
        <w:tabs>
          <w:tab w:leader="none" w:pos="66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through the surrender of Property away from an office of the Insured as a result of a threat</w:t>
      </w:r>
    </w:p>
    <w:p>
      <w:pPr>
        <w:spacing w:after="0" w:line="197" w:lineRule="exact"/>
        <w:rPr>
          <w:rFonts w:ascii="Arial" w:cs="Arial" w:eastAsia="Arial" w:hAnsi="Arial"/>
          <w:sz w:val="18"/>
          <w:szCs w:val="18"/>
          <w:color w:val="auto"/>
        </w:rPr>
      </w:pPr>
    </w:p>
    <w:p>
      <w:pPr>
        <w:ind w:left="1460" w:right="60" w:hanging="358"/>
        <w:spacing w:after="0" w:line="257"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do bodily harm to any person, except loss of Property in transit in the custody of any person acting as messenger provided that when such transit was initiated there was no knowledge by the Insured of any such threat, or</w:t>
      </w:r>
    </w:p>
    <w:p>
      <w:pPr>
        <w:spacing w:after="0" w:line="93" w:lineRule="exact"/>
        <w:rPr>
          <w:rFonts w:ascii="Arial" w:cs="Arial" w:eastAsia="Arial" w:hAnsi="Arial"/>
          <w:sz w:val="18"/>
          <w:szCs w:val="18"/>
          <w:color w:val="auto"/>
        </w:rPr>
      </w:pPr>
    </w:p>
    <w:p>
      <w:pPr>
        <w:ind w:left="1460" w:right="600" w:hanging="358"/>
        <w:spacing w:after="0" w:line="264"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to do damage to the premises or property of the Insured, except when covered under Insuring Agreement (A);</w:t>
      </w:r>
    </w:p>
    <w:p>
      <w:pPr>
        <w:spacing w:after="0" w:line="181" w:lineRule="exact"/>
        <w:rPr>
          <w:rFonts w:ascii="Arial" w:cs="Arial" w:eastAsia="Arial" w:hAnsi="Arial"/>
          <w:sz w:val="18"/>
          <w:szCs w:val="18"/>
          <w:color w:val="auto"/>
        </w:rPr>
      </w:pPr>
    </w:p>
    <w:p>
      <w:pPr>
        <w:ind w:firstLine="368"/>
        <w:spacing w:after="0" w:line="255" w:lineRule="auto"/>
        <w:tabs>
          <w:tab w:leader="none" w:pos="6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resulting directly or indirectly from payments made or withdrawals from a depositor’s or customer’s account involving erroneous credits to such account, unless such payments or withdrawals are physically received by such depositor or customer or representative of such depositor or customer who is within the office of the Insured at the time of such payment or withdrawal, or except when covered under Insuring Agreement (A);</w:t>
      </w:r>
    </w:p>
    <w:p>
      <w:pPr>
        <w:spacing w:after="0" w:line="189" w:lineRule="exact"/>
        <w:rPr>
          <w:rFonts w:ascii="Arial" w:cs="Arial" w:eastAsia="Arial" w:hAnsi="Arial"/>
          <w:sz w:val="18"/>
          <w:szCs w:val="18"/>
          <w:color w:val="auto"/>
        </w:rPr>
      </w:pPr>
    </w:p>
    <w:p>
      <w:pPr>
        <w:ind w:firstLine="368"/>
        <w:spacing w:after="0" w:line="264" w:lineRule="auto"/>
        <w:tabs>
          <w:tab w:leader="none" w:pos="6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involving items of deposit which are not finally paid for any reason, including but not limited to Forgery or any other fraud, except when covered under Insuring Agreement (A);</w:t>
      </w:r>
    </w:p>
    <w:p>
      <w:pPr>
        <w:spacing w:after="0" w:line="181" w:lineRule="exact"/>
        <w:rPr>
          <w:rFonts w:ascii="Arial" w:cs="Arial" w:eastAsia="Arial" w:hAnsi="Arial"/>
          <w:sz w:val="18"/>
          <w:szCs w:val="18"/>
          <w:color w:val="auto"/>
        </w:rPr>
      </w:pPr>
    </w:p>
    <w:p>
      <w:pPr>
        <w:ind w:right="360" w:firstLine="368"/>
        <w:spacing w:after="0" w:line="277" w:lineRule="auto"/>
        <w:tabs>
          <w:tab w:leader="none" w:pos="615"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resulting directly or indirectly from counterfeiting, except when covered under Insuring Agreements (A), (E) or (F);</w:t>
      </w:r>
    </w:p>
    <w:p>
      <w:pPr>
        <w:spacing w:after="0" w:line="170" w:lineRule="exact"/>
        <w:rPr>
          <w:rFonts w:ascii="Arial" w:cs="Arial" w:eastAsia="Arial" w:hAnsi="Arial"/>
          <w:sz w:val="18"/>
          <w:szCs w:val="18"/>
          <w:color w:val="auto"/>
        </w:rPr>
      </w:pPr>
    </w:p>
    <w:p>
      <w:pPr>
        <w:ind w:left="620" w:hanging="252"/>
        <w:spacing w:after="0"/>
        <w:tabs>
          <w:tab w:leader="none" w:pos="6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any tangible item of personal property which is not</w:t>
      </w:r>
    </w:p>
    <w:p>
      <w:pPr>
        <w:spacing w:after="0" w:line="23" w:lineRule="exact"/>
        <w:rPr>
          <w:rFonts w:ascii="Arial" w:cs="Arial" w:eastAsia="Arial" w:hAnsi="Arial"/>
          <w:sz w:val="18"/>
          <w:szCs w:val="18"/>
          <w:color w:val="auto"/>
        </w:rPr>
      </w:pPr>
    </w:p>
    <w:p>
      <w:pPr>
        <w:ind w:right="60"/>
        <w:spacing w:after="0" w:line="292" w:lineRule="auto"/>
        <w:rPr>
          <w:rFonts w:ascii="Arial" w:cs="Arial" w:eastAsia="Arial" w:hAnsi="Arial"/>
          <w:sz w:val="18"/>
          <w:szCs w:val="18"/>
          <w:color w:val="auto"/>
        </w:rPr>
      </w:pPr>
      <w:r>
        <w:rPr>
          <w:rFonts w:ascii="Arial" w:cs="Arial" w:eastAsia="Arial" w:hAnsi="Arial"/>
          <w:sz w:val="16"/>
          <w:szCs w:val="16"/>
          <w:color w:val="auto"/>
        </w:rPr>
        <w:t>specifically enumerated in the paragraph defining Property it such property is specifically insured by other insurance of any kind and in any amount obtained by the Insured, and in any event, loss of such property occurring more than 60 days after the Insured takes possession of such property, except when covered under Insuring Agreements (A) or (BX2);</w:t>
      </w:r>
    </w:p>
    <w:p>
      <w:pPr>
        <w:spacing w:after="0" w:line="162" w:lineRule="exact"/>
        <w:rPr>
          <w:rFonts w:ascii="Arial" w:cs="Arial" w:eastAsia="Arial" w:hAnsi="Arial"/>
          <w:sz w:val="18"/>
          <w:szCs w:val="18"/>
          <w:color w:val="auto"/>
        </w:rPr>
      </w:pPr>
    </w:p>
    <w:p>
      <w:pPr>
        <w:ind w:left="600" w:hanging="232"/>
        <w:spacing w:after="0"/>
        <w:tabs>
          <w:tab w:leader="none" w:pos="6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loss of Property while</w:t>
      </w:r>
    </w:p>
    <w:p>
      <w:pPr>
        <w:spacing w:after="0" w:line="130" w:lineRule="exact"/>
        <w:rPr>
          <w:rFonts w:ascii="Arial" w:cs="Arial" w:eastAsia="Arial" w:hAnsi="Arial"/>
          <w:sz w:val="18"/>
          <w:szCs w:val="18"/>
          <w:color w:val="auto"/>
        </w:rPr>
      </w:pPr>
    </w:p>
    <w:p>
      <w:pPr>
        <w:ind w:left="1460" w:hanging="358"/>
        <w:spacing w:after="0"/>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mail, or</w:t>
      </w:r>
    </w:p>
    <w:p>
      <w:pPr>
        <w:spacing w:after="0" w:line="130" w:lineRule="exact"/>
        <w:rPr>
          <w:rFonts w:ascii="Arial" w:cs="Arial" w:eastAsia="Arial" w:hAnsi="Arial"/>
          <w:sz w:val="18"/>
          <w:szCs w:val="18"/>
          <w:color w:val="auto"/>
        </w:rPr>
      </w:pPr>
    </w:p>
    <w:p>
      <w:pPr>
        <w:ind w:left="1460" w:right="140" w:hanging="358"/>
        <w:spacing w:after="0" w:line="277" w:lineRule="auto"/>
        <w:tabs>
          <w:tab w:leader="none" w:pos="14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in the custody of any Transportation Company, unless covered under Insuring Agreement (C),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when covered under Insuring Agreement (A);</w:t>
      </w:r>
    </w:p>
    <w:p>
      <w:pPr>
        <w:spacing w:after="0" w:line="225" w:lineRule="exact"/>
        <w:rPr>
          <w:sz w:val="20"/>
          <w:szCs w:val="20"/>
          <w:color w:val="auto"/>
        </w:rPr>
      </w:pPr>
    </w:p>
    <w:p>
      <w:pPr>
        <w:ind w:right="240" w:firstLine="368"/>
        <w:spacing w:after="0" w:line="342" w:lineRule="auto"/>
        <w:tabs>
          <w:tab w:leader="none" w:pos="595" w:val="left"/>
        </w:tabs>
        <w:numPr>
          <w:ilvl w:val="0"/>
          <w:numId w:val="38"/>
        </w:numPr>
        <w:rPr>
          <w:rFonts w:ascii="Arial" w:cs="Arial" w:eastAsia="Arial" w:hAnsi="Arial"/>
          <w:sz w:val="16"/>
          <w:szCs w:val="16"/>
          <w:color w:val="auto"/>
        </w:rPr>
      </w:pPr>
      <w:r>
        <w:rPr>
          <w:rFonts w:ascii="Arial" w:cs="Arial" w:eastAsia="Arial" w:hAnsi="Arial"/>
          <w:sz w:val="16"/>
          <w:szCs w:val="16"/>
          <w:color w:val="auto"/>
        </w:rPr>
        <w:t>potential income, including but not limited to interest and dividends, not realized by the Insured or by any customer of the Insured;</w:t>
      </w:r>
    </w:p>
    <w:p>
      <w:pPr>
        <w:spacing w:after="0" w:line="123" w:lineRule="exact"/>
        <w:rPr>
          <w:rFonts w:ascii="Arial" w:cs="Arial" w:eastAsia="Arial" w:hAnsi="Arial"/>
          <w:sz w:val="16"/>
          <w:szCs w:val="16"/>
          <w:color w:val="auto"/>
        </w:rPr>
      </w:pPr>
    </w:p>
    <w:p>
      <w:pPr>
        <w:ind w:right="120" w:firstLine="368"/>
        <w:spacing w:after="0" w:line="264" w:lineRule="auto"/>
        <w:tabs>
          <w:tab w:leader="none" w:pos="575" w:val="left"/>
        </w:tabs>
        <w:numPr>
          <w:ilvl w:val="0"/>
          <w:numId w:val="38"/>
        </w:numPr>
        <w:rPr>
          <w:rFonts w:ascii="Arial" w:cs="Arial" w:eastAsia="Arial" w:hAnsi="Arial"/>
          <w:sz w:val="18"/>
          <w:szCs w:val="18"/>
          <w:color w:val="auto"/>
        </w:rPr>
      </w:pPr>
      <w:r>
        <w:rPr>
          <w:rFonts w:ascii="Arial" w:cs="Arial" w:eastAsia="Arial" w:hAnsi="Arial"/>
          <w:sz w:val="18"/>
          <w:szCs w:val="18"/>
          <w:color w:val="auto"/>
        </w:rPr>
        <w:t>damages of any type for which the Insured is legally liable, except compensatory damages, but not multiples thereof, arising directly from a loss covered under this bond;</w:t>
      </w:r>
    </w:p>
    <w:p>
      <w:pPr>
        <w:spacing w:after="0" w:line="181" w:lineRule="exact"/>
        <w:rPr>
          <w:rFonts w:ascii="Arial" w:cs="Arial" w:eastAsia="Arial" w:hAnsi="Arial"/>
          <w:sz w:val="18"/>
          <w:szCs w:val="18"/>
          <w:color w:val="auto"/>
        </w:rPr>
      </w:pPr>
    </w:p>
    <w:p>
      <w:pPr>
        <w:ind w:left="620" w:hanging="25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460" w:right="500" w:hanging="358"/>
        <w:spacing w:after="0" w:line="277"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or</w:t>
      </w:r>
    </w:p>
    <w:p>
      <w:pPr>
        <w:spacing w:after="0" w:line="75" w:lineRule="exact"/>
        <w:rPr>
          <w:rFonts w:ascii="Arial" w:cs="Arial" w:eastAsia="Arial" w:hAnsi="Arial"/>
          <w:sz w:val="18"/>
          <w:szCs w:val="18"/>
          <w:color w:val="auto"/>
        </w:rPr>
      </w:pPr>
    </w:p>
    <w:p>
      <w:pPr>
        <w:ind w:left="1460" w:hanging="358"/>
        <w:spacing w:after="0" w:line="264" w:lineRule="auto"/>
        <w:tabs>
          <w:tab w:leader="none" w:pos="14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as a party to any legal proceeding whether or not such legal proceeding exposes the Insured to loss covered by this bond;</w:t>
      </w:r>
    </w:p>
    <w:p>
      <w:pPr>
        <w:spacing w:after="0" w:line="181" w:lineRule="exact"/>
        <w:rPr>
          <w:rFonts w:ascii="Arial" w:cs="Arial" w:eastAsia="Arial" w:hAnsi="Arial"/>
          <w:sz w:val="18"/>
          <w:szCs w:val="18"/>
          <w:color w:val="auto"/>
        </w:rPr>
      </w:pPr>
    </w:p>
    <w:p>
      <w:pPr>
        <w:ind w:left="620" w:hanging="252"/>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indirect or consequential loss of any nature;</w:t>
      </w:r>
    </w:p>
    <w:p>
      <w:pPr>
        <w:spacing w:after="0" w:line="225" w:lineRule="exact"/>
        <w:rPr>
          <w:rFonts w:ascii="Arial" w:cs="Arial" w:eastAsia="Arial" w:hAnsi="Arial"/>
          <w:sz w:val="18"/>
          <w:szCs w:val="18"/>
          <w:color w:val="auto"/>
        </w:rPr>
      </w:pPr>
    </w:p>
    <w:p>
      <w:pPr>
        <w:ind w:firstLine="368"/>
        <w:spacing w:after="0" w:line="264"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involving any Uncertificated Security except an Uncertificated Security of any Federal Reserve Bank of the United States or when covered under Insuring Agreement (A);</w:t>
      </w:r>
    </w:p>
    <w:p>
      <w:pPr>
        <w:spacing w:after="0" w:line="181" w:lineRule="exact"/>
        <w:rPr>
          <w:rFonts w:ascii="Arial" w:cs="Arial" w:eastAsia="Arial" w:hAnsi="Arial"/>
          <w:sz w:val="18"/>
          <w:szCs w:val="18"/>
          <w:color w:val="auto"/>
        </w:rPr>
      </w:pPr>
    </w:p>
    <w:p>
      <w:pPr>
        <w:ind w:right="100" w:firstLine="368"/>
        <w:spacing w:after="0" w:line="257" w:lineRule="auto"/>
        <w:tabs>
          <w:tab w:leader="none" w:pos="6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resulting directly or indirectly from any dishonest or fraudulent act or acts committed by any non-Employee who is a securities, commodities, money. mortgage, real estate, loan, insurance, property management, investment banking broker, agent or other representative of the same general character;</w:t>
      </w:r>
    </w:p>
    <w:p>
      <w:pPr>
        <w:spacing w:after="0" w:line="188" w:lineRule="exact"/>
        <w:rPr>
          <w:rFonts w:ascii="Arial" w:cs="Arial" w:eastAsia="Arial" w:hAnsi="Arial"/>
          <w:sz w:val="18"/>
          <w:szCs w:val="18"/>
          <w:color w:val="auto"/>
        </w:rPr>
      </w:pPr>
    </w:p>
    <w:p>
      <w:pPr>
        <w:ind w:right="60" w:firstLine="368"/>
        <w:spacing w:after="0" w:line="259" w:lineRule="auto"/>
        <w:tabs>
          <w:tab w:leader="none" w:pos="615"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caused directly or indirectly by a Partner of the Insured unless the amount of such loss exceeds the Financial Interest in the Insured of such Partner and the Deductible Amount applicable to this bond, and then for the excess only;</w:t>
      </w:r>
    </w:p>
    <w:p>
      <w:pPr>
        <w:spacing w:after="0" w:line="20" w:lineRule="exact"/>
        <w:rPr>
          <w:sz w:val="20"/>
          <w:szCs w:val="20"/>
          <w:color w:val="auto"/>
        </w:rPr>
      </w:pPr>
      <w:r>
        <w:rPr>
          <w:sz w:val="20"/>
          <w:szCs w:val="20"/>
          <w:color w:val="auto"/>
        </w:rPr>
        <w:br w:type="column"/>
      </w:r>
    </w:p>
    <w:p>
      <w:pPr>
        <w:ind w:left="740" w:right="260" w:hanging="367"/>
        <w:spacing w:after="0" w:line="264" w:lineRule="auto"/>
        <w:tabs>
          <w:tab w:leader="none" w:pos="7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Underwriter shall have no further liability for loss or losses regardless of when discovered and whether or not previously reported to the Underwriter, and</w:t>
      </w:r>
    </w:p>
    <w:p>
      <w:pPr>
        <w:spacing w:after="0" w:line="86" w:lineRule="exact"/>
        <w:rPr>
          <w:rFonts w:ascii="Arial" w:cs="Arial" w:eastAsia="Arial" w:hAnsi="Arial"/>
          <w:sz w:val="18"/>
          <w:szCs w:val="18"/>
          <w:color w:val="auto"/>
        </w:rPr>
      </w:pPr>
    </w:p>
    <w:p>
      <w:pPr>
        <w:ind w:left="740" w:right="140" w:hanging="367"/>
        <w:spacing w:after="0" w:line="276" w:lineRule="auto"/>
        <w:tabs>
          <w:tab w:leader="none" w:pos="74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Underwriter shall have no obligation under General Agreement F to continue the defense of the Insured, and upon notice by the Underwriter to the Insured that the Aggregate Limit of Liability has been exhausted, the Insured shall assume all responsibility for its defense at its own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-1321435</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3" w:lineRule="exact"/>
        <w:rPr>
          <w:sz w:val="20"/>
          <w:szCs w:val="20"/>
          <w:color w:val="auto"/>
        </w:rPr>
      </w:pPr>
    </w:p>
    <w:p>
      <w:pPr>
        <w:ind w:right="60" w:firstLine="360"/>
        <w:spacing w:after="0" w:line="291" w:lineRule="auto"/>
        <w:rPr>
          <w:sz w:val="20"/>
          <w:szCs w:val="20"/>
          <w:color w:val="auto"/>
        </w:rPr>
      </w:pPr>
      <w:r>
        <w:rPr>
          <w:rFonts w:ascii="Arial" w:cs="Arial" w:eastAsia="Arial" w:hAnsi="Arial"/>
          <w:sz w:val="16"/>
          <w:szCs w:val="16"/>
          <w:color w:val="auto"/>
        </w:rPr>
        <w:t>The Aggregate Limit of Liability shall not be increased or reinstated by any recovery made and applied in accordance with subsections (a), (b) and</w:t>
      </w:r>
    </w:p>
    <w:p>
      <w:pPr>
        <w:ind w:right="280" w:firstLine="8"/>
        <w:spacing w:after="0" w:line="255" w:lineRule="auto"/>
        <w:tabs>
          <w:tab w:leader="none" w:pos="245" w:val="left"/>
        </w:tabs>
        <w:numPr>
          <w:ilvl w:val="0"/>
          <w:numId w:val="40"/>
        </w:numPr>
        <w:rPr>
          <w:rFonts w:ascii="Arial" w:cs="Arial" w:eastAsia="Arial" w:hAnsi="Arial"/>
          <w:sz w:val="18"/>
          <w:szCs w:val="18"/>
          <w:color w:val="auto"/>
        </w:rPr>
      </w:pPr>
      <w:r>
        <w:rPr>
          <w:rFonts w:ascii="Arial" w:cs="Arial" w:eastAsia="Arial" w:hAnsi="Arial"/>
          <w:sz w:val="18"/>
          <w:szCs w:val="18"/>
          <w:color w:val="auto"/>
        </w:rPr>
        <w:t>of Section 7. In the event that a loss of Property is settled by the Underwriter through the use of a lost instrument bond, such loss shall not reduce the Aggregate Limit of Liability.</w:t>
      </w:r>
    </w:p>
    <w:p>
      <w:pPr>
        <w:spacing w:after="0" w:line="200" w:lineRule="exact"/>
        <w:rPr>
          <w:sz w:val="20"/>
          <w:szCs w:val="20"/>
          <w:color w:val="auto"/>
        </w:rPr>
      </w:pPr>
    </w:p>
    <w:p>
      <w:pPr>
        <w:spacing w:after="0" w:line="20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Single Loss Limit of Liability</w:t>
      </w:r>
    </w:p>
    <w:p>
      <w:pPr>
        <w:spacing w:after="0" w:line="225" w:lineRule="exact"/>
        <w:rPr>
          <w:sz w:val="20"/>
          <w:szCs w:val="20"/>
          <w:color w:val="auto"/>
        </w:rPr>
      </w:pPr>
    </w:p>
    <w:p>
      <w:pPr>
        <w:ind w:firstLine="360"/>
        <w:spacing w:after="0" w:line="297" w:lineRule="auto"/>
        <w:rPr>
          <w:sz w:val="20"/>
          <w:szCs w:val="20"/>
          <w:color w:val="auto"/>
        </w:rPr>
      </w:pPr>
      <w:r>
        <w:rPr>
          <w:rFonts w:ascii="Arial" w:cs="Arial" w:eastAsia="Arial" w:hAnsi="Arial"/>
          <w:sz w:val="16"/>
          <w:szCs w:val="16"/>
          <w:color w:val="auto"/>
        </w:rPr>
        <w:t>Subject to the Aggregate Limit of Liability, the Underwriter’s liability for each Single Loss shall not exceed the applicable Single Loss Limit of Liability shown in Item 4 of the Declarations. If a Single Loss is covered under more than one Insuring Agreement or Coverage, the maximum payable shall not exceed the largest applicable Single Loss Limit of Liability.</w:t>
      </w:r>
    </w:p>
    <w:p>
      <w:pPr>
        <w:spacing w:after="0" w:line="374" w:lineRule="exact"/>
        <w:rPr>
          <w:sz w:val="20"/>
          <w:szCs w:val="20"/>
          <w:color w:val="auto"/>
        </w:rPr>
      </w:pPr>
    </w:p>
    <w:p>
      <w:pPr>
        <w:ind w:left="2060"/>
        <w:spacing w:after="0"/>
        <w:rPr>
          <w:sz w:val="20"/>
          <w:szCs w:val="20"/>
          <w:color w:val="auto"/>
        </w:rPr>
      </w:pPr>
      <w:r>
        <w:rPr>
          <w:rFonts w:ascii="Arial" w:cs="Arial" w:eastAsia="Arial" w:hAnsi="Arial"/>
          <w:sz w:val="18"/>
          <w:szCs w:val="18"/>
          <w:color w:val="auto"/>
        </w:rPr>
        <w:t>Single Loss Defined</w:t>
      </w:r>
    </w:p>
    <w:p>
      <w:pPr>
        <w:spacing w:after="0" w:line="225" w:lineRule="exact"/>
        <w:rPr>
          <w:sz w:val="20"/>
          <w:szCs w:val="20"/>
          <w:color w:val="auto"/>
        </w:rPr>
      </w:pPr>
    </w:p>
    <w:p>
      <w:pPr>
        <w:ind w:right="40" w:firstLine="360"/>
        <w:spacing w:after="0" w:line="342" w:lineRule="auto"/>
        <w:rPr>
          <w:sz w:val="20"/>
          <w:szCs w:val="20"/>
          <w:color w:val="auto"/>
        </w:rPr>
      </w:pPr>
      <w:r>
        <w:rPr>
          <w:rFonts w:ascii="Arial" w:cs="Arial" w:eastAsia="Arial" w:hAnsi="Arial"/>
          <w:sz w:val="16"/>
          <w:szCs w:val="16"/>
          <w:color w:val="auto"/>
        </w:rPr>
        <w:t>Single Loss means all covered loss, including court costs and attorneys’ fees incurred by the Underwriter under General Agreement F, resulting from</w:t>
      </w:r>
    </w:p>
    <w:p>
      <w:pPr>
        <w:spacing w:after="0" w:line="29" w:lineRule="exact"/>
        <w:rPr>
          <w:sz w:val="20"/>
          <w:szCs w:val="20"/>
          <w:color w:val="auto"/>
        </w:rPr>
      </w:pPr>
    </w:p>
    <w:p>
      <w:pPr>
        <w:ind w:left="740" w:right="60" w:hanging="367"/>
        <w:spacing w:after="0" w:line="277"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one act or series of related acts of burglary, robbery or attempt thereat, in which no Employee is implicated, or</w:t>
      </w:r>
    </w:p>
    <w:p>
      <w:pPr>
        <w:spacing w:after="0" w:line="75" w:lineRule="exact"/>
        <w:rPr>
          <w:rFonts w:ascii="Arial" w:cs="Arial" w:eastAsia="Arial" w:hAnsi="Arial"/>
          <w:sz w:val="18"/>
          <w:szCs w:val="18"/>
          <w:color w:val="auto"/>
        </w:rPr>
      </w:pPr>
    </w:p>
    <w:p>
      <w:pPr>
        <w:ind w:left="740" w:right="60" w:hanging="367"/>
        <w:spacing w:after="0" w:line="259"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any one act or series of related unintentional or negligent acts or omissions on the part of any person (whether an Employee or not) resulting in damage to or destruction or misplacement of Property, or</w:t>
      </w:r>
    </w:p>
    <w:p>
      <w:pPr>
        <w:spacing w:after="0" w:line="92" w:lineRule="exact"/>
        <w:rPr>
          <w:rFonts w:ascii="Arial" w:cs="Arial" w:eastAsia="Arial" w:hAnsi="Arial"/>
          <w:sz w:val="18"/>
          <w:szCs w:val="18"/>
          <w:color w:val="auto"/>
        </w:rPr>
      </w:pPr>
    </w:p>
    <w:p>
      <w:pPr>
        <w:ind w:left="740" w:right="100" w:hanging="367"/>
        <w:spacing w:after="0" w:line="264" w:lineRule="auto"/>
        <w:tabs>
          <w:tab w:leader="none" w:pos="7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all acts or omissions other than those specified in (a) and (b) preceding, caused by any person (whether an Employee or not) or in which such person is implicated, or</w:t>
      </w:r>
    </w:p>
    <w:p>
      <w:pPr>
        <w:spacing w:after="0" w:line="86" w:lineRule="exact"/>
        <w:rPr>
          <w:rFonts w:ascii="Arial" w:cs="Arial" w:eastAsia="Arial" w:hAnsi="Arial"/>
          <w:sz w:val="18"/>
          <w:szCs w:val="18"/>
          <w:color w:val="auto"/>
        </w:rPr>
      </w:pPr>
    </w:p>
    <w:p>
      <w:pPr>
        <w:ind w:left="740" w:hanging="367"/>
        <w:spacing w:after="0"/>
        <w:tabs>
          <w:tab w:leader="none" w:pos="7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one casualty or event not specified in (a), (b) or (c) preceding.</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NOTICE/PRO OF—LEGAL PROCEEDINGS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AGAINST UNDERWRITER</w:t>
      </w:r>
    </w:p>
    <w:p>
      <w:pPr>
        <w:spacing w:after="0" w:line="21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5.</w:t>
      </w:r>
    </w:p>
    <w:p>
      <w:pPr>
        <w:spacing w:after="0" w:line="225" w:lineRule="exact"/>
        <w:rPr>
          <w:sz w:val="20"/>
          <w:szCs w:val="20"/>
          <w:color w:val="auto"/>
        </w:rPr>
      </w:pPr>
    </w:p>
    <w:p>
      <w:pPr>
        <w:jc w:val="both"/>
        <w:ind w:right="420" w:firstLine="368"/>
        <w:spacing w:after="0" w:line="342" w:lineRule="auto"/>
        <w:tabs>
          <w:tab w:leader="none" w:pos="605" w:val="left"/>
        </w:tabs>
        <w:numPr>
          <w:ilvl w:val="0"/>
          <w:numId w:val="42"/>
        </w:numPr>
        <w:rPr>
          <w:rFonts w:ascii="Arial" w:cs="Arial" w:eastAsia="Arial" w:hAnsi="Arial"/>
          <w:sz w:val="16"/>
          <w:szCs w:val="16"/>
          <w:color w:val="auto"/>
        </w:rPr>
      </w:pPr>
      <w:r>
        <w:rPr>
          <w:rFonts w:ascii="Arial" w:cs="Arial" w:eastAsia="Arial" w:hAnsi="Arial"/>
          <w:sz w:val="16"/>
          <w:szCs w:val="16"/>
          <w:color w:val="auto"/>
        </w:rPr>
        <w:t>At the earliest practicable moment, not to exceed 30 days, after discovery of loss, the Insured shall give the Underwriter notice thereof,</w:t>
      </w:r>
    </w:p>
    <w:p>
      <w:pPr>
        <w:spacing w:after="0" w:line="123" w:lineRule="exact"/>
        <w:rPr>
          <w:rFonts w:ascii="Arial" w:cs="Arial" w:eastAsia="Arial" w:hAnsi="Arial"/>
          <w:sz w:val="16"/>
          <w:szCs w:val="16"/>
          <w:color w:val="auto"/>
        </w:rPr>
      </w:pPr>
    </w:p>
    <w:p>
      <w:pPr>
        <w:ind w:firstLine="368"/>
        <w:spacing w:after="0" w:line="277" w:lineRule="auto"/>
        <w:tabs>
          <w:tab w:leader="none" w:pos="612" w:val="left"/>
        </w:tabs>
        <w:numPr>
          <w:ilvl w:val="0"/>
          <w:numId w:val="42"/>
        </w:numPr>
        <w:rPr>
          <w:rFonts w:ascii="Arial" w:cs="Arial" w:eastAsia="Arial" w:hAnsi="Arial"/>
          <w:sz w:val="18"/>
          <w:szCs w:val="18"/>
          <w:color w:val="auto"/>
        </w:rPr>
      </w:pPr>
      <w:r>
        <w:rPr>
          <w:rFonts w:ascii="Arial" w:cs="Arial" w:eastAsia="Arial" w:hAnsi="Arial"/>
          <w:sz w:val="18"/>
          <w:szCs w:val="18"/>
          <w:color w:val="auto"/>
        </w:rPr>
        <w:t>Within 6 months after such discovery, the Insured shall furnish to the Underwriter proof of loss, duly sworn to, with full particulars.</w:t>
      </w:r>
    </w:p>
    <w:p>
      <w:pPr>
        <w:spacing w:after="0" w:line="170" w:lineRule="exact"/>
        <w:rPr>
          <w:rFonts w:ascii="Arial" w:cs="Arial" w:eastAsia="Arial" w:hAnsi="Arial"/>
          <w:sz w:val="18"/>
          <w:szCs w:val="18"/>
          <w:color w:val="auto"/>
        </w:rPr>
      </w:pPr>
    </w:p>
    <w:p>
      <w:pPr>
        <w:ind w:right="500" w:firstLine="368"/>
        <w:spacing w:after="0" w:line="264" w:lineRule="auto"/>
        <w:tabs>
          <w:tab w:leader="none" w:pos="6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Lost Certificated Securities listed in a proof of loss shall be identified by certificate or bond numbers ii such securities were issued therewith.</w:t>
      </w:r>
    </w:p>
    <w:p>
      <w:pPr>
        <w:spacing w:after="0" w:line="181" w:lineRule="exact"/>
        <w:rPr>
          <w:rFonts w:ascii="Arial" w:cs="Arial" w:eastAsia="Arial" w:hAnsi="Arial"/>
          <w:sz w:val="18"/>
          <w:szCs w:val="18"/>
          <w:color w:val="auto"/>
        </w:rPr>
      </w:pPr>
    </w:p>
    <w:p>
      <w:pPr>
        <w:ind w:right="20" w:firstLine="368"/>
        <w:spacing w:after="0" w:line="259" w:lineRule="auto"/>
        <w:tabs>
          <w:tab w:leader="none" w:pos="615" w:val="left"/>
        </w:tabs>
        <w:numPr>
          <w:ilvl w:val="0"/>
          <w:numId w:val="42"/>
        </w:numPr>
        <w:rPr>
          <w:rFonts w:ascii="Arial" w:cs="Arial" w:eastAsia="Arial" w:hAnsi="Arial"/>
          <w:sz w:val="18"/>
          <w:szCs w:val="18"/>
          <w:color w:val="auto"/>
        </w:rPr>
      </w:pPr>
      <w:r>
        <w:rPr>
          <w:rFonts w:ascii="Arial" w:cs="Arial" w:eastAsia="Arial" w:hAnsi="Arial"/>
          <w:sz w:val="18"/>
          <w:szCs w:val="18"/>
          <w:color w:val="auto"/>
        </w:rPr>
        <w:t>Legal proceedings for the recovery of any loss hereunder shall not be brought prior to the expiration of 60 days after the original proof of loss is filed with the Underwriter or after the expiration of 24 months from the discovery of such loss.</w:t>
      </w:r>
    </w:p>
    <w:p>
      <w:pPr>
        <w:spacing w:after="0" w:line="186" w:lineRule="exact"/>
        <w:rPr>
          <w:rFonts w:ascii="Arial" w:cs="Arial" w:eastAsia="Arial" w:hAnsi="Arial"/>
          <w:sz w:val="18"/>
          <w:szCs w:val="18"/>
          <w:color w:val="auto"/>
        </w:rPr>
      </w:pPr>
    </w:p>
    <w:p>
      <w:pPr>
        <w:jc w:val="both"/>
        <w:ind w:right="160" w:firstLine="368"/>
        <w:spacing w:after="0" w:line="259" w:lineRule="auto"/>
        <w:tabs>
          <w:tab w:leader="none" w:pos="605"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any limitation embodied in this bond is prohibited by any law controlling the construction hereof, such limitation shall be deemed to be amended so as to equal the minimum period of limitation provided by such law.</w:t>
      </w:r>
    </w:p>
    <w:p>
      <w:pPr>
        <w:spacing w:after="0" w:line="187" w:lineRule="exact"/>
        <w:rPr>
          <w:sz w:val="20"/>
          <w:szCs w:val="20"/>
          <w:color w:val="auto"/>
        </w:rPr>
      </w:pPr>
    </w:p>
    <w:p>
      <w:pPr>
        <w:ind w:right="60" w:firstLine="368"/>
        <w:spacing w:after="0" w:line="264" w:lineRule="auto"/>
        <w:tabs>
          <w:tab w:leader="none" w:pos="5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bond affords coverage only in favor of the Insured. No suit, action or legal proceedings shall be brought hereunder by any one other than the named Insured.</w:t>
      </w:r>
    </w:p>
    <w:p>
      <w:pPr>
        <w:spacing w:after="0" w:line="397"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VALUATION</w:t>
      </w:r>
    </w:p>
    <w:p>
      <w:pPr>
        <w:sectPr>
          <w:pgSz w:w="11900" w:h="16838" w:orient="portrait"/>
          <w:cols w:equalWidth="0" w:num="2">
            <w:col w:w="5480" w:space="340"/>
            <w:col w:w="5580"/>
          </w:cols>
          <w:pgMar w:left="240" w:top="328" w:right="259" w:bottom="0" w:gutter="0" w:footer="0" w:header="0"/>
        </w:sectPr>
      </w:pPr>
    </w:p>
    <w:bookmarkStart w:id="13" w:name="page14"/>
    <w:bookmarkEnd w:id="13"/>
    <w:p>
      <w:pPr>
        <w:ind w:right="80" w:firstLine="368"/>
        <w:spacing w:after="0" w:line="264" w:lineRule="auto"/>
        <w:tabs>
          <w:tab w:leader="none" w:pos="605" w:val="left"/>
        </w:tabs>
        <w:numPr>
          <w:ilvl w:val="0"/>
          <w:numId w:val="44"/>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actual or alleged representation, advice, warranty or guarantee as to the performance of any investments;</w:t>
      </w:r>
    </w:p>
    <w:p>
      <w:pPr>
        <w:spacing w:after="0" w:line="181" w:lineRule="exact"/>
        <w:rPr>
          <w:sz w:val="20"/>
          <w:szCs w:val="20"/>
          <w:color w:val="auto"/>
        </w:rPr>
      </w:pPr>
    </w:p>
    <w:p>
      <w:pPr>
        <w:jc w:val="both"/>
        <w:ind w:right="200" w:firstLine="368"/>
        <w:spacing w:after="0" w:line="279" w:lineRule="auto"/>
        <w:tabs>
          <w:tab w:leader="none" w:pos="685" w:val="left"/>
        </w:tabs>
        <w:numPr>
          <w:ilvl w:val="0"/>
          <w:numId w:val="45"/>
        </w:numPr>
        <w:rPr>
          <w:rFonts w:ascii="Arial" w:cs="Arial" w:eastAsia="Arial" w:hAnsi="Arial"/>
          <w:sz w:val="17"/>
          <w:szCs w:val="17"/>
          <w:color w:val="auto"/>
        </w:rPr>
      </w:pPr>
      <w:r>
        <w:rPr>
          <w:rFonts w:ascii="Arial" w:cs="Arial" w:eastAsia="Arial" w:hAnsi="Arial"/>
          <w:sz w:val="17"/>
          <w:szCs w:val="17"/>
          <w:color w:val="auto"/>
        </w:rPr>
        <w:t>loss due to liability imposed upon the Insured as a result of the unlawful disclosure of non-public material information by the Insured or any Employee, or as a result of any Employee acting upon such information, whether authorized or unauthorized.</w:t>
      </w:r>
    </w:p>
    <w:p>
      <w:pPr>
        <w:spacing w:after="0" w:line="388" w:lineRule="exact"/>
        <w:rPr>
          <w:sz w:val="20"/>
          <w:szCs w:val="20"/>
          <w:color w:val="auto"/>
        </w:rPr>
      </w:pPr>
    </w:p>
    <w:p>
      <w:pPr>
        <w:ind w:left="2240"/>
        <w:spacing w:after="0"/>
        <w:rPr>
          <w:sz w:val="20"/>
          <w:szCs w:val="20"/>
          <w:color w:val="auto"/>
        </w:rPr>
      </w:pPr>
      <w:r>
        <w:rPr>
          <w:rFonts w:ascii="Arial" w:cs="Arial" w:eastAsia="Arial" w:hAnsi="Arial"/>
          <w:sz w:val="18"/>
          <w:szCs w:val="18"/>
          <w:color w:val="auto"/>
        </w:rPr>
        <w:t>DISCOVERY</w:t>
      </w:r>
    </w:p>
    <w:p>
      <w:pPr>
        <w:spacing w:after="0" w:line="225" w:lineRule="exact"/>
        <w:rPr>
          <w:sz w:val="20"/>
          <w:szCs w:val="20"/>
          <w:color w:val="auto"/>
        </w:rPr>
      </w:pPr>
    </w:p>
    <w:p>
      <w:pPr>
        <w:ind w:right="80" w:firstLine="360"/>
        <w:spacing w:after="0" w:line="293" w:lineRule="auto"/>
        <w:rPr>
          <w:sz w:val="20"/>
          <w:szCs w:val="20"/>
          <w:color w:val="auto"/>
        </w:rPr>
      </w:pPr>
      <w:r>
        <w:rPr>
          <w:rFonts w:ascii="Arial" w:cs="Arial" w:eastAsia="Arial" w:hAnsi="Arial"/>
          <w:sz w:val="16"/>
          <w:szCs w:val="16"/>
          <w:color w:val="auto"/>
        </w:rPr>
        <w:t>Section 3. This bond applies to loss discovered by the Insured during the Bond Period. Discovery occurs when the Insured first becomes aware of facts which would cause a reasonable person to assume that a loss of a type covered by this bond has been or will be incurred, regardless of when the act or acts causing or contributing to such loss occurred, even though the exact amount or details of loss may not then be known.</w:t>
      </w:r>
    </w:p>
    <w:p>
      <w:pPr>
        <w:spacing w:after="0" w:line="165" w:lineRule="exact"/>
        <w:rPr>
          <w:sz w:val="20"/>
          <w:szCs w:val="20"/>
          <w:color w:val="auto"/>
        </w:rPr>
      </w:pPr>
    </w:p>
    <w:p>
      <w:pPr>
        <w:ind w:firstLine="360"/>
        <w:spacing w:after="0" w:line="259" w:lineRule="auto"/>
        <w:rPr>
          <w:sz w:val="20"/>
          <w:szCs w:val="20"/>
          <w:color w:val="auto"/>
        </w:rPr>
      </w:pPr>
      <w:r>
        <w:rPr>
          <w:rFonts w:ascii="Arial" w:cs="Arial" w:eastAsia="Arial" w:hAnsi="Arial"/>
          <w:sz w:val="18"/>
          <w:szCs w:val="18"/>
          <w:color w:val="auto"/>
        </w:rPr>
        <w:t>Discovery also occurs when the Insured receives notice of an actual or potential claim in which it is alleged that the Insured is liable to a third party under circumstances which, if true, would constitute a loss under this bond.</w:t>
      </w:r>
    </w:p>
    <w:p>
      <w:pPr>
        <w:spacing w:after="0" w:line="200" w:lineRule="exact"/>
        <w:rPr>
          <w:sz w:val="20"/>
          <w:szCs w:val="20"/>
          <w:color w:val="auto"/>
        </w:rPr>
      </w:pPr>
    </w:p>
    <w:p>
      <w:pPr>
        <w:spacing w:after="0" w:line="203" w:lineRule="exact"/>
        <w:rPr>
          <w:sz w:val="20"/>
          <w:szCs w:val="20"/>
          <w:color w:val="auto"/>
        </w:rPr>
      </w:pPr>
    </w:p>
    <w:p>
      <w:pPr>
        <w:ind w:left="1900"/>
        <w:spacing w:after="0"/>
        <w:rPr>
          <w:sz w:val="20"/>
          <w:szCs w:val="20"/>
          <w:color w:val="auto"/>
        </w:rPr>
      </w:pPr>
      <w:r>
        <w:rPr>
          <w:rFonts w:ascii="Arial" w:cs="Arial" w:eastAsia="Arial" w:hAnsi="Arial"/>
          <w:sz w:val="18"/>
          <w:szCs w:val="18"/>
          <w:color w:val="auto"/>
        </w:rPr>
        <w:t>LIMIT OF LIABILITY</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4.</w:t>
      </w:r>
    </w:p>
    <w:p>
      <w:pPr>
        <w:spacing w:after="0" w:line="225" w:lineRule="exact"/>
        <w:rPr>
          <w:sz w:val="20"/>
          <w:szCs w:val="20"/>
          <w:color w:val="auto"/>
        </w:rPr>
      </w:pPr>
    </w:p>
    <w:p>
      <w:pPr>
        <w:jc w:val="center"/>
        <w:ind w:left="60"/>
        <w:spacing w:after="0"/>
        <w:rPr>
          <w:sz w:val="20"/>
          <w:szCs w:val="20"/>
          <w:color w:val="auto"/>
        </w:rPr>
      </w:pPr>
      <w:r>
        <w:rPr>
          <w:rFonts w:ascii="Arial" w:cs="Arial" w:eastAsia="Arial" w:hAnsi="Arial"/>
          <w:sz w:val="18"/>
          <w:szCs w:val="18"/>
          <w:color w:val="auto"/>
        </w:rPr>
        <w:t>Aggregate Limit of Liability</w:t>
      </w:r>
    </w:p>
    <w:p>
      <w:pPr>
        <w:spacing w:after="0" w:line="225" w:lineRule="exact"/>
        <w:rPr>
          <w:sz w:val="20"/>
          <w:szCs w:val="20"/>
          <w:color w:val="auto"/>
        </w:rPr>
      </w:pPr>
    </w:p>
    <w:p>
      <w:pPr>
        <w:ind w:right="260" w:firstLine="360"/>
        <w:spacing w:after="0" w:line="276" w:lineRule="auto"/>
        <w:rPr>
          <w:sz w:val="20"/>
          <w:szCs w:val="20"/>
          <w:color w:val="auto"/>
        </w:rPr>
      </w:pPr>
      <w:r>
        <w:rPr>
          <w:rFonts w:ascii="Arial" w:cs="Arial" w:eastAsia="Arial" w:hAnsi="Arial"/>
          <w:sz w:val="17"/>
          <w:szCs w:val="17"/>
          <w:color w:val="auto"/>
        </w:rPr>
        <w:t>The Underwriters total liability for all losses discovered during the Bond Period shown in Item 2 of the Declarations shall not exceed the Aggregate Limit of Liability shown in Item 3 of the Declarations. The Aggregate Limit of Liability shall be reduced by the amount of any payment made under the terms of this bond.</w:t>
      </w:r>
    </w:p>
    <w:p>
      <w:pPr>
        <w:spacing w:after="0" w:line="173" w:lineRule="exact"/>
        <w:rPr>
          <w:sz w:val="20"/>
          <w:szCs w:val="20"/>
          <w:color w:val="auto"/>
        </w:rPr>
      </w:pPr>
    </w:p>
    <w:p>
      <w:pPr>
        <w:ind w:right="680" w:firstLine="360"/>
        <w:spacing w:after="0" w:line="277" w:lineRule="auto"/>
        <w:rPr>
          <w:sz w:val="20"/>
          <w:szCs w:val="20"/>
          <w:color w:val="auto"/>
        </w:rPr>
      </w:pPr>
      <w:r>
        <w:rPr>
          <w:rFonts w:ascii="Arial" w:cs="Arial" w:eastAsia="Arial" w:hAnsi="Arial"/>
          <w:sz w:val="18"/>
          <w:szCs w:val="18"/>
          <w:color w:val="auto"/>
        </w:rPr>
        <w:t>Upon exhaustion of the Aggregate Limit of Liability by such payments:</w:t>
      </w:r>
    </w:p>
    <w:p>
      <w:pPr>
        <w:spacing w:after="0" w:line="20" w:lineRule="exact"/>
        <w:rPr>
          <w:sz w:val="20"/>
          <w:szCs w:val="20"/>
          <w:color w:val="auto"/>
        </w:rPr>
      </w:pPr>
      <w:r>
        <w:rPr>
          <w:sz w:val="20"/>
          <w:szCs w:val="20"/>
          <w:color w:val="auto"/>
        </w:rPr>
        <w:br w:type="column"/>
      </w:r>
    </w:p>
    <w:p>
      <w:pPr>
        <w:ind w:right="160" w:firstLine="360"/>
        <w:spacing w:after="0" w:line="302" w:lineRule="auto"/>
        <w:rPr>
          <w:sz w:val="20"/>
          <w:szCs w:val="20"/>
          <w:color w:val="auto"/>
        </w:rPr>
      </w:pPr>
      <w:r>
        <w:rPr>
          <w:rFonts w:ascii="Arial" w:cs="Arial" w:eastAsia="Arial" w:hAnsi="Arial"/>
          <w:sz w:val="16"/>
          <w:szCs w:val="16"/>
          <w:color w:val="auto"/>
        </w:rPr>
        <w:t>Section 6. Any loss of Money, or loss payable in Money, shall be paid, at the option of the Insured, in the Money of the country in which the loss was sustained or in the United States of America dollar equivalent thereof determined at the rate of exchange at the time of payment of such loss.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Securities</w:t>
      </w:r>
    </w:p>
    <w:p>
      <w:pPr>
        <w:spacing w:after="0" w:line="225" w:lineRule="exact"/>
        <w:rPr>
          <w:sz w:val="20"/>
          <w:szCs w:val="20"/>
          <w:color w:val="auto"/>
        </w:rPr>
      </w:pPr>
    </w:p>
    <w:p>
      <w:pPr>
        <w:ind w:right="20" w:firstLine="360"/>
        <w:spacing w:after="0" w:line="268" w:lineRule="auto"/>
        <w:rPr>
          <w:sz w:val="20"/>
          <w:szCs w:val="20"/>
          <w:color w:val="auto"/>
        </w:rPr>
      </w:pPr>
      <w:r>
        <w:rPr>
          <w:rFonts w:ascii="Arial" w:cs="Arial" w:eastAsia="Arial" w:hAnsi="Arial"/>
          <w:sz w:val="17"/>
          <w:szCs w:val="17"/>
          <w:color w:val="auto"/>
        </w:rPr>
        <w:t>The Underwriter shall settle in kind its liability under this bond on account of a loss of any securities or, at the option of the Insured, shall pay to the Insured the cost of replacing such securities, determined by the market value thereof at the time of such settlement. However, if prior to such settlement the Insured shall be compelled by the demands of a third party or by market rules to purchase equivalent securities, and gives written notification of this to the Underwriter, the cost incurred by the Insured shall be taken as the value of those securities. In case of a loss of subscription, conversion or redemption privileges through the misplacement or loss of securities, the amount of such loss shall be the value of such privileges immediately preceding the expiration thereof. If such securities cannot be replaced or have no quoted market value, or if such privileges have no quoted market value, their value shall be determined by agreement or arbitration.</w:t>
      </w:r>
    </w:p>
    <w:p>
      <w:pPr>
        <w:spacing w:after="0" w:line="18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If the applicable coverage of this bond is subject to a Deductible Amount and/or is not sufficient in amount to indemnify the Insured in full for the loss of securities for which claim is made hereunder, the liability of the Underwriter under this bond is limited to the payment for, or the duplication of, so much of such securities as has a value equal to the amount of such applicable coverage.</w:t>
      </w:r>
    </w:p>
    <w:p>
      <w:pPr>
        <w:spacing w:after="0" w:line="2383" w:lineRule="exact"/>
        <w:rPr>
          <w:sz w:val="20"/>
          <w:szCs w:val="20"/>
          <w:color w:val="auto"/>
        </w:rPr>
      </w:pPr>
    </w:p>
    <w:p>
      <w:pPr>
        <w:sectPr>
          <w:pgSz w:w="11900" w:h="16838" w:orient="portrait"/>
          <w:cols w:equalWidth="0" w:num="2">
            <w:col w:w="5440" w:space="380"/>
            <w:col w:w="5600"/>
          </w:cols>
          <w:pgMar w:left="240" w:top="125" w:right="239" w:bottom="1440" w:gutter="0" w:footer="0" w:header="0"/>
        </w:sectPr>
      </w:pPr>
    </w:p>
    <w:p>
      <w:pPr>
        <w:spacing w:after="0" w:line="51"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420"/>
          </w:cols>
          <w:pgMar w:left="240" w:top="125" w:right="239" w:bottom="1440" w:gutter="0" w:footer="0" w:header="0"/>
          <w:type w:val="continuous"/>
        </w:sectPr>
      </w:pPr>
    </w:p>
    <w:bookmarkStart w:id="14" w:name="page15"/>
    <w:bookmarkEnd w:id="14"/>
    <w:p>
      <w:pPr>
        <w:ind w:left="1400"/>
        <w:spacing w:after="0"/>
        <w:rPr>
          <w:sz w:val="20"/>
          <w:szCs w:val="20"/>
          <w:color w:val="auto"/>
        </w:rPr>
      </w:pPr>
      <w:r>
        <w:rPr>
          <w:rFonts w:ascii="Arial" w:cs="Arial" w:eastAsia="Arial" w:hAnsi="Arial"/>
          <w:sz w:val="18"/>
          <w:szCs w:val="18"/>
          <w:color w:val="auto"/>
        </w:rPr>
        <w:t>Books of Account and Other Records</w:t>
      </w:r>
    </w:p>
    <w:p>
      <w:pPr>
        <w:spacing w:after="0" w:line="225" w:lineRule="exact"/>
        <w:rPr>
          <w:sz w:val="20"/>
          <w:szCs w:val="20"/>
          <w:color w:val="auto"/>
        </w:rPr>
      </w:pPr>
    </w:p>
    <w:p>
      <w:pPr>
        <w:ind w:right="20" w:firstLine="360"/>
        <w:spacing w:after="0" w:line="255" w:lineRule="auto"/>
        <w:rPr>
          <w:sz w:val="20"/>
          <w:szCs w:val="20"/>
          <w:color w:val="auto"/>
        </w:rPr>
      </w:pPr>
      <w:r>
        <w:rPr>
          <w:rFonts w:ascii="Arial" w:cs="Arial" w:eastAsia="Arial" w:hAnsi="Arial"/>
          <w:sz w:val="18"/>
          <w:szCs w:val="18"/>
          <w:color w:val="auto"/>
        </w:rPr>
        <w:t>In case of loss of, or damage to, any books of account or other records used by the Insured in its business, the Underwriter shall be liable under this bond only if such books or records are actually reproduced and then for not more than the cost of the blank books, blank pages or other materials plus the cost of labor for the actual transcription or copying of data which shall have been furnished by the Insured in order to reproduce such books and other records.</w:t>
      </w:r>
    </w:p>
    <w:p>
      <w:pPr>
        <w:spacing w:after="0" w:line="200" w:lineRule="exact"/>
        <w:rPr>
          <w:sz w:val="20"/>
          <w:szCs w:val="20"/>
          <w:color w:val="auto"/>
        </w:rPr>
      </w:pPr>
    </w:p>
    <w:p>
      <w:pPr>
        <w:spacing w:after="0" w:line="205"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Property other than Money, Securities or Records</w:t>
      </w:r>
    </w:p>
    <w:p>
      <w:pPr>
        <w:spacing w:after="0" w:line="225" w:lineRule="exact"/>
        <w:rPr>
          <w:sz w:val="20"/>
          <w:szCs w:val="20"/>
          <w:color w:val="auto"/>
        </w:rPr>
      </w:pPr>
    </w:p>
    <w:p>
      <w:pPr>
        <w:ind w:right="60" w:firstLine="360"/>
        <w:spacing w:after="0" w:line="271" w:lineRule="auto"/>
        <w:rPr>
          <w:sz w:val="20"/>
          <w:szCs w:val="20"/>
          <w:color w:val="auto"/>
        </w:rPr>
      </w:pPr>
      <w:r>
        <w:rPr>
          <w:rFonts w:ascii="Arial" w:cs="Arial" w:eastAsia="Arial" w:hAnsi="Arial"/>
          <w:sz w:val="17"/>
          <w:szCs w:val="17"/>
          <w:color w:val="auto"/>
        </w:rPr>
        <w:t>In case of loss of, or damage to, any Property other than Money, securities, books of account or other records, or damage covered under Insuring Agreement (B)(2), the Underwriter shall not be liable for more than the actual cash value of such Property, or of items covered under Insuring Agreement (B)(2). The Underwriter may, at its election, pay the actual cash value of, replace or repair such property Disagreement between the Underwriter and the Insured as to the cash value or as to the adequacy of repair or replacement shall be resolved by arbitration.</w:t>
      </w:r>
    </w:p>
    <w:p>
      <w:pPr>
        <w:spacing w:after="0" w:line="39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Set-Off</w:t>
      </w:r>
    </w:p>
    <w:p>
      <w:pPr>
        <w:spacing w:after="0" w:line="225" w:lineRule="exact"/>
        <w:rPr>
          <w:sz w:val="20"/>
          <w:szCs w:val="20"/>
          <w:color w:val="auto"/>
        </w:rPr>
      </w:pPr>
    </w:p>
    <w:p>
      <w:pPr>
        <w:ind w:right="280" w:firstLine="360"/>
        <w:spacing w:after="0" w:line="264" w:lineRule="auto"/>
        <w:rPr>
          <w:sz w:val="20"/>
          <w:szCs w:val="20"/>
          <w:color w:val="auto"/>
        </w:rPr>
      </w:pPr>
      <w:r>
        <w:rPr>
          <w:rFonts w:ascii="Arial" w:cs="Arial" w:eastAsia="Arial" w:hAnsi="Arial"/>
          <w:sz w:val="18"/>
          <w:szCs w:val="18"/>
          <w:color w:val="auto"/>
        </w:rPr>
        <w:t>Any loss covered under this bond shall be reduced by a set-off consisting of any amount owed to the Employee causing the loss if such loss is covered under Insuring Agreement (A).</w:t>
      </w:r>
    </w:p>
    <w:p>
      <w:pPr>
        <w:spacing w:after="0" w:line="39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ASSIGNMENT — SUBROGATION – RECOVERY – COOPERATION</w:t>
      </w: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Section 7.</w:t>
      </w:r>
    </w:p>
    <w:p>
      <w:pPr>
        <w:spacing w:after="0" w:line="117" w:lineRule="exact"/>
        <w:rPr>
          <w:sz w:val="20"/>
          <w:szCs w:val="20"/>
          <w:color w:val="auto"/>
        </w:rPr>
      </w:pPr>
    </w:p>
    <w:p>
      <w:pPr>
        <w:jc w:val="both"/>
        <w:ind w:right="100" w:firstLine="368"/>
        <w:spacing w:after="0" w:line="259" w:lineRule="auto"/>
        <w:tabs>
          <w:tab w:leader="none" w:pos="6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In the event of payment under this bond, the Insured shall deliver, if so requested by the Underwriter, an assignment of such of the Insured’s rights, title and interest and causes of action as it has against any person or entity to the extent of the loss payment.</w:t>
      </w:r>
    </w:p>
    <w:p>
      <w:pPr>
        <w:spacing w:after="0" w:line="186" w:lineRule="exact"/>
        <w:rPr>
          <w:rFonts w:ascii="Arial" w:cs="Arial" w:eastAsia="Arial" w:hAnsi="Arial"/>
          <w:sz w:val="18"/>
          <w:szCs w:val="18"/>
          <w:color w:val="auto"/>
        </w:rPr>
      </w:pPr>
    </w:p>
    <w:p>
      <w:pPr>
        <w:ind w:right="140" w:firstLine="368"/>
        <w:spacing w:after="0" w:line="286" w:lineRule="auto"/>
        <w:tabs>
          <w:tab w:leader="none" w:pos="6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the event of payment under this bond, the Underwriter shall be subrogated to all of the Insured’s rights of recovery therefor against any person or entity to the extent of such payment.</w:t>
      </w:r>
    </w:p>
    <w:p>
      <w:pPr>
        <w:spacing w:after="0" w:line="165" w:lineRule="exact"/>
        <w:rPr>
          <w:rFonts w:ascii="Arial" w:cs="Arial" w:eastAsia="Arial" w:hAnsi="Arial"/>
          <w:sz w:val="17"/>
          <w:szCs w:val="17"/>
          <w:color w:val="auto"/>
        </w:rPr>
      </w:pPr>
    </w:p>
    <w:p>
      <w:pPr>
        <w:ind w:firstLine="368"/>
        <w:spacing w:after="0" w:line="270" w:lineRule="auto"/>
        <w:tabs>
          <w:tab w:leader="none" w:pos="605" w:val="left"/>
        </w:tabs>
        <w:numPr>
          <w:ilvl w:val="0"/>
          <w:numId w:val="46"/>
        </w:numPr>
        <w:rPr>
          <w:rFonts w:ascii="Arial" w:cs="Arial" w:eastAsia="Arial" w:hAnsi="Arial"/>
          <w:sz w:val="17"/>
          <w:szCs w:val="17"/>
          <w:color w:val="auto"/>
        </w:rPr>
      </w:pPr>
      <w:r>
        <w:rPr>
          <w:rFonts w:ascii="Arial" w:cs="Arial" w:eastAsia="Arial" w:hAnsi="Arial"/>
          <w:sz w:val="17"/>
          <w:szCs w:val="17"/>
          <w:color w:val="auto"/>
        </w:rPr>
        <w:t>Recoveries. whether effected by the Underwriter or by the Insured, shall be applied net of the expense of such recovery first to the satisfaction of the Insured’s loss which would otherwise have been paid but for the fact that it is in excess of either the Single or Aggregate Limit of Liability, secondly, to the Underwriter as reimbursement of amounts paid in settlement of the Insured’s claim, and thirdly, to the Insured in satisfaction of any Deductible Amount. Recovery on account of loss of securities as set forth in the second paragraph of Section 6 or recovery from reinsurance and/or indemnity of the Underwriter shall not be deemed a recovery as used herein</w:t>
      </w:r>
    </w:p>
    <w:p>
      <w:pPr>
        <w:spacing w:after="0" w:line="177" w:lineRule="exact"/>
        <w:rPr>
          <w:rFonts w:ascii="Arial" w:cs="Arial" w:eastAsia="Arial" w:hAnsi="Arial"/>
          <w:sz w:val="17"/>
          <w:szCs w:val="17"/>
          <w:color w:val="auto"/>
        </w:rPr>
      </w:pPr>
    </w:p>
    <w:p>
      <w:pPr>
        <w:ind w:right="40" w:firstLine="368"/>
        <w:spacing w:after="0" w:line="277" w:lineRule="auto"/>
        <w:tabs>
          <w:tab w:leader="none" w:pos="615" w:val="left"/>
        </w:tabs>
        <w:numPr>
          <w:ilvl w:val="0"/>
          <w:numId w:val="46"/>
        </w:numPr>
        <w:rPr>
          <w:rFonts w:ascii="Arial" w:cs="Arial" w:eastAsia="Arial" w:hAnsi="Arial"/>
          <w:sz w:val="18"/>
          <w:szCs w:val="18"/>
          <w:color w:val="auto"/>
        </w:rPr>
      </w:pPr>
      <w:r>
        <w:rPr>
          <w:rFonts w:ascii="Arial" w:cs="Arial" w:eastAsia="Arial" w:hAnsi="Arial"/>
          <w:sz w:val="18"/>
          <w:szCs w:val="18"/>
          <w:color w:val="auto"/>
        </w:rPr>
        <w:t>Upon the Underwriter’s request and at reasonable times and places designated by the Underwriter the Insured shall</w:t>
      </w:r>
    </w:p>
    <w:p>
      <w:pPr>
        <w:spacing w:after="0" w:line="197" w:lineRule="exact"/>
        <w:rPr>
          <w:rFonts w:ascii="Arial" w:cs="Arial" w:eastAsia="Arial" w:hAnsi="Arial"/>
          <w:sz w:val="18"/>
          <w:szCs w:val="18"/>
          <w:color w:val="auto"/>
        </w:rPr>
      </w:pPr>
    </w:p>
    <w:p>
      <w:pPr>
        <w:ind w:left="1100" w:right="140" w:hanging="363"/>
        <w:spacing w:after="0" w:line="277"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submit to examination by the Underwriter and subscribe to the same under oath, and</w:t>
      </w:r>
    </w:p>
    <w:p>
      <w:pPr>
        <w:spacing w:after="0" w:line="197" w:lineRule="exact"/>
        <w:rPr>
          <w:rFonts w:ascii="Arial" w:cs="Arial" w:eastAsia="Arial" w:hAnsi="Arial"/>
          <w:sz w:val="18"/>
          <w:szCs w:val="18"/>
          <w:color w:val="auto"/>
        </w:rPr>
      </w:pPr>
    </w:p>
    <w:p>
      <w:pPr>
        <w:ind w:left="1100" w:right="380" w:hanging="363"/>
        <w:spacing w:after="0" w:line="277"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produce for the Underwriter’s examination all pertinent records; and</w:t>
      </w:r>
    </w:p>
    <w:p>
      <w:pPr>
        <w:spacing w:after="0" w:line="197" w:lineRule="exact"/>
        <w:rPr>
          <w:rFonts w:ascii="Arial" w:cs="Arial" w:eastAsia="Arial" w:hAnsi="Arial"/>
          <w:sz w:val="18"/>
          <w:szCs w:val="18"/>
          <w:color w:val="auto"/>
        </w:rPr>
      </w:pPr>
    </w:p>
    <w:p>
      <w:pPr>
        <w:ind w:left="1100" w:right="180" w:hanging="363"/>
        <w:spacing w:after="0" w:line="277" w:lineRule="auto"/>
        <w:tabs>
          <w:tab w:leader="none" w:pos="11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cooperate with the Underwriter in all matters pertaining to the loss.</w:t>
      </w:r>
    </w:p>
    <w:p>
      <w:pPr>
        <w:spacing w:after="0" w:line="170" w:lineRule="exact"/>
        <w:rPr>
          <w:rFonts w:ascii="Arial" w:cs="Arial" w:eastAsia="Arial" w:hAnsi="Arial"/>
          <w:sz w:val="18"/>
          <w:szCs w:val="18"/>
          <w:color w:val="auto"/>
        </w:rPr>
      </w:pPr>
    </w:p>
    <w:p>
      <w:pPr>
        <w:ind w:right="20" w:firstLine="368"/>
        <w:spacing w:after="0" w:line="259" w:lineRule="auto"/>
        <w:tabs>
          <w:tab w:leader="none" w:pos="60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Insured shall execute all papers and render assistance to secure to the Underwriter the rights and causes of action provided for herein. The insured shall do nothing after discovery of loss to prejudice such rights or causes of action.</w:t>
      </w:r>
    </w:p>
    <w:p>
      <w:pPr>
        <w:spacing w:after="0" w:line="200" w:lineRule="exact"/>
        <w:rPr>
          <w:sz w:val="20"/>
          <w:szCs w:val="20"/>
          <w:color w:val="auto"/>
        </w:rPr>
      </w:pPr>
    </w:p>
    <w:p>
      <w:pPr>
        <w:spacing w:after="0" w:line="203" w:lineRule="exact"/>
        <w:rPr>
          <w:sz w:val="20"/>
          <w:szCs w:val="20"/>
          <w:color w:val="auto"/>
        </w:rPr>
      </w:pPr>
    </w:p>
    <w:p>
      <w:pPr>
        <w:ind w:left="20"/>
        <w:spacing w:after="0"/>
        <w:rPr>
          <w:sz w:val="20"/>
          <w:szCs w:val="20"/>
          <w:color w:val="auto"/>
        </w:rPr>
      </w:pPr>
      <w:r>
        <w:rPr>
          <w:rFonts w:ascii="Arial" w:cs="Arial" w:eastAsia="Arial" w:hAnsi="Arial"/>
          <w:sz w:val="17"/>
          <w:szCs w:val="17"/>
          <w:color w:val="auto"/>
        </w:rPr>
        <w:t>LIMIT OF LIABILITY UNDER THIS BOND AND PRIOR INSURANCE</w:t>
      </w:r>
    </w:p>
    <w:p>
      <w:pPr>
        <w:spacing w:after="0" w:line="20" w:lineRule="exact"/>
        <w:rPr>
          <w:sz w:val="20"/>
          <w:szCs w:val="20"/>
          <w:color w:val="auto"/>
        </w:rPr>
      </w:pPr>
      <w:r>
        <w:rPr>
          <w:sz w:val="20"/>
          <w:szCs w:val="20"/>
          <w:color w:val="auto"/>
        </w:rPr>
        <w:br w:type="column"/>
      </w:r>
    </w:p>
    <w:p>
      <w:pPr>
        <w:ind w:right="100"/>
        <w:spacing w:after="0" w:line="277" w:lineRule="auto"/>
        <w:rPr>
          <w:sz w:val="20"/>
          <w:szCs w:val="20"/>
          <w:color w:val="auto"/>
        </w:rPr>
      </w:pPr>
      <w:r>
        <w:rPr>
          <w:rFonts w:ascii="Arial" w:cs="Arial" w:eastAsia="Arial" w:hAnsi="Arial"/>
          <w:sz w:val="18"/>
          <w:szCs w:val="18"/>
          <w:color w:val="auto"/>
        </w:rPr>
        <w:t>such other bonds or policies, as limited by the terms and conditions thereof, for any such loss if the latter amount be the larger.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-3702685</wp:posOffset>
            </wp:positionH>
            <wp:positionV relativeFrom="paragraph">
              <wp:posOffset>-422275</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50" w:lineRule="exact"/>
        <w:rPr>
          <w:sz w:val="20"/>
          <w:szCs w:val="20"/>
          <w:color w:val="auto"/>
        </w:rPr>
      </w:pPr>
    </w:p>
    <w:p>
      <w:pPr>
        <w:ind w:right="40" w:firstLine="360"/>
        <w:spacing w:after="0" w:line="270" w:lineRule="auto"/>
        <w:rPr>
          <w:sz w:val="20"/>
          <w:szCs w:val="20"/>
          <w:color w:val="auto"/>
        </w:rPr>
      </w:pPr>
      <w:r>
        <w:rPr>
          <w:rFonts w:ascii="Arial" w:cs="Arial" w:eastAsia="Arial" w:hAnsi="Arial"/>
          <w:sz w:val="17"/>
          <w:szCs w:val="17"/>
          <w:color w:val="auto"/>
        </w:rPr>
        <w:t>If the coverage of this bond supersedes in whole or in part the coverage of any other bond or policy of insurance issued by an Insurer other than the Underwriter and terminated, canceled or allowed to expire, the Underwriter, with respect to any loss sustained prior to such termination, cancelation or expiration and discovered within the period permitted under such other bond or policy for the discovery of loss thereunder, shall be liable under this bond only for that part of such loss covered by this bond as is in excess of the amount recoverable or recovered on account of such loss under such other bond or policy, anything to the contrary in such other bond or policy notwithstanding.</w:t>
      </w:r>
    </w:p>
    <w:p>
      <w:pPr>
        <w:spacing w:after="0" w:line="394"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OTHER INSURANCE OR INDEMNITY</w:t>
      </w:r>
    </w:p>
    <w:p>
      <w:pPr>
        <w:spacing w:after="0" w:line="225" w:lineRule="exact"/>
        <w:rPr>
          <w:sz w:val="20"/>
          <w:szCs w:val="20"/>
          <w:color w:val="auto"/>
        </w:rPr>
      </w:pPr>
    </w:p>
    <w:p>
      <w:pPr>
        <w:ind w:right="60" w:firstLine="360"/>
        <w:spacing w:after="0" w:line="273" w:lineRule="auto"/>
        <w:rPr>
          <w:sz w:val="20"/>
          <w:szCs w:val="20"/>
          <w:color w:val="auto"/>
        </w:rPr>
      </w:pPr>
      <w:r>
        <w:rPr>
          <w:rFonts w:ascii="Arial" w:cs="Arial" w:eastAsia="Arial" w:hAnsi="Arial"/>
          <w:sz w:val="17"/>
          <w:szCs w:val="17"/>
          <w:color w:val="auto"/>
        </w:rPr>
        <w:t>Section 9. Coverage afforded hereunder shall apply only as excess over any valid and collectible insurance or indemnity obtained by the Insured, or by one other than the Insured on Property subject to exclusion (q) or by a Transportation Company, or by another entity on whose premises the loss occurred or which employed the person causing the loss or the messenger conveying the Property involved.</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OWNERSHIP</w:t>
      </w:r>
    </w:p>
    <w:p>
      <w:pPr>
        <w:spacing w:after="0" w:line="225"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8"/>
          <w:szCs w:val="18"/>
          <w:color w:val="auto"/>
        </w:rPr>
        <w:t>Section 10. This bond shall apply to loss of Property (1) owned by the Insured, (2) held by the Insured in any capacity, or (3) for which the Insured is legally liable. This bond shall be for the sole use and benefit of the Insured named in the Declarations.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DEDUCTIBLE AMOUNT</w:t>
      </w:r>
    </w:p>
    <w:p>
      <w:pPr>
        <w:spacing w:after="0" w:line="225" w:lineRule="exact"/>
        <w:rPr>
          <w:sz w:val="20"/>
          <w:szCs w:val="20"/>
          <w:color w:val="auto"/>
        </w:rPr>
      </w:pPr>
    </w:p>
    <w:p>
      <w:pPr>
        <w:ind w:right="40" w:firstLine="360"/>
        <w:spacing w:after="0" w:line="276" w:lineRule="auto"/>
        <w:rPr>
          <w:sz w:val="20"/>
          <w:szCs w:val="20"/>
          <w:color w:val="auto"/>
        </w:rPr>
      </w:pPr>
      <w:r>
        <w:rPr>
          <w:rFonts w:ascii="Arial" w:cs="Arial" w:eastAsia="Arial" w:hAnsi="Arial"/>
          <w:sz w:val="17"/>
          <w:szCs w:val="17"/>
          <w:color w:val="auto"/>
        </w:rPr>
        <w:t>Section 11. The Underwriter shall be liable hereunder only for the amount by which any single loss, as defined in Section 4, exceeds the Single Loss Deductible amount for the Insuring Agreement or Coverage applicable to such loss, subject to the Aggregate Limit of Liability and the applicable Single Loss Limit of Liability.</w:t>
      </w:r>
    </w:p>
    <w:p>
      <w:pPr>
        <w:spacing w:after="0" w:line="173" w:lineRule="exact"/>
        <w:rPr>
          <w:sz w:val="20"/>
          <w:szCs w:val="20"/>
          <w:color w:val="auto"/>
        </w:rPr>
      </w:pPr>
    </w:p>
    <w:p>
      <w:pPr>
        <w:ind w:firstLine="360"/>
        <w:spacing w:after="0" w:line="257" w:lineRule="auto"/>
        <w:rPr>
          <w:sz w:val="20"/>
          <w:szCs w:val="20"/>
          <w:color w:val="auto"/>
        </w:rPr>
      </w:pPr>
      <w:r>
        <w:rPr>
          <w:rFonts w:ascii="Arial" w:cs="Arial" w:eastAsia="Arial" w:hAnsi="Arial"/>
          <w:sz w:val="18"/>
          <w:szCs w:val="18"/>
          <w:color w:val="auto"/>
        </w:rPr>
        <w:t>The Insured shall, in the time and in the manner prescribed in this bond, give the Underwriter notice of any loss of the kind covered by the terms of this bond, whether or not the Underwriter is liable therefore, and upon the request of the Underwriter shall file with it a brief statement giving the particulars concerning such loss.</w:t>
      </w:r>
    </w:p>
    <w:p>
      <w:pPr>
        <w:spacing w:after="0" w:line="200" w:lineRule="exact"/>
        <w:rPr>
          <w:sz w:val="20"/>
          <w:szCs w:val="20"/>
          <w:color w:val="auto"/>
        </w:rPr>
      </w:pPr>
    </w:p>
    <w:p>
      <w:pPr>
        <w:spacing w:after="0" w:line="204"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TERMINATION OR CANCELATION</w:t>
      </w:r>
    </w:p>
    <w:p>
      <w:pPr>
        <w:spacing w:after="0" w:line="225" w:lineRule="exact"/>
        <w:rPr>
          <w:sz w:val="20"/>
          <w:szCs w:val="20"/>
          <w:color w:val="auto"/>
        </w:rPr>
      </w:pPr>
    </w:p>
    <w:p>
      <w:pPr>
        <w:ind w:right="20" w:firstLine="360"/>
        <w:spacing w:after="0" w:line="270" w:lineRule="auto"/>
        <w:rPr>
          <w:sz w:val="20"/>
          <w:szCs w:val="20"/>
          <w:color w:val="auto"/>
        </w:rPr>
      </w:pPr>
      <w:r>
        <w:rPr>
          <w:rFonts w:ascii="Arial" w:cs="Arial" w:eastAsia="Arial" w:hAnsi="Arial"/>
          <w:sz w:val="17"/>
          <w:szCs w:val="17"/>
          <w:color w:val="auto"/>
        </w:rPr>
        <w:t>Section 12. This bond terminates as an entirety upon occurrence of any of the following: — (a) 60 days after the receipt by the insured of a written notice from the Underwriter of its desire to cancel this bond, or (b) immediately upon the receipt by the Underwriter of a written notice from the Insured of its desire to cancel this bond, or (c) immediately upon the taking over of the Insured by a receiver or other liquidator or by State or Federal officials, or (d) immediately upon the taking over of the Insured by another institution, or (e) immediately upon exhaustion of the Aggregate Limit of Liability, or (f) immediately upon expiration of the Bond Period as set forth in Item 2 of the Declarations.</w:t>
      </w:r>
    </w:p>
    <w:p>
      <w:pPr>
        <w:spacing w:after="0" w:line="178" w:lineRule="exact"/>
        <w:rPr>
          <w:sz w:val="20"/>
          <w:szCs w:val="20"/>
          <w:color w:val="auto"/>
        </w:rPr>
      </w:pPr>
    </w:p>
    <w:p>
      <w:pPr>
        <w:ind w:right="100" w:firstLine="360"/>
        <w:spacing w:after="0" w:line="253" w:lineRule="auto"/>
        <w:rPr>
          <w:sz w:val="20"/>
          <w:szCs w:val="20"/>
          <w:color w:val="auto"/>
        </w:rPr>
      </w:pPr>
      <w:r>
        <w:rPr>
          <w:rFonts w:ascii="Arial" w:cs="Arial" w:eastAsia="Arial" w:hAnsi="Arial"/>
          <w:sz w:val="18"/>
          <w:szCs w:val="18"/>
          <w:color w:val="auto"/>
        </w:rPr>
        <w:t>This bond terminates as to any Employee or any partner, officer or employee of any Processor — (a) as soon as any Insured, or any director or officer not in collusion with such person, learns of any dishonest or fraudulent act committed by such person at any time, whether in the employment of the Insured or otherwise, whether or not of the type covered under Insuring Agreement (A), against the Insured or any other person or entity, without prejudice to the loss of any Property then in transit in the custody of such person, or (b) 15 days after the receipt by the Insured of a written notice from the Underwriter of its desire to cancel this bond as to such person.</w:t>
      </w:r>
    </w:p>
    <w:p>
      <w:pPr>
        <w:spacing w:after="0" w:line="195" w:lineRule="exact"/>
        <w:rPr>
          <w:sz w:val="20"/>
          <w:szCs w:val="20"/>
          <w:color w:val="auto"/>
        </w:rPr>
      </w:pPr>
    </w:p>
    <w:p>
      <w:pPr>
        <w:ind w:right="40" w:firstLine="360"/>
        <w:spacing w:after="0" w:line="264" w:lineRule="auto"/>
        <w:rPr>
          <w:sz w:val="20"/>
          <w:szCs w:val="20"/>
          <w:color w:val="auto"/>
        </w:rPr>
      </w:pPr>
      <w:r>
        <w:rPr>
          <w:rFonts w:ascii="Arial" w:cs="Arial" w:eastAsia="Arial" w:hAnsi="Arial"/>
          <w:sz w:val="18"/>
          <w:szCs w:val="18"/>
          <w:color w:val="auto"/>
        </w:rPr>
        <w:t>Termination of the bond as to any Insured terminates liability for any loss sustained by such Insured which is discovered after the effective date of such termination.</w:t>
      </w:r>
    </w:p>
    <w:p>
      <w:pPr>
        <w:sectPr>
          <w:pgSz w:w="11900" w:h="16838" w:orient="portrait"/>
          <w:cols w:equalWidth="0" w:num="2">
            <w:col w:w="5480" w:space="340"/>
            <w:col w:w="5560"/>
          </w:cols>
          <w:pgMar w:left="240" w:top="328" w:right="279" w:bottom="0" w:gutter="0" w:footer="0" w:header="0"/>
        </w:sectPr>
      </w:pPr>
    </w:p>
    <w:bookmarkStart w:id="15" w:name="page16"/>
    <w:bookmarkEnd w:id="15"/>
    <w:p>
      <w:pPr>
        <w:ind w:left="360"/>
        <w:spacing w:after="0"/>
        <w:rPr>
          <w:sz w:val="20"/>
          <w:szCs w:val="20"/>
          <w:color w:val="auto"/>
        </w:rPr>
      </w:pPr>
      <w:r>
        <w:rPr>
          <w:rFonts w:ascii="Arial" w:cs="Arial" w:eastAsia="Arial" w:hAnsi="Arial"/>
          <w:sz w:val="18"/>
          <w:szCs w:val="18"/>
          <w:color w:val="auto"/>
        </w:rPr>
        <w:t>Section 8. With respect to any loss set forth in sub-section (c)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4 of this bond which is recoverable or recovered in whole or in part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 any other bonds or policies issued by the Underwriter to the Insured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to any predecessor in interest of the Insured and terminated or canceled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 allowed to expire and in which the period for discovery has not expired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 the time any such loss thereunder is discovered, the total liability of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Underwriter under this bond and under such other bonds or policies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not exceed, in the aggregate, the amount carried hereunder on such loss 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amount available to the Insured 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witness whereof, the Underwriter has caused this bond to be executed on the Declarations page.</w:t>
      </w:r>
    </w:p>
    <w:p>
      <w:pPr>
        <w:spacing w:after="0" w:line="158" w:lineRule="exact"/>
        <w:rPr>
          <w:sz w:val="20"/>
          <w:szCs w:val="20"/>
          <w:color w:val="auto"/>
        </w:rPr>
      </w:pPr>
    </w:p>
    <w:p>
      <w:pPr>
        <w:spacing w:after="0"/>
        <w:tabs>
          <w:tab w:leader="none" w:pos="3800" w:val="left"/>
          <w:tab w:leader="none" w:pos="10580" w:val="left"/>
        </w:tabs>
        <w:rPr>
          <w:sz w:val="20"/>
          <w:szCs w:val="20"/>
          <w:color w:val="auto"/>
        </w:rPr>
      </w:pPr>
      <w:r>
        <w:rPr>
          <w:rFonts w:ascii="Arial" w:cs="Arial" w:eastAsia="Arial" w:hAnsi="Arial"/>
          <w:sz w:val="18"/>
          <w:szCs w:val="18"/>
          <w:color w:val="auto"/>
        </w:rPr>
        <w:t>TSB 5026b</w:t>
      </w:r>
      <w:r>
        <w:rPr>
          <w:sz w:val="20"/>
          <w:szCs w:val="20"/>
          <w:color w:val="auto"/>
        </w:rPr>
        <w:tab/>
      </w:r>
      <w:r>
        <w:rPr>
          <w:rFonts w:ascii="Arial" w:cs="Arial" w:eastAsia="Arial" w:hAnsi="Arial"/>
          <w:sz w:val="18"/>
          <w:szCs w:val="18"/>
          <w:color w:val="auto"/>
        </w:rPr>
        <w:t>Copyright, The Surety Association of America, 1997</w:t>
      </w:r>
      <w:r>
        <w:rPr>
          <w:sz w:val="20"/>
          <w:szCs w:val="20"/>
          <w:color w:val="auto"/>
        </w:rPr>
        <w:tab/>
      </w:r>
      <w:r>
        <w:rPr>
          <w:rFonts w:ascii="Arial" w:cs="Arial" w:eastAsia="Arial" w:hAnsi="Arial"/>
          <w:sz w:val="16"/>
          <w:szCs w:val="16"/>
          <w:color w:val="auto"/>
        </w:rPr>
        <w:t>Page 6 of 6</w:t>
      </w:r>
    </w:p>
    <w:p>
      <w:pPr>
        <w:sectPr>
          <w:pgSz w:w="11900" w:h="16838" w:orient="portrait"/>
          <w:cols w:equalWidth="0" w:num="1">
            <w:col w:w="11420"/>
          </w:cols>
          <w:pgMar w:left="240" w:top="125" w:right="239" w:bottom="1440" w:gutter="0" w:footer="0" w:header="0"/>
        </w:sectPr>
      </w:pPr>
    </w:p>
    <w:bookmarkStart w:id="16" w:name="page17"/>
    <w:bookmarkEnd w:id="1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ONLY SIGNATURES APPLICABLE TO THIS POLICY ARE THOSE REPRESENTING THE COMPANY NAMED ON THE FIRST PAGE OF THE DECLARATIONS.</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By signing and delivering the policy to you, we state that it is a valid contract.</w:t>
      </w: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INDEMNITY INSURANCE COMPANY OF NORTH AMERICA </w:t>
      </w:r>
      <w:r>
        <w:rPr>
          <w:rFonts w:ascii="Arial" w:cs="Arial" w:eastAsia="Arial" w:hAnsi="Arial"/>
          <w:sz w:val="18"/>
          <w:szCs w:val="18"/>
          <w:color w:val="auto"/>
        </w:rPr>
        <w:t>(A stock company)</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FIRE AND MARINE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BANKERS STANDARD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AMERICAN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PROPERTY AND CASUALTY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INSURANCE COMPANY OF NORTH AMERICA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PACIFIC EMPLOYERS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ACE FIRE UNDERWRITERS INSURANCE COMPANY </w:t>
      </w:r>
      <w:r>
        <w:rPr>
          <w:rFonts w:ascii="Arial" w:cs="Arial" w:eastAsia="Arial" w:hAnsi="Arial"/>
          <w:sz w:val="18"/>
          <w:szCs w:val="18"/>
          <w:color w:val="auto"/>
        </w:rPr>
        <w:t>(A stock company)</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WESTCHESTER FIRE INSURANCE COMPANY </w:t>
      </w:r>
      <w:r>
        <w:rPr>
          <w:rFonts w:ascii="Arial" w:cs="Arial" w:eastAsia="Arial" w:hAnsi="Arial"/>
          <w:sz w:val="18"/>
          <w:szCs w:val="18"/>
          <w:color w:val="auto"/>
        </w:rPr>
        <w:t>(A stock company)</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436 Walnut Street, P.O. Box 1000, Philadelphia, Pennsylvania 19106-3703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2143760" cy="3860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43760" cy="38608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169545</wp:posOffset>
            </wp:positionV>
            <wp:extent cx="1869440" cy="7200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69440" cy="720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60"/>
        <w:spacing w:after="0"/>
        <w:tabs>
          <w:tab w:leader="none" w:pos="9320" w:val="left"/>
        </w:tabs>
        <w:rPr>
          <w:sz w:val="20"/>
          <w:szCs w:val="20"/>
          <w:color w:val="auto"/>
        </w:rPr>
      </w:pPr>
      <w:r>
        <w:rPr>
          <w:rFonts w:ascii="Arial" w:cs="Arial" w:eastAsia="Arial" w:hAnsi="Arial"/>
          <w:sz w:val="18"/>
          <w:szCs w:val="18"/>
          <w:color w:val="auto"/>
        </w:rPr>
        <w:t>REBECCA L. COLLINS, Secretary</w:t>
      </w:r>
      <w:r>
        <w:rPr>
          <w:sz w:val="20"/>
          <w:szCs w:val="20"/>
          <w:color w:val="auto"/>
        </w:rPr>
        <w:tab/>
      </w:r>
      <w:r>
        <w:rPr>
          <w:rFonts w:ascii="Arial" w:cs="Arial" w:eastAsia="Arial" w:hAnsi="Arial"/>
          <w:sz w:val="16"/>
          <w:szCs w:val="16"/>
          <w:color w:val="auto"/>
        </w:rPr>
        <w:t>JOHN J. LUPICA,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CC-1K11h (03/14)</w:t>
      </w:r>
    </w:p>
    <w:p>
      <w:pPr>
        <w:sectPr>
          <w:pgSz w:w="11900" w:h="16838" w:orient="portrait"/>
          <w:cols w:equalWidth="0" w:num="1">
            <w:col w:w="11440"/>
          </w:cols>
          <w:pgMar w:left="240" w:top="270" w:right="219" w:bottom="1440" w:gutter="0" w:footer="0" w:header="0"/>
        </w:sectPr>
      </w:pPr>
    </w:p>
    <w:bookmarkStart w:id="17" w:name="page18"/>
    <w:bookmarkEnd w:id="1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To be attached to and form part of Financial Institution Bond, Standard Form No. 14 in favor of TPG Specialty Lending, Inc.</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2380" w:right="820" w:hanging="441"/>
        <w:spacing w:after="0" w:line="277" w:lineRule="auto"/>
        <w:tabs>
          <w:tab w:leader="none" w:pos="2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Subparagraph (d) of Section 5 NOTICE/PROOF – LEGAL PROCEEDINGS AGAINST UNDERW RITER of the Conditions and Limitations of the bond is deleted and replaced by the following:</w:t>
      </w:r>
    </w:p>
    <w:p>
      <w:pPr>
        <w:spacing w:after="0" w:line="62" w:lineRule="exact"/>
        <w:rPr>
          <w:rFonts w:ascii="Arial" w:cs="Arial" w:eastAsia="Arial" w:hAnsi="Arial"/>
          <w:sz w:val="18"/>
          <w:szCs w:val="18"/>
          <w:color w:val="auto"/>
        </w:rPr>
      </w:pPr>
    </w:p>
    <w:p>
      <w:pPr>
        <w:ind w:left="2400" w:right="120" w:firstLine="4"/>
        <w:spacing w:after="0" w:line="342" w:lineRule="auto"/>
        <w:tabs>
          <w:tab w:leader="none" w:pos="2655" w:val="left"/>
        </w:tabs>
        <w:numPr>
          <w:ilvl w:val="1"/>
          <w:numId w:val="47"/>
        </w:numPr>
        <w:rPr>
          <w:rFonts w:ascii="Arial" w:cs="Arial" w:eastAsia="Arial" w:hAnsi="Arial"/>
          <w:sz w:val="16"/>
          <w:szCs w:val="16"/>
          <w:color w:val="auto"/>
        </w:rPr>
      </w:pPr>
      <w:r>
        <w:rPr>
          <w:rFonts w:ascii="Arial" w:cs="Arial" w:eastAsia="Arial" w:hAnsi="Arial"/>
          <w:sz w:val="16"/>
          <w:szCs w:val="16"/>
          <w:color w:val="auto"/>
        </w:rPr>
        <w:t>Legal proceedings for the recovery of any loss hereunder shall not be brought more than two years and one day after the earlier of (1) the date the original proof of loss is filed with the Underwriter, or (2) 6 months after discovery of such loss.</w:t>
      </w:r>
    </w:p>
    <w:p>
      <w:pPr>
        <w:spacing w:after="0" w:line="29" w:lineRule="exact"/>
        <w:rPr>
          <w:rFonts w:ascii="Arial" w:cs="Arial" w:eastAsia="Arial" w:hAnsi="Arial"/>
          <w:sz w:val="16"/>
          <w:szCs w:val="16"/>
          <w:color w:val="auto"/>
        </w:rPr>
      </w:pPr>
    </w:p>
    <w:p>
      <w:pPr>
        <w:ind w:left="2380" w:right="120" w:hanging="441"/>
        <w:spacing w:after="0" w:line="277" w:lineRule="auto"/>
        <w:tabs>
          <w:tab w:leader="none" w:pos="2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new Subparagraph (g) is added to Section 5 NOTICE/PROOF – LEGAL PROCEEDINGS AGAINST UNDERW RITER of the Conditions and Limitations of the bond as follows:</w:t>
      </w:r>
    </w:p>
    <w:p>
      <w:pPr>
        <w:spacing w:after="0" w:line="62" w:lineRule="exact"/>
        <w:rPr>
          <w:rFonts w:ascii="Arial" w:cs="Arial" w:eastAsia="Arial" w:hAnsi="Arial"/>
          <w:sz w:val="18"/>
          <w:szCs w:val="18"/>
          <w:color w:val="auto"/>
        </w:rPr>
      </w:pPr>
    </w:p>
    <w:p>
      <w:pPr>
        <w:ind w:left="2400" w:right="200" w:firstLine="4"/>
        <w:spacing w:after="0" w:line="257" w:lineRule="auto"/>
        <w:tabs>
          <w:tab w:leader="none" w:pos="2655" w:val="left"/>
        </w:tabs>
        <w:numPr>
          <w:ilvl w:val="1"/>
          <w:numId w:val="48"/>
        </w:numPr>
        <w:rPr>
          <w:rFonts w:ascii="Arial" w:cs="Arial" w:eastAsia="Arial" w:hAnsi="Arial"/>
          <w:sz w:val="18"/>
          <w:szCs w:val="18"/>
          <w:color w:val="auto"/>
        </w:rPr>
      </w:pPr>
      <w:r>
        <w:rPr>
          <w:rFonts w:ascii="Arial" w:cs="Arial" w:eastAsia="Arial" w:hAnsi="Arial"/>
          <w:sz w:val="18"/>
          <w:szCs w:val="18"/>
          <w:color w:val="auto"/>
        </w:rPr>
        <w:t>In the event of a legal proceeding against the Insured as described in the NOTICE OF LEGAL PROCEEDINGS – ELECTION TO DEFEND General Agreement of the Bond, the time in which to file a proof of loss pursuant to subparagraph (b) of this Section 5 and the time in which to file suite pursuant to part (2) of subparagraph (d) of this Section 5 shall commence upon the entry of a judgment against the Insured in, or a settlement by the Insured of, such legal proceeding instead of upon discovery of loss.</w:t>
      </w:r>
    </w:p>
    <w:p>
      <w:pPr>
        <w:spacing w:after="0" w:line="93" w:lineRule="exact"/>
        <w:rPr>
          <w:rFonts w:ascii="Arial" w:cs="Arial" w:eastAsia="Arial" w:hAnsi="Arial"/>
          <w:sz w:val="18"/>
          <w:szCs w:val="18"/>
          <w:color w:val="auto"/>
        </w:rPr>
      </w:pPr>
    </w:p>
    <w:p>
      <w:pPr>
        <w:ind w:left="2380" w:right="340" w:hanging="441"/>
        <w:spacing w:after="0" w:line="277" w:lineRule="auto"/>
        <w:tabs>
          <w:tab w:leader="none" w:pos="2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last paragraph of the NOTICE OF LEGAL PROCEEDINGS – ELECTION TO DEFEND General Agreement of the bond is deleted and replaced by the following:</w:t>
      </w:r>
    </w:p>
    <w:p>
      <w:pPr>
        <w:spacing w:after="0" w:line="62" w:lineRule="exact"/>
        <w:rPr>
          <w:rFonts w:ascii="Arial" w:cs="Arial" w:eastAsia="Arial" w:hAnsi="Arial"/>
          <w:sz w:val="18"/>
          <w:szCs w:val="18"/>
          <w:color w:val="auto"/>
        </w:rPr>
      </w:pPr>
    </w:p>
    <w:p>
      <w:pPr>
        <w:ind w:left="2400" w:right="180"/>
        <w:spacing w:after="0" w:line="277" w:lineRule="auto"/>
        <w:rPr>
          <w:rFonts w:ascii="Arial" w:cs="Arial" w:eastAsia="Arial" w:hAnsi="Arial"/>
          <w:sz w:val="18"/>
          <w:szCs w:val="18"/>
          <w:color w:val="auto"/>
        </w:rPr>
      </w:pPr>
      <w:r>
        <w:rPr>
          <w:rFonts w:ascii="Arial" w:cs="Arial" w:eastAsia="Arial" w:hAnsi="Arial"/>
          <w:sz w:val="18"/>
          <w:szCs w:val="18"/>
          <w:color w:val="auto"/>
        </w:rPr>
        <w:t>The Insured must notify the Underwriter within 30 days after such judgment is entered against it or after the insured settles such legal proceeding.</w:t>
      </w:r>
    </w:p>
    <w:p>
      <w:pPr>
        <w:spacing w:after="0" w:line="75" w:lineRule="exact"/>
        <w:rPr>
          <w:rFonts w:ascii="Arial" w:cs="Arial" w:eastAsia="Arial" w:hAnsi="Arial"/>
          <w:sz w:val="18"/>
          <w:szCs w:val="18"/>
          <w:color w:val="auto"/>
        </w:rPr>
      </w:pPr>
    </w:p>
    <w:p>
      <w:pPr>
        <w:ind w:left="2380" w:hanging="441"/>
        <w:spacing w:after="0"/>
        <w:tabs>
          <w:tab w:leader="none" w:pos="2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following is added to the Conditions and Limitations of the bond:</w:t>
      </w:r>
    </w:p>
    <w:p>
      <w:pPr>
        <w:spacing w:after="0" w:line="117" w:lineRule="exact"/>
        <w:rPr>
          <w:rFonts w:ascii="Arial" w:cs="Arial" w:eastAsia="Arial" w:hAnsi="Arial"/>
          <w:sz w:val="18"/>
          <w:szCs w:val="18"/>
          <w:color w:val="auto"/>
        </w:rPr>
      </w:pPr>
    </w:p>
    <w:p>
      <w:pPr>
        <w:ind w:left="2400"/>
        <w:spacing w:after="0"/>
        <w:rPr>
          <w:rFonts w:ascii="Arial" w:cs="Arial" w:eastAsia="Arial" w:hAnsi="Arial"/>
          <w:sz w:val="18"/>
          <w:szCs w:val="18"/>
          <w:color w:val="auto"/>
        </w:rPr>
      </w:pPr>
      <w:r>
        <w:rPr>
          <w:rFonts w:ascii="Arial" w:cs="Arial" w:eastAsia="Arial" w:hAnsi="Arial"/>
          <w:sz w:val="16"/>
          <w:szCs w:val="16"/>
          <w:color w:val="auto"/>
        </w:rPr>
        <w:t>The Underwriter may not cancel or refuse to renew this bond based solely on the fact that any Insured is an elected official.</w:t>
      </w:r>
    </w:p>
    <w:p>
      <w:pPr>
        <w:spacing w:after="0" w:line="153" w:lineRule="exact"/>
        <w:rPr>
          <w:rFonts w:ascii="Arial" w:cs="Arial" w:eastAsia="Arial" w:hAnsi="Arial"/>
          <w:sz w:val="18"/>
          <w:szCs w:val="18"/>
          <w:color w:val="auto"/>
        </w:rPr>
      </w:pPr>
    </w:p>
    <w:p>
      <w:pPr>
        <w:ind w:left="2380" w:hanging="441"/>
        <w:spacing w:after="0"/>
        <w:tabs>
          <w:tab w:leader="none" w:pos="23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rider is effective as of 12:01 a.m. on 03/08/2018.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TEXAS RIDER</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STANDARD FORM NOS. 14, 15, 24 AND 25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ADOPTED MARCH, 2008.</w:t>
      </w:r>
    </w:p>
    <w:p>
      <w:pPr>
        <w:spacing w:after="0" w:line="131" w:lineRule="exact"/>
        <w:rPr>
          <w:sz w:val="20"/>
          <w:szCs w:val="20"/>
          <w:color w:val="auto"/>
        </w:rPr>
      </w:pPr>
    </w:p>
    <w:p>
      <w:pPr>
        <w:spacing w:after="0"/>
        <w:tabs>
          <w:tab w:leader="none" w:pos="3420" w:val="left"/>
          <w:tab w:leader="none" w:pos="10580" w:val="left"/>
        </w:tabs>
        <w:rPr>
          <w:sz w:val="20"/>
          <w:szCs w:val="20"/>
          <w:color w:val="auto"/>
        </w:rPr>
      </w:pPr>
      <w:r>
        <w:rPr>
          <w:rFonts w:ascii="Arial" w:cs="Arial" w:eastAsia="Arial" w:hAnsi="Arial"/>
          <w:sz w:val="18"/>
          <w:szCs w:val="18"/>
          <w:color w:val="auto"/>
        </w:rPr>
        <w:t>SR 6290</w:t>
      </w:r>
      <w:r>
        <w:rPr>
          <w:sz w:val="20"/>
          <w:szCs w:val="20"/>
          <w:color w:val="auto"/>
        </w:rPr>
        <w:tab/>
      </w:r>
      <w:r>
        <w:rPr>
          <w:rFonts w:ascii="Arial" w:cs="Arial" w:eastAsia="Arial" w:hAnsi="Arial"/>
          <w:sz w:val="18"/>
          <w:szCs w:val="18"/>
          <w:color w:val="auto"/>
        </w:rPr>
        <w:t>Copyright The Surety &amp; Fidelity Association of America, 2008</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18" w:name="page19"/>
    <w:bookmarkEnd w:id="1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3</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ADD CERTAIN COMPUTER CRIME INSURING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to add the following:</w:t>
      </w:r>
    </w:p>
    <w:p>
      <w:pPr>
        <w:spacing w:after="0" w:line="131" w:lineRule="exact"/>
        <w:rPr>
          <w:sz w:val="20"/>
          <w:szCs w:val="20"/>
          <w:color w:val="auto"/>
        </w:rPr>
      </w:pPr>
    </w:p>
    <w:p>
      <w:pPr>
        <w:ind w:left="460" w:hanging="452"/>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370" w:lineRule="exact"/>
        <w:rPr>
          <w:sz w:val="20"/>
          <w:szCs w:val="20"/>
          <w:color w:val="auto"/>
        </w:rPr>
      </w:pPr>
    </w:p>
    <w:p>
      <w:pPr>
        <w:ind w:left="920" w:right="7600" w:hanging="345"/>
        <w:spacing w:after="0" w:line="408" w:lineRule="auto"/>
        <w:tabs>
          <w:tab w:leader="none" w:pos="898" w:val="left"/>
        </w:tabs>
        <w:numPr>
          <w:ilvl w:val="0"/>
          <w:numId w:val="51"/>
        </w:numPr>
        <w:rPr>
          <w:rFonts w:ascii="Arial" w:cs="Arial" w:eastAsia="Arial" w:hAnsi="Arial"/>
          <w:sz w:val="17"/>
          <w:szCs w:val="17"/>
          <w:color w:val="auto"/>
        </w:rPr>
      </w:pPr>
      <w:r>
        <w:rPr>
          <w:rFonts w:ascii="Arial" w:cs="Arial" w:eastAsia="Arial" w:hAnsi="Arial"/>
          <w:sz w:val="17"/>
          <w:szCs w:val="17"/>
          <w:b w:val="1"/>
          <w:bCs w:val="1"/>
          <w:color w:val="auto"/>
        </w:rPr>
        <w:t xml:space="preserve">COMPUTER SYSTEMS FRAUD </w:t>
      </w:r>
      <w:r>
        <w:rPr>
          <w:rFonts w:ascii="Arial" w:cs="Arial" w:eastAsia="Arial" w:hAnsi="Arial"/>
          <w:sz w:val="17"/>
          <w:szCs w:val="17"/>
          <w:color w:val="auto"/>
        </w:rPr>
        <w:t>Loss resulting directly from a fraudulent</w:t>
      </w:r>
    </w:p>
    <w:p>
      <w:pPr>
        <w:spacing w:after="0" w:line="1" w:lineRule="exact"/>
        <w:rPr>
          <w:rFonts w:ascii="Arial" w:cs="Arial" w:eastAsia="Arial" w:hAnsi="Arial"/>
          <w:sz w:val="17"/>
          <w:szCs w:val="17"/>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entry of Electronic Data or Computer Program into,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change of Electronic Data or Computer Program within</w:t>
      </w:r>
    </w:p>
    <w:p>
      <w:pPr>
        <w:spacing w:after="0" w:line="117" w:lineRule="exact"/>
        <w:rPr>
          <w:sz w:val="20"/>
          <w:szCs w:val="20"/>
          <w:color w:val="auto"/>
        </w:rPr>
      </w:pPr>
    </w:p>
    <w:p>
      <w:pPr>
        <w:ind w:left="920" w:right="40"/>
        <w:spacing w:after="0" w:line="342" w:lineRule="auto"/>
        <w:rPr>
          <w:sz w:val="20"/>
          <w:szCs w:val="20"/>
          <w:color w:val="auto"/>
        </w:rPr>
      </w:pPr>
      <w:r>
        <w:rPr>
          <w:rFonts w:ascii="Arial" w:cs="Arial" w:eastAsia="Arial" w:hAnsi="Arial"/>
          <w:sz w:val="16"/>
          <w:szCs w:val="16"/>
          <w:color w:val="auto"/>
        </w:rPr>
        <w:t>any Computer System operated by the Insured, whether owned or leased; or any Computer System identified in the application for this bond; or a Computer System first used by the Insured during the bond period, as provided by General Agreement B; provided the entry or change causes</w:t>
      </w:r>
    </w:p>
    <w:p>
      <w:pPr>
        <w:spacing w:after="0" w:line="29" w:lineRule="exact"/>
        <w:rPr>
          <w:sz w:val="20"/>
          <w:szCs w:val="20"/>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account of the Insured, or of its customer, to be added, deleted, debited or credited,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920" w:right="360"/>
        <w:spacing w:after="0" w:line="277" w:lineRule="auto"/>
        <w:rPr>
          <w:sz w:val="20"/>
          <w:szCs w:val="20"/>
          <w:color w:val="auto"/>
        </w:rPr>
      </w:pPr>
      <w:r>
        <w:rPr>
          <w:rFonts w:ascii="Arial" w:cs="Arial" w:eastAsia="Arial" w:hAnsi="Arial"/>
          <w:sz w:val="18"/>
          <w:szCs w:val="18"/>
          <w:color w:val="auto"/>
        </w:rPr>
        <w:t>In this Insuring Agreement, fraudulent entry or change shall include such entry or change made by an employee of the Insured acting in good faith</w:t>
      </w:r>
    </w:p>
    <w:p>
      <w:pPr>
        <w:spacing w:after="0" w:line="76" w:lineRule="exact"/>
        <w:rPr>
          <w:sz w:val="20"/>
          <w:szCs w:val="20"/>
          <w:color w:val="auto"/>
        </w:rPr>
      </w:pPr>
    </w:p>
    <w:p>
      <w:pPr>
        <w:ind w:left="1480" w:right="120" w:hanging="567"/>
        <w:spacing w:after="0" w:line="277"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80" w:right="560" w:hanging="567"/>
        <w:spacing w:after="0" w:line="277" w:lineRule="auto"/>
        <w:tabs>
          <w:tab w:leader="none" w:pos="1480" w:val="left"/>
        </w:tabs>
        <w:numPr>
          <w:ilvl w:val="1"/>
          <w:numId w:val="53"/>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315" w:lineRule="exact"/>
        <w:rPr>
          <w:rFonts w:ascii="Arial" w:cs="Arial" w:eastAsia="Arial" w:hAnsi="Arial"/>
          <w:sz w:val="18"/>
          <w:szCs w:val="18"/>
          <w:color w:val="auto"/>
        </w:rPr>
      </w:pPr>
    </w:p>
    <w:p>
      <w:pPr>
        <w:ind w:left="900" w:hanging="325"/>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DATA PROCESSING SERVICE 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Loss sustained by a Client of the Insured resulting directly from a fraudulent</w:t>
      </w:r>
    </w:p>
    <w:p>
      <w:pPr>
        <w:spacing w:after="0" w:line="131" w:lineRule="exact"/>
        <w:rPr>
          <w:sz w:val="20"/>
          <w:szCs w:val="20"/>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entry of Electronic Data or a Computer Program into, or</w:t>
      </w:r>
    </w:p>
    <w:p>
      <w:pPr>
        <w:spacing w:after="0" w:line="130" w:lineRule="exact"/>
        <w:rPr>
          <w:rFonts w:ascii="Arial" w:cs="Arial" w:eastAsia="Arial" w:hAnsi="Arial"/>
          <w:sz w:val="18"/>
          <w:szCs w:val="18"/>
          <w:color w:val="auto"/>
        </w:rPr>
      </w:pPr>
    </w:p>
    <w:p>
      <w:pPr>
        <w:ind w:left="1480" w:right="260" w:hanging="567"/>
        <w:spacing w:after="0" w:line="277" w:lineRule="auto"/>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 of Electronic Data or a Computer Program within a Computer System covered under the terms of the Computer Systems Fraud Insuring Agreement 1,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entry or change of Electronic Data during electronic transmission or physical transit from the Insured to its Client,</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provided that the entry or change causes</w:t>
      </w:r>
    </w:p>
    <w:p>
      <w:pPr>
        <w:spacing w:after="0" w:line="131" w:lineRule="exact"/>
        <w:rPr>
          <w:sz w:val="20"/>
          <w:szCs w:val="20"/>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property to be transferred, paid or delivered,</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account of the Client, or a customer of the Client, to be added, deleted, debited or credited,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 unauthorized account or a fictitious account to be debited or credited,</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and for which loss the Insured is legally liable to the Client as a provider of data processing services for such Client.</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6</w:t>
      </w:r>
    </w:p>
    <w:p>
      <w:pPr>
        <w:sectPr>
          <w:pgSz w:w="11900" w:h="16838" w:orient="portrait"/>
          <w:cols w:equalWidth="0" w:num="1">
            <w:col w:w="11440"/>
          </w:cols>
          <w:pgMar w:left="240" w:top="270" w:right="219" w:bottom="1440" w:gutter="0" w:footer="0" w:header="0"/>
        </w:sectPr>
      </w:pPr>
    </w:p>
    <w:bookmarkStart w:id="19" w:name="page20"/>
    <w:bookmarkEnd w:id="19"/>
    <w:p>
      <w:pPr>
        <w:ind w:left="920"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this Data Processing Servicing Operations Insuring Agreement, fraudulent entry or change shall include such entry or change made by an employee of the Insured acting in good faith</w:t>
      </w:r>
    </w:p>
    <w:p>
      <w:pPr>
        <w:spacing w:after="0" w:line="76" w:lineRule="exact"/>
        <w:rPr>
          <w:sz w:val="20"/>
          <w:szCs w:val="20"/>
          <w:color w:val="auto"/>
        </w:rPr>
      </w:pPr>
    </w:p>
    <w:p>
      <w:pPr>
        <w:ind w:left="1480" w:right="20" w:hanging="567"/>
        <w:spacing w:after="0" w:line="277"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instruction from a software contractor who has a written agreement with the Insured to design, implement or service programs for a Computer System covered by this Insuring Agreement, or</w:t>
      </w:r>
    </w:p>
    <w:p>
      <w:pPr>
        <w:spacing w:after="0" w:line="75" w:lineRule="exact"/>
        <w:rPr>
          <w:rFonts w:ascii="Arial" w:cs="Arial" w:eastAsia="Arial" w:hAnsi="Arial"/>
          <w:sz w:val="18"/>
          <w:szCs w:val="18"/>
          <w:color w:val="auto"/>
        </w:rPr>
      </w:pPr>
    </w:p>
    <w:p>
      <w:pPr>
        <w:ind w:left="1480" w:right="540" w:hanging="567"/>
        <w:spacing w:after="0" w:line="277" w:lineRule="auto"/>
        <w:tabs>
          <w:tab w:leader="none" w:pos="14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on an instruction transmitted by Tested telex or similar means of Tested communication identified in the application for this policy purportedly sent by a customer, financial institution, or automated clearing house.</w:t>
      </w:r>
    </w:p>
    <w:p>
      <w:pPr>
        <w:spacing w:after="0" w:line="62" w:lineRule="exact"/>
        <w:rPr>
          <w:sz w:val="20"/>
          <w:szCs w:val="20"/>
          <w:color w:val="auto"/>
        </w:rPr>
      </w:pPr>
    </w:p>
    <w:p>
      <w:pPr>
        <w:ind w:left="920" w:right="240"/>
        <w:spacing w:after="0" w:line="277" w:lineRule="auto"/>
        <w:rPr>
          <w:sz w:val="20"/>
          <w:szCs w:val="20"/>
          <w:color w:val="auto"/>
        </w:rPr>
      </w:pPr>
      <w:r>
        <w:rPr>
          <w:rFonts w:ascii="Arial" w:cs="Arial" w:eastAsia="Arial" w:hAnsi="Arial"/>
          <w:sz w:val="18"/>
          <w:szCs w:val="18"/>
          <w:color w:val="auto"/>
        </w:rPr>
        <w:t>In this Data Processing Servicing Operations Insuring Agreement, Client means an entity for whom the Insured serves as data processor under the terms of a written agreement</w:t>
      </w:r>
    </w:p>
    <w:p>
      <w:pPr>
        <w:spacing w:after="0" w:line="315" w:lineRule="exact"/>
        <w:rPr>
          <w:sz w:val="20"/>
          <w:szCs w:val="20"/>
          <w:color w:val="auto"/>
        </w:rPr>
      </w:pPr>
    </w:p>
    <w:p>
      <w:pPr>
        <w:ind w:left="900" w:hanging="446"/>
        <w:spacing w:after="0"/>
        <w:tabs>
          <w:tab w:leader="none" w:pos="900"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VOICE INITIATED TRANSFER FRAUD</w:t>
      </w:r>
    </w:p>
    <w:p>
      <w:pPr>
        <w:spacing w:after="0" w:line="121" w:lineRule="exact"/>
        <w:rPr>
          <w:sz w:val="20"/>
          <w:szCs w:val="20"/>
          <w:color w:val="auto"/>
        </w:rPr>
      </w:pPr>
    </w:p>
    <w:p>
      <w:pPr>
        <w:ind w:left="920" w:right="60"/>
        <w:spacing w:after="0" w:line="264" w:lineRule="auto"/>
        <w:rPr>
          <w:sz w:val="20"/>
          <w:szCs w:val="20"/>
          <w:color w:val="auto"/>
        </w:rPr>
      </w:pPr>
      <w:r>
        <w:rPr>
          <w:rFonts w:ascii="Arial" w:cs="Arial" w:eastAsia="Arial" w:hAnsi="Arial"/>
          <w:sz w:val="18"/>
          <w:szCs w:val="18"/>
          <w:color w:val="auto"/>
        </w:rPr>
        <w:t>Loss resulting directly from the Insured having, in good faith, transferred Funds from a Customer’s account through a Computer System covered under the terms of the Computer Systems Fraud Insuring Agreement in reliance upon a fraudulent voice instruction transmitted by telephone which was purported to be from</w:t>
      </w:r>
    </w:p>
    <w:p>
      <w:pPr>
        <w:spacing w:after="0" w:line="87" w:lineRule="exact"/>
        <w:rPr>
          <w:sz w:val="20"/>
          <w:szCs w:val="20"/>
          <w:color w:val="auto"/>
        </w:rPr>
      </w:pPr>
    </w:p>
    <w:p>
      <w:pPr>
        <w:ind w:left="1480" w:hanging="567"/>
        <w:spacing w:after="0" w:line="277"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officer, director, partner or employee of a Customer of the Insured who was authorized by the Customer to instruct the Insured to make such transfer,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individual person who is a Customer of the Insured, or</w:t>
      </w:r>
    </w:p>
    <w:p>
      <w:pPr>
        <w:spacing w:after="0" w:line="130" w:lineRule="exact"/>
        <w:rPr>
          <w:rFonts w:ascii="Arial" w:cs="Arial" w:eastAsia="Arial" w:hAnsi="Arial"/>
          <w:sz w:val="18"/>
          <w:szCs w:val="18"/>
          <w:color w:val="auto"/>
        </w:rPr>
      </w:pPr>
    </w:p>
    <w:p>
      <w:pPr>
        <w:jc w:val="both"/>
        <w:ind w:left="1480" w:right="100" w:hanging="567"/>
        <w:spacing w:after="0" w:line="264" w:lineRule="auto"/>
        <w:tabs>
          <w:tab w:leader="none" w:pos="14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employee of the Insured in another office of the Insured who was authorized by the Insured to instruct other employees of the Insured to transfer Funds, and was received by an employees of the Insured specifically designated to receive and act upon such instructions, but the voice instruction was not from a person described in (1), (2), or (3) above,</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provided that</w:t>
      </w:r>
    </w:p>
    <w:p>
      <w:pPr>
        <w:spacing w:after="0" w:line="131" w:lineRule="exact"/>
        <w:rPr>
          <w:sz w:val="20"/>
          <w:szCs w:val="20"/>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such voice instruction was electronically recorded by the Insured and required password(s) or code word(s) given;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the transfer was in excess of $50,000, the voice instruction was verified by a call-back according to a prearranged procedure.</w:t>
      </w:r>
    </w:p>
    <w:p>
      <w:pPr>
        <w:spacing w:after="0" w:line="117" w:lineRule="exact"/>
        <w:rPr>
          <w:sz w:val="20"/>
          <w:szCs w:val="20"/>
          <w:color w:val="auto"/>
        </w:rPr>
      </w:pPr>
    </w:p>
    <w:p>
      <w:pPr>
        <w:ind w:left="460" w:right="200"/>
        <w:spacing w:after="0" w:line="286" w:lineRule="auto"/>
        <w:rPr>
          <w:sz w:val="20"/>
          <w:szCs w:val="20"/>
          <w:color w:val="auto"/>
        </w:rPr>
      </w:pPr>
      <w:r>
        <w:rPr>
          <w:rFonts w:ascii="Arial" w:cs="Arial" w:eastAsia="Arial" w:hAnsi="Arial"/>
          <w:sz w:val="17"/>
          <w:szCs w:val="17"/>
          <w:color w:val="auto"/>
        </w:rPr>
        <w:t>As used in this Voice Initiated Transfer Fraud Insuring Agreement, Customer means an entity or individual which has a written agreement with the Insured authorizing the Insured to rely on voice instructions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TELEFACSIMILE TRANSFER FRAUD</w:t>
      </w:r>
    </w:p>
    <w:p>
      <w:pPr>
        <w:spacing w:after="0" w:line="121"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color w:val="auto"/>
        </w:rPr>
        <w:t>Loss resulting directly from the Insured having, in good faith, transferred or delivered Funds, Certificated Securities or Uncertificated Securities through a Computer System covered under the terms of Insuring Agreement 1 in reliance upon a fraudulent instruction received though a Telefacsimile Device, and which instruction</w:t>
      </w:r>
    </w:p>
    <w:p>
      <w:pPr>
        <w:spacing w:after="0" w:line="87" w:lineRule="exact"/>
        <w:rPr>
          <w:sz w:val="20"/>
          <w:szCs w:val="20"/>
          <w:color w:val="auto"/>
        </w:rPr>
      </w:pPr>
    </w:p>
    <w:p>
      <w:pPr>
        <w:ind w:left="900" w:hanging="446"/>
        <w:spacing w:after="0"/>
        <w:tabs>
          <w:tab w:leader="none" w:pos="9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purports and reasonably appears to have originated from,</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 Customer of the Insured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another financial institution, or</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another office of the Insured</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but, in fact, was not originated by the Customer or entity whose identification it bears and</w:t>
      </w:r>
    </w:p>
    <w:p>
      <w:pPr>
        <w:spacing w:after="0" w:line="131" w:lineRule="exact"/>
        <w:rPr>
          <w:sz w:val="20"/>
          <w:szCs w:val="20"/>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contains a valid test code which proves to have been used by a person who was not authorized to make use of it,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contains the name of a person authorized to initiate such transfer;</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2 of 6</w:t>
      </w:r>
    </w:p>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 if the transfer was in excess of $50,000, the instruction was verified by a call-back according to a prearranged procedure.</w:t>
      </w:r>
    </w:p>
    <w:p>
      <w:pPr>
        <w:spacing w:after="0" w:line="117" w:lineRule="exact"/>
        <w:rPr>
          <w:sz w:val="20"/>
          <w:szCs w:val="20"/>
          <w:color w:val="auto"/>
        </w:rPr>
      </w:pPr>
    </w:p>
    <w:p>
      <w:pPr>
        <w:ind w:left="460" w:right="120"/>
        <w:spacing w:after="0" w:line="286" w:lineRule="auto"/>
        <w:rPr>
          <w:sz w:val="20"/>
          <w:szCs w:val="20"/>
          <w:color w:val="auto"/>
        </w:rPr>
      </w:pPr>
      <w:r>
        <w:rPr>
          <w:rFonts w:ascii="Arial" w:cs="Arial" w:eastAsia="Arial" w:hAnsi="Arial"/>
          <w:sz w:val="17"/>
          <w:szCs w:val="17"/>
          <w:color w:val="auto"/>
        </w:rPr>
        <w:t>As used in this Telefacsimile Transfer Fraud Insuring Agreement, Customer means an entity or individual which has a written agreement with the Insured authorizing the Insured to rely on Telefacsimile Device instruction to initiate transfers and had provided the Insured with the names of persons authorized to initiate such transfers, and with which the Insured has established an instruction verification mechanism.</w:t>
      </w:r>
    </w:p>
    <w:p>
      <w:pPr>
        <w:spacing w:after="0" w:line="310" w:lineRule="exact"/>
        <w:rPr>
          <w:sz w:val="20"/>
          <w:szCs w:val="20"/>
          <w:color w:val="auto"/>
        </w:rPr>
      </w:pPr>
    </w:p>
    <w:p>
      <w:pPr>
        <w:ind w:left="900" w:hanging="446"/>
        <w:spacing w:after="0"/>
        <w:tabs>
          <w:tab w:leader="none" w:pos="90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HACKER</w:t>
      </w:r>
    </w:p>
    <w:p>
      <w:pPr>
        <w:spacing w:after="0" w:line="121" w:lineRule="exact"/>
        <w:rPr>
          <w:sz w:val="20"/>
          <w:szCs w:val="20"/>
          <w:color w:val="auto"/>
        </w:rPr>
      </w:pPr>
    </w:p>
    <w:p>
      <w:pPr>
        <w:ind w:left="460" w:right="160"/>
        <w:spacing w:after="0" w:line="342" w:lineRule="auto"/>
        <w:rPr>
          <w:sz w:val="20"/>
          <w:szCs w:val="20"/>
          <w:color w:val="auto"/>
        </w:rPr>
      </w:pPr>
      <w:r>
        <w:rPr>
          <w:rFonts w:ascii="Arial" w:cs="Arial" w:eastAsia="Arial" w:hAnsi="Arial"/>
          <w:sz w:val="16"/>
          <w:szCs w:val="16"/>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w:t>
      </w:r>
    </w:p>
    <w:p>
      <w:pPr>
        <w:spacing w:after="0" w:line="124" w:lineRule="exact"/>
        <w:rPr>
          <w:sz w:val="20"/>
          <w:szCs w:val="20"/>
          <w:color w:val="auto"/>
        </w:rPr>
      </w:pPr>
    </w:p>
    <w:p>
      <w:pPr>
        <w:ind w:left="460" w:right="260"/>
        <w:spacing w:after="0" w:line="277" w:lineRule="auto"/>
        <w:rPr>
          <w:sz w:val="20"/>
          <w:szCs w:val="20"/>
          <w:color w:val="auto"/>
        </w:rPr>
      </w:pPr>
      <w:r>
        <w:rPr>
          <w:rFonts w:ascii="Arial" w:cs="Arial" w:eastAsia="Arial" w:hAnsi="Arial"/>
          <w:sz w:val="18"/>
          <w:szCs w:val="18"/>
          <w:color w:val="auto"/>
        </w:rPr>
        <w:t>The liability of the Company shall be limited to the cost of duplication of such Electronic Data or Computer Programs from other Electronic Data or Computer Programs which shall have been furnished by the Insured.</w:t>
      </w:r>
    </w:p>
    <w:p>
      <w:pPr>
        <w:spacing w:after="0" w:line="170" w:lineRule="exact"/>
        <w:rPr>
          <w:sz w:val="20"/>
          <w:szCs w:val="20"/>
          <w:color w:val="auto"/>
        </w:rPr>
      </w:pPr>
    </w:p>
    <w:p>
      <w:pPr>
        <w:ind w:left="460" w:right="120"/>
        <w:spacing w:after="0" w:line="264"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Company will pay the cost incurred for computer time, computer programmers, consultants or other technical specialists as is reasonably necessary to restore the Computer Programs to substantially the previous level of operational capability.</w:t>
      </w:r>
    </w:p>
    <w:p>
      <w:pPr>
        <w:spacing w:after="0" w:line="326" w:lineRule="exact"/>
        <w:rPr>
          <w:sz w:val="20"/>
          <w:szCs w:val="20"/>
          <w:color w:val="auto"/>
        </w:rPr>
      </w:pPr>
    </w:p>
    <w:p>
      <w:pPr>
        <w:ind w:left="900" w:hanging="446"/>
        <w:spacing w:after="0"/>
        <w:tabs>
          <w:tab w:leader="none" w:pos="900"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DESTRUCTION OF DATA OR PROGRAMS BY VIRUS</w:t>
      </w:r>
    </w:p>
    <w:p>
      <w:pPr>
        <w:spacing w:after="0" w:line="121" w:lineRule="exact"/>
        <w:rPr>
          <w:sz w:val="20"/>
          <w:szCs w:val="20"/>
          <w:color w:val="auto"/>
        </w:rPr>
      </w:pPr>
    </w:p>
    <w:p>
      <w:pPr>
        <w:ind w:left="460" w:right="20"/>
        <w:spacing w:after="0" w:line="257" w:lineRule="auto"/>
        <w:rPr>
          <w:sz w:val="20"/>
          <w:szCs w:val="20"/>
          <w:color w:val="auto"/>
        </w:rPr>
      </w:pPr>
      <w:r>
        <w:rPr>
          <w:rFonts w:ascii="Arial" w:cs="Arial" w:eastAsia="Arial" w:hAnsi="Arial"/>
          <w:sz w:val="18"/>
          <w:szCs w:val="18"/>
          <w:color w:val="auto"/>
        </w:rPr>
        <w:t>Loss resulting directly from the malicious destruction of, or damage to, Electronic Data or Computer Programs owned by the Insured or for which the Insured is legally liable while stored within a Computer System covered under the terms of the Computer Systems Fraud Insuring Agreement if such destruction or damage was caused by a computer program or similar instruction which was written or altered to incorporate a hidden instruction designed to destroy or damage Electronic Data or Computer Programs in the Computer System in which the computer program or instruction so written or so altered is used.</w:t>
      </w:r>
    </w:p>
    <w:p>
      <w:pPr>
        <w:spacing w:after="0" w:line="188"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color w:val="auto"/>
        </w:rPr>
        <w:t>The liability of the Underwriter shall be limited to the cost of duplication of such Electronic Data or Computer Programs from other Electronic Data or Computer Programs which shall have been furnished by the Insured.</w:t>
      </w:r>
    </w:p>
    <w:p>
      <w:pPr>
        <w:spacing w:after="0" w:line="62" w:lineRule="exact"/>
        <w:rPr>
          <w:sz w:val="20"/>
          <w:szCs w:val="20"/>
          <w:color w:val="auto"/>
        </w:rPr>
      </w:pPr>
    </w:p>
    <w:p>
      <w:pPr>
        <w:ind w:left="460" w:right="200"/>
        <w:spacing w:after="0" w:line="264" w:lineRule="auto"/>
        <w:rPr>
          <w:sz w:val="20"/>
          <w:szCs w:val="20"/>
          <w:color w:val="auto"/>
        </w:rPr>
      </w:pPr>
      <w:r>
        <w:rPr>
          <w:rFonts w:ascii="Arial" w:cs="Arial" w:eastAsia="Arial" w:hAnsi="Arial"/>
          <w:sz w:val="18"/>
          <w:szCs w:val="18"/>
          <w:color w:val="auto"/>
        </w:rPr>
        <w:t>In the event, however, that destroyed or damaged Computer Programs cannot be duplicated from other Computer Programs, the Underwriter will pay the cost incurred for computer time, computer programmers, consultants, or other technical specialists as is reasonably necessary to restore the Computer Programs to substantially the previous level of operational capability.</w:t>
      </w:r>
    </w:p>
    <w:p>
      <w:pPr>
        <w:spacing w:after="0" w:line="7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Special Condition:</w:t>
      </w:r>
    </w:p>
    <w:p>
      <w:pPr>
        <w:spacing w:after="0" w:line="117" w:lineRule="exact"/>
        <w:rPr>
          <w:sz w:val="20"/>
          <w:szCs w:val="20"/>
          <w:color w:val="auto"/>
        </w:rPr>
      </w:pPr>
    </w:p>
    <w:p>
      <w:pPr>
        <w:ind w:left="460" w:right="80"/>
        <w:spacing w:after="0" w:line="286" w:lineRule="auto"/>
        <w:rPr>
          <w:sz w:val="20"/>
          <w:szCs w:val="20"/>
          <w:color w:val="auto"/>
        </w:rPr>
      </w:pPr>
      <w:r>
        <w:rPr>
          <w:rFonts w:ascii="Arial" w:cs="Arial" w:eastAsia="Arial" w:hAnsi="Arial"/>
          <w:sz w:val="17"/>
          <w:szCs w:val="17"/>
          <w:color w:val="auto"/>
        </w:rPr>
        <w:t>Under this Destruction Of Data Or Programs By Virus Insuring Agreement, “Single Loss” means all covered costs incurred by the Insured between the time destruction or damage is discovered and the time the Computer System is restored to substantially the previous level of operational capability. Recurrence of destruction or damage after the Computer System is restored shall constitute a separate “Single Loss”.</w:t>
      </w:r>
    </w:p>
    <w:p>
      <w:pPr>
        <w:spacing w:after="0" w:line="310" w:lineRule="exact"/>
        <w:rPr>
          <w:sz w:val="20"/>
          <w:szCs w:val="20"/>
          <w:color w:val="auto"/>
        </w:rPr>
      </w:pPr>
    </w:p>
    <w:p>
      <w:pPr>
        <w:ind w:left="900" w:hanging="446"/>
        <w:spacing w:after="0"/>
        <w:tabs>
          <w:tab w:leader="none" w:pos="900" w:val="left"/>
        </w:tabs>
        <w:numPr>
          <w:ilvl w:val="0"/>
          <w:numId w:val="65"/>
        </w:numPr>
        <w:rPr>
          <w:rFonts w:ascii="Arial" w:cs="Arial" w:eastAsia="Arial" w:hAnsi="Arial"/>
          <w:sz w:val="18"/>
          <w:szCs w:val="18"/>
          <w:color w:val="auto"/>
        </w:rPr>
      </w:pPr>
      <w:r>
        <w:rPr>
          <w:rFonts w:ascii="Arial" w:cs="Arial" w:eastAsia="Arial" w:hAnsi="Arial"/>
          <w:sz w:val="18"/>
          <w:szCs w:val="18"/>
          <w:b w:val="1"/>
          <w:bCs w:val="1"/>
          <w:color w:val="auto"/>
        </w:rPr>
        <w:t>VOICE COMPUTER SYSTEM FRAUD</w:t>
      </w:r>
    </w:p>
    <w:p>
      <w:pPr>
        <w:spacing w:after="0" w:line="121"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Loss resulting directly from charges for voice telephone long-distance toll calls which were incurred due to the fraudulent use or fraudulent manipulation of an Account Code or System Password required to obtain access to a Voice Computer System owned or leased by the Insured, installed on the Insured’s premises, whose System Administration is performed and controlled by the Insured; provided, however, that the unauthorized access was not made possible by</w:t>
      </w:r>
    </w:p>
    <w:p>
      <w:pPr>
        <w:spacing w:after="0" w:line="119"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3 of 6</w:t>
      </w:r>
    </w:p>
    <w:p>
      <w:pPr>
        <w:sectPr>
          <w:pgSz w:w="11900" w:h="16838" w:orient="portrait"/>
          <w:cols w:equalWidth="0" w:num="1">
            <w:col w:w="11420"/>
          </w:cols>
          <w:pgMar w:left="240" w:top="274" w:right="239" w:bottom="1440" w:gutter="0" w:footer="0" w:header="0"/>
        </w:sectPr>
      </w:pPr>
    </w:p>
    <w:bookmarkStart w:id="21" w:name="page22"/>
    <w:bookmarkEnd w:id="21"/>
    <w:p>
      <w:pPr>
        <w:ind w:left="900" w:hanging="446"/>
        <w:spacing w:after="0"/>
        <w:tabs>
          <w:tab w:leader="none" w:pos="900" w:val="left"/>
        </w:tabs>
        <w:numPr>
          <w:ilvl w:val="0"/>
          <w:numId w:val="6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failure to incorporate a System Password feature or failure to change the System Password at least once every 30 days thereafter, or</w:t>
      </w:r>
    </w:p>
    <w:p>
      <w:pPr>
        <w:spacing w:after="0" w:line="142" w:lineRule="exact"/>
        <w:rPr>
          <w:rFonts w:ascii="Arial" w:cs="Arial" w:eastAsia="Arial" w:hAnsi="Arial"/>
          <w:sz w:val="17"/>
          <w:szCs w:val="17"/>
          <w:color w:val="auto"/>
        </w:rPr>
      </w:pPr>
    </w:p>
    <w:p>
      <w:pPr>
        <w:ind w:left="900" w:right="320" w:hanging="446"/>
        <w:spacing w:after="0" w:line="277"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failure to have a call-disconnect feature in operation to automatically terminate a caller’s access to the Voice Computer System after not more than three unsuccessful attempts to input an Account Code.</w:t>
      </w:r>
    </w:p>
    <w:p>
      <w:pPr>
        <w:spacing w:after="0" w:line="6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Special Condition:</w:t>
      </w:r>
    </w:p>
    <w:p>
      <w:pPr>
        <w:spacing w:after="0" w:line="117" w:lineRule="exact"/>
        <w:rPr>
          <w:sz w:val="20"/>
          <w:szCs w:val="20"/>
          <w:color w:val="auto"/>
        </w:rPr>
      </w:pPr>
    </w:p>
    <w:p>
      <w:pPr>
        <w:jc w:val="both"/>
        <w:ind w:left="920"/>
        <w:spacing w:after="0" w:line="264" w:lineRule="auto"/>
        <w:rPr>
          <w:sz w:val="20"/>
          <w:szCs w:val="20"/>
          <w:color w:val="auto"/>
        </w:rPr>
      </w:pPr>
      <w:r>
        <w:rPr>
          <w:rFonts w:ascii="Arial" w:cs="Arial" w:eastAsia="Arial" w:hAnsi="Arial"/>
          <w:sz w:val="18"/>
          <w:szCs w:val="18"/>
          <w:color w:val="auto"/>
        </w:rPr>
        <w:t>Under this Voice Computer System Fraud Insuring Agreement, “Single Loss” means loss resulting from toll call charges made only on telephone lines directly controlled by one Voice Computer System and only toll call charges occurring for a period of not more than 30 days inclusive of the date on which the first such toll call charge was made.</w:t>
      </w:r>
    </w:p>
    <w:p>
      <w:pPr>
        <w:spacing w:after="0" w:line="87" w:lineRule="exact"/>
        <w:rPr>
          <w:sz w:val="20"/>
          <w:szCs w:val="20"/>
          <w:color w:val="auto"/>
        </w:rPr>
      </w:pPr>
    </w:p>
    <w:p>
      <w:pPr>
        <w:ind w:left="460" w:right="1560" w:hanging="452"/>
        <w:spacing w:after="0" w:line="383" w:lineRule="auto"/>
        <w:tabs>
          <w:tab w:leader="none" w:pos="4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Subsection B, Additional Offices Or Employees – Consolidation, Merger Or Purchase Of Assets, is amended to add the following: As used in this subsection, “assets” includes a Computer System.</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Section I, Definitions, of the Conditions And Limitations, is amended to add the following</w:t>
      </w:r>
    </w:p>
    <w:p>
      <w:pPr>
        <w:spacing w:after="0" w:line="130" w:lineRule="exact"/>
        <w:rPr>
          <w:rFonts w:ascii="Arial" w:cs="Arial" w:eastAsia="Arial" w:hAnsi="Arial"/>
          <w:sz w:val="18"/>
          <w:szCs w:val="18"/>
          <w:color w:val="auto"/>
        </w:rPr>
      </w:pPr>
    </w:p>
    <w:p>
      <w:pPr>
        <w:ind w:left="900" w:right="200" w:hanging="446"/>
        <w:spacing w:after="0" w:line="264"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Account Code means a confidential and protected string of characters which identifies or authenticates a person and permits that person to gain access to a Voice Computer System for the purpose of making toll calls or utilizing voice mail box messaging capabilities or other similar functional features of the System.</w:t>
      </w:r>
    </w:p>
    <w:p>
      <w:pPr>
        <w:spacing w:after="0" w:line="86" w:lineRule="exact"/>
        <w:rPr>
          <w:rFonts w:ascii="Arial" w:cs="Arial" w:eastAsia="Arial" w:hAnsi="Arial"/>
          <w:sz w:val="18"/>
          <w:szCs w:val="18"/>
          <w:color w:val="auto"/>
        </w:rPr>
      </w:pPr>
    </w:p>
    <w:p>
      <w:pPr>
        <w:ind w:left="900" w:right="80" w:hanging="446"/>
        <w:spacing w:after="0" w:line="277" w:lineRule="auto"/>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Computer Program means a set of related electronic instructions which direct the operations and functions of a computer or devices connected to it which enable the computer or devices to receive, process, store or send Electronic Data.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Computer System means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computers with related peripheral components, including storage components wherever located,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systems and applications software,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terminal devices,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2"/>
          <w:numId w:val="67"/>
        </w:numPr>
        <w:rPr>
          <w:rFonts w:ascii="Arial" w:cs="Arial" w:eastAsia="Arial" w:hAnsi="Arial"/>
          <w:sz w:val="18"/>
          <w:szCs w:val="18"/>
          <w:color w:val="auto"/>
        </w:rPr>
      </w:pPr>
      <w:r>
        <w:rPr>
          <w:rFonts w:ascii="Arial" w:cs="Arial" w:eastAsia="Arial" w:hAnsi="Arial"/>
          <w:sz w:val="18"/>
          <w:szCs w:val="18"/>
          <w:color w:val="auto"/>
        </w:rPr>
        <w:t>related communication networks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which Electronic Data are electronically collected, transmitted, processed, stored and retrieved.</w:t>
      </w:r>
    </w:p>
    <w:p>
      <w:pPr>
        <w:spacing w:after="0" w:line="131" w:lineRule="exact"/>
        <w:rPr>
          <w:sz w:val="20"/>
          <w:szCs w:val="20"/>
          <w:color w:val="auto"/>
        </w:rPr>
      </w:pPr>
    </w:p>
    <w:p>
      <w:pPr>
        <w:ind w:left="900" w:right="420" w:hanging="446"/>
        <w:spacing w:after="0" w:line="277"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Electronic Data means facts or information converted to a form usable in a Computer System by Computer Programs and which is stored on magnetic tapes or disks, or optical storage disks or other bulk media.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Funds means Money on deposit in an account.</w:t>
      </w:r>
    </w:p>
    <w:p>
      <w:pPr>
        <w:spacing w:after="0" w:line="130" w:lineRule="exact"/>
        <w:rPr>
          <w:rFonts w:ascii="Arial" w:cs="Arial" w:eastAsia="Arial" w:hAnsi="Arial"/>
          <w:sz w:val="18"/>
          <w:szCs w:val="18"/>
          <w:color w:val="auto"/>
        </w:rPr>
      </w:pPr>
    </w:p>
    <w:p>
      <w:pPr>
        <w:ind w:left="900" w:right="140" w:hanging="446"/>
        <w:spacing w:after="0" w:line="276" w:lineRule="auto"/>
        <w:tabs>
          <w:tab w:leader="none" w:pos="9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System Administration means the performance of security functions including but not limited to defining authorized persons to access a Voice Computer System and adding, changing and deleting Account Codes or passwords in connection therewith; and invoking or revoking a System option which directs telephone call routing or which adds, moves or drops telephone lines or which performs any other similar activity allowed by a hardware or software-based System option that has been incorporated by a manufacturer or vendor into a System or any component thereof provided said System option is not intended for the sole use of such manufacturer or vendor.</w:t>
      </w:r>
    </w:p>
    <w:p>
      <w:pPr>
        <w:spacing w:after="0" w:line="77" w:lineRule="exact"/>
        <w:rPr>
          <w:rFonts w:ascii="Arial" w:cs="Arial" w:eastAsia="Arial" w:hAnsi="Arial"/>
          <w:sz w:val="17"/>
          <w:szCs w:val="17"/>
          <w:color w:val="auto"/>
        </w:rPr>
      </w:pPr>
    </w:p>
    <w:p>
      <w:pPr>
        <w:jc w:val="both"/>
        <w:ind w:left="900" w:right="32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System Maintenance means the performance of hard-ware and software installation, diagnostics and corrections and similar activities that are performed in the usual custom and practice by a manufacturer or vendor to establish or maintain the basic operational functionality of a Voice Computer System or any component thereof.</w:t>
      </w:r>
    </w:p>
    <w:p>
      <w:pPr>
        <w:spacing w:after="0" w:line="86" w:lineRule="exact"/>
        <w:rPr>
          <w:rFonts w:ascii="Arial" w:cs="Arial" w:eastAsia="Arial" w:hAnsi="Arial"/>
          <w:sz w:val="18"/>
          <w:szCs w:val="18"/>
          <w:color w:val="auto"/>
        </w:rPr>
      </w:pPr>
    </w:p>
    <w:p>
      <w:pPr>
        <w:jc w:val="both"/>
        <w:ind w:left="900" w:right="280" w:hanging="446"/>
        <w:spacing w:after="0" w:line="264" w:lineRule="auto"/>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System Password means a confidential and protected string of characters, which identifies or authenticates a person and permits that person to gain access to a Voice Computer System or any portion thereof for the purpose of performing System Administration or System Maintenance activities.</w:t>
      </w:r>
    </w:p>
    <w:p>
      <w:pPr>
        <w:spacing w:after="0" w:line="114"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4 of 6</w:t>
      </w:r>
    </w:p>
    <w:p>
      <w:pPr>
        <w:sectPr>
          <w:pgSz w:w="11900" w:h="16838" w:orient="portrait"/>
          <w:cols w:equalWidth="0" w:num="1">
            <w:col w:w="11420"/>
          </w:cols>
          <w:pgMar w:left="240" w:top="274" w:right="239" w:bottom="1440" w:gutter="0" w:footer="0" w:header="0"/>
        </w:sectPr>
      </w:pPr>
    </w:p>
    <w:bookmarkStart w:id="22" w:name="page23"/>
    <w:bookmarkEnd w:id="22"/>
    <w:p>
      <w:pPr>
        <w:ind w:left="900" w:right="660" w:hanging="446"/>
        <w:spacing w:after="0" w:line="277"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Telefacsimile Device means a machine capable of sending or receiving a duplicate image of a document by means of electronic impulses transmitted through a telephone line and which reproduces the duplicate image on paper.</w:t>
      </w:r>
    </w:p>
    <w:p>
      <w:pPr>
        <w:spacing w:after="0" w:line="75" w:lineRule="exact"/>
        <w:rPr>
          <w:rFonts w:ascii="Arial" w:cs="Arial" w:eastAsia="Arial" w:hAnsi="Arial"/>
          <w:sz w:val="18"/>
          <w:szCs w:val="18"/>
          <w:color w:val="auto"/>
        </w:rPr>
      </w:pPr>
    </w:p>
    <w:p>
      <w:pPr>
        <w:ind w:left="900" w:hanging="446"/>
        <w:spacing w:after="0" w:line="264"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Tested means a method of authenticating the contents of a communication by placing a valid test key on it which has been agreed upon by the Insured and a customer, automated clearing house, or another financial institution for the purpose of protecting the integrity of the communication in the ordinary course of business.</w:t>
      </w:r>
    </w:p>
    <w:p>
      <w:pPr>
        <w:spacing w:after="0" w:line="73" w:lineRule="exact"/>
        <w:rPr>
          <w:sz w:val="20"/>
          <w:szCs w:val="20"/>
          <w:color w:val="auto"/>
        </w:rPr>
      </w:pPr>
    </w:p>
    <w:p>
      <w:pPr>
        <w:ind w:left="920" w:right="320"/>
        <w:spacing w:after="0" w:line="264" w:lineRule="auto"/>
        <w:rPr>
          <w:sz w:val="20"/>
          <w:szCs w:val="20"/>
          <w:color w:val="auto"/>
        </w:rPr>
      </w:pPr>
      <w:r>
        <w:rPr>
          <w:rFonts w:ascii="Arial" w:cs="Arial" w:eastAsia="Arial" w:hAnsi="Arial"/>
          <w:sz w:val="18"/>
          <w:szCs w:val="18"/>
          <w:color w:val="auto"/>
        </w:rPr>
        <w:t>Voice Computer System means a Computer System installed in one location which functions as a private branch exchange (PBX), voice mail processor, auto-mated call attendant or provides a similar capability used for the direction or routing of telephone calls in a voice communications network.</w:t>
      </w:r>
    </w:p>
    <w:p>
      <w:pPr>
        <w:spacing w:after="0" w:line="87" w:lineRule="exact"/>
        <w:rPr>
          <w:sz w:val="20"/>
          <w:szCs w:val="20"/>
          <w:color w:val="auto"/>
        </w:r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Section 2, Exclusions, of the Conditions And Limitations, is amended to add the following:</w:t>
      </w:r>
    </w:p>
    <w:p>
      <w:pPr>
        <w:spacing w:after="0" w:line="130"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loss resulting directly or indirectly from entry or change of Electronic Data or Computer Programs in a Computer System, unless covered under the Computer Systems Fraud Insuring Agreement or the Data Processing Service Operations Insuring Agreement;</w:t>
      </w:r>
    </w:p>
    <w:p>
      <w:pPr>
        <w:spacing w:after="0" w:line="75" w:lineRule="exact"/>
        <w:rPr>
          <w:rFonts w:ascii="Arial" w:cs="Arial" w:eastAsia="Arial" w:hAnsi="Arial"/>
          <w:sz w:val="18"/>
          <w:szCs w:val="18"/>
          <w:color w:val="auto"/>
        </w:rPr>
      </w:pPr>
    </w:p>
    <w:p>
      <w:pPr>
        <w:ind w:left="900" w:right="340" w:hanging="446"/>
        <w:spacing w:after="0" w:line="308" w:lineRule="auto"/>
        <w:tabs>
          <w:tab w:leader="none" w:pos="900" w:val="left"/>
        </w:tabs>
        <w:numPr>
          <w:ilvl w:val="1"/>
          <w:numId w:val="70"/>
        </w:numPr>
        <w:rPr>
          <w:rFonts w:ascii="Arial" w:cs="Arial" w:eastAsia="Arial" w:hAnsi="Arial"/>
          <w:sz w:val="17"/>
          <w:szCs w:val="17"/>
          <w:color w:val="auto"/>
        </w:rPr>
      </w:pPr>
      <w:r>
        <w:rPr>
          <w:rFonts w:ascii="Arial" w:cs="Arial" w:eastAsia="Arial" w:hAnsi="Arial"/>
          <w:sz w:val="17"/>
          <w:szCs w:val="17"/>
          <w:color w:val="auto"/>
        </w:rPr>
        <w:t>loss resulting directly or indirectly from the Insured having transferred Funds in reliance on the validity of a voice instruction, unless covered under the Computer Systems Fraud Insuring Agreement or the Voice Initiated Transfer Fraud Insuring Agreement;</w:t>
      </w:r>
    </w:p>
    <w:p>
      <w:pPr>
        <w:spacing w:after="0" w:line="51" w:lineRule="exact"/>
        <w:rPr>
          <w:rFonts w:ascii="Arial" w:cs="Arial" w:eastAsia="Arial" w:hAnsi="Arial"/>
          <w:sz w:val="17"/>
          <w:szCs w:val="17"/>
          <w:color w:val="auto"/>
        </w:rPr>
      </w:pPr>
    </w:p>
    <w:p>
      <w:pPr>
        <w:ind w:left="900" w:right="300" w:hanging="446"/>
        <w:spacing w:after="0" w:line="342" w:lineRule="auto"/>
        <w:tabs>
          <w:tab w:leader="none" w:pos="900" w:val="left"/>
        </w:tabs>
        <w:numPr>
          <w:ilvl w:val="1"/>
          <w:numId w:val="70"/>
        </w:numPr>
        <w:rPr>
          <w:rFonts w:ascii="Arial" w:cs="Arial" w:eastAsia="Arial" w:hAnsi="Arial"/>
          <w:sz w:val="16"/>
          <w:szCs w:val="16"/>
          <w:color w:val="auto"/>
        </w:rPr>
      </w:pPr>
      <w:r>
        <w:rPr>
          <w:rFonts w:ascii="Arial" w:cs="Arial" w:eastAsia="Arial" w:hAnsi="Arial"/>
          <w:sz w:val="16"/>
          <w:szCs w:val="16"/>
          <w:color w:val="auto"/>
        </w:rPr>
        <w:t>loss resulting directly or indirectly by the Insured having transferred or delivered Funds, Certificated Securities or Uncertificated Securities in reliance on an instruction received through a Telefacsimile Device unless covered under Telefacsimile Transfer Fraud Insuring Agreement;</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loss resulting directly or indirectly from theft of confidential information;</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the cost of duplication of Electronic Data or Computer Programs, unless covered under the Destruction Of Data Programs By Hacker Insuring Agreement or the Destruction Of Data Programs By Virus Insuring Agreement;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loss involving a Voice Computer System, unless covered under the Voice Computer Systems Fraud Insuring Agreement;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70"/>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written instructions or advices, or</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2"/>
          <w:numId w:val="70"/>
        </w:numPr>
        <w:rPr>
          <w:rFonts w:ascii="Arial" w:cs="Arial" w:eastAsia="Arial" w:hAnsi="Arial"/>
          <w:sz w:val="18"/>
          <w:szCs w:val="18"/>
          <w:color w:val="auto"/>
        </w:rPr>
      </w:pPr>
      <w:r>
        <w:rPr>
          <w:rFonts w:ascii="Arial" w:cs="Arial" w:eastAsia="Arial" w:hAnsi="Arial"/>
          <w:sz w:val="18"/>
          <w:szCs w:val="18"/>
          <w:color w:val="auto"/>
        </w:rPr>
        <w:t>telegraphic or cable instructions or advices;</w:t>
      </w:r>
    </w:p>
    <w:p>
      <w:pPr>
        <w:spacing w:after="0" w:line="117" w:lineRule="exact"/>
        <w:rPr>
          <w:sz w:val="20"/>
          <w:szCs w:val="20"/>
          <w:color w:val="auto"/>
        </w:rPr>
      </w:pPr>
    </w:p>
    <w:p>
      <w:pPr>
        <w:ind w:left="920" w:right="740"/>
        <w:spacing w:after="0" w:line="277" w:lineRule="auto"/>
        <w:rPr>
          <w:sz w:val="20"/>
          <w:szCs w:val="20"/>
          <w:color w:val="auto"/>
        </w:rPr>
      </w:pPr>
      <w:r>
        <w:rPr>
          <w:rFonts w:ascii="Arial" w:cs="Arial" w:eastAsia="Arial" w:hAnsi="Arial"/>
          <w:sz w:val="18"/>
          <w:szCs w:val="18"/>
          <w:color w:val="auto"/>
        </w:rPr>
        <w:t>unless the instructions or advices are Tested and the loss is covered under the Computer Systems Fraud Insuring Agreement or the Data Processing Service Operations Insuring Agreement;</w:t>
      </w:r>
    </w:p>
    <w:p>
      <w:pPr>
        <w:spacing w:after="0" w:line="76" w:lineRule="exact"/>
        <w:rPr>
          <w:sz w:val="20"/>
          <w:szCs w:val="20"/>
          <w:color w:val="auto"/>
        </w:rPr>
      </w:pPr>
    </w:p>
    <w:p>
      <w:pPr>
        <w:ind w:left="900" w:right="60" w:hanging="446"/>
        <w:spacing w:after="0" w:line="264"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loss resulting directly or indirectly from negotiable instruments, securities, documents or other written instruments which bear a forged signature, or are counterfeit, altered or otherwise fraudulent and which are used as source documentation in the preparation of Electronic Data or manually keyed into a data terminal;</w:t>
      </w:r>
    </w:p>
    <w:p>
      <w:pPr>
        <w:spacing w:after="0" w:line="86" w:lineRule="exact"/>
        <w:rPr>
          <w:rFonts w:ascii="Arial" w:cs="Arial" w:eastAsia="Arial" w:hAnsi="Arial"/>
          <w:sz w:val="18"/>
          <w:szCs w:val="18"/>
          <w:color w:val="auto"/>
        </w:rPr>
      </w:pPr>
    </w:p>
    <w:p>
      <w:pPr>
        <w:ind w:left="900" w:right="220" w:hanging="446"/>
        <w:spacing w:after="0" w:line="308"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loss resulting directly or indirectly from the fraudulent preparation, or fraudulent modification of Computer Programs unless covered under the Computer Systems Fraud Insuring Agreement or the Data Processing Service Operations Insuring Agreement;</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loss resulting directly or indirectly from</w:t>
      </w:r>
    </w:p>
    <w:p>
      <w:pPr>
        <w:spacing w:after="0" w:line="130" w:lineRule="exact"/>
        <w:rPr>
          <w:rFonts w:ascii="Arial" w:cs="Arial" w:eastAsia="Arial" w:hAnsi="Arial"/>
          <w:sz w:val="18"/>
          <w:szCs w:val="18"/>
          <w:color w:val="auto"/>
        </w:rPr>
      </w:pPr>
    </w:p>
    <w:p>
      <w:pPr>
        <w:ind w:left="1480" w:right="360" w:hanging="567"/>
        <w:spacing w:after="0" w:line="277" w:lineRule="auto"/>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mechanical failure, faulty construction, error in design, latent defect, fire, wear or tear, gradual deterioration, electrical disturbance or electrical surge which affects a Computer System, or</w:t>
      </w:r>
    </w:p>
    <w:p>
      <w:pPr>
        <w:spacing w:after="0" w:line="75" w:lineRule="exact"/>
        <w:rPr>
          <w:rFonts w:ascii="Arial" w:cs="Arial" w:eastAsia="Arial" w:hAnsi="Arial"/>
          <w:sz w:val="18"/>
          <w:szCs w:val="18"/>
          <w:color w:val="auto"/>
        </w:rPr>
      </w:pPr>
    </w:p>
    <w:p>
      <w:pPr>
        <w:ind w:left="1480" w:hanging="567"/>
        <w:spacing w:after="0"/>
        <w:tabs>
          <w:tab w:leader="none" w:pos="1480" w:val="left"/>
        </w:tabs>
        <w:numPr>
          <w:ilvl w:val="1"/>
          <w:numId w:val="71"/>
        </w:numPr>
        <w:rPr>
          <w:rFonts w:ascii="Arial" w:cs="Arial" w:eastAsia="Arial" w:hAnsi="Arial"/>
          <w:sz w:val="18"/>
          <w:szCs w:val="18"/>
          <w:color w:val="auto"/>
        </w:rPr>
      </w:pPr>
      <w:r>
        <w:rPr>
          <w:rFonts w:ascii="Arial" w:cs="Arial" w:eastAsia="Arial" w:hAnsi="Arial"/>
          <w:sz w:val="18"/>
          <w:szCs w:val="18"/>
          <w:color w:val="auto"/>
        </w:rPr>
        <w:t>failure or breakdown of electronic data processing media, or</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error or omission in programming or processing;</w:t>
      </w:r>
    </w:p>
    <w:p>
      <w:pPr>
        <w:spacing w:after="0" w:line="13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loss as a result of a threat</w:t>
      </w:r>
    </w:p>
    <w:p>
      <w:pPr>
        <w:spacing w:after="0" w:line="130" w:lineRule="exact"/>
        <w:rPr>
          <w:rFonts w:ascii="Arial" w:cs="Arial" w:eastAsia="Arial" w:hAnsi="Arial"/>
          <w:sz w:val="18"/>
          <w:szCs w:val="18"/>
          <w:color w:val="auto"/>
        </w:rPr>
      </w:pPr>
    </w:p>
    <w:p>
      <w:pPr>
        <w:ind w:left="1480" w:hanging="567"/>
        <w:spacing w:after="0"/>
        <w:tabs>
          <w:tab w:leader="none" w:pos="148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to do bodily harm to any person, or</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to do damage to the premises or property of the Insured, or</w:t>
      </w:r>
    </w:p>
    <w:p>
      <w:pPr>
        <w:spacing w:after="0" w:line="130" w:lineRule="exact"/>
        <w:rPr>
          <w:rFonts w:ascii="Arial" w:cs="Arial" w:eastAsia="Arial" w:hAnsi="Arial"/>
          <w:sz w:val="18"/>
          <w:szCs w:val="18"/>
          <w:b w:val="1"/>
          <w:bCs w:val="1"/>
          <w:color w:val="auto"/>
        </w:rPr>
      </w:pPr>
    </w:p>
    <w:p>
      <w:pPr>
        <w:ind w:left="1480" w:hanging="567"/>
        <w:spacing w:after="0"/>
        <w:tabs>
          <w:tab w:leader="none" w:pos="1480"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to Computer System operations;</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5 of 6</w:t>
      </w:r>
    </w:p>
    <w:p>
      <w:pPr>
        <w:sectPr>
          <w:pgSz w:w="11900" w:h="16838" w:orient="portrait"/>
          <w:cols w:equalWidth="0" w:num="1">
            <w:col w:w="11420"/>
          </w:cols>
          <w:pgMar w:left="240" w:top="274" w:right="239" w:bottom="1440" w:gutter="0" w:footer="0" w:header="0"/>
        </w:sectPr>
      </w:pPr>
    </w:p>
    <w:bookmarkStart w:id="23" w:name="page24"/>
    <w:bookmarkEnd w:id="23"/>
    <w:p>
      <w:pPr>
        <w:ind w:left="900" w:right="22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loss resulting directly or indirectly from the use of a telephone credit, debit, charge, identification or similar card to gain access to the Insured’s Voice Computer System;</w:t>
      </w:r>
    </w:p>
    <w:p>
      <w:pPr>
        <w:spacing w:after="0" w:line="75" w:lineRule="exact"/>
        <w:rPr>
          <w:rFonts w:ascii="Arial" w:cs="Arial" w:eastAsia="Arial" w:hAnsi="Arial"/>
          <w:sz w:val="18"/>
          <w:szCs w:val="18"/>
          <w:color w:val="auto"/>
        </w:rPr>
      </w:pPr>
    </w:p>
    <w:p>
      <w:pPr>
        <w:ind w:left="900" w:right="300" w:hanging="446"/>
        <w:spacing w:after="0" w:line="277"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resulting directly or indirectly from the use or purported use of credit, debit, charge, access, convenience, customer identification or other cards;</w:t>
      </w:r>
    </w:p>
    <w:p>
      <w:pPr>
        <w:spacing w:after="0" w:line="75" w:lineRule="exact"/>
        <w:rPr>
          <w:rFonts w:ascii="Arial" w:cs="Arial" w:eastAsia="Arial" w:hAnsi="Arial"/>
          <w:sz w:val="18"/>
          <w:szCs w:val="18"/>
          <w:color w:val="auto"/>
        </w:rPr>
      </w:pPr>
    </w:p>
    <w:p>
      <w:pPr>
        <w:ind w:left="900" w:right="700" w:hanging="446"/>
        <w:spacing w:after="0" w:line="264"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loss resulting directly or indirectly from the input of Electronic Data into a Computer System terminal device either on the premises of a customer of the Insured or under the control of such customer by a person who had authorized access to the customer’s authentification mechanism.</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conditions and limitations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PF-38325 (06/12)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6 of 6</w:t>
      </w:r>
    </w:p>
    <w:p>
      <w:pPr>
        <w:sectPr>
          <w:pgSz w:w="11900" w:h="16838" w:orient="portrait"/>
          <w:cols w:equalWidth="0" w:num="1">
            <w:col w:w="11420"/>
          </w:cols>
          <w:pgMar w:left="240" w:top="274" w:right="239" w:bottom="1440" w:gutter="0" w:footer="0" w:header="0"/>
        </w:sectPr>
      </w:pPr>
    </w:p>
    <w:bookmarkStart w:id="24" w:name="page25"/>
    <w:bookmarkEnd w:id="2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4</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RICO EXCLUSION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Conditions And Limitations, Section 2, Exclusions, subsection (j), is deleted in its entirety and the following is inserted:</w:t>
      </w:r>
    </w:p>
    <w:p>
      <w:pPr>
        <w:spacing w:after="0" w:line="131" w:lineRule="exact"/>
        <w:rPr>
          <w:sz w:val="20"/>
          <w:szCs w:val="20"/>
          <w:color w:val="auto"/>
        </w:rPr>
      </w:pPr>
    </w:p>
    <w:p>
      <w:pPr>
        <w:jc w:val="both"/>
        <w:ind w:left="900" w:right="80" w:hanging="446"/>
        <w:spacing w:after="0" w:line="259"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damages resulting from any civil, criminal or other legal proceeding in which the Insured is adjudicated to have engaged in racketeering activity except when the Insured establishes that the act or acts giving rise to such damages were committed by an Employee under circumstances which result directly in a loss to the Insured covered by insuring Agreement (A). For the purposes of this exclusion, “racketeering activity” is defined in 18 United States Code 1961 et seq., as amended;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PF-37675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25" w:name="page26"/>
    <w:bookmarkEnd w:id="2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5</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COUNTERFEIT CURRENCY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Insuring Agreements, Section (F), Counterfeit Currency, is deleted in its entirety, and the following is inserted:</w:t>
      </w:r>
    </w:p>
    <w:p>
      <w:pPr>
        <w:spacing w:after="0" w:line="131" w:lineRule="exact"/>
        <w:rPr>
          <w:sz w:val="20"/>
          <w:szCs w:val="20"/>
          <w:color w:val="auto"/>
        </w:rPr>
      </w:pPr>
    </w:p>
    <w:p>
      <w:pPr>
        <w:ind w:left="900" w:right="680" w:hanging="446"/>
        <w:spacing w:after="0" w:line="277"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Loss resulting directly from the receipt by the Insured, in good faith, of any Counterfeit Money, Coin or Currency of the United States of America, Canada or any other country.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PF-33849 (05/11)</w:t>
      </w:r>
      <w:r>
        <w:rPr>
          <w:sz w:val="20"/>
          <w:szCs w:val="20"/>
          <w:color w:val="auto"/>
        </w:rPr>
        <w:tab/>
      </w:r>
      <w:r>
        <w:rPr>
          <w:rFonts w:ascii="Arial" w:cs="Arial" w:eastAsia="Arial" w:hAnsi="Arial"/>
          <w:sz w:val="18"/>
          <w:szCs w:val="18"/>
          <w:color w:val="auto"/>
        </w:rPr>
        <w:t>© 2011</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6</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AUDIT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252"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Insuring Agreements, Section A, Fidelity, is amended to add the following:</w:t>
      </w:r>
    </w:p>
    <w:p>
      <w:pPr>
        <w:spacing w:after="0" w:line="117" w:lineRule="exact"/>
        <w:rPr>
          <w:rFonts w:ascii="Arial" w:cs="Arial" w:eastAsia="Arial" w:hAnsi="Arial"/>
          <w:sz w:val="18"/>
          <w:szCs w:val="18"/>
          <w:color w:val="auto"/>
        </w:rPr>
      </w:pPr>
    </w:p>
    <w:p>
      <w:pPr>
        <w:ind w:left="460" w:right="200"/>
        <w:spacing w:after="0" w:line="277" w:lineRule="auto"/>
        <w:rPr>
          <w:rFonts w:ascii="Arial" w:cs="Arial" w:eastAsia="Arial" w:hAnsi="Arial"/>
          <w:sz w:val="18"/>
          <w:szCs w:val="18"/>
          <w:color w:val="auto"/>
        </w:rPr>
      </w:pPr>
      <w:r>
        <w:rPr>
          <w:rFonts w:ascii="Arial" w:cs="Arial" w:eastAsia="Arial" w:hAnsi="Arial"/>
          <w:sz w:val="18"/>
          <w:szCs w:val="18"/>
          <w:color w:val="auto"/>
        </w:rPr>
        <w:t>Audit Expense Coverage $50,000 in the aggregate, which is part of, and not in addition to, the Aggregate Limit of Liability shown on the Declaration Page of this bond, with a deductible of $5,000 applicable to each and every loss</w:t>
      </w:r>
    </w:p>
    <w:p>
      <w:pPr>
        <w:spacing w:after="0" w:line="62" w:lineRule="exact"/>
        <w:rPr>
          <w:rFonts w:ascii="Arial" w:cs="Arial" w:eastAsia="Arial" w:hAnsi="Arial"/>
          <w:sz w:val="18"/>
          <w:szCs w:val="18"/>
          <w:color w:val="auto"/>
        </w:rPr>
      </w:pPr>
    </w:p>
    <w:p>
      <w:pPr>
        <w:ind w:left="460" w:right="40"/>
        <w:spacing w:after="0" w:line="272" w:lineRule="auto"/>
        <w:rPr>
          <w:rFonts w:ascii="Arial" w:cs="Arial" w:eastAsia="Arial" w:hAnsi="Arial"/>
          <w:sz w:val="18"/>
          <w:szCs w:val="18"/>
          <w:color w:val="auto"/>
        </w:rPr>
      </w:pPr>
      <w:r>
        <w:rPr>
          <w:rFonts w:ascii="Arial" w:cs="Arial" w:eastAsia="Arial" w:hAnsi="Arial"/>
          <w:sz w:val="17"/>
          <w:szCs w:val="17"/>
          <w:color w:val="auto"/>
        </w:rPr>
        <w:t>Expense incurred by the Insured for that part of the cost of audits or examinations required by State of Federal supervisory authorities to be conducted either by such authorities or by independent accountants by reason of the discovery of loss sustained by the Insured through dishonest or fraudulent acts of any of the Employees. The total liability of the Underwriter for such expense by reason of such acts of any Employee or in which such Employee is concerned or implicated or with respect to any one audit or examination is limited to the amount stated opposite “Audit Expense Coverage”; it being understood, however, that such expense shall be deemed to be loss sustained by the Insured through dishonest or fraudulent acts of one or more of the Employees and the liability of the Underwriter under this paragraph of Insuring Agreement (A) shall be part of, and not in addition to, the Single Loss Limit of Liability stated in Item 4 of the Declarations.</w:t>
      </w:r>
    </w:p>
    <w:p>
      <w:pPr>
        <w:spacing w:after="0" w:line="83"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(d), is deleted in its entirety and the following is inserted:</w:t>
      </w:r>
    </w:p>
    <w:p>
      <w:pPr>
        <w:spacing w:after="0" w:line="117" w:lineRule="exact"/>
        <w:rPr>
          <w:rFonts w:ascii="Arial" w:cs="Arial" w:eastAsia="Arial" w:hAnsi="Arial"/>
          <w:sz w:val="18"/>
          <w:szCs w:val="18"/>
          <w:color w:val="auto"/>
        </w:rPr>
      </w:pPr>
    </w:p>
    <w:p>
      <w:pPr>
        <w:ind w:left="460" w:right="20" w:firstLine="4"/>
        <w:spacing w:after="0" w:line="259" w:lineRule="auto"/>
        <w:tabs>
          <w:tab w:leader="none" w:pos="715" w:val="left"/>
        </w:tabs>
        <w:numPr>
          <w:ilvl w:val="1"/>
          <w:numId w:val="76"/>
        </w:numPr>
        <w:rPr>
          <w:rFonts w:ascii="Arial" w:cs="Arial" w:eastAsia="Arial" w:hAnsi="Arial"/>
          <w:sz w:val="18"/>
          <w:szCs w:val="18"/>
          <w:color w:val="auto"/>
        </w:rPr>
      </w:pPr>
      <w:r>
        <w:rPr>
          <w:rFonts w:ascii="Arial" w:cs="Arial" w:eastAsia="Arial" w:hAnsi="Arial"/>
          <w:sz w:val="18"/>
          <w:szCs w:val="18"/>
          <w:color w:val="auto"/>
        </w:rPr>
        <w:t>loss resulting directly or indirectly from any acts of any director or trustee of the Insured other than one employed as a salaried, pensioned or elected official or an Employee of the Insured, except when performing acts coming within the scope of the usual duties of an Employee, or while acting as a member of any committee duly elected or appointed by resolution of the board of directors or trustees of the Insured to perform specific, as distinguished from general, directorial acts on behalf of the Insured;</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2"/>
          <w:numId w:val="76"/>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w:t>
      </w:r>
    </w:p>
    <w:p>
      <w:pPr>
        <w:spacing w:after="0" w:line="130" w:lineRule="exact"/>
        <w:rPr>
          <w:rFonts w:ascii="Arial" w:cs="Arial" w:eastAsia="Arial" w:hAnsi="Arial"/>
          <w:sz w:val="18"/>
          <w:szCs w:val="18"/>
          <w:color w:val="auto"/>
        </w:rPr>
      </w:pPr>
    </w:p>
    <w:p>
      <w:pPr>
        <w:ind w:left="1920" w:right="620" w:hanging="440"/>
        <w:spacing w:after="0" w:line="277" w:lineRule="auto"/>
        <w:tabs>
          <w:tab w:leader="none" w:pos="1920" w:val="left"/>
        </w:tabs>
        <w:numPr>
          <w:ilvl w:val="3"/>
          <w:numId w:val="76"/>
        </w:numPr>
        <w:rPr>
          <w:rFonts w:ascii="Arial" w:cs="Arial" w:eastAsia="Arial" w:hAnsi="Arial"/>
          <w:sz w:val="18"/>
          <w:szCs w:val="18"/>
          <w:color w:val="auto"/>
        </w:rPr>
      </w:pPr>
      <w:r>
        <w:rPr>
          <w:rFonts w:ascii="Arial" w:cs="Arial" w:eastAsia="Arial" w:hAnsi="Arial"/>
          <w:sz w:val="18"/>
          <w:szCs w:val="18"/>
          <w:color w:val="auto"/>
        </w:rPr>
        <w:t>in establishing the existence of or amount of loss covered under this bond, except to the extent covered under the portion of Insuring Agreement (A) entitled Audit Expense; or</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3"/>
          <w:numId w:val="76"/>
        </w:numPr>
        <w:rPr>
          <w:rFonts w:ascii="Arial" w:cs="Arial" w:eastAsia="Arial" w:hAnsi="Arial"/>
          <w:sz w:val="17"/>
          <w:szCs w:val="17"/>
          <w:color w:val="auto"/>
        </w:rPr>
      </w:pPr>
      <w:r>
        <w:rPr>
          <w:rFonts w:ascii="Arial" w:cs="Arial" w:eastAsia="Arial" w:hAnsi="Arial"/>
          <w:sz w:val="17"/>
          <w:szCs w:val="17"/>
          <w:color w:val="auto"/>
        </w:rPr>
        <w:t>as a party to any legal proceeding whether or not such legal proceeding exposes the Insured to loss covered by this bond.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PF-33839 (05/11)</w:t>
      </w:r>
      <w:r>
        <w:rPr>
          <w:sz w:val="20"/>
          <w:szCs w:val="20"/>
          <w:color w:val="auto"/>
        </w:rPr>
        <w:tab/>
      </w:r>
      <w:r>
        <w:rPr>
          <w:rFonts w:ascii="Arial" w:cs="Arial" w:eastAsia="Arial" w:hAnsi="Arial"/>
          <w:sz w:val="18"/>
          <w:szCs w:val="18"/>
          <w:color w:val="auto"/>
        </w:rPr>
        <w:t>© 2011</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27" w:name="page28"/>
    <w:bookmarkEnd w:id="2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7</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be attached to and form part of Financial Institution Bond, Standard Form No. 14 No. G25562823 004 in favor of TPG Specialty Lending, Inc.</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80" w:right="560" w:hanging="567"/>
        <w:spacing w:after="0" w:line="277" w:lineRule="auto"/>
        <w:tabs>
          <w:tab w:leader="none" w:pos="14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Those premises of Depositories listed in the following Schedule shall be deemed to be premises of the Insured but only as respects coverage on Certificated Securities:</w:t>
      </w:r>
    </w:p>
    <w:p>
      <w:pPr>
        <w:spacing w:after="0" w:line="200" w:lineRule="exact"/>
        <w:rPr>
          <w:sz w:val="20"/>
          <w:szCs w:val="20"/>
          <w:color w:val="auto"/>
        </w:rPr>
      </w:pPr>
    </w:p>
    <w:p>
      <w:pPr>
        <w:spacing w:after="0" w:line="36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SCHEDULE</w:t>
      </w:r>
    </w:p>
    <w:p>
      <w:pPr>
        <w:spacing w:after="0" w:line="225" w:lineRule="exact"/>
        <w:rPr>
          <w:sz w:val="20"/>
          <w:szCs w:val="20"/>
          <w:color w:val="auto"/>
        </w:rPr>
      </w:pPr>
    </w:p>
    <w:p>
      <w:pPr>
        <w:ind w:left="3260"/>
        <w:spacing w:after="0"/>
        <w:tabs>
          <w:tab w:leader="none" w:pos="6880" w:val="left"/>
        </w:tabs>
        <w:rPr>
          <w:sz w:val="20"/>
          <w:szCs w:val="20"/>
          <w:color w:val="auto"/>
        </w:rPr>
      </w:pPr>
      <w:r>
        <w:rPr>
          <w:rFonts w:ascii="Arial" w:cs="Arial" w:eastAsia="Arial" w:hAnsi="Arial"/>
          <w:sz w:val="18"/>
          <w:szCs w:val="18"/>
          <w:color w:val="auto"/>
        </w:rPr>
        <w:t>DEPOSITORY</w:t>
      </w:r>
      <w:r>
        <w:rPr>
          <w:sz w:val="20"/>
          <w:szCs w:val="20"/>
          <w:color w:val="auto"/>
        </w:rPr>
        <w:tab/>
      </w:r>
      <w:r>
        <w:rPr>
          <w:rFonts w:ascii="Arial" w:cs="Arial" w:eastAsia="Arial" w:hAnsi="Arial"/>
          <w:sz w:val="18"/>
          <w:szCs w:val="18"/>
          <w:color w:val="auto"/>
        </w:rPr>
        <w:t>LOCATION COVERED</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 DEPOSITORIES USED BY THE INSURED</w:t>
      </w:r>
    </w:p>
    <w:p>
      <w:pPr>
        <w:spacing w:after="0" w:line="252" w:lineRule="exact"/>
        <w:rPr>
          <w:sz w:val="20"/>
          <w:szCs w:val="20"/>
          <w:color w:val="auto"/>
        </w:rPr>
      </w:pPr>
    </w:p>
    <w:p>
      <w:pPr>
        <w:ind w:left="1480" w:right="620" w:hanging="567"/>
        <w:spacing w:after="0" w:line="342" w:lineRule="auto"/>
        <w:tabs>
          <w:tab w:leader="none" w:pos="1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Certificated Securities held by such Depository shall be deemed to be Property as defined in the attached bond to the extent of the Insured’s interest therein as effected by the making of appropriate entries on the books and records of such Depository.</w:t>
      </w:r>
    </w:p>
    <w:p>
      <w:pPr>
        <w:spacing w:after="0" w:line="29" w:lineRule="exact"/>
        <w:rPr>
          <w:rFonts w:ascii="Arial" w:cs="Arial" w:eastAsia="Arial" w:hAnsi="Arial"/>
          <w:sz w:val="16"/>
          <w:szCs w:val="16"/>
          <w:color w:val="auto"/>
        </w:rPr>
      </w:pPr>
    </w:p>
    <w:p>
      <w:pPr>
        <w:ind w:left="1480" w:right="80" w:hanging="567"/>
        <w:spacing w:after="0" w:line="286" w:lineRule="auto"/>
        <w:tabs>
          <w:tab w:leader="none" w:pos="14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attached bond does not afford coverage in favor of any Depository listed in the Schedule above. When the Underwriter indemnifies the Insured for a loss covered hereunder, the Insured will assign the rights and causes of action to the extent of the claim payment against the Depository, or any other entity or person against whom it has a cause of action, to the Underwriter.</w:t>
      </w:r>
    </w:p>
    <w:p>
      <w:pPr>
        <w:spacing w:after="0" w:line="70" w:lineRule="exact"/>
        <w:rPr>
          <w:rFonts w:ascii="Arial" w:cs="Arial" w:eastAsia="Arial" w:hAnsi="Arial"/>
          <w:sz w:val="17"/>
          <w:szCs w:val="17"/>
          <w:color w:val="auto"/>
        </w:rPr>
      </w:pPr>
    </w:p>
    <w:p>
      <w:pPr>
        <w:ind w:left="1480" w:right="260" w:hanging="567"/>
        <w:spacing w:after="0" w:line="259" w:lineRule="auto"/>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the rules of the Depository named in the Schedule above provide that the Insured shall be assessed for a portion of the judgment (or agreed settlement) taken by the Underwriter based upon the assignment set forth in part 3 above and the Insured actually pays such assessment, then the Underwriter will reimburse the Insured for the amount of the assessment but not exceeding the amount of the loss payment by the Underwriter.</w:t>
      </w:r>
    </w:p>
    <w:p>
      <w:pPr>
        <w:spacing w:after="0" w:line="92" w:lineRule="exact"/>
        <w:rPr>
          <w:rFonts w:ascii="Arial" w:cs="Arial" w:eastAsia="Arial" w:hAnsi="Arial"/>
          <w:sz w:val="18"/>
          <w:szCs w:val="18"/>
          <w:color w:val="auto"/>
        </w:rPr>
      </w:pPr>
    </w:p>
    <w:p>
      <w:pPr>
        <w:ind w:left="1480" w:hanging="567"/>
        <w:spacing w:after="0"/>
        <w:tabs>
          <w:tab w:leader="none" w:pos="14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03/08/2018 standard time.</w:t>
      </w:r>
    </w:p>
    <w:p>
      <w:pPr>
        <w:spacing w:after="0" w:line="154" w:lineRule="exact"/>
        <w:rPr>
          <w:sz w:val="20"/>
          <w:szCs w:val="20"/>
          <w:color w:val="auto"/>
        </w:rPr>
      </w:pPr>
    </w:p>
    <w:p>
      <w:pPr>
        <w:ind w:left="1680"/>
        <w:spacing w:after="0"/>
        <w:rPr>
          <w:sz w:val="20"/>
          <w:szCs w:val="20"/>
          <w:color w:val="auto"/>
        </w:rPr>
      </w:pPr>
      <w:r>
        <w:rPr>
          <w:rFonts w:ascii="Arial" w:cs="Arial" w:eastAsia="Arial" w:hAnsi="Arial"/>
          <w:sz w:val="18"/>
          <w:szCs w:val="18"/>
          <w:b w:val="1"/>
          <w:bCs w:val="1"/>
          <w:color w:val="auto"/>
        </w:rPr>
        <w:t>CENTRAL HANDLING OF SECURITIES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BONDS, STANDARD FORMS NOS. 14, 24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25 TO SCHEDULE THE PREMISES OF DEPOSITORIES.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REVISED TO OCTOBER, 1987.</w:t>
      </w:r>
    </w:p>
    <w:p>
      <w:pPr>
        <w:spacing w:after="0" w:line="116"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SR 5967e 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28" w:name="page29"/>
    <w:bookmarkEnd w:id="2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8</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UNAUTHORIZED SIGNATURES</w:t>
      </w:r>
    </w:p>
    <w:p>
      <w:pPr>
        <w:spacing w:after="0" w:line="256"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Section entitled Insuring Agreements is amended to add the following: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Unauthorized Signatures</w:t>
      </w:r>
    </w:p>
    <w:p>
      <w:pPr>
        <w:spacing w:after="0" w:line="130" w:lineRule="exact"/>
        <w:rPr>
          <w:rFonts w:ascii="Arial" w:cs="Arial" w:eastAsia="Arial" w:hAnsi="Arial"/>
          <w:sz w:val="18"/>
          <w:szCs w:val="18"/>
          <w:color w:val="auto"/>
        </w:rPr>
      </w:pPr>
    </w:p>
    <w:p>
      <w:pPr>
        <w:jc w:val="both"/>
        <w:ind w:left="900" w:right="120" w:hanging="325"/>
        <w:spacing w:after="0" w:line="259" w:lineRule="auto"/>
        <w:tabs>
          <w:tab w:leader="none" w:pos="900" w:val="left"/>
        </w:tabs>
        <w:numPr>
          <w:ilvl w:val="1"/>
          <w:numId w:val="79"/>
        </w:numPr>
        <w:rPr>
          <w:rFonts w:ascii="Arial" w:cs="Arial" w:eastAsia="Arial" w:hAnsi="Arial"/>
          <w:sz w:val="18"/>
          <w:szCs w:val="18"/>
          <w:color w:val="auto"/>
        </w:rPr>
      </w:pPr>
      <w:r>
        <w:rPr>
          <w:rFonts w:ascii="Arial" w:cs="Arial" w:eastAsia="Arial" w:hAnsi="Arial"/>
          <w:sz w:val="18"/>
          <w:szCs w:val="18"/>
          <w:color w:val="auto"/>
        </w:rPr>
        <w:t>Loss resulting directly from the Insured having accepted, paid or cashed any check or withdrawal order made or drawn on a customer’s account which bears the signature or endorsement of one other than a person whose name and signature is on file with the Insured as a signatory on such account. It shall be a condition precedent to the Insured’s right of recovery under this Coverage that the Insured shall have on file signature of all persons who are signatories on such account.</w:t>
      </w:r>
    </w:p>
    <w:p>
      <w:pPr>
        <w:spacing w:after="0" w:line="7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aggregate Limit of Liability on the Unauthorized Signatures Agreement is $100,000, and the deductible is $10,000.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PF-33854 (05/11)</w:t>
      </w:r>
      <w:r>
        <w:rPr>
          <w:sz w:val="20"/>
          <w:szCs w:val="20"/>
          <w:color w:val="auto"/>
        </w:rPr>
        <w:tab/>
      </w:r>
      <w:r>
        <w:rPr>
          <w:rFonts w:ascii="Arial" w:cs="Arial" w:eastAsia="Arial" w:hAnsi="Arial"/>
          <w:sz w:val="18"/>
          <w:szCs w:val="18"/>
          <w:color w:val="auto"/>
        </w:rPr>
        <w:t>© 2011</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29" w:name="page30"/>
    <w:bookmarkEnd w:id="2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9</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DISCOVERY AND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right="80" w:hanging="452"/>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first paragraph of General Agreements, Section F, Notice Of Legal Proceedings Against Insured – Election To Defend, is deleted in its entirety and the following is inserted:</w:t>
      </w:r>
    </w:p>
    <w:p>
      <w:pPr>
        <w:spacing w:after="0" w:line="62" w:lineRule="exact"/>
        <w:rPr>
          <w:rFonts w:ascii="Arial" w:cs="Arial" w:eastAsia="Arial" w:hAnsi="Arial"/>
          <w:sz w:val="18"/>
          <w:szCs w:val="18"/>
          <w:color w:val="auto"/>
        </w:rPr>
      </w:pPr>
    </w:p>
    <w:p>
      <w:pPr>
        <w:ind w:left="460"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Office of General Counsel, Risk Management Department, or Human Resources Department shall notify the Underwriter at the earliest practicable moment, not to exceed </w:t>
      </w:r>
      <w:r>
        <w:rPr>
          <w:rFonts w:ascii="Arial" w:cs="Arial" w:eastAsia="Arial" w:hAnsi="Arial"/>
          <w:sz w:val="18"/>
          <w:szCs w:val="18"/>
          <w:u w:val="single" w:color="auto"/>
          <w:color w:val="auto"/>
        </w:rPr>
        <w:t>90</w:t>
      </w:r>
      <w:r>
        <w:rPr>
          <w:rFonts w:ascii="Arial" w:cs="Arial" w:eastAsia="Arial" w:hAnsi="Arial"/>
          <w:sz w:val="18"/>
          <w:szCs w:val="18"/>
          <w:color w:val="auto"/>
        </w:rPr>
        <w:t xml:space="preserve"> days after notice thereof, of any legal proceeding brought to determine the Insured’s liability for any loss, claim or damage, which if established, would constitute a collectible loss under this bond. Concurrently, the Insured shall furnish copies of all pleadings and pertinent papers to the Underwriter.</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Conditions And Limitations, Section 3, Discovery, is deleted in its entirety and the following is inserted:</w:t>
      </w:r>
    </w:p>
    <w:p>
      <w:pPr>
        <w:spacing w:after="0" w:line="117" w:lineRule="exact"/>
        <w:rPr>
          <w:rFonts w:ascii="Arial" w:cs="Arial" w:eastAsia="Arial" w:hAnsi="Arial"/>
          <w:sz w:val="18"/>
          <w:szCs w:val="18"/>
          <w:color w:val="auto"/>
        </w:rPr>
      </w:pPr>
    </w:p>
    <w:p>
      <w:pPr>
        <w:ind w:left="460" w:right="60"/>
        <w:spacing w:after="0" w:line="286" w:lineRule="auto"/>
        <w:rPr>
          <w:rFonts w:ascii="Arial" w:cs="Arial" w:eastAsia="Arial" w:hAnsi="Arial"/>
          <w:sz w:val="18"/>
          <w:szCs w:val="18"/>
          <w:color w:val="auto"/>
        </w:rPr>
      </w:pPr>
      <w:r>
        <w:rPr>
          <w:rFonts w:ascii="Arial" w:cs="Arial" w:eastAsia="Arial" w:hAnsi="Arial"/>
          <w:sz w:val="17"/>
          <w:szCs w:val="17"/>
          <w:color w:val="auto"/>
        </w:rPr>
        <w:t>This bond applies to loss discovered by the Insured during the Bond Period. Discovery occurs when the Office of General Counsel, Risk Management Department, or Human Resources Department becomes aware of facts which would cause a reasonable person to assume that a loss of the type covered by this bond has been or will be incurred, even though the exact amount or details of loss may not then be known.</w:t>
      </w:r>
    </w:p>
    <w:p>
      <w:pPr>
        <w:spacing w:after="0" w:line="57" w:lineRule="exact"/>
        <w:rPr>
          <w:rFonts w:ascii="Arial" w:cs="Arial" w:eastAsia="Arial" w:hAnsi="Arial"/>
          <w:sz w:val="18"/>
          <w:szCs w:val="18"/>
          <w:color w:val="auto"/>
        </w:rPr>
      </w:pPr>
    </w:p>
    <w:p>
      <w:pPr>
        <w:ind w:left="460" w:right="80"/>
        <w:spacing w:after="0" w:line="264" w:lineRule="auto"/>
        <w:rPr>
          <w:rFonts w:ascii="Arial" w:cs="Arial" w:eastAsia="Arial" w:hAnsi="Arial"/>
          <w:sz w:val="18"/>
          <w:szCs w:val="18"/>
          <w:color w:val="auto"/>
        </w:rPr>
      </w:pPr>
      <w:r>
        <w:rPr>
          <w:rFonts w:ascii="Arial" w:cs="Arial" w:eastAsia="Arial" w:hAnsi="Arial"/>
          <w:sz w:val="18"/>
          <w:szCs w:val="18"/>
          <w:color w:val="auto"/>
        </w:rPr>
        <w:t>Discovery also occurs when the Office of General Counsel, Risk Management Department, or Human Resources Department receives notice of an actual or potential claim in which it is alleged that the Insured is liable to a third party under circumstances which, if true, would constitute a loss under this bond.</w:t>
      </w:r>
    </w:p>
    <w:p>
      <w:pPr>
        <w:spacing w:after="0" w:line="86" w:lineRule="exact"/>
        <w:rPr>
          <w:rFonts w:ascii="Arial" w:cs="Arial" w:eastAsia="Arial" w:hAnsi="Arial"/>
          <w:sz w:val="18"/>
          <w:szCs w:val="18"/>
          <w:color w:val="auto"/>
        </w:rPr>
      </w:pPr>
    </w:p>
    <w:p>
      <w:pPr>
        <w:ind w:left="460" w:right="180" w:hanging="452"/>
        <w:spacing w:after="0" w:line="277" w:lineRule="auto"/>
        <w:tabs>
          <w:tab w:leader="none" w:pos="4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first paragraph of Conditions And Limitations, Section 5, Notice/Proof – Legal Proceedings Against Underwriter, is deleted in its entirety and the following is inserted:</w:t>
      </w:r>
    </w:p>
    <w:p>
      <w:pPr>
        <w:spacing w:after="0" w:line="75" w:lineRule="exact"/>
        <w:rPr>
          <w:rFonts w:ascii="Arial" w:cs="Arial" w:eastAsia="Arial" w:hAnsi="Arial"/>
          <w:sz w:val="18"/>
          <w:szCs w:val="18"/>
          <w:color w:val="auto"/>
        </w:rPr>
      </w:pPr>
    </w:p>
    <w:p>
      <w:pPr>
        <w:jc w:val="both"/>
        <w:ind w:left="900" w:right="940" w:hanging="446"/>
        <w:spacing w:after="0" w:line="342" w:lineRule="auto"/>
        <w:tabs>
          <w:tab w:leader="none" w:pos="900" w:val="left"/>
        </w:tabs>
        <w:numPr>
          <w:ilvl w:val="1"/>
          <w:numId w:val="80"/>
        </w:numPr>
        <w:rPr>
          <w:rFonts w:ascii="Arial" w:cs="Arial" w:eastAsia="Arial" w:hAnsi="Arial"/>
          <w:sz w:val="16"/>
          <w:szCs w:val="16"/>
          <w:color w:val="auto"/>
        </w:rPr>
      </w:pPr>
      <w:r>
        <w:rPr>
          <w:rFonts w:ascii="Arial" w:cs="Arial" w:eastAsia="Arial" w:hAnsi="Arial"/>
          <w:sz w:val="16"/>
          <w:szCs w:val="16"/>
          <w:color w:val="auto"/>
        </w:rPr>
        <w:t xml:space="preserve">At the earliest practicable moment, not to exceed </w:t>
      </w:r>
      <w:r>
        <w:rPr>
          <w:rFonts w:ascii="Arial" w:cs="Arial" w:eastAsia="Arial" w:hAnsi="Arial"/>
          <w:sz w:val="16"/>
          <w:szCs w:val="16"/>
          <w:u w:val="single" w:color="auto"/>
          <w:color w:val="auto"/>
        </w:rPr>
        <w:t>90</w:t>
      </w:r>
      <w:r>
        <w:rPr>
          <w:rFonts w:ascii="Arial" w:cs="Arial" w:eastAsia="Arial" w:hAnsi="Arial"/>
          <w:sz w:val="16"/>
          <w:szCs w:val="16"/>
          <w:color w:val="auto"/>
        </w:rPr>
        <w:t xml:space="preserve"> days after discovery of loss by the Office of General Counsel, Risk Management Department, or Human Resources Department the Insured shall give the Underwriter notice of all such losses which exceed $25,000.</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PF-39758 (04/13)</w:t>
      </w:r>
      <w:r>
        <w:rPr>
          <w:sz w:val="20"/>
          <w:szCs w:val="20"/>
          <w:color w:val="auto"/>
        </w:rPr>
        <w:tab/>
      </w:r>
      <w:r>
        <w:rPr>
          <w:rFonts w:ascii="Arial" w:cs="Arial" w:eastAsia="Arial" w:hAnsi="Arial"/>
          <w:sz w:val="18"/>
          <w:szCs w:val="18"/>
          <w:color w:val="auto"/>
        </w:rPr>
        <w:t>© 2013</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0" w:name="page31"/>
    <w:bookmarkEnd w:id="3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10</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CLAIMS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Insuring Agreements, is amended to add the following:</w:t>
      </w:r>
    </w:p>
    <w:p>
      <w:pPr>
        <w:spacing w:after="0" w:line="131" w:lineRule="exact"/>
        <w:rPr>
          <w:sz w:val="20"/>
          <w:szCs w:val="20"/>
          <w:color w:val="auto"/>
        </w:rPr>
      </w:pPr>
    </w:p>
    <w:p>
      <w:pPr>
        <w:ind w:left="900" w:hanging="325"/>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CLAIMS EXPENSE</w:t>
      </w:r>
    </w:p>
    <w:p>
      <w:pPr>
        <w:spacing w:after="0" w:line="117" w:lineRule="exact"/>
        <w:rPr>
          <w:sz w:val="20"/>
          <w:szCs w:val="20"/>
          <w:color w:val="auto"/>
        </w:rPr>
      </w:pPr>
    </w:p>
    <w:p>
      <w:pPr>
        <w:ind w:left="920" w:right="360"/>
        <w:spacing w:after="0" w:line="312" w:lineRule="auto"/>
        <w:rPr>
          <w:sz w:val="20"/>
          <w:szCs w:val="20"/>
          <w:color w:val="auto"/>
        </w:rPr>
      </w:pPr>
      <w:r>
        <w:rPr>
          <w:rFonts w:ascii="Arial" w:cs="Arial" w:eastAsia="Arial" w:hAnsi="Arial"/>
          <w:sz w:val="16"/>
          <w:szCs w:val="16"/>
          <w:color w:val="auto"/>
        </w:rPr>
        <w:t>Reasonable expenses necessarily incurred and paid by the Insured in preparing any valid claim for loss as set forth in Insuring Agreements A through F, and any other valid coverage added by endorsement, which loss exceeds the Single Loss Deductible Amount of $50,000. The Underwriter’s maximum liability for such expenses paid by the Insured in preparing all such claims shall be limited to $50,000.</w:t>
      </w:r>
    </w:p>
    <w:p>
      <w:pPr>
        <w:spacing w:after="0" w:line="52"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(u), is deleted in its entirety and the following is inserted:</w:t>
      </w:r>
    </w:p>
    <w:p>
      <w:pPr>
        <w:spacing w:after="0" w:line="130" w:lineRule="exact"/>
        <w:rPr>
          <w:rFonts w:ascii="Arial" w:cs="Arial" w:eastAsia="Arial" w:hAnsi="Arial"/>
          <w:sz w:val="18"/>
          <w:szCs w:val="18"/>
          <w:color w:val="auto"/>
        </w:rPr>
      </w:pPr>
    </w:p>
    <w:p>
      <w:pPr>
        <w:ind w:left="1480" w:right="220" w:hanging="567"/>
        <w:spacing w:after="0" w:line="277" w:lineRule="auto"/>
        <w:tabs>
          <w:tab w:leader="none" w:pos="1480" w:val="left"/>
        </w:tabs>
        <w:numPr>
          <w:ilvl w:val="1"/>
          <w:numId w:val="83"/>
        </w:numPr>
        <w:rPr>
          <w:rFonts w:ascii="Arial" w:cs="Arial" w:eastAsia="Arial" w:hAnsi="Arial"/>
          <w:sz w:val="18"/>
          <w:szCs w:val="18"/>
          <w:color w:val="auto"/>
        </w:rPr>
      </w:pPr>
      <w:r>
        <w:rPr>
          <w:rFonts w:ascii="Arial" w:cs="Arial" w:eastAsia="Arial" w:hAnsi="Arial"/>
          <w:sz w:val="18"/>
          <w:szCs w:val="18"/>
          <w:color w:val="auto"/>
        </w:rPr>
        <w:t>all fees, costs and expenses incurred by the Insured as a party to any legal proceeding whether or not such legal proceeding exposes the Insured to loss covered by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PF-37674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1" w:name="page32"/>
    <w:bookmarkEnd w:id="3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70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3000" w:type="dxa"/>
            <w:vAlign w:val="bottom"/>
            <w:tcBorders>
              <w:top w:val="single" w:sz="8" w:color="auto"/>
            </w:tcBorders>
          </w:tcPr>
          <w:p>
            <w:pPr>
              <w:spacing w:after="0"/>
              <w:rPr>
                <w:sz w:val="18"/>
                <w:szCs w:val="18"/>
                <w:color w:val="auto"/>
              </w:rPr>
            </w:pPr>
          </w:p>
        </w:tc>
        <w:tc>
          <w:tcPr>
            <w:tcW w:w="3720" w:type="dxa"/>
            <w:vAlign w:val="bottom"/>
            <w:tcBorders>
              <w:top w:val="single" w:sz="8" w:color="auto"/>
              <w:right w:val="single" w:sz="8" w:color="auto"/>
            </w:tcBorders>
          </w:tcPr>
          <w:p>
            <w:pPr>
              <w:spacing w:after="0"/>
              <w:rPr>
                <w:sz w:val="18"/>
                <w:szCs w:val="18"/>
                <w:color w:val="auto"/>
              </w:rPr>
            </w:pPr>
          </w:p>
        </w:tc>
        <w:tc>
          <w:tcPr>
            <w:tcW w:w="30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47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372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11</w:t>
            </w:r>
          </w:p>
        </w:tc>
      </w:tr>
      <w:tr>
        <w:trPr>
          <w:trHeight w:val="198"/>
        </w:trPr>
        <w:tc>
          <w:tcPr>
            <w:tcW w:w="170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300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372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302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70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30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37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30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be attached to and form part of Financial Institution Bond, Standard Form No. 14, No. G25562823 003 in favor of TPG Specialty Lending,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w:t>
      </w:r>
    </w:p>
    <w:p>
      <w:pPr>
        <w:spacing w:after="0" w:line="10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1480" w:right="420" w:hanging="567"/>
        <w:spacing w:after="0" w:line="312" w:lineRule="auto"/>
        <w:tabs>
          <w:tab w:leader="none" w:pos="14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The attached bond shall not be canceled as provided in parts (a) and (b) of the Termination or Cancelation Condition, or modified by rider, except after written notice shall have been given by the acting party to the affected party, and to the Securities and Exchange Commission, Washington, D.C., not less than sixty days prior to the effective date of such cancelation or modification.</w:t>
      </w:r>
    </w:p>
    <w:p>
      <w:pPr>
        <w:spacing w:after="0" w:line="52" w:lineRule="exact"/>
        <w:rPr>
          <w:rFonts w:ascii="Arial" w:cs="Arial" w:eastAsia="Arial" w:hAnsi="Arial"/>
          <w:sz w:val="16"/>
          <w:szCs w:val="16"/>
          <w:color w:val="auto"/>
        </w:rPr>
      </w:pPr>
    </w:p>
    <w:p>
      <w:pPr>
        <w:ind w:left="1480" w:hanging="567"/>
        <w:spacing w:after="0"/>
        <w:tabs>
          <w:tab w:leader="none" w:pos="14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This rider shall become effective when the bond becomes effective.</w:t>
      </w:r>
    </w:p>
    <w:p>
      <w:pPr>
        <w:spacing w:after="0" w:line="200" w:lineRule="exact"/>
        <w:rPr>
          <w:sz w:val="20"/>
          <w:szCs w:val="20"/>
          <w:color w:val="auto"/>
        </w:rPr>
      </w:pPr>
    </w:p>
    <w:p>
      <w:pPr>
        <w:spacing w:after="0" w:line="237" w:lineRule="exact"/>
        <w:rPr>
          <w:sz w:val="20"/>
          <w:szCs w:val="20"/>
          <w:color w:val="auto"/>
        </w:rPr>
      </w:pPr>
    </w:p>
    <w:p>
      <w:pPr>
        <w:ind w:left="1940"/>
        <w:spacing w:after="0"/>
        <w:rPr>
          <w:sz w:val="20"/>
          <w:szCs w:val="20"/>
          <w:color w:val="auto"/>
        </w:rPr>
      </w:pPr>
      <w:r>
        <w:rPr>
          <w:rFonts w:ascii="Arial" w:cs="Arial" w:eastAsia="Arial" w:hAnsi="Arial"/>
          <w:sz w:val="18"/>
          <w:szCs w:val="18"/>
          <w:b w:val="1"/>
          <w:bCs w:val="1"/>
          <w:color w:val="auto"/>
        </w:rPr>
        <w:t>S.E.C.- SOLE INSURED CANCELATION CLAUSE RIDER</w:t>
      </w:r>
    </w:p>
    <w:p>
      <w:pPr>
        <w:spacing w:after="0" w:line="229" w:lineRule="exact"/>
        <w:rPr>
          <w:sz w:val="20"/>
          <w:szCs w:val="20"/>
          <w:color w:val="auto"/>
        </w:rPr>
      </w:pPr>
    </w:p>
    <w:p>
      <w:pPr>
        <w:ind w:left="460" w:right="4100"/>
        <w:spacing w:after="0" w:line="259" w:lineRule="auto"/>
        <w:rPr>
          <w:sz w:val="20"/>
          <w:szCs w:val="20"/>
          <w:color w:val="auto"/>
        </w:rPr>
      </w:pPr>
      <w:r>
        <w:rPr>
          <w:rFonts w:ascii="Arial" w:cs="Arial" w:eastAsia="Arial" w:hAnsi="Arial"/>
          <w:sz w:val="18"/>
          <w:szCs w:val="18"/>
          <w:color w:val="auto"/>
        </w:rPr>
        <w:t>FOR USE WITH FINANCIAL INSTITUTION BOND, STANDARD FORM NO. 14, WHEN ISSUED TO A REGISTERED MANAGEMENT INVESTMENT COMPANY COVERED AS A SOLE INSURED, TO COMPLY WITH THE RULES OF THE SECURITIES AND EXCHANGE COMMISION.</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00" w:type="dxa"/>
            <w:vAlign w:val="bottom"/>
          </w:tcPr>
          <w:p>
            <w:pPr>
              <w:ind w:left="460"/>
              <w:spacing w:after="0"/>
              <w:rPr>
                <w:sz w:val="20"/>
                <w:szCs w:val="20"/>
                <w:color w:val="auto"/>
              </w:rPr>
            </w:pPr>
            <w:r>
              <w:rPr>
                <w:rFonts w:ascii="Arial" w:cs="Arial" w:eastAsia="Arial" w:hAnsi="Arial"/>
                <w:sz w:val="18"/>
                <w:szCs w:val="18"/>
                <w:color w:val="auto"/>
              </w:rPr>
              <w:t>REVISED TO MAY, 2011</w:t>
            </w:r>
          </w:p>
        </w:tc>
        <w:tc>
          <w:tcPr>
            <w:tcW w:w="6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600" w:type="dxa"/>
            <w:vAlign w:val="bottom"/>
            <w:vMerge w:val="restart"/>
          </w:tcPr>
          <w:p>
            <w:pPr>
              <w:spacing w:after="0"/>
              <w:rPr>
                <w:sz w:val="20"/>
                <w:szCs w:val="20"/>
                <w:color w:val="auto"/>
              </w:rPr>
            </w:pPr>
            <w:r>
              <w:rPr>
                <w:rFonts w:ascii="Arial" w:cs="Arial" w:eastAsia="Arial" w:hAnsi="Arial"/>
                <w:sz w:val="18"/>
                <w:szCs w:val="18"/>
                <w:color w:val="auto"/>
              </w:rPr>
              <w:t>SR 5834d</w:t>
            </w:r>
          </w:p>
        </w:tc>
        <w:tc>
          <w:tcPr>
            <w:tcW w:w="6400" w:type="dxa"/>
            <w:vAlign w:val="bottom"/>
          </w:tcPr>
          <w:p>
            <w:pPr>
              <w:ind w:left="220"/>
              <w:spacing w:after="0"/>
              <w:rPr>
                <w:sz w:val="20"/>
                <w:szCs w:val="20"/>
                <w:color w:val="auto"/>
              </w:rPr>
            </w:pPr>
            <w:r>
              <w:rPr>
                <w:rFonts w:ascii="Arial" w:cs="Arial" w:eastAsia="Arial" w:hAnsi="Arial"/>
                <w:sz w:val="18"/>
                <w:szCs w:val="18"/>
                <w:color w:val="auto"/>
              </w:rPr>
              <w:t>Copyright The Surety &amp; Fidelity Association of America, 2011</w:t>
            </w:r>
          </w:p>
        </w:tc>
        <w:tc>
          <w:tcPr>
            <w:tcW w:w="2420" w:type="dxa"/>
            <w:vAlign w:val="bottom"/>
            <w:vMerge w:val="restart"/>
          </w:tcPr>
          <w:p>
            <w:pPr>
              <w:ind w:left="1600"/>
              <w:spacing w:after="0"/>
              <w:rPr>
                <w:sz w:val="20"/>
                <w:szCs w:val="20"/>
                <w:color w:val="auto"/>
              </w:rPr>
            </w:pPr>
            <w:r>
              <w:rPr>
                <w:rFonts w:ascii="Arial" w:cs="Arial" w:eastAsia="Arial" w:hAnsi="Arial"/>
                <w:sz w:val="18"/>
                <w:szCs w:val="18"/>
                <w:color w:val="auto"/>
                <w:w w:val="86"/>
              </w:rPr>
              <w:t>Page 1 of 1</w:t>
            </w:r>
          </w:p>
        </w:tc>
        <w:tc>
          <w:tcPr>
            <w:tcW w:w="0" w:type="dxa"/>
            <w:vAlign w:val="bottom"/>
          </w:tcPr>
          <w:p>
            <w:pPr>
              <w:spacing w:after="0"/>
              <w:rPr>
                <w:sz w:val="1"/>
                <w:szCs w:val="1"/>
                <w:color w:val="auto"/>
              </w:rPr>
            </w:pPr>
          </w:p>
        </w:tc>
      </w:tr>
      <w:tr>
        <w:trPr>
          <w:trHeight w:val="216"/>
        </w:trPr>
        <w:tc>
          <w:tcPr>
            <w:tcW w:w="2600" w:type="dxa"/>
            <w:vAlign w:val="bottom"/>
            <w:vMerge w:val="continue"/>
          </w:tcPr>
          <w:p>
            <w:pPr>
              <w:spacing w:after="0"/>
              <w:rPr>
                <w:sz w:val="18"/>
                <w:szCs w:val="18"/>
                <w:color w:val="auto"/>
              </w:rPr>
            </w:pPr>
          </w:p>
        </w:tc>
        <w:tc>
          <w:tcPr>
            <w:tcW w:w="6400" w:type="dxa"/>
            <w:vAlign w:val="bottom"/>
            <w:vMerge w:val="restart"/>
          </w:tcPr>
          <w:p>
            <w:pPr>
              <w:ind w:left="2820"/>
              <w:spacing w:after="0"/>
              <w:rPr>
                <w:sz w:val="20"/>
                <w:szCs w:val="20"/>
                <w:color w:val="auto"/>
              </w:rPr>
            </w:pPr>
            <w:r>
              <w:rPr>
                <w:rFonts w:ascii="Arial" w:cs="Arial" w:eastAsia="Arial" w:hAnsi="Arial"/>
                <w:sz w:val="18"/>
                <w:szCs w:val="18"/>
                <w:b w:val="1"/>
                <w:bCs w:val="1"/>
                <w:color w:val="auto"/>
              </w:rPr>
              <w:t>FI-A-36</w:t>
            </w:r>
          </w:p>
        </w:tc>
        <w:tc>
          <w:tcPr>
            <w:tcW w:w="2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600" w:type="dxa"/>
            <w:vAlign w:val="bottom"/>
          </w:tcPr>
          <w:p>
            <w:pPr>
              <w:spacing w:after="0"/>
              <w:rPr>
                <w:sz w:val="10"/>
                <w:szCs w:val="10"/>
                <w:color w:val="auto"/>
              </w:rPr>
            </w:pPr>
          </w:p>
        </w:tc>
        <w:tc>
          <w:tcPr>
            <w:tcW w:w="6400" w:type="dxa"/>
            <w:vAlign w:val="bottom"/>
            <w:vMerge w:val="continue"/>
          </w:tcPr>
          <w:p>
            <w:pPr>
              <w:spacing w:after="0"/>
              <w:rPr>
                <w:sz w:val="10"/>
                <w:szCs w:val="10"/>
                <w:color w:val="auto"/>
              </w:rPr>
            </w:pPr>
          </w:p>
        </w:tc>
        <w:tc>
          <w:tcPr>
            <w:tcW w:w="24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70" w:right="219" w:bottom="1440" w:gutter="0" w:footer="0" w:header="0"/>
        </w:sectPr>
      </w:pPr>
    </w:p>
    <w:bookmarkStart w:id="32" w:name="page33"/>
    <w:bookmarkEnd w:id="32"/>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12</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ERISA RIDER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Any employee benefit or welfare plan, now existing or hereinafter created or acquired, whether or not required, to be bonded under the Employee Retirement Income Security Act of 1974, as amended.</w:t>
      </w:r>
    </w:p>
    <w:p>
      <w:pPr>
        <w:spacing w:after="0" w:line="76" w:lineRule="exact"/>
        <w:rPr>
          <w:sz w:val="20"/>
          <w:szCs w:val="20"/>
          <w:color w:val="auto"/>
        </w:rPr>
      </w:pPr>
    </w:p>
    <w:p>
      <w:pPr>
        <w:jc w:val="both"/>
        <w:ind w:left="460" w:right="340" w:hanging="452"/>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“Employee” as used in the attached bond shall include any natural person who is a director or trustee of the Insured while such director or trustee is engaged in handling funds or other property of any Employees Welfare or Pension Benefit Plan owned, controlled or operated by the Insured or any natural person who is a trustee, manager, officer or employee of any such Plan.</w:t>
      </w:r>
    </w:p>
    <w:p>
      <w:pPr>
        <w:spacing w:after="0" w:line="86" w:lineRule="exact"/>
        <w:rPr>
          <w:rFonts w:ascii="Arial" w:cs="Arial" w:eastAsia="Arial" w:hAnsi="Arial"/>
          <w:sz w:val="18"/>
          <w:szCs w:val="18"/>
          <w:color w:val="auto"/>
        </w:rPr>
      </w:pPr>
    </w:p>
    <w:p>
      <w:pPr>
        <w:ind w:left="460" w:right="140" w:hanging="452"/>
        <w:spacing w:after="0" w:line="276"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the bond, in accordance with the agreements, limitations and conditions thereof, covers loss sustained by two or more Employee Welfare or Pension Benefit Plans or sustained by any such Plan in addition to loss sustained by an Insured other than such Plan, it is the obligation of the Insured or the Plan Administrator(s) of such Plans under Regulations published by the Secretary of Labor implementing Section 13 of the Welfare and Pension Plans Disclosure Act of 1958 to obtain under one or more bonds issued by one or more Insurers an amount of coverage for each such Plan at least equal to that which would be required if such Plans were bonded separately.</w:t>
      </w:r>
    </w:p>
    <w:p>
      <w:pPr>
        <w:spacing w:after="0" w:line="77" w:lineRule="exact"/>
        <w:rPr>
          <w:rFonts w:ascii="Arial" w:cs="Arial" w:eastAsia="Arial" w:hAnsi="Arial"/>
          <w:sz w:val="17"/>
          <w:szCs w:val="17"/>
          <w:color w:val="auto"/>
        </w:rPr>
      </w:pPr>
    </w:p>
    <w:p>
      <w:pPr>
        <w:ind w:left="460" w:right="60" w:hanging="452"/>
        <w:spacing w:after="0" w:line="257"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compliance with the foregoing, payment by the Company in accordance with the agreements, limitations and conditions of the bond shall be held by the Insured, or, if more than one, by the Insured first named, for the use and benefit of any Employee Welfare or Pension Benefit Plan sustaining loss so covered and to the extent that such payment is in excess of the amount of coverage required by such Regulations to be carried by said Plan sustaining such loss, such excess shall be held for the use and benefit of any other such Plan also covered in the event that such other Plan discovers that it has sustained loss covered thereunder.</w:t>
      </w:r>
    </w:p>
    <w:p>
      <w:pPr>
        <w:spacing w:after="0" w:line="93" w:lineRule="exact"/>
        <w:rPr>
          <w:rFonts w:ascii="Arial" w:cs="Arial" w:eastAsia="Arial" w:hAnsi="Arial"/>
          <w:sz w:val="18"/>
          <w:szCs w:val="18"/>
          <w:color w:val="auto"/>
        </w:rPr>
      </w:pPr>
    </w:p>
    <w:p>
      <w:pPr>
        <w:ind w:left="460" w:right="20" w:hanging="452"/>
        <w:spacing w:after="0" w:line="286" w:lineRule="auto"/>
        <w:tabs>
          <w:tab w:leader="none" w:pos="4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If money or other property of two or more Employee Welfare or Pension Benefit Plans covered under the bond is commingled, recovery for loss of such money or other property through fraudulent or dishonest acts of Employees shall be shared by such Plans on a pro rata basis in accordance with the amount for which each such Plan is required to carry bonding coverage in accordance with the applicable provisions of said Regulations.</w:t>
      </w:r>
    </w:p>
    <w:p>
      <w:pPr>
        <w:spacing w:after="0" w:line="70" w:lineRule="exact"/>
        <w:rPr>
          <w:rFonts w:ascii="Arial" w:cs="Arial" w:eastAsia="Arial" w:hAnsi="Arial"/>
          <w:sz w:val="17"/>
          <w:szCs w:val="17"/>
          <w:color w:val="auto"/>
        </w:rPr>
      </w:pPr>
    </w:p>
    <w:p>
      <w:pPr>
        <w:jc w:val="both"/>
        <w:ind w:left="460" w:right="300" w:hanging="452"/>
        <w:spacing w:after="0" w:line="264"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The Deductible Amount of this bond applicable to loss sustained by a Plan through acts committed by an Employee of the Plan shall be waived, but only up to an amount equal to the amount of coverage required to be carried by the Plan because of compliance with the provisions of the Employee Retirement Income Security Act of 1974.</w:t>
      </w:r>
    </w:p>
    <w:p>
      <w:pPr>
        <w:spacing w:after="0" w:line="86" w:lineRule="exact"/>
        <w:rPr>
          <w:rFonts w:ascii="Arial" w:cs="Arial" w:eastAsia="Arial" w:hAnsi="Arial"/>
          <w:sz w:val="18"/>
          <w:szCs w:val="18"/>
          <w:color w:val="auto"/>
        </w:rPr>
      </w:pPr>
    </w:p>
    <w:p>
      <w:pPr>
        <w:ind w:left="460" w:right="300" w:hanging="452"/>
        <w:spacing w:after="0" w:line="277" w:lineRule="auto"/>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Nothing herein contained shall be held to vary, alter, waive or extend any of the terms, conditions, provisions, agreements or limitations of the bond, other than as stated herein.</w:t>
      </w:r>
    </w:p>
    <w:p>
      <w:pPr>
        <w:spacing w:after="0" w:line="75" w:lineRule="exact"/>
        <w:rPr>
          <w:rFonts w:ascii="Arial" w:cs="Arial" w:eastAsia="Arial" w:hAnsi="Arial"/>
          <w:sz w:val="18"/>
          <w:szCs w:val="18"/>
          <w:color w:val="auto"/>
        </w:rPr>
      </w:pPr>
    </w:p>
    <w:p>
      <w:pPr>
        <w:ind w:left="460" w:hanging="452"/>
        <w:spacing w:after="0"/>
        <w:tabs>
          <w:tab w:leader="none" w:pos="4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This rider is effective as of 12:01 a.m. on 03/08/2018.</w:t>
      </w:r>
    </w:p>
    <w:p>
      <w:pPr>
        <w:spacing w:after="0" w:line="117" w:lineRule="exact"/>
        <w:rPr>
          <w:rFonts w:ascii="Arial" w:cs="Arial" w:eastAsia="Arial" w:hAnsi="Arial"/>
          <w:sz w:val="18"/>
          <w:szCs w:val="18"/>
          <w:color w:val="auto"/>
        </w:rPr>
      </w:pPr>
    </w:p>
    <w:p>
      <w:pPr>
        <w:ind w:left="460" w:right="6260"/>
        <w:spacing w:after="0" w:line="269" w:lineRule="auto"/>
        <w:rPr>
          <w:rFonts w:ascii="Arial" w:cs="Arial" w:eastAsia="Arial" w:hAnsi="Arial"/>
          <w:sz w:val="18"/>
          <w:szCs w:val="18"/>
          <w:color w:val="auto"/>
        </w:rPr>
      </w:pPr>
      <w:r>
        <w:rPr>
          <w:rFonts w:ascii="Arial" w:cs="Arial" w:eastAsia="Arial" w:hAnsi="Arial"/>
          <w:sz w:val="17"/>
          <w:szCs w:val="17"/>
          <w:color w:val="auto"/>
        </w:rPr>
        <w:t>TO COMPLY WITH BONDING REGULATIONS MADE APPLICABLE TO THE EMPLOYEE RETIREMENT INCOME SECURITY ACT OF 1974. NOTE: This rider should not be used for any insured exempted from the bonding provisions</w:t>
      </w:r>
    </w:p>
    <w:p>
      <w:pPr>
        <w:spacing w:after="0" w:line="2"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of the Act.</w:t>
      </w:r>
    </w:p>
    <w:p>
      <w:pPr>
        <w:spacing w:after="0" w:line="9"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REVISED TO JUNE, 1990.</w:t>
      </w:r>
    </w:p>
    <w:p>
      <w:pPr>
        <w:spacing w:after="0" w:line="23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080" w:val="left"/>
          <w:tab w:leader="none" w:pos="10580" w:val="left"/>
        </w:tabs>
        <w:rPr>
          <w:sz w:val="20"/>
          <w:szCs w:val="20"/>
          <w:color w:val="auto"/>
        </w:rPr>
      </w:pPr>
      <w:r>
        <w:rPr>
          <w:rFonts w:ascii="Arial" w:cs="Arial" w:eastAsia="Arial" w:hAnsi="Arial"/>
          <w:sz w:val="18"/>
          <w:szCs w:val="18"/>
          <w:color w:val="auto"/>
        </w:rPr>
        <w:t>SR 6145b</w:t>
      </w:r>
      <w:r>
        <w:rPr>
          <w:sz w:val="20"/>
          <w:szCs w:val="20"/>
          <w:color w:val="auto"/>
        </w:rPr>
        <w:tab/>
      </w:r>
      <w:r>
        <w:rPr>
          <w:rFonts w:ascii="Arial" w:cs="Arial" w:eastAsia="Arial" w:hAnsi="Arial"/>
          <w:sz w:val="18"/>
          <w:szCs w:val="18"/>
          <w:color w:val="auto"/>
        </w:rPr>
        <w:t>Printed in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3" w:name="page34"/>
    <w:bookmarkEnd w:id="3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13</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REPRESENTATION OF THE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General Agreements, Section (D), REPRESENTATION OF INSURED, is deleted in its entirety and the following is inserted:</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REPRESENTATION OF INSURED</w:t>
      </w:r>
    </w:p>
    <w:p>
      <w:pPr>
        <w:spacing w:after="0" w:line="252" w:lineRule="exact"/>
        <w:rPr>
          <w:sz w:val="20"/>
          <w:szCs w:val="20"/>
          <w:color w:val="auto"/>
        </w:rPr>
      </w:pPr>
    </w:p>
    <w:p>
      <w:pPr>
        <w:ind w:left="1480" w:right="480" w:hanging="567"/>
        <w:spacing w:after="0" w:line="277" w:lineRule="auto"/>
        <w:tabs>
          <w:tab w:leader="none" w:pos="14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The Insured represents that the information furnished in the application for this bond is complete, true and correct. Such application constitutes part of this bond.</w:t>
      </w:r>
    </w:p>
    <w:p>
      <w:pPr>
        <w:spacing w:after="0" w:line="62" w:lineRule="exact"/>
        <w:rPr>
          <w:rFonts w:ascii="Arial" w:cs="Arial" w:eastAsia="Arial" w:hAnsi="Arial"/>
          <w:sz w:val="18"/>
          <w:szCs w:val="18"/>
          <w:color w:val="auto"/>
        </w:rPr>
      </w:pPr>
    </w:p>
    <w:p>
      <w:pPr>
        <w:ind w:left="1500" w:right="240"/>
        <w:spacing w:after="0" w:line="277" w:lineRule="auto"/>
        <w:rPr>
          <w:rFonts w:ascii="Arial" w:cs="Arial" w:eastAsia="Arial" w:hAnsi="Arial"/>
          <w:sz w:val="18"/>
          <w:szCs w:val="18"/>
          <w:color w:val="auto"/>
        </w:rPr>
      </w:pPr>
      <w:r>
        <w:rPr>
          <w:rFonts w:ascii="Arial" w:cs="Arial" w:eastAsia="Arial" w:hAnsi="Arial"/>
          <w:sz w:val="18"/>
          <w:szCs w:val="18"/>
          <w:color w:val="auto"/>
        </w:rPr>
        <w:t>Any intentional misrepresentation, omission, concealment or any incorrect statement of a material fact, in the application or otherwise, shall be grounds for the rescission of this bond.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4464685</wp:posOffset>
            </wp:positionH>
            <wp:positionV relativeFrom="paragraph">
              <wp:posOffset>306705</wp:posOffset>
            </wp:positionV>
            <wp:extent cx="278701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8701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PF-37678 (05/12)</w:t>
      </w:r>
      <w:r>
        <w:rPr>
          <w:sz w:val="20"/>
          <w:szCs w:val="20"/>
          <w:color w:val="auto"/>
        </w:rPr>
        <w:tab/>
      </w:r>
      <w:r>
        <w:rPr>
          <w:rFonts w:ascii="Arial" w:cs="Arial" w:eastAsia="Arial" w:hAnsi="Arial"/>
          <w:sz w:val="18"/>
          <w:szCs w:val="18"/>
          <w:color w:val="auto"/>
        </w:rPr>
        <w:t>© 2012</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4" w:name="page35"/>
    <w:bookmarkEnd w:id="34"/>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51"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3480" w:type="dxa"/>
            <w:vAlign w:val="bottom"/>
            <w:tcBorders>
              <w:top w:val="single" w:sz="8" w:color="auto"/>
              <w:left w:val="single" w:sz="8" w:color="auto"/>
            </w:tcBorders>
            <w:gridSpan w:val="2"/>
          </w:tcPr>
          <w:p>
            <w:pPr>
              <w:ind w:left="160"/>
              <w:spacing w:after="0"/>
              <w:rPr>
                <w:sz w:val="20"/>
                <w:szCs w:val="20"/>
                <w:color w:val="auto"/>
              </w:rPr>
            </w:pPr>
            <w:r>
              <w:rPr>
                <w:rFonts w:ascii="Arial" w:cs="Arial" w:eastAsia="Arial" w:hAnsi="Arial"/>
                <w:sz w:val="18"/>
                <w:szCs w:val="18"/>
                <w:color w:val="auto"/>
              </w:rPr>
              <w:t>Named Insured</w:t>
            </w:r>
          </w:p>
        </w:tc>
        <w:tc>
          <w:tcPr>
            <w:tcW w:w="4940" w:type="dxa"/>
            <w:vAlign w:val="bottom"/>
            <w:tcBorders>
              <w:top w:val="single" w:sz="8" w:color="auto"/>
              <w:right w:val="single" w:sz="8" w:color="auto"/>
            </w:tcBorders>
          </w:tcPr>
          <w:p>
            <w:pPr>
              <w:spacing w:after="0"/>
              <w:rPr>
                <w:sz w:val="18"/>
                <w:szCs w:val="18"/>
                <w:color w:val="auto"/>
              </w:rPr>
            </w:pPr>
          </w:p>
        </w:tc>
        <w:tc>
          <w:tcPr>
            <w:tcW w:w="3020" w:type="dxa"/>
            <w:vAlign w:val="bottom"/>
            <w:tcBorders>
              <w:top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48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940" w:type="dxa"/>
            <w:vAlign w:val="bottom"/>
            <w:tcBorders>
              <w:bottom w:val="single" w:sz="8" w:color="auto"/>
              <w:right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14</w:t>
            </w:r>
          </w:p>
        </w:tc>
      </w:tr>
      <w:tr>
        <w:trPr>
          <w:trHeight w:val="198"/>
        </w:trPr>
        <w:tc>
          <w:tcPr>
            <w:tcW w:w="1700" w:type="dxa"/>
            <w:vAlign w:val="bottom"/>
            <w:tcBorders>
              <w:left w:val="single" w:sz="8" w:color="auto"/>
              <w:right w:val="single" w:sz="8" w:color="auto"/>
            </w:tcBorders>
          </w:tcPr>
          <w:p>
            <w:pPr>
              <w:ind w:left="160"/>
              <w:spacing w:after="0" w:line="198" w:lineRule="exact"/>
              <w:rPr>
                <w:sz w:val="20"/>
                <w:szCs w:val="20"/>
                <w:color w:val="auto"/>
              </w:rPr>
            </w:pPr>
            <w:r>
              <w:rPr>
                <w:rFonts w:ascii="Arial" w:cs="Arial" w:eastAsia="Arial" w:hAnsi="Arial"/>
                <w:sz w:val="18"/>
                <w:szCs w:val="18"/>
                <w:color w:val="auto"/>
                <w:w w:val="94"/>
              </w:rPr>
              <w:t xml:space="preserve">Policy Symbol </w:t>
            </w:r>
            <w:r>
              <w:rPr>
                <w:rFonts w:ascii="Arial" w:cs="Arial" w:eastAsia="Arial" w:hAnsi="Arial"/>
                <w:sz w:val="18"/>
                <w:szCs w:val="18"/>
                <w:b w:val="1"/>
                <w:bCs w:val="1"/>
                <w:color w:val="auto"/>
                <w:w w:val="94"/>
              </w:rPr>
              <w:t>DON</w:t>
            </w:r>
          </w:p>
        </w:tc>
        <w:tc>
          <w:tcPr>
            <w:tcW w:w="178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94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Period</w:t>
            </w:r>
          </w:p>
        </w:tc>
        <w:tc>
          <w:tcPr>
            <w:tcW w:w="302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8"/>
        </w:trPr>
        <w:tc>
          <w:tcPr>
            <w:tcW w:w="1700" w:type="dxa"/>
            <w:vAlign w:val="bottom"/>
            <w:tcBorders>
              <w:left w:val="single" w:sz="8" w:color="auto"/>
              <w:bottom w:val="single" w:sz="8" w:color="auto"/>
              <w:right w:val="single" w:sz="8" w:color="auto"/>
            </w:tcBorders>
          </w:tcPr>
          <w:p>
            <w:pPr>
              <w:spacing w:after="0"/>
              <w:rPr>
                <w:sz w:val="21"/>
                <w:szCs w:val="21"/>
                <w:color w:val="auto"/>
              </w:rPr>
            </w:pPr>
          </w:p>
        </w:tc>
        <w:tc>
          <w:tcPr>
            <w:tcW w:w="178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94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03/08/2018 to 03/08/2019</w:t>
            </w:r>
          </w:p>
        </w:tc>
        <w:tc>
          <w:tcPr>
            <w:tcW w:w="302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r>
        <w:trPr>
          <w:trHeight w:val="191"/>
        </w:trPr>
        <w:tc>
          <w:tcPr>
            <w:tcW w:w="3480" w:type="dxa"/>
            <w:vAlign w:val="bottom"/>
            <w:tcBorders>
              <w:left w:val="single" w:sz="8" w:color="auto"/>
            </w:tcBorders>
            <w:gridSpan w:val="2"/>
          </w:tcPr>
          <w:p>
            <w:pPr>
              <w:ind w:left="160"/>
              <w:spacing w:after="0" w:line="191" w:lineRule="exact"/>
              <w:rPr>
                <w:sz w:val="20"/>
                <w:szCs w:val="20"/>
                <w:color w:val="auto"/>
              </w:rPr>
            </w:pPr>
            <w:r>
              <w:rPr>
                <w:rFonts w:ascii="Arial" w:cs="Arial" w:eastAsia="Arial" w:hAnsi="Arial"/>
                <w:sz w:val="18"/>
                <w:szCs w:val="18"/>
                <w:color w:val="auto"/>
                <w:w w:val="99"/>
              </w:rPr>
              <w:t>Issued By (Name of Insurance Company)</w:t>
            </w:r>
          </w:p>
        </w:tc>
        <w:tc>
          <w:tcPr>
            <w:tcW w:w="4940" w:type="dxa"/>
            <w:vAlign w:val="bottom"/>
          </w:tcPr>
          <w:p>
            <w:pPr>
              <w:spacing w:after="0"/>
              <w:rPr>
                <w:sz w:val="16"/>
                <w:szCs w:val="16"/>
                <w:color w:val="auto"/>
              </w:rPr>
            </w:pPr>
          </w:p>
        </w:tc>
        <w:tc>
          <w:tcPr>
            <w:tcW w:w="3020" w:type="dxa"/>
            <w:vAlign w:val="bottom"/>
            <w:tcBorders>
              <w:right w:val="single" w:sz="8" w:color="auto"/>
            </w:tcBorders>
          </w:tcPr>
          <w:p>
            <w:pPr>
              <w:spacing w:after="0"/>
              <w:rPr>
                <w:sz w:val="16"/>
                <w:szCs w:val="16"/>
                <w:color w:val="auto"/>
              </w:rPr>
            </w:pPr>
          </w:p>
        </w:tc>
      </w:tr>
      <w:tr>
        <w:trPr>
          <w:trHeight w:val="241"/>
        </w:trPr>
        <w:tc>
          <w:tcPr>
            <w:tcW w:w="3480" w:type="dxa"/>
            <w:vAlign w:val="bottom"/>
            <w:tcBorders>
              <w:left w:val="single" w:sz="8" w:color="auto"/>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ACE American Insurance Company</w:t>
            </w:r>
          </w:p>
        </w:tc>
        <w:tc>
          <w:tcPr>
            <w:tcW w:w="4940" w:type="dxa"/>
            <w:vAlign w:val="bottom"/>
            <w:tcBorders>
              <w:bottom w:val="single" w:sz="8" w:color="auto"/>
            </w:tcBorders>
          </w:tcPr>
          <w:p>
            <w:pPr>
              <w:spacing w:after="0"/>
              <w:rPr>
                <w:sz w:val="20"/>
                <w:szCs w:val="20"/>
                <w:color w:val="auto"/>
              </w:rPr>
            </w:pPr>
          </w:p>
        </w:tc>
        <w:tc>
          <w:tcPr>
            <w:tcW w:w="30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RIDER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To be attached to and form part of Financial Institution Bond, Standard Form No. 14, No. G25562823 003 in favor of TPG Specialty Lending, Inc.</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It is agreed that:</w:t>
      </w:r>
    </w:p>
    <w:p>
      <w:pPr>
        <w:spacing w:after="0" w:line="131" w:lineRule="exact"/>
        <w:rPr>
          <w:sz w:val="20"/>
          <w:szCs w:val="20"/>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attached bond is hereby amended by adding an additional Insuring Agreement as follow s:</w:t>
      </w:r>
    </w:p>
    <w:p>
      <w:pPr>
        <w:spacing w:after="0" w:line="117" w:lineRule="exact"/>
        <w:rPr>
          <w:sz w:val="20"/>
          <w:szCs w:val="20"/>
          <w:color w:val="auto"/>
        </w:rPr>
      </w:pPr>
    </w:p>
    <w:p>
      <w:pPr>
        <w:ind w:left="920" w:right="100"/>
        <w:spacing w:after="0" w:line="293" w:lineRule="auto"/>
        <w:rPr>
          <w:sz w:val="20"/>
          <w:szCs w:val="20"/>
          <w:color w:val="auto"/>
        </w:rPr>
      </w:pPr>
      <w:r>
        <w:rPr>
          <w:rFonts w:ascii="Arial" w:cs="Arial" w:eastAsia="Arial" w:hAnsi="Arial"/>
          <w:sz w:val="16"/>
          <w:szCs w:val="16"/>
          <w:color w:val="auto"/>
        </w:rPr>
        <w:t>“(G) Loss resulting directly from the fact that an issuer of securities, transfer agent, bank, banker or trust company received from the Insured or the New York Stock Exchange specimen copies of the Insured’s mechanically reproduced facsimile signature and acted in reliance upon any false, fraudulent or unauthorized reproduction of such facsimile signature, whether such facsimile signature is the facsimile signature duly adopted by the Insured or is one resembling or purporting to be such facsimile signature, regardless of by whom or by what means the same may have been imprinted, and whether or not such loss is sustained by reason of the Insured’s having entered into an agreement to be legally liable when such facsimile signature or one resembling or purporting to be such facsimile signature is used, provided, however, that</w:t>
      </w:r>
    </w:p>
    <w:p>
      <w:pPr>
        <w:spacing w:after="0" w:line="70"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“(a)</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such facsimile signature is used on a document</w:t>
            </w:r>
          </w:p>
        </w:tc>
      </w:tr>
      <w:tr>
        <w:trPr>
          <w:trHeight w:val="323"/>
        </w:trPr>
        <w:tc>
          <w:tcPr>
            <w:tcW w:w="3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(1)</w:t>
            </w:r>
          </w:p>
        </w:tc>
        <w:tc>
          <w:tcPr>
            <w:tcW w:w="9020" w:type="dxa"/>
            <w:vAlign w:val="bottom"/>
          </w:tcPr>
          <w:p>
            <w:pPr>
              <w:ind w:left="120"/>
              <w:spacing w:after="0"/>
              <w:rPr>
                <w:sz w:val="20"/>
                <w:szCs w:val="20"/>
                <w:color w:val="auto"/>
              </w:rPr>
            </w:pPr>
            <w:r>
              <w:rPr>
                <w:rFonts w:ascii="Arial" w:cs="Arial" w:eastAsia="Arial" w:hAnsi="Arial"/>
                <w:sz w:val="18"/>
                <w:szCs w:val="18"/>
                <w:color w:val="auto"/>
                <w:w w:val="95"/>
              </w:rPr>
              <w:t>as the signature to an assignment or other instrument authorizing or effecting the transfer of shares of stock, or other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1"/>
              </w:rPr>
              <w:t>registered securities, which may now or at any time hereafter be registered in the name of the insured on the books of the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association, company or corporation issuing the same; or</w:t>
            </w:r>
          </w:p>
        </w:tc>
      </w:tr>
      <w:tr>
        <w:trPr>
          <w:trHeight w:val="323"/>
        </w:trPr>
        <w:tc>
          <w:tcPr>
            <w:tcW w:w="360" w:type="dxa"/>
            <w:vAlign w:val="bottom"/>
          </w:tcPr>
          <w:p>
            <w:pPr>
              <w:spacing w:after="0"/>
              <w:rPr>
                <w:sz w:val="24"/>
                <w:szCs w:val="24"/>
                <w:color w:val="auto"/>
              </w:rPr>
            </w:pPr>
          </w:p>
        </w:tc>
        <w:tc>
          <w:tcPr>
            <w:tcW w:w="420" w:type="dxa"/>
            <w:vAlign w:val="bottom"/>
          </w:tcPr>
          <w:p>
            <w:pPr>
              <w:ind w:left="100"/>
              <w:spacing w:after="0"/>
              <w:rPr>
                <w:sz w:val="20"/>
                <w:szCs w:val="20"/>
                <w:color w:val="auto"/>
              </w:rPr>
            </w:pPr>
            <w:r>
              <w:rPr>
                <w:rFonts w:ascii="Arial" w:cs="Arial" w:eastAsia="Arial" w:hAnsi="Arial"/>
                <w:sz w:val="18"/>
                <w:szCs w:val="18"/>
                <w:color w:val="auto"/>
              </w:rPr>
              <w:t>(2)</w:t>
            </w:r>
          </w:p>
        </w:tc>
        <w:tc>
          <w:tcPr>
            <w:tcW w:w="9020" w:type="dxa"/>
            <w:vAlign w:val="bottom"/>
          </w:tcPr>
          <w:p>
            <w:pPr>
              <w:ind w:left="120"/>
              <w:spacing w:after="0"/>
              <w:rPr>
                <w:sz w:val="20"/>
                <w:szCs w:val="20"/>
                <w:color w:val="auto"/>
              </w:rPr>
            </w:pPr>
            <w:r>
              <w:rPr>
                <w:rFonts w:ascii="Arial" w:cs="Arial" w:eastAsia="Arial" w:hAnsi="Arial"/>
                <w:sz w:val="18"/>
                <w:szCs w:val="18"/>
                <w:color w:val="auto"/>
                <w:w w:val="89"/>
              </w:rPr>
              <w:t>as the signature to a power of substitution, designating a substitute or substitutes to make the actual transfer on the books of</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0"/>
              </w:rPr>
              <w:t>the issuer of shares of stock, or other registered securities, in respect of which the insured may now or at any time hereafter</w:t>
            </w:r>
          </w:p>
        </w:tc>
      </w:tr>
      <w:tr>
        <w:trPr>
          <w:trHeight w:val="216"/>
        </w:trPr>
        <w:tc>
          <w:tcPr>
            <w:tcW w:w="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w w:val="94"/>
              </w:rPr>
              <w:t>be named as attorney to effect said transfer, whether said power of substitution is embodied in an endorsement on the</w:t>
            </w:r>
          </w:p>
        </w:tc>
      </w:tr>
      <w:tr>
        <w:trPr>
          <w:trHeight w:val="230"/>
        </w:trPr>
        <w:tc>
          <w:tcPr>
            <w:tcW w:w="3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020" w:type="dxa"/>
            <w:vAlign w:val="bottom"/>
          </w:tcPr>
          <w:p>
            <w:pPr>
              <w:ind w:left="120"/>
              <w:spacing w:after="0"/>
              <w:rPr>
                <w:sz w:val="20"/>
                <w:szCs w:val="20"/>
                <w:color w:val="auto"/>
              </w:rPr>
            </w:pPr>
            <w:r>
              <w:rPr>
                <w:rFonts w:ascii="Arial" w:cs="Arial" w:eastAsia="Arial" w:hAnsi="Arial"/>
                <w:sz w:val="18"/>
                <w:szCs w:val="18"/>
                <w:color w:val="auto"/>
              </w:rPr>
              <w:t>certificate for said shares of stock or other registered security or in a separate instrument;</w:t>
            </w:r>
          </w:p>
        </w:tc>
      </w:tr>
      <w:tr>
        <w:trPr>
          <w:trHeight w:val="323"/>
        </w:trPr>
        <w:tc>
          <w:tcPr>
            <w:tcW w:w="360" w:type="dxa"/>
            <w:vAlign w:val="bottom"/>
          </w:tcPr>
          <w:p>
            <w:pPr>
              <w:spacing w:after="0"/>
              <w:rPr>
                <w:sz w:val="20"/>
                <w:szCs w:val="20"/>
                <w:color w:val="auto"/>
              </w:rPr>
            </w:pPr>
            <w:r>
              <w:rPr>
                <w:rFonts w:ascii="Arial" w:cs="Arial" w:eastAsia="Arial" w:hAnsi="Arial"/>
                <w:sz w:val="18"/>
                <w:szCs w:val="18"/>
                <w:color w:val="auto"/>
              </w:rPr>
              <w:t>“(b)</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w w:val="92"/>
              </w:rPr>
              <w:t>the New York Stock Exchange has not interposed any objections to the use by the Insured of such facsimile signature and such</w:t>
            </w:r>
          </w:p>
        </w:tc>
      </w:tr>
      <w:tr>
        <w:trPr>
          <w:trHeight w:val="230"/>
        </w:trPr>
        <w:tc>
          <w:tcPr>
            <w:tcW w:w="360" w:type="dxa"/>
            <w:vAlign w:val="bottom"/>
          </w:tcPr>
          <w:p>
            <w:pPr>
              <w:spacing w:after="0"/>
              <w:rPr>
                <w:sz w:val="20"/>
                <w:szCs w:val="20"/>
                <w:color w:val="auto"/>
              </w:rPr>
            </w:pP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agreement, if any, was required by the said Exchange as a condition to its failing to interpose any such objection; and</w:t>
            </w: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“(c)</w:t>
            </w:r>
          </w:p>
        </w:tc>
        <w:tc>
          <w:tcPr>
            <w:tcW w:w="9440" w:type="dxa"/>
            <w:vAlign w:val="bottom"/>
            <w:gridSpan w:val="2"/>
          </w:tcPr>
          <w:p>
            <w:pPr>
              <w:ind w:left="80"/>
              <w:spacing w:after="0"/>
              <w:rPr>
                <w:sz w:val="20"/>
                <w:szCs w:val="20"/>
                <w:color w:val="auto"/>
              </w:rPr>
            </w:pPr>
            <w:r>
              <w:rPr>
                <w:rFonts w:ascii="Arial" w:cs="Arial" w:eastAsia="Arial" w:hAnsi="Arial"/>
                <w:sz w:val="18"/>
                <w:szCs w:val="18"/>
                <w:color w:val="auto"/>
              </w:rPr>
              <w:t>this Insuring Agreement (G) shall not apply to any Certificated Securities which are Counterfeit”.</w:t>
            </w:r>
          </w:p>
        </w:tc>
      </w:tr>
    </w:tbl>
    <w:p>
      <w:pPr>
        <w:spacing w:after="0" w:line="107" w:lineRule="exact"/>
        <w:rPr>
          <w:sz w:val="20"/>
          <w:szCs w:val="20"/>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Sub-sections (a) and (e) of Section 2 of the attached bond shall not apply to Insuring Agreement (G).</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This rider shall become effective as of 12:01 a.m. on 03/08/2018.</w:t>
      </w:r>
    </w:p>
    <w:p>
      <w:pPr>
        <w:spacing w:after="0" w:line="154" w:lineRule="exact"/>
        <w:rPr>
          <w:sz w:val="20"/>
          <w:szCs w:val="20"/>
          <w:color w:val="auto"/>
        </w:rPr>
      </w:pPr>
    </w:p>
    <w:p>
      <w:pPr>
        <w:ind w:left="2480"/>
        <w:spacing w:after="0"/>
        <w:rPr>
          <w:sz w:val="20"/>
          <w:szCs w:val="20"/>
          <w:color w:val="auto"/>
        </w:rPr>
      </w:pPr>
      <w:r>
        <w:rPr>
          <w:rFonts w:ascii="Arial" w:cs="Arial" w:eastAsia="Arial" w:hAnsi="Arial"/>
          <w:sz w:val="18"/>
          <w:szCs w:val="18"/>
          <w:b w:val="1"/>
          <w:bCs w:val="1"/>
          <w:color w:val="auto"/>
        </w:rPr>
        <w:t>INSURING AGREEMENT (G) RIDER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FOR USE WITH FINANCIAL INSTITUTION BOND, STANDARD FORM NO. 14, WHEN ISSUED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 ELIGIBLE INSURED TO ADD INSURING AGREEMENT (G) TO PERMIT THE USE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FACSIMILE SIGNATURES AS THE SIGNATURE TO AN ASSIGNMENT OR TO A POWER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SUBSTITUTION.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REVISED TO NOVEMBER, 1988.</w:t>
      </w:r>
    </w:p>
    <w:p>
      <w:pPr>
        <w:spacing w:after="0" w:line="131" w:lineRule="exact"/>
        <w:rPr>
          <w:sz w:val="20"/>
          <w:szCs w:val="20"/>
          <w:color w:val="auto"/>
        </w:rPr>
      </w:pPr>
    </w:p>
    <w:p>
      <w:pPr>
        <w:spacing w:after="0"/>
        <w:tabs>
          <w:tab w:leader="none" w:pos="1360" w:val="left"/>
          <w:tab w:leader="none" w:pos="10580" w:val="left"/>
        </w:tabs>
        <w:rPr>
          <w:sz w:val="20"/>
          <w:szCs w:val="20"/>
          <w:color w:val="auto"/>
        </w:rPr>
      </w:pPr>
      <w:r>
        <w:rPr>
          <w:rFonts w:ascii="Arial" w:cs="Arial" w:eastAsia="Arial" w:hAnsi="Arial"/>
          <w:sz w:val="18"/>
          <w:szCs w:val="18"/>
          <w:color w:val="auto"/>
        </w:rPr>
        <w:t>SR 5907a</w:t>
      </w:r>
      <w:r>
        <w:rPr>
          <w:sz w:val="20"/>
          <w:szCs w:val="20"/>
          <w:color w:val="auto"/>
        </w:rPr>
        <w:tab/>
      </w:r>
      <w:r>
        <w:rPr>
          <w:rFonts w:ascii="Arial" w:cs="Arial" w:eastAsia="Arial" w:hAnsi="Arial"/>
          <w:sz w:val="18"/>
          <w:szCs w:val="18"/>
          <w:color w:val="auto"/>
        </w:rPr>
        <w:t>Printed In the U.S.A.</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35" w:name="page36"/>
    <w:bookmarkEnd w:id="35"/>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15</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UNCERTIFICATED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Insuring Agreements, Section (E) – SECURITIES, Item (1) (e), is deleted in its entirety and the following is inserted: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1"/>
          <w:numId w:val="89"/>
        </w:numPr>
        <w:rPr>
          <w:rFonts w:ascii="Arial" w:cs="Arial" w:eastAsia="Arial" w:hAnsi="Arial"/>
          <w:sz w:val="18"/>
          <w:szCs w:val="18"/>
          <w:color w:val="auto"/>
        </w:rPr>
      </w:pPr>
      <w:r>
        <w:rPr>
          <w:rFonts w:ascii="Arial" w:cs="Arial" w:eastAsia="Arial" w:hAnsi="Arial"/>
          <w:sz w:val="18"/>
          <w:szCs w:val="18"/>
          <w:color w:val="auto"/>
        </w:rPr>
        <w:t>Statement of Uncertificated Security in any book entry form.</w:t>
      </w:r>
    </w:p>
    <w:p>
      <w:pPr>
        <w:spacing w:after="0" w:line="130" w:lineRule="exact"/>
        <w:rPr>
          <w:rFonts w:ascii="Arial" w:cs="Arial" w:eastAsia="Arial" w:hAnsi="Arial"/>
          <w:sz w:val="18"/>
          <w:szCs w:val="18"/>
          <w:color w:val="auto"/>
        </w:rPr>
      </w:pPr>
    </w:p>
    <w:p>
      <w:pPr>
        <w:ind w:left="460" w:hanging="452"/>
        <w:spacing w:after="0"/>
        <w:tabs>
          <w:tab w:leader="none" w:pos="4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Conditions And Limitations, Section 2, Exclusions, subsection (w) is deleted in its entirety.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r>
      <w:tr>
        <w:trPr>
          <w:trHeight w:val="349"/>
        </w:trPr>
        <w:tc>
          <w:tcPr>
            <w:tcW w:w="3380" w:type="dxa"/>
            <w:vAlign w:val="bottom"/>
          </w:tcPr>
          <w:p>
            <w:pPr>
              <w:spacing w:after="0"/>
              <w:rPr>
                <w:sz w:val="20"/>
                <w:szCs w:val="20"/>
                <w:color w:val="auto"/>
              </w:rPr>
            </w:pPr>
            <w:r>
              <w:rPr>
                <w:rFonts w:ascii="Arial" w:cs="Arial" w:eastAsia="Arial" w:hAnsi="Arial"/>
                <w:sz w:val="18"/>
                <w:szCs w:val="18"/>
                <w:color w:val="auto"/>
              </w:rPr>
              <w:t>PF-37679 (05/12)</w:t>
            </w:r>
          </w:p>
        </w:tc>
        <w:tc>
          <w:tcPr>
            <w:tcW w:w="3480" w:type="dxa"/>
            <w:vAlign w:val="bottom"/>
          </w:tcPr>
          <w:p>
            <w:pPr>
              <w:jc w:val="right"/>
              <w:ind w:right="770"/>
              <w:spacing w:after="0"/>
              <w:rPr>
                <w:sz w:val="20"/>
                <w:szCs w:val="20"/>
                <w:color w:val="auto"/>
              </w:rPr>
            </w:pPr>
            <w:r>
              <w:rPr>
                <w:rFonts w:ascii="Arial" w:cs="Arial" w:eastAsia="Arial" w:hAnsi="Arial"/>
                <w:sz w:val="18"/>
                <w:szCs w:val="18"/>
                <w:color w:val="auto"/>
              </w:rPr>
              <w:t>© 2012</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1</w:t>
            </w:r>
          </w:p>
        </w:tc>
        <w:tc>
          <w:tcPr>
            <w:tcW w:w="3480" w:type="dxa"/>
            <w:vAlign w:val="bottom"/>
          </w:tcPr>
          <w:p>
            <w:pPr>
              <w:spacing w:after="0"/>
              <w:rPr>
                <w:sz w:val="20"/>
                <w:szCs w:val="20"/>
                <w:color w:val="auto"/>
              </w:rPr>
            </w:pPr>
          </w:p>
        </w:tc>
        <w:tc>
          <w:tcPr>
            <w:tcW w:w="4560" w:type="dxa"/>
            <w:vAlign w:val="bottom"/>
          </w:tcPr>
          <w:p>
            <w:pPr>
              <w:spacing w:after="0"/>
              <w:rPr>
                <w:sz w:val="20"/>
                <w:szCs w:val="20"/>
                <w:color w:val="auto"/>
              </w:rPr>
            </w:pPr>
          </w:p>
        </w:tc>
      </w:tr>
    </w:tbl>
    <w:p>
      <w:pPr>
        <w:sectPr>
          <w:pgSz w:w="11900" w:h="16838" w:orient="portrait"/>
          <w:cols w:equalWidth="0" w:num="1">
            <w:col w:w="11440"/>
          </w:cols>
          <w:pgMar w:left="240" w:top="270" w:right="219" w:bottom="1440" w:gutter="0" w:footer="0" w:header="0"/>
        </w:sectPr>
      </w:pPr>
    </w:p>
    <w:bookmarkStart w:id="36" w:name="page37"/>
    <w:bookmarkEnd w:id="36"/>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16</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DEFINITION OF EMPLOYEE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 Definitions, subsection (e), Employee, of the Conditions and Limitations, is amended to add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Employee also means:</w:t>
      </w:r>
    </w:p>
    <w:p>
      <w:pPr>
        <w:spacing w:after="0" w:line="131" w:lineRule="exact"/>
        <w:rPr>
          <w:sz w:val="20"/>
          <w:szCs w:val="20"/>
          <w:color w:val="auto"/>
        </w:rPr>
      </w:pPr>
    </w:p>
    <w:p>
      <w:pPr>
        <w:ind w:left="900" w:hanging="446"/>
        <w:spacing w:after="0"/>
        <w:tabs>
          <w:tab w:leader="none" w:pos="90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Any natural person retained as a consultant of the Insured and supervised by the Insured under written contract with the Insured.</w:t>
      </w:r>
    </w:p>
    <w:p>
      <w:pPr>
        <w:spacing w:after="0" w:line="130" w:lineRule="exact"/>
        <w:rPr>
          <w:rFonts w:ascii="MS PGothic" w:cs="MS PGothic" w:eastAsia="MS PGothic" w:hAnsi="MS PGothic"/>
          <w:sz w:val="18"/>
          <w:szCs w:val="18"/>
          <w:color w:val="auto"/>
        </w:rPr>
      </w:pPr>
    </w:p>
    <w:p>
      <w:pPr>
        <w:ind w:left="900" w:right="60" w:hanging="446"/>
        <w:spacing w:after="0" w:line="277" w:lineRule="auto"/>
        <w:tabs>
          <w:tab w:leader="none" w:pos="90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Any person set forth in (1) through (6) above, who resigned, retires or is terminated from service of the Insured during the Bond period. Provided that this extension applies only:</w:t>
      </w:r>
    </w:p>
    <w:p>
      <w:pPr>
        <w:spacing w:after="0" w:line="75" w:lineRule="exact"/>
        <w:rPr>
          <w:rFonts w:ascii="MS PGothic" w:cs="MS PGothic" w:eastAsia="MS PGothic" w:hAnsi="MS PGothic"/>
          <w:sz w:val="18"/>
          <w:szCs w:val="18"/>
          <w:color w:val="auto"/>
        </w:rPr>
      </w:pPr>
    </w:p>
    <w:p>
      <w:pPr>
        <w:ind w:left="1480" w:hanging="567"/>
        <w:spacing w:after="0"/>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for a period of 60 days subsequent to such resignation, retirement or termination; and</w:t>
      </w:r>
    </w:p>
    <w:p>
      <w:pPr>
        <w:spacing w:after="0" w:line="130" w:lineRule="exact"/>
        <w:rPr>
          <w:rFonts w:ascii="Arial" w:cs="Arial" w:eastAsia="Arial" w:hAnsi="Arial"/>
          <w:sz w:val="18"/>
          <w:szCs w:val="18"/>
          <w:color w:val="auto"/>
        </w:rPr>
      </w:pPr>
    </w:p>
    <w:p>
      <w:pPr>
        <w:ind w:left="1480" w:right="460" w:hanging="567"/>
        <w:spacing w:after="0" w:line="277" w:lineRule="auto"/>
        <w:tabs>
          <w:tab w:leader="none" w:pos="14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if such resignation, retirement or termination has not arisen from or in connection with the discovery by the Insured of any actual or alleged dishonest, fraudulent or criminal act(s) of such person.</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Employees on Leave or Military Service.</w:t>
      </w:r>
    </w:p>
    <w:p>
      <w:pPr>
        <w:spacing w:after="0" w:line="130" w:lineRule="exact"/>
        <w:rPr>
          <w:rFonts w:ascii="MS PGothic" w:cs="MS PGothic" w:eastAsia="MS PGothic" w:hAnsi="MS PGothic"/>
          <w:sz w:val="18"/>
          <w:szCs w:val="18"/>
          <w:color w:val="auto"/>
        </w:rPr>
      </w:pPr>
    </w:p>
    <w:p>
      <w:pPr>
        <w:ind w:left="900" w:hanging="446"/>
        <w:spacing w:after="0"/>
        <w:tabs>
          <w:tab w:leader="none" w:pos="900" w:val="left"/>
        </w:tabs>
        <w:numPr>
          <w:ilvl w:val="0"/>
          <w:numId w:val="90"/>
        </w:numPr>
        <w:rPr>
          <w:rFonts w:ascii="MS PGothic" w:cs="MS PGothic" w:eastAsia="MS PGothic" w:hAnsi="MS PGothic"/>
          <w:sz w:val="18"/>
          <w:szCs w:val="18"/>
          <w:color w:val="auto"/>
        </w:rPr>
      </w:pPr>
      <w:r>
        <w:rPr>
          <w:rFonts w:ascii="Arial" w:cs="Arial" w:eastAsia="Arial" w:hAnsi="Arial"/>
          <w:sz w:val="18"/>
          <w:szCs w:val="18"/>
          <w:color w:val="auto"/>
        </w:rPr>
        <w:t>Guest Students.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r>
      <w:tr>
        <w:trPr>
          <w:trHeight w:val="349"/>
        </w:trPr>
        <w:tc>
          <w:tcPr>
            <w:tcW w:w="3380" w:type="dxa"/>
            <w:vAlign w:val="bottom"/>
          </w:tcPr>
          <w:p>
            <w:pPr>
              <w:spacing w:after="0"/>
              <w:rPr>
                <w:sz w:val="20"/>
                <w:szCs w:val="20"/>
                <w:color w:val="auto"/>
              </w:rPr>
            </w:pPr>
            <w:r>
              <w:rPr>
                <w:rFonts w:ascii="Arial" w:cs="Arial" w:eastAsia="Arial" w:hAnsi="Arial"/>
                <w:sz w:val="18"/>
                <w:szCs w:val="18"/>
                <w:color w:val="auto"/>
              </w:rPr>
              <w:t>PF-39751 (04/13)</w:t>
            </w:r>
          </w:p>
        </w:tc>
        <w:tc>
          <w:tcPr>
            <w:tcW w:w="3480" w:type="dxa"/>
            <w:vAlign w:val="bottom"/>
          </w:tcPr>
          <w:p>
            <w:pPr>
              <w:jc w:val="right"/>
              <w:ind w:right="770"/>
              <w:spacing w:after="0"/>
              <w:rPr>
                <w:sz w:val="20"/>
                <w:szCs w:val="20"/>
                <w:color w:val="auto"/>
              </w:rPr>
            </w:pPr>
            <w:r>
              <w:rPr>
                <w:rFonts w:ascii="Arial" w:cs="Arial" w:eastAsia="Arial" w:hAnsi="Arial"/>
                <w:sz w:val="18"/>
                <w:szCs w:val="18"/>
                <w:color w:val="auto"/>
              </w:rPr>
              <w:t>© 2013</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1</w:t>
            </w:r>
          </w:p>
        </w:tc>
        <w:tc>
          <w:tcPr>
            <w:tcW w:w="3480" w:type="dxa"/>
            <w:vAlign w:val="bottom"/>
          </w:tcPr>
          <w:p>
            <w:pPr>
              <w:spacing w:after="0"/>
              <w:rPr>
                <w:sz w:val="20"/>
                <w:szCs w:val="20"/>
                <w:color w:val="auto"/>
              </w:rPr>
            </w:pPr>
          </w:p>
        </w:tc>
        <w:tc>
          <w:tcPr>
            <w:tcW w:w="4560" w:type="dxa"/>
            <w:vAlign w:val="bottom"/>
          </w:tcPr>
          <w:p>
            <w:pPr>
              <w:spacing w:after="0"/>
              <w:rPr>
                <w:sz w:val="20"/>
                <w:szCs w:val="20"/>
                <w:color w:val="auto"/>
              </w:rPr>
            </w:pPr>
          </w:p>
        </w:tc>
      </w:tr>
    </w:tbl>
    <w:p>
      <w:pPr>
        <w:sectPr>
          <w:pgSz w:w="11900" w:h="16838" w:orient="portrait"/>
          <w:cols w:equalWidth="0" w:num="1">
            <w:col w:w="11440"/>
          </w:cols>
          <w:pgMar w:left="240" w:top="270" w:right="219" w:bottom="1440" w:gutter="0" w:footer="0" w:header="0"/>
        </w:sectPr>
      </w:pPr>
    </w:p>
    <w:bookmarkStart w:id="37" w:name="page38"/>
    <w:bookmarkEnd w:id="3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17</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OMNIBUS NAMED INSURED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Item 1 of the Declarations is deleted in its entirety and the following is inserted:</w:t>
      </w:r>
    </w:p>
    <w:p>
      <w:pPr>
        <w:spacing w:after="0" w:line="117" w:lineRule="exact"/>
        <w:rPr>
          <w:sz w:val="20"/>
          <w:szCs w:val="20"/>
          <w:color w:val="auto"/>
        </w:rPr>
      </w:pPr>
    </w:p>
    <w:p>
      <w:pPr>
        <w:ind w:left="460" w:right="120"/>
        <w:spacing w:after="0" w:line="276" w:lineRule="auto"/>
        <w:rPr>
          <w:sz w:val="20"/>
          <w:szCs w:val="20"/>
          <w:color w:val="auto"/>
        </w:rPr>
      </w:pPr>
      <w:r>
        <w:rPr>
          <w:rFonts w:ascii="Arial" w:cs="Arial" w:eastAsia="Arial" w:hAnsi="Arial"/>
          <w:sz w:val="17"/>
          <w:szCs w:val="17"/>
          <w:color w:val="auto"/>
        </w:rPr>
        <w:t>Item 1. Name of Insured (herein called Insured): TPG Specialty Lending, Inc., Subject to the provisions of General Agreement B, as amended, Insured also means: (i) any subsidiary, joint venture, limited liability company, limited partnership, or general partnership, in which 50% or more of the voting interests are owned directly or indirectly by TPG Specialty Lending, Inc., and only while such interest existed or continues to exist; and, (ii) any employee benefit or welfare plan sponsored by the Insured now existing or hereafter created or acquired, that is required to be bonded under the Employee Retirement Income Security Act of 1974, as amended, so long as the Insured sponsors such plan.</w:t>
      </w:r>
    </w:p>
    <w:p>
      <w:pPr>
        <w:sectPr>
          <w:pgSz w:w="11900" w:h="16838" w:orient="portrait"/>
          <w:cols w:equalWidth="0" w:num="1">
            <w:col w:w="11440"/>
          </w:cols>
          <w:pgMar w:left="240" w:top="270" w:right="219" w:bottom="1440" w:gutter="0" w:footer="0" w:header="0"/>
        </w:sectPr>
      </w:pPr>
    </w:p>
    <w:p>
      <w:pPr>
        <w:spacing w:after="0" w:line="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Principal Address:</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spacing w:after="0"/>
        <w:rPr>
          <w:sz w:val="20"/>
          <w:szCs w:val="20"/>
          <w:color w:val="auto"/>
        </w:rPr>
      </w:pPr>
      <w:r>
        <w:rPr>
          <w:rFonts w:ascii="Arial" w:cs="Arial" w:eastAsia="Arial" w:hAnsi="Arial"/>
          <w:sz w:val="16"/>
          <w:szCs w:val="16"/>
          <w:color w:val="auto"/>
        </w:rPr>
        <w:t>301 Commerce Street, Suite 3300</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Fort Worth, TX 76102</w:t>
      </w:r>
    </w:p>
    <w:p>
      <w:pPr>
        <w:spacing w:after="0" w:line="200" w:lineRule="exact"/>
        <w:rPr>
          <w:sz w:val="20"/>
          <w:szCs w:val="20"/>
          <w:color w:val="auto"/>
        </w:rPr>
      </w:pPr>
    </w:p>
    <w:p>
      <w:pPr>
        <w:sectPr>
          <w:pgSz w:w="11900" w:h="16838" w:orient="portrait"/>
          <w:cols w:equalWidth="0" w:num="2">
            <w:col w:w="1780" w:space="600"/>
            <w:col w:w="9060"/>
          </w:cols>
          <w:pgMar w:left="240" w:top="270" w:right="21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r>
      <w:tr>
        <w:trPr>
          <w:trHeight w:val="349"/>
        </w:trPr>
        <w:tc>
          <w:tcPr>
            <w:tcW w:w="3380" w:type="dxa"/>
            <w:vAlign w:val="bottom"/>
          </w:tcPr>
          <w:p>
            <w:pPr>
              <w:spacing w:after="0"/>
              <w:rPr>
                <w:sz w:val="20"/>
                <w:szCs w:val="20"/>
                <w:color w:val="auto"/>
              </w:rPr>
            </w:pPr>
            <w:r>
              <w:rPr>
                <w:rFonts w:ascii="Arial" w:cs="Arial" w:eastAsia="Arial" w:hAnsi="Arial"/>
                <w:sz w:val="18"/>
                <w:szCs w:val="18"/>
                <w:color w:val="auto"/>
              </w:rPr>
              <w:t>PF-39759 (04/13)</w:t>
            </w:r>
          </w:p>
        </w:tc>
        <w:tc>
          <w:tcPr>
            <w:tcW w:w="3480" w:type="dxa"/>
            <w:vAlign w:val="bottom"/>
          </w:tcPr>
          <w:p>
            <w:pPr>
              <w:jc w:val="right"/>
              <w:ind w:right="770"/>
              <w:spacing w:after="0"/>
              <w:rPr>
                <w:sz w:val="20"/>
                <w:szCs w:val="20"/>
                <w:color w:val="auto"/>
              </w:rPr>
            </w:pPr>
            <w:r>
              <w:rPr>
                <w:rFonts w:ascii="Arial" w:cs="Arial" w:eastAsia="Arial" w:hAnsi="Arial"/>
                <w:sz w:val="18"/>
                <w:szCs w:val="18"/>
                <w:color w:val="auto"/>
              </w:rPr>
              <w:t>© 2013</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1</w:t>
            </w:r>
          </w:p>
        </w:tc>
        <w:tc>
          <w:tcPr>
            <w:tcW w:w="3480" w:type="dxa"/>
            <w:vAlign w:val="bottom"/>
          </w:tcPr>
          <w:p>
            <w:pPr>
              <w:spacing w:after="0"/>
              <w:rPr>
                <w:sz w:val="20"/>
                <w:szCs w:val="20"/>
                <w:color w:val="auto"/>
              </w:rPr>
            </w:pPr>
          </w:p>
        </w:tc>
        <w:tc>
          <w:tcPr>
            <w:tcW w:w="4560" w:type="dxa"/>
            <w:vAlign w:val="bottom"/>
          </w:tcPr>
          <w:p>
            <w:pPr>
              <w:spacing w:after="0"/>
              <w:rPr>
                <w:sz w:val="20"/>
                <w:szCs w:val="20"/>
                <w:color w:val="auto"/>
              </w:rPr>
            </w:pPr>
          </w:p>
        </w:tc>
      </w:tr>
    </w:tbl>
    <w:p>
      <w:pPr>
        <w:sectPr>
          <w:pgSz w:w="11900" w:h="16838" w:orient="portrait"/>
          <w:cols w:equalWidth="0" w:num="1">
            <w:col w:w="11440"/>
          </w:cols>
          <w:pgMar w:left="240" w:top="270" w:right="219" w:bottom="1440" w:gutter="0" w:footer="0" w:header="0"/>
          <w:type w:val="continuous"/>
        </w:sectPr>
      </w:pPr>
    </w:p>
    <w:bookmarkStart w:id="38" w:name="page39"/>
    <w:bookmarkEnd w:id="38"/>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18</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PRIVACY EXCLUSIONS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the Bond is amended as follows:</w:t>
      </w:r>
    </w:p>
    <w:p>
      <w:pPr>
        <w:spacing w:after="0" w:line="131"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Conditions And Limitations, section 2, Exclusions, is amended to add the following:</w:t>
      </w:r>
    </w:p>
    <w:p>
      <w:pPr>
        <w:spacing w:after="0" w:line="130" w:lineRule="exact"/>
        <w:rPr>
          <w:rFonts w:ascii="Arial" w:cs="Arial" w:eastAsia="Arial" w:hAnsi="Arial"/>
          <w:sz w:val="18"/>
          <w:szCs w:val="18"/>
          <w:color w:val="auto"/>
        </w:rPr>
      </w:pPr>
    </w:p>
    <w:p>
      <w:pPr>
        <w:ind w:left="900" w:right="100" w:hanging="446"/>
        <w:spacing w:after="0" w:line="276" w:lineRule="auto"/>
        <w:tabs>
          <w:tab w:leader="none" w:pos="9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disclosure or use of, or purported use or disclosure of, the Insured’s or another person’s or entity’s confidential or personal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77" w:lineRule="exact"/>
        <w:rPr>
          <w:rFonts w:ascii="Arial" w:cs="Arial" w:eastAsia="Arial" w:hAnsi="Arial"/>
          <w:sz w:val="17"/>
          <w:szCs w:val="17"/>
          <w:color w:val="auto"/>
        </w:rPr>
      </w:pPr>
    </w:p>
    <w:p>
      <w:pPr>
        <w:ind w:left="900" w:right="120" w:hanging="446"/>
        <w:spacing w:after="0" w:line="308" w:lineRule="auto"/>
        <w:tabs>
          <w:tab w:leader="none" w:pos="900" w:val="left"/>
        </w:tabs>
        <w:numPr>
          <w:ilvl w:val="1"/>
          <w:numId w:val="91"/>
        </w:numPr>
        <w:rPr>
          <w:rFonts w:ascii="Arial" w:cs="Arial" w:eastAsia="Arial" w:hAnsi="Arial"/>
          <w:sz w:val="17"/>
          <w:szCs w:val="17"/>
          <w:color w:val="auto"/>
        </w:rPr>
      </w:pPr>
      <w:r>
        <w:rPr>
          <w:rFonts w:ascii="Arial" w:cs="Arial" w:eastAsia="Arial" w:hAnsi="Arial"/>
          <w:sz w:val="17"/>
          <w:szCs w:val="17"/>
          <w:color w:val="auto"/>
        </w:rPr>
        <w:t>loss resulting from the theft, disappearance, or destruction of, or access to, or use or disclosure of, or purported use or disclosure of, credit, debit, charge, access, convenience, identification, stored-value or other cards or the information contained on such cards.</w:t>
      </w:r>
    </w:p>
    <w:p>
      <w:pPr>
        <w:spacing w:after="0" w:line="51" w:lineRule="exact"/>
        <w:rPr>
          <w:rFonts w:ascii="Arial" w:cs="Arial" w:eastAsia="Arial" w:hAnsi="Arial"/>
          <w:sz w:val="17"/>
          <w:szCs w:val="17"/>
          <w:color w:val="auto"/>
        </w:rPr>
      </w:pPr>
    </w:p>
    <w:p>
      <w:pPr>
        <w:ind w:left="900" w:right="200" w:hanging="446"/>
        <w:spacing w:after="0" w:line="255"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fees, costs, fines, penalties and other expenses incurred by an Insured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98" w:lineRule="exact"/>
        <w:rPr>
          <w:rFonts w:ascii="Arial" w:cs="Arial" w:eastAsia="Arial" w:hAnsi="Arial"/>
          <w:sz w:val="18"/>
          <w:szCs w:val="18"/>
          <w:color w:val="auto"/>
        </w:rPr>
      </w:pPr>
    </w:p>
    <w:p>
      <w:pPr>
        <w:ind w:left="900" w:right="220" w:hanging="446"/>
        <w:spacing w:after="0" w:line="259" w:lineRule="auto"/>
        <w:tabs>
          <w:tab w:leader="none" w:pos="900" w:val="left"/>
        </w:tabs>
        <w:numPr>
          <w:ilvl w:val="1"/>
          <w:numId w:val="91"/>
        </w:numPr>
        <w:rPr>
          <w:rFonts w:ascii="Arial" w:cs="Arial" w:eastAsia="Arial" w:hAnsi="Arial"/>
          <w:sz w:val="18"/>
          <w:szCs w:val="18"/>
          <w:color w:val="auto"/>
        </w:rPr>
      </w:pPr>
      <w:r>
        <w:rPr>
          <w:rFonts w:ascii="Arial" w:cs="Arial" w:eastAsia="Arial" w:hAnsi="Arial"/>
          <w:sz w:val="18"/>
          <w:szCs w:val="18"/>
          <w:color w:val="auto"/>
        </w:rPr>
        <w:t>expenses related to the Insured’s obligations to comply with federal and state privacy laws and Payment Card Industry Data Security Standards (if applicable) arising from a data security breach, including, but not limited to, forensic audit expenses, fines, penalties and expenses related to notifying affected individuals when the affected individuals’ personally identifiable financial or medical information was stolen, accessed, downloaded or misappropriated while in the Insured’s care, custody or control.</w:t>
      </w:r>
    </w:p>
    <w:p>
      <w:pPr>
        <w:spacing w:after="0" w:line="92"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Conditions And Limitations, is amended to add the following:</w:t>
      </w:r>
    </w:p>
    <w:p>
      <w:pPr>
        <w:spacing w:after="0" w:line="117" w:lineRule="exact"/>
        <w:rPr>
          <w:rFonts w:ascii="Arial" w:cs="Arial" w:eastAsia="Arial" w:hAnsi="Arial"/>
          <w:sz w:val="18"/>
          <w:szCs w:val="18"/>
          <w:color w:val="auto"/>
        </w:rPr>
      </w:pPr>
    </w:p>
    <w:p>
      <w:pPr>
        <w:ind w:left="460" w:right="80"/>
        <w:spacing w:after="0" w:line="255" w:lineRule="auto"/>
        <w:rPr>
          <w:rFonts w:ascii="Arial" w:cs="Arial" w:eastAsia="Arial" w:hAnsi="Arial"/>
          <w:sz w:val="18"/>
          <w:szCs w:val="18"/>
          <w:color w:val="auto"/>
        </w:rPr>
      </w:pPr>
      <w:r>
        <w:rPr>
          <w:rFonts w:ascii="Arial" w:cs="Arial" w:eastAsia="Arial" w:hAnsi="Arial"/>
          <w:sz w:val="18"/>
          <w:szCs w:val="18"/>
          <w:color w:val="auto"/>
        </w:rPr>
        <w:t>Notwithstanding anything in this Bond to the contrary, including but not limited to any Insuring Agreement or endorsement providing for any coverage whatsoever for fees, costs or expenses, in no event shall there be any coverage under this Bond for fees, costs and expenses arising out of the theft, disappearance, or destruction of, or access to, or disclosure or use of, or purported use or disclosure of, the Insured’s or another person’s or entity’s confidential or person information including, but not limited to, patents, trade secrets, processing methods, customer lists, financial information, personal customer information, a customer’s personally identifiable financial information, credit card information, health information or any other type of nonpublic information, or intellectual property, whether such information is owned by the Insured or held by the Insured in any capacity including concurrently with another person.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policy remain unchanged.</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380" w:type="dxa"/>
            <w:vAlign w:val="bottom"/>
          </w:tcPr>
          <w:p>
            <w:pPr>
              <w:spacing w:after="0"/>
              <w:rPr>
                <w:sz w:val="21"/>
                <w:szCs w:val="21"/>
                <w:color w:val="auto"/>
              </w:rPr>
            </w:pPr>
          </w:p>
        </w:tc>
        <w:tc>
          <w:tcPr>
            <w:tcW w:w="3480" w:type="dxa"/>
            <w:vAlign w:val="bottom"/>
          </w:tcPr>
          <w:p>
            <w:pPr>
              <w:spacing w:after="0"/>
              <w:rPr>
                <w:sz w:val="21"/>
                <w:szCs w:val="21"/>
                <w:color w:val="auto"/>
              </w:rPr>
            </w:pPr>
          </w:p>
        </w:tc>
        <w:tc>
          <w:tcPr>
            <w:tcW w:w="4560" w:type="dxa"/>
            <w:vAlign w:val="bottom"/>
            <w:tcBorders>
              <w:top w:val="single" w:sz="8" w:color="auto"/>
            </w:tcBorders>
          </w:tcPr>
          <w:p>
            <w:pPr>
              <w:ind w:left="1320"/>
              <w:spacing w:after="0"/>
              <w:rPr>
                <w:sz w:val="20"/>
                <w:szCs w:val="20"/>
                <w:color w:val="auto"/>
              </w:rPr>
            </w:pPr>
            <w:r>
              <w:rPr>
                <w:rFonts w:ascii="Arial" w:cs="Arial" w:eastAsia="Arial" w:hAnsi="Arial"/>
                <w:sz w:val="18"/>
                <w:szCs w:val="18"/>
                <w:color w:val="auto"/>
              </w:rPr>
              <w:t>Authorized Representative</w:t>
            </w:r>
          </w:p>
        </w:tc>
      </w:tr>
      <w:tr>
        <w:trPr>
          <w:trHeight w:val="349"/>
        </w:trPr>
        <w:tc>
          <w:tcPr>
            <w:tcW w:w="3380" w:type="dxa"/>
            <w:vAlign w:val="bottom"/>
          </w:tcPr>
          <w:p>
            <w:pPr>
              <w:spacing w:after="0"/>
              <w:rPr>
                <w:sz w:val="20"/>
                <w:szCs w:val="20"/>
                <w:color w:val="auto"/>
              </w:rPr>
            </w:pPr>
            <w:r>
              <w:rPr>
                <w:rFonts w:ascii="Arial" w:cs="Arial" w:eastAsia="Arial" w:hAnsi="Arial"/>
                <w:sz w:val="18"/>
                <w:szCs w:val="18"/>
                <w:color w:val="auto"/>
              </w:rPr>
              <w:t>PF-42750 (07/14)</w:t>
            </w:r>
          </w:p>
        </w:tc>
        <w:tc>
          <w:tcPr>
            <w:tcW w:w="3480" w:type="dxa"/>
            <w:vAlign w:val="bottom"/>
          </w:tcPr>
          <w:p>
            <w:pPr>
              <w:jc w:val="right"/>
              <w:ind w:right="770"/>
              <w:spacing w:after="0"/>
              <w:rPr>
                <w:sz w:val="20"/>
                <w:szCs w:val="20"/>
                <w:color w:val="auto"/>
              </w:rPr>
            </w:pPr>
            <w:r>
              <w:rPr>
                <w:rFonts w:ascii="Arial" w:cs="Arial" w:eastAsia="Arial" w:hAnsi="Arial"/>
                <w:sz w:val="18"/>
                <w:szCs w:val="18"/>
                <w:color w:val="auto"/>
              </w:rPr>
              <w:t>© 2014</w:t>
            </w:r>
          </w:p>
        </w:tc>
        <w:tc>
          <w:tcPr>
            <w:tcW w:w="4560" w:type="dxa"/>
            <w:vAlign w:val="bottom"/>
          </w:tcPr>
          <w:p>
            <w:pPr>
              <w:ind w:left="3740"/>
              <w:spacing w:after="0"/>
              <w:rPr>
                <w:sz w:val="20"/>
                <w:szCs w:val="20"/>
                <w:color w:val="auto"/>
              </w:rPr>
            </w:pPr>
            <w:r>
              <w:rPr>
                <w:rFonts w:ascii="Arial" w:cs="Arial" w:eastAsia="Arial" w:hAnsi="Arial"/>
                <w:sz w:val="18"/>
                <w:szCs w:val="18"/>
                <w:color w:val="auto"/>
                <w:w w:val="86"/>
              </w:rPr>
              <w:t>Page 1 of 1</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FI Bonds 14 &amp; 24</w:t>
            </w:r>
          </w:p>
        </w:tc>
        <w:tc>
          <w:tcPr>
            <w:tcW w:w="3480" w:type="dxa"/>
            <w:vAlign w:val="bottom"/>
          </w:tcPr>
          <w:p>
            <w:pPr>
              <w:spacing w:after="0"/>
              <w:rPr>
                <w:sz w:val="20"/>
                <w:szCs w:val="20"/>
                <w:color w:val="auto"/>
              </w:rPr>
            </w:pPr>
          </w:p>
        </w:tc>
        <w:tc>
          <w:tcPr>
            <w:tcW w:w="4560" w:type="dxa"/>
            <w:vAlign w:val="bottom"/>
          </w:tcPr>
          <w:p>
            <w:pPr>
              <w:spacing w:after="0"/>
              <w:rPr>
                <w:sz w:val="20"/>
                <w:szCs w:val="20"/>
                <w:color w:val="auto"/>
              </w:rPr>
            </w:pPr>
          </w:p>
        </w:tc>
      </w:tr>
    </w:tbl>
    <w:p>
      <w:pPr>
        <w:sectPr>
          <w:pgSz w:w="11900" w:h="16838" w:orient="portrait"/>
          <w:cols w:equalWidth="0" w:num="1">
            <w:col w:w="11440"/>
          </w:cols>
          <w:pgMar w:left="240" w:top="270" w:right="219" w:bottom="1440" w:gutter="0" w:footer="0" w:header="0"/>
        </w:sectPr>
      </w:pPr>
    </w:p>
    <w:bookmarkStart w:id="39" w:name="page40"/>
    <w:bookmarkEnd w:id="39"/>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ENDORSEMENT CHANGES THE POLICY. PLEASE READ IT CAREFULLY.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19</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004</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AMEND DEDUCTIBLE AMOUNT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 is agreed that Section 11., DEDUCTIBLE AMOUNT, of the attached bond is amended to include the following:</w:t>
      </w:r>
    </w:p>
    <w:p>
      <w:pPr>
        <w:spacing w:after="0" w:line="22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There shall be no Single Loss Deductible amount applicable to any loss under Insuring Agreement (A), Employee Dishonesty, sustained by any business development company in compliance with Section 54 of the Investment Company Act of 1940.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All other terms and conditions of this Bond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306705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ind w:left="8180"/>
        <w:spacing w:after="0"/>
        <w:rPr>
          <w:sz w:val="20"/>
          <w:szCs w:val="20"/>
          <w:color w:val="auto"/>
        </w:rPr>
      </w:pPr>
      <w:r>
        <w:rPr>
          <w:rFonts w:ascii="Arial" w:cs="Arial" w:eastAsia="Arial" w:hAnsi="Arial"/>
          <w:sz w:val="18"/>
          <w:szCs w:val="18"/>
          <w:color w:val="auto"/>
        </w:rPr>
        <w:t>Authorized Representative</w:t>
      </w:r>
    </w:p>
    <w:p>
      <w:pPr>
        <w:spacing w:after="0" w:line="158" w:lineRule="exact"/>
        <w:rPr>
          <w:sz w:val="20"/>
          <w:szCs w:val="20"/>
          <w:color w:val="auto"/>
        </w:rPr>
      </w:pPr>
    </w:p>
    <w:p>
      <w:pPr>
        <w:spacing w:after="0"/>
        <w:tabs>
          <w:tab w:leader="none" w:pos="5440" w:val="left"/>
          <w:tab w:leader="none" w:pos="10580" w:val="left"/>
        </w:tabs>
        <w:rPr>
          <w:sz w:val="20"/>
          <w:szCs w:val="20"/>
          <w:color w:val="auto"/>
        </w:rPr>
      </w:pPr>
      <w:r>
        <w:rPr>
          <w:rFonts w:ascii="Arial" w:cs="Arial" w:eastAsia="Arial" w:hAnsi="Arial"/>
          <w:sz w:val="18"/>
          <w:szCs w:val="18"/>
          <w:color w:val="auto"/>
        </w:rPr>
        <w:t>MS-47981 (03/16)</w:t>
      </w:r>
      <w:r>
        <w:rPr>
          <w:sz w:val="20"/>
          <w:szCs w:val="20"/>
          <w:color w:val="auto"/>
        </w:rPr>
        <w:tab/>
      </w:r>
      <w:r>
        <w:rPr>
          <w:rFonts w:ascii="Arial" w:cs="Arial" w:eastAsia="Arial" w:hAnsi="Arial"/>
          <w:sz w:val="18"/>
          <w:szCs w:val="18"/>
          <w:color w:val="auto"/>
        </w:rPr>
        <w:t>© 2016</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40" w:name="page41"/>
    <w:bookmarkEnd w:id="40"/>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TRADE OR ECONOMIC SANCTIONS ENDORSEMENT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54875" cy="8832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883285"/>
                    </a:xfrm>
                    <a:prstGeom prst="rect">
                      <a:avLst/>
                    </a:prstGeom>
                    <a:noFill/>
                  </pic:spPr>
                </pic:pic>
              </a:graphicData>
            </a:graphic>
          </wp:anchor>
        </w:drawing>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640" w:type="dxa"/>
            <w:vAlign w:val="bottom"/>
            <w:tcBorders>
              <w:top w:val="single" w:sz="8" w:color="auto"/>
            </w:tcBorders>
          </w:tcPr>
          <w:p>
            <w:pPr>
              <w:ind w:left="160"/>
              <w:spacing w:after="0"/>
              <w:rPr>
                <w:sz w:val="20"/>
                <w:szCs w:val="20"/>
                <w:color w:val="auto"/>
              </w:rPr>
            </w:pPr>
            <w:r>
              <w:rPr>
                <w:rFonts w:ascii="Arial" w:cs="Arial" w:eastAsia="Arial" w:hAnsi="Arial"/>
                <w:sz w:val="18"/>
                <w:szCs w:val="18"/>
                <w:color w:val="auto"/>
              </w:rPr>
              <w:t>Named Insured</w:t>
            </w:r>
          </w:p>
        </w:tc>
        <w:tc>
          <w:tcPr>
            <w:tcW w:w="1960" w:type="dxa"/>
            <w:vAlign w:val="bottom"/>
            <w:tcBorders>
              <w:top w:val="single" w:sz="8" w:color="auto"/>
            </w:tcBorders>
          </w:tcPr>
          <w:p>
            <w:pPr>
              <w:spacing w:after="0"/>
              <w:rPr>
                <w:sz w:val="18"/>
                <w:szCs w:val="18"/>
                <w:color w:val="auto"/>
              </w:rPr>
            </w:pPr>
          </w:p>
        </w:tc>
        <w:tc>
          <w:tcPr>
            <w:tcW w:w="48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Endorsement Number</w:t>
            </w:r>
          </w:p>
        </w:tc>
      </w:tr>
      <w:tr>
        <w:trPr>
          <w:trHeight w:val="241"/>
        </w:trPr>
        <w:tc>
          <w:tcPr>
            <w:tcW w:w="360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rPr>
              <w:t>TPG Specialty Lending, Inc.</w:t>
            </w:r>
          </w:p>
        </w:tc>
        <w:tc>
          <w:tcPr>
            <w:tcW w:w="4880" w:type="dxa"/>
            <w:vAlign w:val="bottom"/>
            <w:tcBorders>
              <w:bottom w:val="single" w:sz="8" w:color="auto"/>
              <w:right w:val="single" w:sz="8" w:color="auto"/>
            </w:tcBorders>
          </w:tcPr>
          <w:p>
            <w:pPr>
              <w:spacing w:after="0"/>
              <w:rPr>
                <w:sz w:val="20"/>
                <w:szCs w:val="20"/>
                <w:color w:val="auto"/>
              </w:rPr>
            </w:pP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20</w:t>
            </w:r>
          </w:p>
        </w:tc>
      </w:tr>
      <w:tr>
        <w:trPr>
          <w:trHeight w:val="198"/>
        </w:trPr>
        <w:tc>
          <w:tcPr>
            <w:tcW w:w="1640" w:type="dxa"/>
            <w:vAlign w:val="bottom"/>
            <w:tcBorders>
              <w:right w:val="single" w:sz="8" w:color="auto"/>
            </w:tcBorders>
          </w:tcPr>
          <w:p>
            <w:pPr>
              <w:ind w:left="160"/>
              <w:spacing w:after="0" w:line="198" w:lineRule="exact"/>
              <w:rPr>
                <w:sz w:val="20"/>
                <w:szCs w:val="20"/>
                <w:color w:val="auto"/>
              </w:rPr>
            </w:pPr>
            <w:r>
              <w:rPr>
                <w:rFonts w:ascii="Arial" w:cs="Arial" w:eastAsia="Arial" w:hAnsi="Arial"/>
                <w:sz w:val="18"/>
                <w:szCs w:val="18"/>
                <w:color w:val="auto"/>
              </w:rPr>
              <w:t>Policy Symbol</w:t>
            </w:r>
          </w:p>
        </w:tc>
        <w:tc>
          <w:tcPr>
            <w:tcW w:w="1960" w:type="dxa"/>
            <w:vAlign w:val="bottom"/>
            <w:tcBorders>
              <w:right w:val="single" w:sz="8" w:color="auto"/>
            </w:tcBorders>
          </w:tcPr>
          <w:p>
            <w:pPr>
              <w:ind w:left="100"/>
              <w:spacing w:after="0" w:line="198" w:lineRule="exact"/>
              <w:rPr>
                <w:sz w:val="20"/>
                <w:szCs w:val="20"/>
                <w:color w:val="auto"/>
              </w:rPr>
            </w:pPr>
            <w:r>
              <w:rPr>
                <w:rFonts w:ascii="Arial" w:cs="Arial" w:eastAsia="Arial" w:hAnsi="Arial"/>
                <w:sz w:val="18"/>
                <w:szCs w:val="18"/>
                <w:color w:val="auto"/>
              </w:rPr>
              <w:t>Policy Number</w:t>
            </w:r>
          </w:p>
        </w:tc>
        <w:tc>
          <w:tcPr>
            <w:tcW w:w="4880" w:type="dxa"/>
            <w:vAlign w:val="bottom"/>
            <w:tcBorders>
              <w:right w:val="single" w:sz="8" w:color="auto"/>
            </w:tcBorders>
          </w:tcPr>
          <w:p>
            <w:pPr>
              <w:ind w:left="80"/>
              <w:spacing w:after="0" w:line="198" w:lineRule="exact"/>
              <w:rPr>
                <w:sz w:val="20"/>
                <w:szCs w:val="20"/>
                <w:color w:val="auto"/>
              </w:rPr>
            </w:pPr>
            <w:r>
              <w:rPr>
                <w:rFonts w:ascii="Arial" w:cs="Arial" w:eastAsia="Arial" w:hAnsi="Arial"/>
                <w:sz w:val="18"/>
                <w:szCs w:val="18"/>
                <w:color w:val="auto"/>
              </w:rPr>
              <w:t>Policy Period</w:t>
            </w:r>
          </w:p>
        </w:tc>
        <w:tc>
          <w:tcPr>
            <w:tcW w:w="2960" w:type="dxa"/>
            <w:vAlign w:val="bottom"/>
          </w:tcPr>
          <w:p>
            <w:pPr>
              <w:ind w:left="100"/>
              <w:spacing w:after="0" w:line="198" w:lineRule="exact"/>
              <w:rPr>
                <w:sz w:val="20"/>
                <w:szCs w:val="20"/>
                <w:color w:val="auto"/>
              </w:rPr>
            </w:pPr>
            <w:r>
              <w:rPr>
                <w:rFonts w:ascii="Arial" w:cs="Arial" w:eastAsia="Arial" w:hAnsi="Arial"/>
                <w:sz w:val="18"/>
                <w:szCs w:val="18"/>
                <w:color w:val="auto"/>
              </w:rPr>
              <w:t>Effective Date of Endorsement</w:t>
            </w:r>
          </w:p>
        </w:tc>
      </w:tr>
      <w:tr>
        <w:trPr>
          <w:trHeight w:val="241"/>
        </w:trPr>
        <w:tc>
          <w:tcPr>
            <w:tcW w:w="1640" w:type="dxa"/>
            <w:vAlign w:val="bottom"/>
            <w:tcBorders>
              <w:bottom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DON</w:t>
            </w:r>
          </w:p>
        </w:tc>
        <w:tc>
          <w:tcPr>
            <w:tcW w:w="196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G25562823 003</w:t>
            </w:r>
          </w:p>
        </w:tc>
        <w:tc>
          <w:tcPr>
            <w:tcW w:w="4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03/08/2018 to 03/08/2019</w:t>
            </w:r>
          </w:p>
        </w:tc>
        <w:tc>
          <w:tcPr>
            <w:tcW w:w="296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03/08/2018</w:t>
            </w:r>
          </w:p>
        </w:tc>
      </w:tr>
    </w:tbl>
    <w:p>
      <w:pPr>
        <w:ind w:left="160"/>
        <w:spacing w:after="0"/>
        <w:rPr>
          <w:sz w:val="20"/>
          <w:szCs w:val="20"/>
          <w:color w:val="auto"/>
        </w:rPr>
      </w:pPr>
      <w:r>
        <w:rPr>
          <w:rFonts w:ascii="Arial" w:cs="Arial" w:eastAsia="Arial" w:hAnsi="Arial"/>
          <w:sz w:val="18"/>
          <w:szCs w:val="18"/>
          <w:color w:val="auto"/>
        </w:rPr>
        <w:t>Issued By (Name of Insurance Company)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ACE American Insurance Company</w:t>
      </w: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THIS ENDORSEMENT CHANGES THE POLICY. PLEASE READ IT CAREFULLY.</w:t>
      </w:r>
    </w:p>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This insurance does not apply to the extent that trade or economic sanctions or similar laws or regulations prohibit us from providing insurance, including, but not limited to, the payment of claims. All other terms and conditions of policy remain unchanged.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271780</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8500"/>
        <w:spacing w:after="0"/>
        <w:rPr>
          <w:sz w:val="20"/>
          <w:szCs w:val="20"/>
          <w:color w:val="auto"/>
        </w:rPr>
      </w:pPr>
      <w:r>
        <w:rPr>
          <w:rFonts w:ascii="Arial" w:cs="Arial" w:eastAsia="Arial" w:hAnsi="Arial"/>
          <w:sz w:val="18"/>
          <w:szCs w:val="18"/>
          <w:color w:val="auto"/>
        </w:rPr>
        <w:t>Authorized Agent</w:t>
      </w:r>
    </w:p>
    <w:p>
      <w:pPr>
        <w:spacing w:after="0" w:line="158" w:lineRule="exact"/>
        <w:rPr>
          <w:sz w:val="20"/>
          <w:szCs w:val="20"/>
          <w:color w:val="auto"/>
        </w:rPr>
      </w:pPr>
    </w:p>
    <w:p>
      <w:pPr>
        <w:spacing w:after="0"/>
        <w:tabs>
          <w:tab w:leader="none" w:pos="10580" w:val="left"/>
        </w:tabs>
        <w:rPr>
          <w:sz w:val="20"/>
          <w:szCs w:val="20"/>
          <w:color w:val="auto"/>
        </w:rPr>
      </w:pPr>
      <w:r>
        <w:rPr>
          <w:rFonts w:ascii="Arial" w:cs="Arial" w:eastAsia="Arial" w:hAnsi="Arial"/>
          <w:sz w:val="18"/>
          <w:szCs w:val="18"/>
          <w:color w:val="auto"/>
        </w:rPr>
        <w:t>PF-46422 (07/15)</w:t>
      </w:r>
      <w:r>
        <w:rPr>
          <w:sz w:val="20"/>
          <w:szCs w:val="20"/>
          <w:color w:val="auto"/>
        </w:rPr>
        <w:tab/>
      </w:r>
      <w:r>
        <w:rPr>
          <w:rFonts w:ascii="Arial" w:cs="Arial" w:eastAsia="Arial" w:hAnsi="Arial"/>
          <w:sz w:val="16"/>
          <w:szCs w:val="16"/>
          <w:color w:val="auto"/>
        </w:rPr>
        <w:t>Page 1 of 1</w:t>
      </w:r>
    </w:p>
    <w:p>
      <w:pPr>
        <w:sectPr>
          <w:pgSz w:w="11900" w:h="16838" w:orient="portrait"/>
          <w:cols w:equalWidth="0" w:num="1">
            <w:col w:w="11440"/>
          </w:cols>
          <w:pgMar w:left="240" w:top="270" w:right="219" w:bottom="1440" w:gutter="0" w:footer="0" w:header="0"/>
        </w:sectPr>
      </w:pPr>
    </w:p>
    <w:bookmarkStart w:id="41" w:name="page42"/>
    <w:bookmarkEnd w:id="41"/>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1149350" cy="1289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149350" cy="128905"/>
                    </a:xfrm>
                    <a:prstGeom prst="rect">
                      <a:avLst/>
                    </a:prstGeom>
                    <a:noFill/>
                  </pic:spPr>
                </pic:pic>
              </a:graphicData>
            </a:graphic>
          </wp:anchor>
        </w:drawing>
        <w:t>Chubb Producer Compensation</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Practices &amp; Policies</w:t>
      </w:r>
    </w:p>
    <w:p>
      <w:pPr>
        <w:spacing w:after="0" w:line="21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 xml:space="preserve">Chubb believes that policyholders should have access to information about Chubb’s practices and policies related to the payment of compensation to brokers and independent agents. You can obtain that information by accessing our website at </w:t>
      </w:r>
      <w:r>
        <w:rPr>
          <w:rFonts w:ascii="Arial" w:cs="Arial" w:eastAsia="Arial" w:hAnsi="Arial"/>
          <w:sz w:val="18"/>
          <w:szCs w:val="18"/>
          <w:u w:val="single" w:color="auto"/>
          <w:color w:val="auto"/>
        </w:rPr>
        <w:t>http://www.aceproducercompensation.com</w:t>
      </w:r>
      <w:r>
        <w:rPr>
          <w:rFonts w:ascii="Arial" w:cs="Arial" w:eastAsia="Arial" w:hAnsi="Arial"/>
          <w:sz w:val="18"/>
          <w:szCs w:val="18"/>
          <w:color w:val="auto"/>
        </w:rPr>
        <w:t xml:space="preserve"> or by calling the following toll-free telephone number: 1-866-512-2862.</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ALL-20887a (03/16)</w:t>
      </w:r>
    </w:p>
    <w:p>
      <w:pPr>
        <w:sectPr>
          <w:pgSz w:w="11900" w:h="16838" w:orient="portrait"/>
          <w:cols w:equalWidth="0" w:num="1">
            <w:col w:w="11300"/>
          </w:cols>
          <w:pgMar w:left="240" w:top="904" w:right="35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U.S. Treasury Department’s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1149350" cy="12890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149350" cy="128905"/>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Of Foreign Assets Control (“OFAC”)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Advisory Notice to Policyholders</w:t>
      </w:r>
    </w:p>
    <w:p>
      <w:pPr>
        <w:spacing w:after="0" w:line="224"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This Policyholder Notice shall not be construed as part of your policy and no coverage is provided by this Policyholder Notice nor can it be construed to replace any provisions of your policy. You should read your policy and review your Declarations page for complete information on the coverages you are provided.</w:t>
      </w:r>
    </w:p>
    <w:p>
      <w:pPr>
        <w:spacing w:after="0" w:line="177" w:lineRule="exact"/>
        <w:rPr>
          <w:sz w:val="20"/>
          <w:szCs w:val="20"/>
          <w:color w:val="auto"/>
        </w:rPr>
      </w:pPr>
    </w:p>
    <w:p>
      <w:pPr>
        <w:ind w:right="680"/>
        <w:spacing w:after="0" w:line="282" w:lineRule="auto"/>
        <w:rPr>
          <w:sz w:val="20"/>
          <w:szCs w:val="20"/>
          <w:color w:val="auto"/>
        </w:rPr>
      </w:pPr>
      <w:r>
        <w:rPr>
          <w:rFonts w:ascii="Arial" w:cs="Arial" w:eastAsia="Arial" w:hAnsi="Arial"/>
          <w:sz w:val="18"/>
          <w:szCs w:val="18"/>
          <w:color w:val="auto"/>
        </w:rPr>
        <w:t xml:space="preserve">This Notice provides information concerning possible impact on your insurance coverage due to directives issued by OFAC. </w:t>
      </w:r>
      <w:r>
        <w:rPr>
          <w:rFonts w:ascii="Arial" w:cs="Arial" w:eastAsia="Arial" w:hAnsi="Arial"/>
          <w:sz w:val="18"/>
          <w:szCs w:val="18"/>
          <w:b w:val="1"/>
          <w:bCs w:val="1"/>
          <w:color w:val="auto"/>
        </w:rPr>
        <w:t>Please read this Notice</w:t>
      </w:r>
      <w:r>
        <w:rPr>
          <w:rFonts w:ascii="Arial" w:cs="Arial" w:eastAsia="Arial" w:hAnsi="Arial"/>
          <w:sz w:val="18"/>
          <w:szCs w:val="18"/>
          <w:color w:val="auto"/>
        </w:rPr>
        <w:t xml:space="preserve"> </w:t>
      </w:r>
      <w:r>
        <w:rPr>
          <w:rFonts w:ascii="Arial" w:cs="Arial" w:eastAsia="Arial" w:hAnsi="Arial"/>
          <w:sz w:val="18"/>
          <w:szCs w:val="18"/>
          <w:b w:val="1"/>
          <w:bCs w:val="1"/>
          <w:color w:val="auto"/>
        </w:rPr>
        <w:t>carefully.</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Office of Foreign Assets Control (OFAC) administers and enforces sanctions policy, based on Presidential declarations of “national emergency”. OFAC has identified and listed numerous:</w:t>
      </w:r>
    </w:p>
    <w:p>
      <w:pPr>
        <w:spacing w:after="0" w:line="76" w:lineRule="exact"/>
        <w:rPr>
          <w:sz w:val="20"/>
          <w:szCs w:val="20"/>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Foreign agents;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Front organizations;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Terrorists;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Terrorist organizations;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Narcotics traffickers;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as “Specially Designated Nationals and Blocked Persons”. This list can be located on the United States Treasury’s web site – http//www.treas.gov/ofac.</w:t>
      </w:r>
    </w:p>
    <w:p>
      <w:pPr>
        <w:spacing w:after="0" w:line="23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accordance with OFAC regulations, if it is determined that you or any other insured, or any person or entity claiming the benefits of this insurance has violated U.S. sanctions law or is a Specially Designated National and Blocked Person, as identified by OFAC, this insurance will be considered a blocked or frozen contract and all provisions of this insurance are immediately subject to OFAC. When an insurance policy is considered to be such a blocked or frozen contract, no payments nor premium refunds may be made without authorization from OFAC. Other limitations on the premiums and payments also apply.</w:t>
      </w:r>
    </w:p>
    <w:p>
      <w:pPr>
        <w:sectPr>
          <w:pgSz w:w="11900" w:h="16838" w:orient="portrait"/>
          <w:cols w:equalWidth="0" w:num="1">
            <w:col w:w="11420"/>
          </w:cols>
          <w:pgMar w:left="240" w:top="270" w:right="239" w:bottom="1440" w:gutter="0" w:footer="0" w:header="0"/>
        </w:sectPr>
      </w:pPr>
    </w:p>
    <w:p>
      <w:pPr>
        <w:spacing w:after="0" w:line="87" w:lineRule="exact"/>
        <w:rPr>
          <w:sz w:val="20"/>
          <w:szCs w:val="20"/>
          <w:color w:val="auto"/>
        </w:rPr>
      </w:pPr>
    </w:p>
    <w:p>
      <w:pPr>
        <w:spacing w:after="0"/>
        <w:rPr>
          <w:sz w:val="20"/>
          <w:szCs w:val="20"/>
          <w:color w:val="auto"/>
        </w:rPr>
      </w:pPr>
      <w:r>
        <w:rPr>
          <w:rFonts w:ascii="Arial" w:cs="Arial" w:eastAsia="Arial" w:hAnsi="Arial"/>
          <w:sz w:val="16"/>
          <w:szCs w:val="16"/>
          <w:color w:val="auto"/>
        </w:rPr>
        <w:t>PF-17914a (04/16)</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2800"/>
        <w:spacing w:after="0"/>
        <w:rPr>
          <w:sz w:val="20"/>
          <w:szCs w:val="20"/>
          <w:color w:val="auto"/>
        </w:rPr>
      </w:pPr>
      <w:r>
        <w:rPr>
          <w:rFonts w:ascii="Arial" w:cs="Arial" w:eastAsia="Arial" w:hAnsi="Arial"/>
          <w:sz w:val="16"/>
          <w:szCs w:val="16"/>
          <w:color w:val="auto"/>
        </w:rPr>
        <w:t>Reprinted, in part, with permission of</w:t>
      </w:r>
    </w:p>
    <w:p>
      <w:pPr>
        <w:spacing w:after="0" w:line="46" w:lineRule="exact"/>
        <w:rPr>
          <w:sz w:val="20"/>
          <w:szCs w:val="20"/>
          <w:color w:val="auto"/>
        </w:rPr>
      </w:pPr>
    </w:p>
    <w:p>
      <w:pPr>
        <w:jc w:val="center"/>
        <w:ind w:right="2800"/>
        <w:spacing w:after="0"/>
        <w:rPr>
          <w:sz w:val="20"/>
          <w:szCs w:val="20"/>
          <w:color w:val="auto"/>
        </w:rPr>
      </w:pPr>
      <w:r>
        <w:rPr>
          <w:rFonts w:ascii="Arial" w:cs="Arial" w:eastAsia="Arial" w:hAnsi="Arial"/>
          <w:sz w:val="18"/>
          <w:szCs w:val="18"/>
          <w:color w:val="auto"/>
        </w:rPr>
        <w:t>ISO Properties, Inc.</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Page 1 of 1</w:t>
      </w:r>
    </w:p>
    <w:sectPr>
      <w:pgSz w:w="11900" w:h="16838" w:orient="portrait"/>
      <w:cols w:equalWidth="0" w:num="3">
        <w:col w:w="3660" w:space="720"/>
        <w:col w:w="5500" w:space="720"/>
        <w:col w:w="820"/>
      </w:cols>
      <w:pgMar w:left="240" w:top="27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1."/>
      <w:numFmt w:val="decimal"/>
      <w:start w:val="1"/>
    </w:lvl>
  </w:abstractNum>
  <w:abstractNum w:abstractNumId="1">
    <w:nsid w:val="6DE91B18"/>
    <w:multiLevelType w:val="hybridMultilevel"/>
    <w:lvl w:ilvl="0">
      <w:lvlJc w:val="left"/>
      <w:lvlText w:val="%1."/>
      <w:numFmt w:val="decimal"/>
      <w:start w:val="1"/>
    </w:lvl>
  </w:abstractNum>
  <w:abstractNum w:abstractNumId="2">
    <w:nsid w:val="38437FDB"/>
    <w:multiLevelType w:val="hybridMultilevel"/>
    <w:lvl w:ilvl="0">
      <w:lvlJc w:val="left"/>
      <w:lvlText w:val="(%1)"/>
      <w:numFmt w:val="upperLetter"/>
      <w:start w:val="1"/>
    </w:lvl>
  </w:abstractNum>
  <w:abstractNum w:abstractNumId="3">
    <w:nsid w:val="7644A45C"/>
    <w:multiLevelType w:val="hybridMultilevel"/>
    <w:lvl w:ilvl="0">
      <w:lvlJc w:val="left"/>
      <w:lvlText w:val="(%1)"/>
      <w:numFmt w:val="lowerRoman"/>
      <w:start w:val="3"/>
    </w:lvl>
  </w:abstractNum>
  <w:abstractNum w:abstractNumId="4">
    <w:nsid w:val="32FFF902"/>
    <w:multiLevelType w:val="hybridMultilevel"/>
    <w:lvl w:ilvl="0">
      <w:lvlJc w:val="left"/>
      <w:lvlText w:val="(%1)"/>
      <w:numFmt w:val="lowerLetter"/>
      <w:start w:val="1"/>
    </w:lvl>
  </w:abstractNum>
  <w:abstractNum w:abstractNumId="5">
    <w:nsid w:val="684A481A"/>
    <w:multiLevelType w:val="hybridMultilevel"/>
    <w:lvl w:ilvl="0">
      <w:lvlJc w:val="left"/>
      <w:lvlText w:val="(%1)"/>
      <w:numFmt w:val="upperLetter"/>
      <w:start w:val="2"/>
    </w:lvl>
    <w:lvl w:ilvl="1">
      <w:lvlJc w:val="left"/>
      <w:lvlText w:val="(%2)"/>
      <w:numFmt w:val="lowerLetter"/>
      <w:start w:val="1"/>
    </w:lvl>
  </w:abstractNum>
  <w:abstractNum w:abstractNumId="6">
    <w:nsid w:val="579478FE"/>
    <w:multiLevelType w:val="hybridMultilevel"/>
    <w:lvl w:ilvl="0">
      <w:lvlJc w:val="left"/>
      <w:lvlText w:val="(%1)"/>
      <w:numFmt w:val="decimal"/>
      <w:start w:val="2"/>
    </w:lvl>
    <w:lvl w:ilvl="1">
      <w:lvlJc w:val="left"/>
      <w:lvlText w:val="(%2)"/>
      <w:numFmt w:val="lowerLetter"/>
      <w:start w:val="1"/>
    </w:lvl>
  </w:abstractNum>
  <w:abstractNum w:abstractNumId="7">
    <w:nsid w:val="749ABB43"/>
    <w:multiLevelType w:val="hybridMultilevel"/>
    <w:lvl w:ilvl="0">
      <w:lvlJc w:val="left"/>
      <w:lvlText w:val="(%1)"/>
      <w:numFmt w:val="lowerRoman"/>
      <w:start w:val="1"/>
    </w:lvl>
  </w:abstractNum>
  <w:abstractNum w:abstractNumId="8">
    <w:nsid w:val="3DC240FB"/>
    <w:multiLevelType w:val="hybridMultilevel"/>
    <w:lvl w:ilvl="0">
      <w:lvlJc w:val="left"/>
      <w:lvlText w:val="(%1)"/>
      <w:numFmt w:val="upperLetter"/>
      <w:start w:val="3"/>
    </w:lvl>
  </w:abstractNum>
  <w:abstractNum w:abstractNumId="9">
    <w:nsid w:val="1BA026FA"/>
    <w:multiLevelType w:val="hybridMultilevel"/>
    <w:lvl w:ilvl="0">
      <w:lvlJc w:val="left"/>
      <w:lvlText w:val="(%1)"/>
      <w:numFmt w:val="lowerLetter"/>
      <w:start w:val="1"/>
    </w:lvl>
  </w:abstractNum>
  <w:abstractNum w:abstractNumId="10">
    <w:nsid w:val="79A1DEAA"/>
    <w:multiLevelType w:val="hybridMultilevel"/>
    <w:lvl w:ilvl="0">
      <w:lvlJc w:val="left"/>
      <w:lvlText w:val="(%1)"/>
      <w:numFmt w:val="upperLetter"/>
      <w:start w:val="4"/>
    </w:lvl>
    <w:lvl w:ilvl="1">
      <w:lvlJc w:val="left"/>
      <w:lvlText w:val="(%2)"/>
      <w:numFmt w:val="decimal"/>
      <w:start w:val="1"/>
    </w:lvl>
  </w:abstractNum>
  <w:abstractNum w:abstractNumId="11">
    <w:nsid w:val="75C6C33A"/>
    <w:multiLevelType w:val="hybridMultilevel"/>
    <w:lvl w:ilvl="0">
      <w:lvlJc w:val="left"/>
      <w:lvlText w:val="(%1)"/>
      <w:numFmt w:val="upperLetter"/>
      <w:start w:val="5"/>
    </w:lvl>
    <w:lvl w:ilvl="1">
      <w:lvlJc w:val="left"/>
      <w:lvlText w:val="(%2)"/>
      <w:numFmt w:val="decimal"/>
      <w:start w:val="1"/>
    </w:lvl>
    <w:lvl w:ilvl="2">
      <w:lvlJc w:val="left"/>
      <w:lvlText w:val="(%3)"/>
      <w:numFmt w:val="lowerLetter"/>
      <w:start w:val="1"/>
    </w:lvl>
  </w:abstractNum>
  <w:abstractNum w:abstractNumId="12">
    <w:nsid w:val="12E685FB"/>
    <w:multiLevelType w:val="hybridMultilevel"/>
    <w:lvl w:ilvl="0">
      <w:lvlJc w:val="left"/>
      <w:lvlText w:val="%1"/>
      <w:numFmt w:val="decimal"/>
      <w:start w:val="1"/>
    </w:lvl>
    <w:lvl w:ilvl="1">
      <w:lvlJc w:val="left"/>
      <w:lvlText w:val="(%2)"/>
      <w:numFmt w:val="lowerRoman"/>
      <w:start w:val="1"/>
    </w:lvl>
  </w:abstractNum>
  <w:abstractNum w:abstractNumId="13">
    <w:nsid w:val="70C6A529"/>
    <w:multiLevelType w:val="hybridMultilevel"/>
    <w:lvl w:ilvl="0">
      <w:lvlJc w:val="left"/>
      <w:lvlText w:val="(%1)"/>
      <w:numFmt w:val="decimal"/>
      <w:start w:val="2"/>
    </w:lvl>
    <w:lvl w:ilvl="1">
      <w:lvlJc w:val="left"/>
      <w:lvlText w:val="%2"/>
      <w:numFmt w:val="lowerRoman"/>
      <w:start w:val="1"/>
    </w:lvl>
  </w:abstractNum>
  <w:abstractNum w:abstractNumId="14">
    <w:nsid w:val="520EEDD1"/>
    <w:multiLevelType w:val="hybridMultilevel"/>
    <w:lvl w:ilvl="0">
      <w:lvlJc w:val="left"/>
      <w:lvlText w:val="(%1)"/>
      <w:numFmt w:val="lowerLetter"/>
      <w:start w:val="3"/>
    </w:lvl>
    <w:lvl w:ilvl="1">
      <w:lvlJc w:val="left"/>
      <w:lvlText w:val="(%2)"/>
      <w:numFmt w:val="lowerRoman"/>
      <w:start w:val="1"/>
    </w:lvl>
  </w:abstractNum>
  <w:abstractNum w:abstractNumId="15">
    <w:nsid w:val="374A3FE6"/>
    <w:multiLevelType w:val="hybridMultilevel"/>
    <w:lvl w:ilvl="0">
      <w:lvlJc w:val="left"/>
      <w:lvlText w:val="(%1)"/>
      <w:numFmt w:val="upperLetter"/>
      <w:start w:val="6"/>
    </w:lvl>
  </w:abstractNum>
  <w:abstractNum w:abstractNumId="16">
    <w:nsid w:val="4F4EF005"/>
    <w:multiLevelType w:val="hybridMultilevel"/>
    <w:lvl w:ilvl="0">
      <w:lvlJc w:val="left"/>
      <w:lvlText w:val="(%1)"/>
      <w:numFmt w:val="lowerLetter"/>
      <w:start w:val="1"/>
    </w:lvl>
    <w:lvl w:ilvl="1">
      <w:lvlJc w:val="left"/>
      <w:lvlText w:val="(%2)"/>
      <w:numFmt w:val="lowerRoman"/>
      <w:start w:val="1"/>
    </w:lvl>
  </w:abstractNum>
  <w:abstractNum w:abstractNumId="17">
    <w:nsid w:val="23F9C13C"/>
    <w:multiLevelType w:val="hybridMultilevel"/>
    <w:lvl w:ilvl="0">
      <w:lvlJc w:val="left"/>
      <w:lvlText w:val="(%1)"/>
      <w:numFmt w:val="lowerRoman"/>
      <w:start w:val="3"/>
    </w:lvl>
  </w:abstractNum>
  <w:abstractNum w:abstractNumId="18">
    <w:nsid w:val="649BB77C"/>
    <w:multiLevelType w:val="hybridMultilevel"/>
    <w:lvl w:ilvl="0">
      <w:lvlJc w:val="left"/>
      <w:lvlText w:val="(%1)"/>
      <w:numFmt w:val="lowerLetter"/>
      <w:start w:val="1"/>
    </w:lvl>
    <w:lvl w:ilvl="1">
      <w:lvlJc w:val="left"/>
      <w:lvlText w:val="(%2)"/>
      <w:numFmt w:val="decimal"/>
      <w:start w:val="1"/>
    </w:lvl>
  </w:abstractNum>
  <w:abstractNum w:abstractNumId="19">
    <w:nsid w:val="275AC794"/>
    <w:multiLevelType w:val="hybridMultilevel"/>
    <w:lvl w:ilvl="0">
      <w:lvlJc w:val="left"/>
      <w:lvlText w:val="%1"/>
      <w:numFmt w:val="lowerLetter"/>
      <w:start w:val="1"/>
    </w:lvl>
    <w:lvl w:ilvl="1">
      <w:lvlJc w:val="left"/>
      <w:lvlText w:val="(%2)"/>
      <w:numFmt w:val="decimal"/>
      <w:start w:val="6"/>
    </w:lvl>
  </w:abstractNum>
  <w:abstractNum w:abstractNumId="20">
    <w:nsid w:val="39386575"/>
    <w:multiLevelType w:val="hybridMultilevel"/>
    <w:lvl w:ilvl="0">
      <w:lvlJc w:val="left"/>
      <w:lvlText w:val="(%1)"/>
      <w:numFmt w:val="lowerLetter"/>
      <w:start w:val="6"/>
    </w:lvl>
    <w:lvl w:ilvl="1">
      <w:lvlJc w:val="left"/>
      <w:lvlText w:val="(%2)"/>
      <w:numFmt w:val="decimal"/>
      <w:start w:val="1"/>
    </w:lvl>
  </w:abstractNum>
  <w:abstractNum w:abstractNumId="21">
    <w:nsid w:val="1CF10FD8"/>
    <w:multiLevelType w:val="hybridMultilevel"/>
    <w:lvl w:ilvl="0">
      <w:lvlJc w:val="left"/>
      <w:lvlText w:val="(%1)"/>
      <w:numFmt w:val="decimal"/>
      <w:start w:val="1"/>
    </w:lvl>
  </w:abstractNum>
  <w:abstractNum w:abstractNumId="22">
    <w:nsid w:val="180115BE"/>
    <w:multiLevelType w:val="hybridMultilevel"/>
    <w:lvl w:ilvl="0">
      <w:lvlJc w:val="left"/>
      <w:lvlText w:val="(%1)"/>
      <w:numFmt w:val="lowerLetter"/>
      <w:start w:val="1"/>
    </w:lvl>
  </w:abstractNum>
  <w:abstractNum w:abstractNumId="23">
    <w:nsid w:val="235BA861"/>
    <w:multiLevelType w:val="hybridMultilevel"/>
    <w:lvl w:ilvl="0">
      <w:lvlJc w:val="left"/>
      <w:lvlText w:val="%1"/>
      <w:numFmt w:val="lowerLetter"/>
      <w:start w:val="1"/>
    </w:lvl>
    <w:lvl w:ilvl="1">
      <w:lvlJc w:val="left"/>
      <w:lvlText w:val="(%2)"/>
      <w:numFmt w:val="decimal"/>
      <w:start w:val="2"/>
    </w:lvl>
  </w:abstractNum>
  <w:abstractNum w:abstractNumId="24">
    <w:nsid w:val="47398C89"/>
    <w:multiLevelType w:val="hybridMultilevel"/>
    <w:lvl w:ilvl="0">
      <w:lvlJc w:val="left"/>
      <w:lvlText w:val="(%1)"/>
      <w:numFmt w:val="lowerLetter"/>
      <w:start w:val="8"/>
    </w:lvl>
    <w:lvl w:ilvl="1">
      <w:lvlJc w:val="left"/>
      <w:lvlText w:val="%2"/>
      <w:numFmt w:val="decimal"/>
      <w:start w:val="1"/>
    </w:lvl>
  </w:abstractNum>
  <w:abstractNum w:abstractNumId="25">
    <w:nsid w:val="354FE9F9"/>
    <w:multiLevelType w:val="hybridMultilevel"/>
    <w:lvl w:ilvl="0">
      <w:lvlJc w:val="left"/>
      <w:lvlText w:val="(%1)"/>
      <w:numFmt w:val="upperLetter"/>
      <w:start w:val="9"/>
    </w:lvl>
  </w:abstractNum>
  <w:abstractNum w:abstractNumId="26">
    <w:nsid w:val="15B5AF5C"/>
    <w:multiLevelType w:val="hybridMultilevel"/>
    <w:lvl w:ilvl="0">
      <w:lvlJc w:val="left"/>
      <w:lvlText w:val="(%1)"/>
      <w:numFmt w:val="lowerLetter"/>
      <w:start w:val="13"/>
    </w:lvl>
    <w:lvl w:ilvl="1">
      <w:lvlJc w:val="left"/>
      <w:lvlText w:val="(%2)"/>
      <w:numFmt w:val="decimal"/>
      <w:start w:val="1"/>
    </w:lvl>
    <w:lvl w:ilvl="2">
      <w:lvlJc w:val="left"/>
      <w:lvlText w:val="(%3)"/>
      <w:numFmt w:val="lowerLetter"/>
      <w:start w:val="1"/>
    </w:lvl>
  </w:abstractNum>
  <w:abstractNum w:abstractNumId="27">
    <w:nsid w:val="741226BB"/>
    <w:multiLevelType w:val="hybridMultilevel"/>
    <w:lvl w:ilvl="0">
      <w:lvlJc w:val="left"/>
      <w:lvlText w:val="%1"/>
      <w:numFmt w:val="lowerLetter"/>
      <w:start w:val="1"/>
    </w:lvl>
    <w:lvl w:ilvl="1">
      <w:lvlJc w:val="left"/>
      <w:lvlText w:val="(%2)"/>
      <w:numFmt w:val="decimal"/>
      <w:start w:val="3"/>
    </w:lvl>
  </w:abstractNum>
  <w:abstractNum w:abstractNumId="28">
    <w:nsid w:val="D34B6A8"/>
    <w:multiLevelType w:val="hybridMultilevel"/>
    <w:lvl w:ilvl="0">
      <w:lvlJc w:val="left"/>
      <w:lvlText w:val="(%1)"/>
      <w:numFmt w:val="lowerLetter"/>
      <w:start w:val="19"/>
    </w:lvl>
    <w:lvl w:ilvl="1">
      <w:lvlJc w:val="left"/>
      <w:lvlText w:val="%2"/>
      <w:numFmt w:val="decimal"/>
      <w:start w:val="1"/>
    </w:lvl>
  </w:abstractNum>
  <w:abstractNum w:abstractNumId="29">
    <w:nsid w:val="10233C99"/>
    <w:multiLevelType w:val="hybridMultilevel"/>
    <w:lvl w:ilvl="0">
      <w:lvlJc w:val="left"/>
      <w:lvlText w:val="(%1)"/>
      <w:numFmt w:val="lowerLetter"/>
      <w:start w:val="1"/>
    </w:lvl>
  </w:abstractNum>
  <w:abstractNum w:abstractNumId="30">
    <w:nsid w:val="3F6AB60F"/>
    <w:multiLevelType w:val="hybridMultilevel"/>
    <w:lvl w:ilvl="0">
      <w:lvlJc w:val="left"/>
      <w:lvlText w:val="(%1)"/>
      <w:numFmt w:val="lowerLetter"/>
      <w:start w:val="6"/>
    </w:lvl>
    <w:lvl w:ilvl="1">
      <w:lvlJc w:val="left"/>
      <w:lvlText w:val="(%2)"/>
      <w:numFmt w:val="decimal"/>
      <w:start w:val="1"/>
    </w:lvl>
  </w:abstractNum>
  <w:abstractNum w:abstractNumId="31">
    <w:nsid w:val="6157409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2">
    <w:nsid w:val="7E0C57B1"/>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33">
    <w:nsid w:val="77AE35EB"/>
    <w:multiLevelType w:val="hybridMultilevel"/>
    <w:lvl w:ilvl="0">
      <w:lvlJc w:val="left"/>
      <w:lvlText w:val="(%1)"/>
      <w:numFmt w:val="lowerLetter"/>
      <w:start w:val="17"/>
    </w:lvl>
    <w:lvl w:ilvl="1">
      <w:lvlJc w:val="left"/>
      <w:lvlText w:val="(%2)"/>
      <w:numFmt w:val="decimal"/>
      <w:start w:val="1"/>
    </w:lvl>
    <w:lvl w:ilvl="2">
      <w:lvlJc w:val="left"/>
      <w:lvlText w:val="%3"/>
      <w:numFmt w:val="lowerLetter"/>
      <w:start w:val="1"/>
    </w:lvl>
  </w:abstractNum>
  <w:abstractNum w:abstractNumId="34">
    <w:nsid w:val="579BE4F1"/>
    <w:multiLevelType w:val="hybridMultilevel"/>
    <w:lvl w:ilvl="0">
      <w:lvlJc w:val="left"/>
      <w:lvlText w:val="(%1)"/>
      <w:numFmt w:val="lowerLetter"/>
      <w:start w:val="11"/>
    </w:lvl>
    <w:lvl w:ilvl="1">
      <w:lvlJc w:val="left"/>
      <w:lvlText w:val="(%2)"/>
      <w:numFmt w:val="decimal"/>
      <w:start w:val="1"/>
    </w:lvl>
  </w:abstractNum>
  <w:abstractNum w:abstractNumId="35">
    <w:nsid w:val="310C50B3"/>
    <w:multiLevelType w:val="hybridMultilevel"/>
    <w:lvl w:ilvl="0">
      <w:lvlJc w:val="left"/>
      <w:lvlText w:val="(%1)"/>
      <w:numFmt w:val="upperLetter"/>
      <w:start w:val="9"/>
    </w:lvl>
  </w:abstractNum>
  <w:abstractNum w:abstractNumId="36">
    <w:nsid w:val="5FF87E05"/>
    <w:multiLevelType w:val="hybridMultilevel"/>
    <w:lvl w:ilvl="0">
      <w:lvlJc w:val="left"/>
      <w:lvlText w:val="(%1)"/>
      <w:numFmt w:val="lowerLetter"/>
      <w:start w:val="13"/>
    </w:lvl>
    <w:lvl w:ilvl="1">
      <w:lvlJc w:val="left"/>
      <w:lvlText w:val="(%2)"/>
      <w:numFmt w:val="decimal"/>
      <w:start w:val="1"/>
    </w:lvl>
  </w:abstractNum>
  <w:abstractNum w:abstractNumId="37">
    <w:nsid w:val="2F305DEF"/>
    <w:multiLevelType w:val="hybridMultilevel"/>
    <w:lvl w:ilvl="0">
      <w:lvlJc w:val="left"/>
      <w:lvlText w:val="(%1)"/>
      <w:numFmt w:val="lowerLetter"/>
      <w:start w:val="19"/>
    </w:lvl>
    <w:lvl w:ilvl="1">
      <w:lvlJc w:val="left"/>
      <w:lvlText w:val="(%2)"/>
      <w:numFmt w:val="decimal"/>
      <w:start w:val="1"/>
    </w:lvl>
  </w:abstractNum>
  <w:abstractNum w:abstractNumId="38">
    <w:nsid w:val="25A70BF7"/>
    <w:multiLevelType w:val="hybridMultilevel"/>
    <w:lvl w:ilvl="0">
      <w:lvlJc w:val="left"/>
      <w:lvlText w:val="(%1)"/>
      <w:numFmt w:val="lowerLetter"/>
      <w:start w:val="1"/>
    </w:lvl>
  </w:abstractNum>
  <w:abstractNum w:abstractNumId="39">
    <w:nsid w:val="1DBABF00"/>
    <w:multiLevelType w:val="hybridMultilevel"/>
    <w:lvl w:ilvl="0">
      <w:lvlJc w:val="left"/>
      <w:lvlText w:val="(%1)"/>
      <w:numFmt w:val="lowerLetter"/>
      <w:start w:val="3"/>
    </w:lvl>
  </w:abstractNum>
  <w:abstractNum w:abstractNumId="40">
    <w:nsid w:val="4AD084E9"/>
    <w:multiLevelType w:val="hybridMultilevel"/>
    <w:lvl w:ilvl="0">
      <w:lvlJc w:val="left"/>
      <w:lvlText w:val="(%1)"/>
      <w:numFmt w:val="lowerLetter"/>
      <w:start w:val="1"/>
    </w:lvl>
  </w:abstractNum>
  <w:abstractNum w:abstractNumId="41">
    <w:nsid w:val="1F48EAA1"/>
    <w:multiLevelType w:val="hybridMultilevel"/>
    <w:lvl w:ilvl="0">
      <w:lvlJc w:val="left"/>
      <w:lvlText w:val="(%1)"/>
      <w:numFmt w:val="lowerLetter"/>
      <w:start w:val="1"/>
    </w:lvl>
  </w:abstractNum>
  <w:abstractNum w:abstractNumId="42">
    <w:nsid w:val="1381823A"/>
    <w:multiLevelType w:val="hybridMultilevel"/>
    <w:lvl w:ilvl="0">
      <w:lvlJc w:val="left"/>
      <w:lvlText w:val="(%1)"/>
      <w:numFmt w:val="lowerLetter"/>
      <w:start w:val="20"/>
    </w:lvl>
  </w:abstractNum>
  <w:abstractNum w:abstractNumId="43">
    <w:nsid w:val="5DB70AE5"/>
    <w:multiLevelType w:val="hybridMultilevel"/>
    <w:lvl w:ilvl="0">
      <w:lvlJc w:val="left"/>
      <w:lvlText w:val="(%1)"/>
      <w:numFmt w:val="lowerLetter"/>
      <w:start w:val="26"/>
    </w:lvl>
  </w:abstractNum>
  <w:abstractNum w:abstractNumId="44">
    <w:nsid w:val="100F8FCA"/>
    <w:multiLevelType w:val="hybridMultilevel"/>
    <w:lvl w:ilvl="0">
      <w:lvlJc w:val="left"/>
      <w:lvlText w:val="(%1)"/>
      <w:numFmt w:val="lowerLetter"/>
      <w:start w:val="27"/>
    </w:lvl>
  </w:abstractNum>
  <w:abstractNum w:abstractNumId="45">
    <w:nsid w:val="6590700B"/>
    <w:multiLevelType w:val="hybridMultilevel"/>
    <w:lvl w:ilvl="0">
      <w:lvlJc w:val="left"/>
      <w:lvlText w:val="(%1)"/>
      <w:numFmt w:val="lowerLetter"/>
      <w:start w:val="1"/>
    </w:lvl>
    <w:lvl w:ilvl="1">
      <w:lvlJc w:val="left"/>
      <w:lvlText w:val="(%2)"/>
      <w:numFmt w:val="decimal"/>
      <w:start w:val="1"/>
    </w:lvl>
  </w:abstractNum>
  <w:abstractNum w:abstractNumId="46">
    <w:nsid w:val="15014ACB"/>
    <w:multiLevelType w:val="hybridMultilevel"/>
    <w:lvl w:ilvl="0">
      <w:lvlJc w:val="left"/>
      <w:lvlText w:val="%1."/>
      <w:numFmt w:val="decimal"/>
      <w:start w:val="1"/>
    </w:lvl>
    <w:lvl w:ilvl="1">
      <w:lvlJc w:val="left"/>
      <w:lvlText w:val="(%2)"/>
      <w:numFmt w:val="lowerLetter"/>
      <w:start w:val="4"/>
    </w:lvl>
  </w:abstractNum>
  <w:abstractNum w:abstractNumId="47">
    <w:nsid w:val="5F5E7FD0"/>
    <w:multiLevelType w:val="hybridMultilevel"/>
    <w:lvl w:ilvl="0">
      <w:lvlJc w:val="left"/>
      <w:lvlText w:val="%1"/>
      <w:numFmt w:val="decimal"/>
      <w:start w:val="1"/>
    </w:lvl>
    <w:lvl w:ilvl="1">
      <w:lvlJc w:val="left"/>
      <w:lvlText w:val="(%2)"/>
      <w:numFmt w:val="lowerLetter"/>
      <w:start w:val="7"/>
    </w:lvl>
  </w:abstractNum>
  <w:abstractNum w:abstractNumId="48">
    <w:nsid w:val="98A3148"/>
    <w:multiLevelType w:val="hybridMultilevel"/>
    <w:lvl w:ilvl="0">
      <w:lvlJc w:val="left"/>
      <w:lvlText w:val="%1."/>
      <w:numFmt w:val="decimal"/>
      <w:start w:val="3"/>
    </w:lvl>
    <w:lvl w:ilvl="1">
      <w:lvlJc w:val="left"/>
      <w:lvlText w:val="%2"/>
      <w:numFmt w:val="lowerLetter"/>
      <w:start w:val="1"/>
    </w:lvl>
  </w:abstractNum>
  <w:abstractNum w:abstractNumId="49">
    <w:nsid w:val="799D0247"/>
    <w:multiLevelType w:val="hybridMultilevel"/>
    <w:lvl w:ilvl="0">
      <w:lvlJc w:val="left"/>
      <w:lvlText w:val="%1."/>
      <w:numFmt w:val="decimal"/>
      <w:start w:val="1"/>
    </w:lvl>
  </w:abstractNum>
  <w:abstractNum w:abstractNumId="50">
    <w:nsid w:val="6B94764"/>
    <w:multiLevelType w:val="hybridMultilevel"/>
    <w:lvl w:ilvl="0">
      <w:lvlJc w:val="left"/>
      <w:lvlText w:val="•"/>
      <w:numFmt w:val="bullet"/>
      <w:start w:val="1"/>
    </w:lvl>
    <w:lvl w:ilvl="1">
      <w:lvlJc w:val="left"/>
      <w:lvlText w:val="%2."/>
      <w:numFmt w:val="decimal"/>
      <w:start w:val="1"/>
    </w:lvl>
  </w:abstractNum>
  <w:abstractNum w:abstractNumId="51">
    <w:nsid w:val="42C296BD"/>
    <w:multiLevelType w:val="hybridMultilevel"/>
    <w:lvl w:ilvl="0">
      <w:lvlJc w:val="left"/>
      <w:lvlText w:val="%1."/>
      <w:numFmt w:val="decimal"/>
      <w:start w:val="1"/>
    </w:lvl>
  </w:abstractNum>
  <w:abstractNum w:abstractNumId="52">
    <w:nsid w:val="168E121F"/>
    <w:multiLevelType w:val="hybridMultilevel"/>
    <w:lvl w:ilvl="0">
      <w:lvlJc w:val="left"/>
      <w:lvlText w:val="•"/>
      <w:numFmt w:val="bullet"/>
      <w:start w:val="1"/>
    </w:lvl>
    <w:lvl w:ilvl="1">
      <w:lvlJc w:val="left"/>
      <w:lvlText w:val="%2)"/>
      <w:numFmt w:val="lowerLetter"/>
      <w:start w:val="1"/>
    </w:lvl>
  </w:abstractNum>
  <w:abstractNum w:abstractNumId="53">
    <w:nsid w:val="1EBA5D23"/>
    <w:multiLevelType w:val="hybridMultilevel"/>
    <w:lvl w:ilvl="0">
      <w:lvlJc w:val="left"/>
      <w:lvlText w:val="%1."/>
      <w:numFmt w:val="decimal"/>
      <w:start w:val="1"/>
    </w:lvl>
  </w:abstractNum>
  <w:abstractNum w:abstractNumId="54">
    <w:nsid w:val="661E3F1E"/>
    <w:multiLevelType w:val="hybridMultilevel"/>
    <w:lvl w:ilvl="0">
      <w:lvlJc w:val="left"/>
      <w:lvlText w:val="%1."/>
      <w:numFmt w:val="decimal"/>
      <w:start w:val="1"/>
    </w:lvl>
  </w:abstractNum>
  <w:abstractNum w:abstractNumId="55">
    <w:nsid w:val="5DC79EA8"/>
    <w:multiLevelType w:val="hybridMultilevel"/>
    <w:lvl w:ilvl="0">
      <w:lvlJc w:val="left"/>
      <w:lvlText w:val="%1)"/>
      <w:numFmt w:val="lowerLetter"/>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1."/>
      <w:numFmt w:val="decimal"/>
      <w:start w:val="1"/>
    </w:lvl>
  </w:abstractNum>
  <w:abstractNum w:abstractNumId="58">
    <w:nsid w:val="51D9C564"/>
    <w:multiLevelType w:val="hybridMultilevel"/>
    <w:lvl w:ilvl="0">
      <w:lvlJc w:val="left"/>
      <w:lvlText w:val="%1."/>
      <w:numFmt w:val="decimal"/>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1."/>
      <w:numFmt w:val="decimal"/>
      <w:start w:val="1"/>
    </w:lvl>
    <w:lvl w:ilvl="1">
      <w:lvlJc w:val="left"/>
      <w:lvlText w:val="%2)"/>
      <w:numFmt w:val="lowerLetter"/>
      <w:start w:val="1"/>
    </w:lvl>
  </w:abstractNum>
  <w:abstractNum w:abstractNumId="61">
    <w:nsid w:val="11447B73"/>
    <w:multiLevelType w:val="hybridMultilevel"/>
    <w:lvl w:ilvl="0">
      <w:lvlJc w:val="left"/>
      <w:lvlText w:val="%1."/>
      <w:numFmt w:val="decimal"/>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1."/>
      <w:numFmt w:val="decimal"/>
      <w:start w:val="1"/>
    </w:lvl>
  </w:abstractNum>
  <w:abstractNum w:abstractNumId="66">
    <w:nsid w:val="3B0FD379"/>
    <w:multiLevelType w:val="hybridMultilevel"/>
    <w:lvl w:ilvl="0">
      <w:lvlJc w:val="left"/>
      <w:lvlText w:val="%1."/>
      <w:numFmt w:val="decimal"/>
      <w:start w:val="2"/>
    </w:lvl>
    <w:lvl w:ilvl="1">
      <w:lvlJc w:val="left"/>
      <w:lvlText w:val="•"/>
      <w:numFmt w:val="bullet"/>
      <w:start w:val="1"/>
    </w:lvl>
    <w:lvl w:ilvl="2">
      <w:lvlJc w:val="left"/>
      <w:lvlText w:val="%3."/>
      <w:numFmt w:val="decimal"/>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
      <w:numFmt w:val="bullet"/>
      <w:start w:val="1"/>
    </w:lvl>
  </w:abstractNum>
  <w:abstractNum w:abstractNumId="69">
    <w:nsid w:val="60B6DF70"/>
    <w:multiLevelType w:val="hybridMultilevel"/>
    <w:lvl w:ilvl="0">
      <w:lvlJc w:val="left"/>
      <w:lvlText w:val="%1."/>
      <w:numFmt w:val="decimal"/>
      <w:start w:val="4"/>
    </w:lvl>
    <w:lvl w:ilvl="1">
      <w:lvlJc w:val="left"/>
      <w:lvlText w:val="•"/>
      <w:numFmt w:val="bullet"/>
      <w:start w:val="1"/>
    </w:lvl>
    <w:lvl w:ilvl="2">
      <w:lvlJc w:val="left"/>
      <w:lvlText w:val="%3."/>
      <w:numFmt w:val="decimal"/>
      <w:start w:val="1"/>
    </w:lvl>
  </w:abstractNum>
  <w:abstractNum w:abstractNumId="70">
    <w:nsid w:val="6A5EE64"/>
    <w:multiLevelType w:val="hybridMultilevel"/>
    <w:lvl w:ilvl="0">
      <w:lvlJc w:val="left"/>
      <w:lvlText w:val="•"/>
      <w:numFmt w:val="bullet"/>
      <w:start w:val="1"/>
    </w:lvl>
    <w:lvl w:ilvl="1">
      <w:lvlJc w:val="left"/>
      <w:lvlText w:val="%2."/>
      <w:numFmt w:val="decimal"/>
      <w:start w:val="1"/>
    </w:lvl>
  </w:abstractNum>
  <w:abstractNum w:abstractNumId="71">
    <w:nsid w:val="14330624"/>
    <w:multiLevelType w:val="hybridMultilevel"/>
    <w:lvl w:ilvl="0">
      <w:lvlJc w:val="left"/>
      <w:lvlText w:val="•"/>
      <w:numFmt w:val="bullet"/>
      <w:start w:val="1"/>
    </w:lvl>
    <w:lvl w:ilvl="1">
      <w:lvlJc w:val="left"/>
      <w:lvlText w:val="(%2)"/>
      <w:numFmt w:val="decimal"/>
      <w:start w:val="1"/>
    </w:lvl>
  </w:abstractNum>
  <w:abstractNum w:abstractNumId="72">
    <w:nsid w:val="7FFFCA11"/>
    <w:multiLevelType w:val="hybridMultilevel"/>
    <w:lvl w:ilvl="0">
      <w:lvlJc w:val="left"/>
      <w:lvlText w:val="•"/>
      <w:numFmt w:val="bullet"/>
      <w:start w:val="1"/>
    </w:lvl>
  </w:abstractNum>
  <w:abstractNum w:abstractNumId="73">
    <w:nsid w:val="1A27709E"/>
    <w:multiLevelType w:val="hybridMultilevel"/>
    <w:lvl w:ilvl="0">
      <w:lvlJc w:val="left"/>
      <w:lvlText w:val="(%1)"/>
      <w:numFmt w:val="lowerLetter"/>
      <w:start w:val="10"/>
    </w:lvl>
  </w:abstractNum>
  <w:abstractNum w:abstractNumId="74">
    <w:nsid w:val="71EA1109"/>
    <w:multiLevelType w:val="hybridMultilevel"/>
    <w:lvl w:ilvl="0">
      <w:lvlJc w:val="left"/>
      <w:lvlText w:val="(%1)"/>
      <w:numFmt w:val="upperLetter"/>
      <w:start w:val="6"/>
    </w:lvl>
  </w:abstractNum>
  <w:abstractNum w:abstractNumId="75">
    <w:nsid w:val="100F59DC"/>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21"/>
    </w:lvl>
    <w:lvl w:ilvl="3">
      <w:lvlJc w:val="left"/>
      <w:lvlText w:val="(%4)"/>
      <w:numFmt w:val="decimal"/>
      <w:start w:val="1"/>
    </w:lvl>
  </w:abstractNum>
  <w:abstractNum w:abstractNumId="76">
    <w:nsid w:val="7FB7E0AA"/>
    <w:multiLevelType w:val="hybridMultilevel"/>
    <w:lvl w:ilvl="0">
      <w:lvlJc w:val="left"/>
      <w:lvlText w:val="%1."/>
      <w:numFmt w:val="decimal"/>
      <w:start w:val="1"/>
    </w:lvl>
  </w:abstractNum>
  <w:abstractNum w:abstractNumId="77">
    <w:nsid w:val="6EB5BD4"/>
    <w:multiLevelType w:val="hybridMultilevel"/>
    <w:lvl w:ilvl="0">
      <w:lvlJc w:val="left"/>
      <w:lvlText w:val="%1."/>
      <w:numFmt w:val="decimal"/>
      <w:start w:val="2"/>
    </w:lvl>
  </w:abstractNum>
  <w:abstractNum w:abstractNumId="78">
    <w:nsid w:val="6F6DD9AC"/>
    <w:multiLevelType w:val="hybridMultilevel"/>
    <w:lvl w:ilvl="0">
      <w:lvlJc w:val="left"/>
      <w:lvlText w:val="%1."/>
      <w:numFmt w:val="decimal"/>
      <w:start w:val="1"/>
    </w:lvl>
    <w:lvl w:ilvl="1">
      <w:lvlJc w:val="left"/>
      <w:lvlText w:val="•"/>
      <w:numFmt w:val="bullet"/>
      <w:start w:val="1"/>
    </w:lvl>
  </w:abstractNum>
  <w:abstractNum w:abstractNumId="79">
    <w:nsid w:val="94211F2"/>
    <w:multiLevelType w:val="hybridMultilevel"/>
    <w:lvl w:ilvl="0">
      <w:lvlJc w:val="left"/>
      <w:lvlText w:val="%1."/>
      <w:numFmt w:val="decimal"/>
      <w:start w:val="1"/>
    </w:lvl>
    <w:lvl w:ilvl="1">
      <w:lvlJc w:val="left"/>
      <w:lvlText w:val="(%2)"/>
      <w:numFmt w:val="lowerLetter"/>
      <w:start w:val="1"/>
    </w:lvl>
  </w:abstractNum>
  <w:abstractNum w:abstractNumId="80">
    <w:nsid w:val="885E1B"/>
    <w:multiLevelType w:val="hybridMultilevel"/>
    <w:lvl w:ilvl="0">
      <w:lvlJc w:val="left"/>
      <w:lvlText w:val="%1."/>
      <w:numFmt w:val="decimal"/>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1."/>
      <w:numFmt w:val="decimal"/>
      <w:start w:val="2"/>
    </w:lvl>
    <w:lvl w:ilvl="1">
      <w:lvlJc w:val="left"/>
      <w:lvlText w:val="(%2)"/>
      <w:numFmt w:val="lowerLetter"/>
      <w:start w:val="21"/>
    </w:lvl>
  </w:abstractNum>
  <w:abstractNum w:abstractNumId="83">
    <w:nsid w:val="1716703B"/>
    <w:multiLevelType w:val="hybridMultilevel"/>
    <w:lvl w:ilvl="0">
      <w:lvlJc w:val="left"/>
      <w:lvlText w:val="%1."/>
      <w:numFmt w:val="decimal"/>
      <w:start w:val="1"/>
    </w:lvl>
  </w:abstractNum>
  <w:abstractNum w:abstractNumId="84">
    <w:nsid w:val="14E17E33"/>
    <w:multiLevelType w:val="hybridMultilevel"/>
    <w:lvl w:ilvl="0">
      <w:lvlJc w:val="left"/>
      <w:lvlText w:val="%1."/>
      <w:numFmt w:val="decimal"/>
      <w:start w:val="1"/>
    </w:lvl>
  </w:abstractNum>
  <w:abstractNum w:abstractNumId="85">
    <w:nsid w:val="3222E7CD"/>
    <w:multiLevelType w:val="hybridMultilevel"/>
    <w:lvl w:ilvl="0">
      <w:lvlJc w:val="left"/>
      <w:lvlText w:val="(%1)"/>
      <w:numFmt w:val="upperLetter"/>
      <w:start w:val="4"/>
    </w:lvl>
  </w:abstractNum>
  <w:abstractNum w:abstractNumId="86">
    <w:nsid w:val="74DE0EE3"/>
    <w:multiLevelType w:val="hybridMultilevel"/>
    <w:lvl w:ilvl="0">
      <w:lvlJc w:val="left"/>
      <w:lvlText w:val="%1."/>
      <w:numFmt w:val="decimal"/>
      <w:start w:val="1"/>
    </w:lvl>
  </w:abstractNum>
  <w:abstractNum w:abstractNumId="87">
    <w:nsid w:val="68EBC550"/>
    <w:multiLevelType w:val="hybridMultilevel"/>
    <w:lvl w:ilvl="0">
      <w:lvlJc w:val="left"/>
      <w:lvlText w:val="%1."/>
      <w:numFmt w:val="decimal"/>
      <w:start w:val="2"/>
    </w:lvl>
  </w:abstractNum>
  <w:abstractNum w:abstractNumId="88">
    <w:nsid w:val="2DF6D648"/>
    <w:multiLevelType w:val="hybridMultilevel"/>
    <w:lvl w:ilvl="0">
      <w:lvlJc w:val="left"/>
      <w:lvlText w:val="%1."/>
      <w:numFmt w:val="decimal"/>
      <w:start w:val="1"/>
    </w:lvl>
    <w:lvl w:ilvl="1">
      <w:lvlJc w:val="left"/>
      <w:lvlText w:val="(%2)"/>
      <w:numFmt w:val="lowerLetter"/>
      <w:start w:val="5"/>
    </w:lvl>
  </w:abstractNum>
  <w:abstractNum w:abstractNumId="89">
    <w:nsid w:val="46B7D447"/>
    <w:multiLevelType w:val="hybridMultilevel"/>
    <w:lvl w:ilvl="0">
      <w:lvlJc w:val="left"/>
      <w:lvlText w:val="☒"/>
      <w:numFmt w:val="bullet"/>
      <w:start w:val="1"/>
    </w:lvl>
    <w:lvl w:ilvl="1">
      <w:lvlJc w:val="left"/>
      <w:lvlText w:val="(%2)"/>
      <w:numFmt w:val="lowerRoman"/>
      <w:start w:val="1"/>
    </w:lvl>
  </w:abstractNum>
  <w:abstractNum w:abstractNumId="90">
    <w:nsid w:val="4A2AC315"/>
    <w:multiLevelType w:val="hybridMultilevel"/>
    <w:lvl w:ilvl="0">
      <w:lvlJc w:val="left"/>
      <w:lvlText w:val="%1."/>
      <w:numFmt w:val="decimal"/>
      <w:start w:val="1"/>
    </w:lvl>
    <w:lvl w:ilvl="1">
      <w:lvlJc w:val="left"/>
      <w:lvlText w:val="•"/>
      <w:numFmt w:val="bullet"/>
      <w:start w:val="1"/>
    </w:lvl>
  </w:abstractNum>
  <w:abstractNum w:abstractNumId="91">
    <w:nsid w:val="39EE015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2019-12-07T21:10:05Z</dcterms:created>
  <dcterms:modified xsi:type="dcterms:W3CDTF">2019-12-07T21:10:05Z</dcterms:modified>
</cp:coreProperties>
</file>