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tbl>
      <w:tblPr>
        <w:tblLayout w:type="fixed"/>
        <w:tblInd w:w="120" w:type="dxa"/>
        <w:tblCellMar>
          <w:top w:w="0" w:type="dxa"/>
          <w:left w:w="0" w:type="dxa"/>
          <w:bottom w:w="0" w:type="dxa"/>
          <w:right w:w="0" w:type="dxa"/>
        </w:tblCellMar>
      </w:tblPr>
      <w:tr>
        <w:trPr>
          <w:trHeight w:val="378"/>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32"/>
                <w:szCs w:val="32"/>
                <w:b w:val="1"/>
                <w:bCs w:val="1"/>
                <w:color w:val="auto"/>
                <w:w w:val="99"/>
              </w:rPr>
              <w:t>SCHEDULE 14A</w:t>
            </w:r>
          </w:p>
        </w:tc>
      </w:tr>
      <w:tr>
        <w:trPr>
          <w:trHeight w:val="280"/>
        </w:trPr>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22"/>
                <w:szCs w:val="22"/>
                <w:b w:val="1"/>
                <w:bCs w:val="1"/>
                <w:color w:val="auto"/>
                <w:w w:val="94"/>
              </w:rPr>
              <w:t>(RULE 14a-101)</w:t>
            </w:r>
          </w:p>
        </w:tc>
      </w:tr>
      <w:tr>
        <w:trPr>
          <w:trHeight w:val="219"/>
        </w:trPr>
        <w:tc>
          <w:tcPr>
            <w:tcW w:w="2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r>
      <w:tr>
        <w:trPr>
          <w:trHeight w:val="317"/>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2300" w:type="dxa"/>
            <w:vAlign w:val="bottom"/>
          </w:tcPr>
          <w:p>
            <w:pPr>
              <w:spacing w:after="0"/>
              <w:rPr>
                <w:sz w:val="24"/>
                <w:szCs w:val="24"/>
                <w:color w:val="auto"/>
              </w:rPr>
            </w:pPr>
          </w:p>
        </w:tc>
        <w:tc>
          <w:tcPr>
            <w:tcW w:w="5460" w:type="dxa"/>
            <w:vAlign w:val="bottom"/>
            <w:gridSpan w:val="3"/>
          </w:tcPr>
          <w:p>
            <w:pPr>
              <w:jc w:val="center"/>
              <w:ind w:left="823"/>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334"/>
        </w:trPr>
        <w:tc>
          <w:tcPr>
            <w:tcW w:w="230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460" w:type="dxa"/>
            <w:vAlign w:val="bottom"/>
            <w:gridSpan w:val="3"/>
          </w:tcPr>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30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2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07" w:lineRule="exact"/>
        <w:rPr>
          <w:sz w:val="24"/>
          <w:szCs w:val="24"/>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780" w:hanging="664"/>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80" w:hanging="664"/>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279"/>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560" w:hanging="904"/>
        <w:spacing w:after="0" w:line="277" w:lineRule="auto"/>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60" w:right="160" w:hanging="544"/>
        <w:spacing w:after="0" w:line="306"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990600</wp:posOffset>
            </wp:positionH>
            <wp:positionV relativeFrom="paragraph">
              <wp:posOffset>-2787650</wp:posOffset>
            </wp:positionV>
            <wp:extent cx="6077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-2487930</wp:posOffset>
            </wp:positionV>
            <wp:extent cx="6077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-2050415</wp:posOffset>
            </wp:positionV>
            <wp:extent cx="6077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-1750695</wp:posOffset>
            </wp:positionV>
            <wp:extent cx="6077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-1450340</wp:posOffset>
            </wp:positionV>
            <wp:extent cx="6077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-653415</wp:posOffset>
            </wp:positionV>
            <wp:extent cx="6077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-396240</wp:posOffset>
            </wp:positionV>
            <wp:extent cx="6077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-139065</wp:posOffset>
            </wp:positionV>
            <wp:extent cx="6077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117475</wp:posOffset>
            </wp:positionV>
            <wp:extent cx="60775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ectPr>
          <w:pgSz w:w="11900" w:h="16838" w:orient="portrait"/>
          <w:cols w:equalWidth="0" w:num="1">
            <w:col w:w="10980"/>
          </w:cols>
          <w:pgMar w:left="320" w:top="230" w:right="5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5445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 75201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13,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pleased to invite you to attend a Special Meeting of Stockholders of Sixth Street Specialty Lending, Inc. to be held on May 26, 2021, at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1:30 p.m., Eastern Time, on the internet via live webcast at www.virtualshareholdermeeting.com/TSLX2021. In response to continued public health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concerns related to the COVID-19 pandemic, and to support the health and well-being of our shareholders and other meeting participants, the Special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Meeting of Stockholders will be a completely virtual meeting, and stockholders will not be able to attend in person.</w:t>
      </w:r>
    </w:p>
    <w:p>
      <w:pPr>
        <w:spacing w:after="0" w:line="21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76"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Please read these materials so that you will know what we plan to do at the meeting. It is important that your shares be represented at the special meeting, regardless of whether you plan to attend the meeting virtually. Please vote your shares as soon as possible through any of the voting options available to you as described in the Notice of Internet Availability of Proxy Materials and this proxy statement.</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You will also receive separate proxy materials for the Annual Meeting of Stockholders, which will be held virtually and on the same date stated above, but not at the same time. Please be certain to vote separately each proxy card that you receive from 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behalf of management and our Board of Directors, we thank you for your continued support of Sixth Street Specialty Lending, Inc.</w:t>
      </w:r>
    </w:p>
    <w:p>
      <w:pPr>
        <w:spacing w:after="0" w:line="26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13, 2021</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Important Notice Regarding the Availability of Proxy Material for the Special Meeting of Stockholders to Be Held on May 26, 2021.</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proxy statement is available online at www.proxyvote.com.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information applicable to the Special Meeting of Stockholders may be found in the proxy statement and accompanying proxy card:</w:t>
      </w:r>
    </w:p>
    <w:p>
      <w:pPr>
        <w:spacing w:after="0" w:line="154"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control/identification numbers that you need to access proxy material online and to attend and vote at the virtual meeting;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virtually.</w:t>
      </w:r>
    </w:p>
    <w:p>
      <w:pPr>
        <w:spacing w:after="0" w:line="221"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Please keep any control/identification number located on your proxy card in a safe place so it is available for the meeting, as you will need to attend and vote at the virtual meeting.</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5445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NOTICE IS HEREBY GIVEN that a Special Meeting of Stockholders of Sixth Street Specialty Lending, Inc. will be held on the internet via live webcast at www.virtualshareholdermeeting.com/TSLX2021 on May 26, 2021, at 1:30 p.m., Eastern Time. In response to continued public health concerns related to the COVID-19 pandemic, and to support the health and well-being of our shareholders and other meeting participants, the Special Meeting of Stockholders will be a completely virtual meeting, and stockholders will not be able to attend in person. The Special Meeting of Stockholders is being held for the following purpose:</w:t>
      </w:r>
    </w:p>
    <w:p>
      <w:pPr>
        <w:spacing w:after="0" w:line="80" w:lineRule="exact"/>
        <w:rPr>
          <w:sz w:val="20"/>
          <w:szCs w:val="20"/>
          <w:color w:val="auto"/>
        </w:rPr>
      </w:pPr>
    </w:p>
    <w:p>
      <w:pPr>
        <w:jc w:val="both"/>
        <w:ind w:left="560" w:right="80" w:firstLine="419"/>
        <w:spacing w:after="0" w:line="259" w:lineRule="auto"/>
        <w:tabs>
          <w:tab w:leader="none" w:pos="11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Only stockholders of record at the close of business on March 31, 2021, are entitled to notice of and to vote at the Special Meeting of Stockholders or any postponement or adjournment thereof.</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Your vote is extremely important to us. Whether or not you plan to attend the Special Meeting of Stockholders virtually,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292"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THE PROPOSAL.</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Chief Financial Officer, Chief Compliance Officer and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Secretary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13, 2021</w:t>
      </w:r>
    </w:p>
    <w:p>
      <w:pPr>
        <w:spacing w:after="0" w:line="221" w:lineRule="exact"/>
        <w:rPr>
          <w:sz w:val="20"/>
          <w:szCs w:val="20"/>
          <w:color w:val="auto"/>
        </w:rPr>
      </w:pPr>
    </w:p>
    <w:p>
      <w:pPr>
        <w:ind w:left="120" w:right="16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VIRTUALLY.</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155"/>
        </w:trPr>
        <w:tc>
          <w:tcPr>
            <w:tcW w:w="10660" w:type="dxa"/>
            <w:vAlign w:val="bottom"/>
            <w:tcBorders>
              <w:top w:val="single" w:sz="8" w:color="CCEEFF"/>
            </w:tcBorders>
            <w:gridSpan w:val="12"/>
            <w:shd w:val="clear" w:color="auto" w:fill="CCEEFF"/>
          </w:tcPr>
          <w:p>
            <w:pPr>
              <w:spacing w:after="0" w:line="136" w:lineRule="exact"/>
              <w:rPr>
                <w:rFonts w:ascii="Arial" w:cs="Arial" w:eastAsia="Arial" w:hAnsi="Arial"/>
                <w:sz w:val="15"/>
                <w:szCs w:val="15"/>
                <w:color w:val="0000EE"/>
              </w:rPr>
            </w:pPr>
            <w:hyperlink w:anchor="page6">
              <w:r>
                <w:rPr>
                  <w:rFonts w:ascii="Arial" w:cs="Arial" w:eastAsia="Arial" w:hAnsi="Arial"/>
                  <w:sz w:val="15"/>
                  <w:szCs w:val="15"/>
                  <w:color w:val="0000EE"/>
                </w:rPr>
                <w:t>Proxy Statement for a Special Meeting of Stockholders</w:t>
              </w:r>
            </w:hyperlink>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60" w:type="dxa"/>
            <w:vAlign w:val="bottom"/>
            <w:tcBorders>
              <w:top w:val="single" w:sz="8" w:color="CCEEFF"/>
            </w:tcBorders>
            <w:shd w:val="clear" w:color="auto" w:fill="CCEEFF"/>
          </w:tcPr>
          <w:p>
            <w:pPr>
              <w:spacing w:after="0"/>
              <w:rPr>
                <w:sz w:val="13"/>
                <w:szCs w:val="13"/>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10660" w:type="dxa"/>
            <w:vAlign w:val="bottom"/>
            <w:gridSpan w:val="12"/>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Security Ownership of Certain Beneficial Owners and Management</w:t>
              </w:r>
            </w:hyperlink>
          </w:p>
        </w:tc>
        <w:tc>
          <w:tcPr>
            <w:tcW w:w="3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5</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2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Proposal No. 1—Authorization of the Company to Sell or Otherwise Issue Shares of its Common Stock at a Price Below its Then-Current Net</w:t>
              </w:r>
            </w:hyperlink>
          </w:p>
        </w:tc>
        <w:tc>
          <w:tcPr>
            <w:tcW w:w="4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942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Asset Value Per Share in One or More Offerings, in Each Case Subject to the Approval of its Board of Directors and Subject to the</w:t>
              </w:r>
            </w:hyperlink>
          </w:p>
        </w:tc>
        <w:tc>
          <w:tcPr>
            <w:tcW w:w="106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10480" w:type="dxa"/>
            <w:vAlign w:val="bottom"/>
            <w:gridSpan w:val="11"/>
            <w:shd w:val="clear" w:color="auto" w:fill="CCEEFF"/>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Conditions Set Forth in this Proposal</w:t>
              </w:r>
            </w:hyperlink>
          </w:p>
        </w:tc>
        <w:tc>
          <w:tcPr>
            <w:tcW w:w="3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60" w:type="dxa"/>
            <w:vAlign w:val="bottom"/>
            <w:gridSpan w:val="12"/>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Other Business</w:t>
              </w:r>
            </w:hyperlink>
          </w:p>
        </w:tc>
        <w:tc>
          <w:tcPr>
            <w:tcW w:w="3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2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Stockholder Proposals and Nominations for the 2022 Annual Meeting of Stockholders</w:t>
              </w:r>
            </w:hyperlink>
          </w:p>
        </w:tc>
        <w:tc>
          <w:tcPr>
            <w:tcW w:w="4440" w:type="dxa"/>
            <w:vAlign w:val="bottom"/>
            <w:tcBorders>
              <w:bottom w:val="single" w:sz="8" w:color="CCEEFF"/>
            </w:tcBorders>
            <w:gridSpan w:val="3"/>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17</w:t>
            </w:r>
          </w:p>
        </w:tc>
      </w:tr>
      <w:tr>
        <w:trPr>
          <w:trHeight w:val="176"/>
        </w:trPr>
        <w:tc>
          <w:tcPr>
            <w:tcW w:w="10660" w:type="dxa"/>
            <w:vAlign w:val="bottom"/>
            <w:gridSpan w:val="12"/>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Annual Report</w:t>
              </w:r>
            </w:hyperlink>
          </w:p>
        </w:tc>
        <w:tc>
          <w:tcPr>
            <w:tcW w:w="3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17</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Householding of Proxy Materials</w:t>
              </w:r>
            </w:hyperlink>
          </w:p>
        </w:tc>
        <w:tc>
          <w:tcPr>
            <w:tcW w:w="8260" w:type="dxa"/>
            <w:vAlign w:val="bottom"/>
            <w:tcBorders>
              <w:bottom w:val="single" w:sz="8" w:color="CCEEFF"/>
            </w:tcBorders>
            <w:gridSpan w:val="7"/>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18</w:t>
            </w:r>
          </w:p>
        </w:tc>
      </w:tr>
      <w:tr>
        <w:trPr>
          <w:trHeight w:val="175"/>
        </w:trPr>
        <w:tc>
          <w:tcPr>
            <w:tcW w:w="1320" w:type="dxa"/>
            <w:vAlign w:val="bottom"/>
            <w:tcBorders>
              <w:bottom w:val="single" w:sz="8" w:color="0000EE"/>
            </w:tcBorders>
            <w:gridSpan w:val="4"/>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Privacy Principles</w:t>
              </w:r>
            </w:hyperlink>
          </w:p>
        </w:tc>
        <w:tc>
          <w:tcPr>
            <w:tcW w:w="9340" w:type="dxa"/>
            <w:vAlign w:val="bottom"/>
            <w:gridSpan w:val="8"/>
          </w:tcPr>
          <w:p>
            <w:pPr>
              <w:spacing w:after="0"/>
              <w:rPr>
                <w:sz w:val="15"/>
                <w:szCs w:val="15"/>
                <w:color w:val="auto"/>
              </w:rPr>
            </w:pPr>
          </w:p>
        </w:tc>
        <w:tc>
          <w:tcPr>
            <w:tcW w:w="3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19</w:t>
            </w: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54455"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accompanying proxy is solicited on behalf of the Board of Directors (the “Board”) of Sixth Street Specialty Lending, Inc., which is sometimes referred to in this proxy statement as “TSLX,” “we,” “us,” “our,” or the “Company,” for use at a Special Meeting of Stockholders (the “Meeting” or “Special Meeting”) to be held on the internet via live webcast at www.virtualshareholdermeeting.com/TSLX2021 on May 26, 2021, at 1:30 p.m., Eastern Time. In response to continued public health concerns related to the COVID-19 pandemic, and to support the health and well-being of our shareholders and other meeting participants, the Special Meeting of Stockholders will be a completely virtual meeting, and stockholders will not be able to attend in person. Only holders of record of our common stock at the close of business on March 31, 2021, which is the record date, will be entitled to vote at the Meeting. At the close of business on the record date, we had 72,266,042 shares of common stock outstanding and entitled to vote.</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 April 13, 2021. This proxy statement, including the accompanying form of proxy (collectively, the “Proxy Statement”), will first be made available to stockholders on or about April 13, 2021. The Proxy Statement can be accessed online at www.proxyvote.com.</w:t>
      </w:r>
    </w:p>
    <w:p>
      <w:pPr>
        <w:spacing w:after="0" w:line="18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Meeting of Stockholders is being held for the following purpose:</w:t>
      </w:r>
    </w:p>
    <w:p>
      <w:pPr>
        <w:spacing w:after="0" w:line="225" w:lineRule="exact"/>
        <w:rPr>
          <w:sz w:val="20"/>
          <w:szCs w:val="20"/>
          <w:color w:val="auto"/>
        </w:rPr>
      </w:pPr>
    </w:p>
    <w:p>
      <w:pPr>
        <w:jc w:val="both"/>
        <w:ind w:left="120" w:right="80" w:firstLine="436"/>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Arial" w:cs="Arial" w:eastAsia="Arial" w:hAnsi="Arial"/>
          <w:sz w:val="17"/>
          <w:szCs w:val="17"/>
          <w:b w:val="1"/>
          <w:bCs w:val="1"/>
          <w:color w:val="auto"/>
        </w:rPr>
        <w:t>For this reason, it is imperative that stockholders vote or</w:t>
      </w:r>
      <w:r>
        <w:rPr>
          <w:rFonts w:ascii="Arial" w:cs="Arial" w:eastAsia="Arial" w:hAnsi="Arial"/>
          <w:sz w:val="17"/>
          <w:szCs w:val="17"/>
          <w:color w:val="auto"/>
        </w:rPr>
        <w:t xml:space="preserve"> </w:t>
      </w:r>
      <w:r>
        <w:rPr>
          <w:rFonts w:ascii="Arial" w:cs="Arial" w:eastAsia="Arial" w:hAnsi="Arial"/>
          <w:sz w:val="17"/>
          <w:szCs w:val="17"/>
          <w:b w:val="1"/>
          <w:bCs w:val="1"/>
          <w:color w:val="auto"/>
        </w:rPr>
        <w:t>provide instructions to their broker as to how to vote.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any broker non-votes at the Meeting because there are no routine proposals to be voted on at the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the event that a quorum shall fail to attend the Meeting, either virtually or represented by proxy, the stockholders entitled to vote at the Meeting (present virtually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virtually or represented by proxy at the Meeting. In addition, pursuant to the bylaws of the Company, if there are not sufficient votes for a quorum or to approve or ratify the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named proxies for the Meeting are Ian Simmonds and Jennifer Gordon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Information Regarding This Proxy</w:t>
      </w:r>
    </w:p>
    <w:p>
      <w:pPr>
        <w:spacing w:after="0" w:line="121"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The Company will pay the expenses of soliciting proxies to be voted at the Meeting. The Company has retained Broadridge Investor Communications Solutions Inc. to assist with the distribution and collection of proxies for a fee of approximately $75,000, plus reimbursement of expenses.</w:t>
      </w:r>
    </w:p>
    <w:p>
      <w:pPr>
        <w:spacing w:after="0" w:line="184"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Company has engaged the services of D.F. King &amp; Co., Inc. (“D.F. King”) to assist in the solicitation of proxies. The Company has estimated that it will pay approximately $10,000, plus reimbursement of certain expenses and fees for additional services requested. Please note that D.F. King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virtually. However, the mere presence of the stockholder at the Meeting does not revoke the proxy.</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You can contact us by mail sent to the attention of the Secretary of the Company, Ian Simmonds, Sixth Street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or by email at ISimmonds@sixthstreet.com. You can call us by dialing (212) 601-4753. You can access our proxy materials online at www.proxyvote.com.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Attendance and Participation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Company’s Meeting will be conducted virtually on the internet via live webcast at www.virtualshareholdermeeting.com/TSLX2021. Stockholders will not be able to attend the Meeting in person. Stockholders as of the close of business on March 31, 2021, the record date, are entitled to participate in and vote at the Meeting by logging into the webcast. If you have a question pertaining to the business of the Meeting, please submit it in accordance with the procedures described below.</w:t>
      </w:r>
    </w:p>
    <w:p>
      <w:pPr>
        <w:spacing w:after="0" w:line="187"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To participate in the virtual Meeting, you will need the 16-digit control number included on your proxy card, your voting instruction form, or the Notice of Internet Availability of Proxy Materials previously mailed or made available to stockholders entitled to vote at the Meeting. If your shares are held for your account by a broker, bank or other institution or nominee, you should follow the instructions provided by your institution or nominee to be able to participate in the Meeting.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Annual Meeting of Stockholders webcast will begin promptly at 1:00 p.m., Eastern Time, and the Special Meeting of Stockholders webcast will begin promptly at 1:30 p.m., Eastern Time. Participants should allow plenty of time to log in prior to the start of the meetings. Online access and check-in will begin at 12:45 p.m., Eastern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Questions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part of the virtual Meeting, we will hold a live Q&amp;A session, during which we intend to answer questions as time permits. Questions must comply with the Meeting procedures and be pertinent to the Company, our shareholders and the Meeting matters.</w:t>
      </w:r>
    </w:p>
    <w:p>
      <w:pPr>
        <w:spacing w:after="0" w:line="72" w:lineRule="exact"/>
        <w:rPr>
          <w:sz w:val="20"/>
          <w:szCs w:val="20"/>
          <w:color w:val="auto"/>
        </w:rPr>
      </w:pPr>
    </w:p>
    <w:p>
      <w:pPr>
        <w:ind w:left="1080" w:right="80" w:hanging="424"/>
        <w:spacing w:after="0" w:line="26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If you wish to submit a question in advance of the virtual Meeting, </w:t>
      </w:r>
      <w:r>
        <w:rPr>
          <w:rFonts w:ascii="Arial" w:cs="Arial" w:eastAsia="Arial" w:hAnsi="Arial"/>
          <w:sz w:val="18"/>
          <w:szCs w:val="18"/>
          <w:color w:val="auto"/>
        </w:rPr>
        <w:t>you may do so by visiting www.proxyvote.com. You should have</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card, voting instruction form or Notice of Internet Availability of Proxy Materials in hand when you access the website and follow the instructions. Questions may be submitted beginning on April 13, 2021.</w:t>
      </w:r>
    </w:p>
    <w:p>
      <w:pPr>
        <w:spacing w:after="0" w:line="81" w:lineRule="exact"/>
        <w:rPr>
          <w:rFonts w:ascii="Arial" w:cs="Arial" w:eastAsia="Arial" w:hAnsi="Arial"/>
          <w:sz w:val="18"/>
          <w:szCs w:val="18"/>
          <w:color w:val="auto"/>
        </w:rPr>
      </w:pPr>
    </w:p>
    <w:p>
      <w:pPr>
        <w:ind w:left="1080" w:right="360" w:hanging="424"/>
        <w:spacing w:after="0" w:line="282"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If you wish to ask a question during the virtual Meeting, </w:t>
      </w:r>
      <w:r>
        <w:rPr>
          <w:rFonts w:ascii="Arial" w:cs="Arial" w:eastAsia="Arial" w:hAnsi="Arial"/>
          <w:sz w:val="18"/>
          <w:szCs w:val="18"/>
          <w:color w:val="auto"/>
        </w:rPr>
        <w:t>log in to the virtual Meeting website using your 16-digit control number</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on your proxy card and follow the instructions on the website.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Questions pertinent to the business of the Meeting will be read aloud and answered during the virtual Meeting, subject to time constraints.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List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list of our stockholders of record entitled to vote at the Meeting will be made available for viewing by stockholders for any purpose germane to the Meeting. Beginning 15 minutes prior to, and during, the Meeting, the stockholder list will be viewable at www.virtualshareholdermeeting.com/TSLX2021.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Technical Difficulties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Technical support will be available on the virtual meeting platform at www.virtualshareholdermeeting.com/TSLX2021 beginning at 12:45 p.m., Eastern Time on May 26, 2021 through the conclusion of the Meeting. You may also contact technical service (toll-free) at 844-986-0822 (US) or 303-562-9302 (International).</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320" w:top="459" w:right="5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31, 2021,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percentage ownership is based on 72,266,042 shares of common stock outstanding as of March 31, 2021.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Shares of</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of Individual or Identity of Group</w:t>
            </w:r>
          </w:p>
        </w:tc>
        <w:tc>
          <w:tcPr>
            <w:tcW w:w="6000" w:type="dxa"/>
            <w:vAlign w:val="bottom"/>
            <w:vMerge w:val="restart"/>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8"/>
        </w:trPr>
        <w:tc>
          <w:tcPr>
            <w:tcW w:w="2480" w:type="dxa"/>
            <w:vAlign w:val="bottom"/>
            <w:tcBorders>
              <w:bottom w:val="single" w:sz="8" w:color="auto"/>
            </w:tcBorders>
            <w:vMerge w:val="continue"/>
          </w:tcPr>
          <w:p>
            <w:pPr>
              <w:spacing w:after="0"/>
              <w:rPr>
                <w:sz w:val="15"/>
                <w:szCs w:val="15"/>
                <w:color w:val="auto"/>
              </w:rPr>
            </w:pPr>
          </w:p>
        </w:tc>
        <w:tc>
          <w:tcPr>
            <w:tcW w:w="6000" w:type="dxa"/>
            <w:vAlign w:val="bottom"/>
            <w:vMerge w:val="continue"/>
          </w:tcPr>
          <w:p>
            <w:pPr>
              <w:spacing w:after="0"/>
              <w:rPr>
                <w:sz w:val="15"/>
                <w:szCs w:val="15"/>
                <w:color w:val="auto"/>
              </w:rPr>
            </w:pPr>
          </w:p>
        </w:tc>
        <w:tc>
          <w:tcPr>
            <w:tcW w:w="160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9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90"/>
        </w:trPr>
        <w:tc>
          <w:tcPr>
            <w:tcW w:w="8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50,207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 xml:space="preserve">Michael Fishman </w:t>
            </w:r>
            <w:r>
              <w:rPr>
                <w:rFonts w:ascii="Arial" w:cs="Arial" w:eastAsia="Arial" w:hAnsi="Arial"/>
                <w:sz w:val="15"/>
                <w:szCs w:val="15"/>
                <w:color w:val="auto"/>
              </w:rPr>
              <w:t>(3)</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36,366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Jennifer Gordon</w:t>
            </w:r>
          </w:p>
        </w:tc>
        <w:tc>
          <w:tcPr>
            <w:tcW w:w="1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 xml:space="preserve">David Stiepleman (Director Nominee) </w:t>
            </w:r>
            <w:r>
              <w:rPr>
                <w:rFonts w:ascii="Arial" w:cs="Arial" w:eastAsia="Arial" w:hAnsi="Arial"/>
                <w:sz w:val="15"/>
                <w:szCs w:val="15"/>
                <w:color w:val="auto"/>
              </w:rPr>
              <w:t>(4)</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11,079</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Hurley Doddy</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12,577</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Richard Higginbotham (Director Nominee)</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John Ross</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35,000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Judy Slotkin</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Ronald Tanemura (Director Nominee)</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86,516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3,235</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Robert (Bo) Stanley </w:t>
            </w:r>
            <w:r>
              <w:rPr>
                <w:rFonts w:ascii="Arial" w:cs="Arial" w:eastAsia="Arial" w:hAnsi="Arial"/>
                <w:sz w:val="15"/>
                <w:szCs w:val="15"/>
                <w:color w:val="auto"/>
              </w:rPr>
              <w:t>(5)</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14,907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 xml:space="preserve">All Directors and Executive Officers as a Group (15 persons) </w:t>
            </w:r>
            <w:r>
              <w:rPr>
                <w:rFonts w:ascii="Arial" w:cs="Arial" w:eastAsia="Arial" w:hAnsi="Arial"/>
                <w:sz w:val="15"/>
                <w:szCs w:val="15"/>
                <w:color w:val="auto"/>
              </w:rPr>
              <w:t>(6)(7)</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2,958,256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 xml:space="preserve">State Teachers Retirement Board of Ohio </w:t>
            </w:r>
            <w:r>
              <w:rPr>
                <w:rFonts w:ascii="Arial" w:cs="Arial" w:eastAsia="Arial" w:hAnsi="Arial"/>
                <w:sz w:val="15"/>
                <w:szCs w:val="15"/>
                <w:color w:val="auto"/>
              </w:rPr>
              <w:t>(8)</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6,193,363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540" w:right="20" w:hanging="424"/>
        <w:spacing w:after="0" w:line="269"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00"/>
        <w:spacing w:after="0" w:line="258" w:lineRule="auto"/>
        <w:rPr>
          <w:sz w:val="20"/>
          <w:szCs w:val="20"/>
          <w:color w:val="auto"/>
        </w:rPr>
      </w:pPr>
      <w:r>
        <w:rPr>
          <w:rFonts w:ascii="Arial" w:cs="Arial" w:eastAsia="Arial" w:hAnsi="Arial"/>
          <w:sz w:val="18"/>
          <w:szCs w:val="18"/>
          <w:color w:val="auto"/>
        </w:rPr>
        <w:t>of more than five percent of common stock and each director and executive officer has sole voting and/or investment power over the shares reported.</w:t>
      </w:r>
    </w:p>
    <w:p>
      <w:pPr>
        <w:spacing w:after="0" w:line="1" w:lineRule="exact"/>
        <w:rPr>
          <w:sz w:val="20"/>
          <w:szCs w:val="20"/>
          <w:color w:val="auto"/>
        </w:rPr>
      </w:pPr>
    </w:p>
    <w:p>
      <w:pPr>
        <w:ind w:left="540" w:right="12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18,792 shares of common stock beneficially owned by Mr. Easterly have been pledged as security in connection with a line of credit with a third party financial institution unaffiliated with the Company.</w:t>
      </w:r>
    </w:p>
    <w:p>
      <w:pPr>
        <w:ind w:left="540" w:right="20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36,366 shares of common stock beneficially owned by Mr. Fishman have been pledged as security in connection with a line of credit with a third party financial institution unaffiliated with the Company.</w:t>
      </w:r>
    </w:p>
    <w:p>
      <w:pPr>
        <w:ind w:left="54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5,544 shares of common stock beneficially owned by Mr. Stiepleman have been pledged as security in connection with a line of credit with a third party financial institution unaffiliated with the Company.</w:t>
      </w:r>
    </w:p>
    <w:p>
      <w:pPr>
        <w:ind w:left="540" w:right="26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3,907 shares of common stock beneficially owned by Mr. Stanley have been pledged as security in connection with a line of credit with a third party financial institution unaffiliated with the Company.</w:t>
      </w:r>
    </w:p>
    <w:p>
      <w:pPr>
        <w:ind w:left="540" w:right="14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64,609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Sixth Street Specialty Lending Advisers, LLC holds 2,716,977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Lending Holdings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TSSP Holdco Management, he may be deemed to beneficially own the Sixth Street Specialty Lending Advisers Shares. Mr. Waxman disclaims beneficial ownership of the Sixth Street Specialty Lending Advisers Shares except to the extent of his pecuniary interest therein.</w:t>
      </w:r>
    </w:p>
    <w:p>
      <w:pPr>
        <w:spacing w:after="0" w:line="3" w:lineRule="exact"/>
        <w:rPr>
          <w:rFonts w:ascii="Arial" w:cs="Arial" w:eastAsia="Arial" w:hAnsi="Arial"/>
          <w:sz w:val="18"/>
          <w:szCs w:val="18"/>
          <w:color w:val="auto"/>
        </w:rPr>
      </w:pPr>
    </w:p>
    <w:p>
      <w:pPr>
        <w:ind w:left="540" w:right="40" w:hanging="424"/>
        <w:spacing w:after="0" w:line="290"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upon a Schedule 13G filed with the SEC on January 12, 2021 by OTR—Nominee Name for The State Teachers Retirement Board of Ohio, 31640-1810. The address of the State Teachers Retirement Board of Ohio is 275 East Broad Street, Columbus, OH 43215.</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AUTHORIZATION OF THE COMPANY TO SELL OR OTHERWISE ISSUE SHARES OF ITS COMMON STOCK AT A PRICE BELOW</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ITS THEN-CURRENT NET ASSET VALUE PER SHARE IN ONE OR MORE OFFERINGS, IN EACH CASE SUBJECT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APPROVAL OF ITS BOARD OF DIRECTORS AND SUBJECT TO THE CONDITIONS SET FORTH IN THIS PROPOSAL</w:t>
      </w:r>
    </w:p>
    <w:p>
      <w:pPr>
        <w:spacing w:after="0" w:line="21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7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Arial" w:cs="Arial" w:eastAsia="Arial" w:hAnsi="Arial"/>
          <w:sz w:val="17"/>
          <w:szCs w:val="17"/>
          <w:b w:val="1"/>
          <w:bCs w:val="1"/>
          <w:color w:val="auto"/>
        </w:rPr>
        <w:t>There will be no limit on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Arial" w:cs="Arial" w:eastAsia="Arial" w:hAnsi="Arial"/>
          <w:sz w:val="17"/>
          <w:szCs w:val="17"/>
          <w:color w:val="auto"/>
        </w:rPr>
        <w:t>Except for such authorizations as otherwise may be required with respect to a particular issuance under applicable law, New York Stock</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(“NYSE”)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To date, the Company has not issued shares below NAV under prior authorization granted from stockholders, but it may do so in the future pursuant to the authority granted in this proxy.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Sales Below NAV</w:t>
      </w:r>
    </w:p>
    <w:p>
      <w:pPr>
        <w:spacing w:after="0" w:line="121"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9" w:lineRule="exact"/>
        <w:rPr>
          <w:sz w:val="20"/>
          <w:szCs w:val="20"/>
          <w:color w:val="auto"/>
        </w:rPr>
      </w:pPr>
    </w:p>
    <w:p>
      <w:pPr>
        <w:ind w:left="1080" w:right="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“required majority” of the Company’s directors have determined that any such sale would be in the best interests of the Company and its stockholders;</w:t>
      </w:r>
    </w:p>
    <w:p>
      <w:pPr>
        <w:spacing w:after="0" w:line="75"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to be issued does not exceed 25% of the Company’s then-outstanding common stock immediately prior to each such offering.</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Approval</w:t>
      </w:r>
    </w:p>
    <w:p>
      <w:pPr>
        <w:spacing w:after="0" w:line="12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and Reasons to Offer Common Stock Below NAV</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 Conditions Have Created, and May in the Future Create, Attractive Investment and Acquisition Opportunities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78"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Since the events of 2008 and 2009, there have been continuing periods of volatility, some lasting longer and with a greater degree of magnitude than others, including recent market conditions that have been driven by the impact of COVID-19, and the widespread interruption to the functioning of the U.S. and global economies. In addition to the recent environment, the Company has seen periods during the last few years where BDCs, including the Company, have traded below NAV due to such stock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11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Stock More Attractive to Investors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Maintenance or Possible Increase of Dividends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and from the earnings generated during the year ended December 31, 2020, the Company declared total dividends of $1.79 per share of its common stock (including a fourth quarter variable supplemental dividend of $0.05 declared in the first quarter of 2021). The Company also declared and paid special dividends totaling $0.50 per share during the year ended December 31, 2020.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32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Trading History</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following table sets forth, for each fiscal quarter during the last three fiscal years and the first quarter of the current fiscal year, the NAV of the Company’s common stock, the range of high and low closing sales prices of its common stock as reported on the NYSE and the closing sales price as a premium (discount) to NAV. On March 31, 2021, the last reported closing sales price of the Company’s common stock on the NYSE was $21.03 per share, which represented a premium of approximately 22.6% to the NAV reported by the Company as of December 31, 2020.</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5"/>
          </w:tcPr>
          <w:p>
            <w:pPr>
              <w:ind w:left="260"/>
              <w:spacing w:after="0"/>
              <w:rPr>
                <w:sz w:val="20"/>
                <w:szCs w:val="20"/>
                <w:color w:val="auto"/>
              </w:rPr>
            </w:pPr>
            <w:r>
              <w:rPr>
                <w:rFonts w:ascii="Arial" w:cs="Arial" w:eastAsia="Arial" w:hAnsi="Arial"/>
                <w:sz w:val="14"/>
                <w:szCs w:val="14"/>
                <w:b w:val="1"/>
                <w:bCs w:val="1"/>
                <w:color w:val="auto"/>
              </w:rPr>
              <w:t>Price Range</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High Sales</w:t>
            </w: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Low Sales</w:t>
            </w:r>
          </w:p>
        </w:tc>
        <w:tc>
          <w:tcPr>
            <w:tcW w:w="10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Price to Net</w:t>
            </w:r>
          </w:p>
        </w:tc>
        <w:tc>
          <w:tcPr>
            <w:tcW w:w="110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9"/>
              </w:rPr>
              <w:t>Price to</w:t>
            </w:r>
          </w:p>
        </w:tc>
        <w:tc>
          <w:tcPr>
            <w:tcW w:w="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Low</w:t>
            </w: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0"/>
              </w:rPr>
              <w:t>Asset</w:t>
            </w:r>
          </w:p>
        </w:tc>
        <w:tc>
          <w:tcPr>
            <w:tcW w:w="11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6"/>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2018</w:t>
            </w:r>
          </w:p>
        </w:tc>
        <w:tc>
          <w:tcPr>
            <w:tcW w:w="17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First Quarter</w:t>
            </w:r>
          </w:p>
        </w:tc>
        <w:tc>
          <w:tcPr>
            <w:tcW w:w="2540" w:type="dxa"/>
            <w:vAlign w:val="bottom"/>
            <w:gridSpan w:val="3"/>
          </w:tcPr>
          <w:p>
            <w:pPr>
              <w:jc w:val="right"/>
              <w:ind w:right="280"/>
              <w:spacing w:after="0"/>
              <w:rPr>
                <w:sz w:val="20"/>
                <w:szCs w:val="20"/>
                <w:color w:val="auto"/>
              </w:rPr>
            </w:pPr>
            <w:r>
              <w:rPr>
                <w:rFonts w:ascii="Arial" w:cs="Arial" w:eastAsia="Arial" w:hAnsi="Arial"/>
                <w:sz w:val="18"/>
                <w:szCs w:val="18"/>
                <w:color w:val="auto"/>
              </w:rPr>
              <w:t>$ 16.27</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$20.06</w:t>
            </w:r>
          </w:p>
        </w:tc>
        <w:tc>
          <w:tcPr>
            <w:tcW w:w="9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$17.47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23.3%</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$ 16.36</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$19.19</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$17.51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Third Quarter</w:t>
            </w:r>
          </w:p>
        </w:tc>
        <w:tc>
          <w:tcPr>
            <w:tcW w:w="2540" w:type="dxa"/>
            <w:vAlign w:val="bottom"/>
            <w:gridSpan w:val="3"/>
          </w:tcPr>
          <w:p>
            <w:pPr>
              <w:jc w:val="right"/>
              <w:ind w:right="280"/>
              <w:spacing w:after="0"/>
              <w:rPr>
                <w:sz w:val="20"/>
                <w:szCs w:val="20"/>
                <w:color w:val="auto"/>
              </w:rPr>
            </w:pPr>
            <w:r>
              <w:rPr>
                <w:rFonts w:ascii="Arial" w:cs="Arial" w:eastAsia="Arial" w:hAnsi="Arial"/>
                <w:sz w:val="18"/>
                <w:szCs w:val="18"/>
                <w:color w:val="auto"/>
              </w:rPr>
              <w:t>$ 16.47</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$20.71</w:t>
            </w:r>
          </w:p>
        </w:tc>
        <w:tc>
          <w:tcPr>
            <w:tcW w:w="9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$18.04</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$ 16.25</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$21.00</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$18.09</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Year ended December 31, 2019</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$ 16.34</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$20.99</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$18.44</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Second Quarter</w:t>
            </w:r>
          </w:p>
        </w:tc>
        <w:tc>
          <w:tcPr>
            <w:tcW w:w="2540" w:type="dxa"/>
            <w:vAlign w:val="bottom"/>
            <w:gridSpan w:val="3"/>
          </w:tcPr>
          <w:p>
            <w:pPr>
              <w:jc w:val="right"/>
              <w:ind w:right="280"/>
              <w:spacing w:after="0"/>
              <w:rPr>
                <w:sz w:val="20"/>
                <w:szCs w:val="20"/>
                <w:color w:val="auto"/>
              </w:rPr>
            </w:pPr>
            <w:r>
              <w:rPr>
                <w:rFonts w:ascii="Arial" w:cs="Arial" w:eastAsia="Arial" w:hAnsi="Arial"/>
                <w:sz w:val="18"/>
                <w:szCs w:val="18"/>
                <w:color w:val="auto"/>
              </w:rPr>
              <w:t>$ 16.68</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$20.29</w:t>
            </w:r>
          </w:p>
        </w:tc>
        <w:tc>
          <w:tcPr>
            <w:tcW w:w="9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$19.49</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$ 16.72</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$21.01</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$19.36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Fourth Quarter</w:t>
            </w:r>
          </w:p>
        </w:tc>
        <w:tc>
          <w:tcPr>
            <w:tcW w:w="2540" w:type="dxa"/>
            <w:vAlign w:val="bottom"/>
            <w:gridSpan w:val="3"/>
          </w:tcPr>
          <w:p>
            <w:pPr>
              <w:jc w:val="right"/>
              <w:ind w:right="280"/>
              <w:spacing w:after="0"/>
              <w:rPr>
                <w:sz w:val="20"/>
                <w:szCs w:val="20"/>
                <w:color w:val="auto"/>
              </w:rPr>
            </w:pPr>
            <w:r>
              <w:rPr>
                <w:rFonts w:ascii="Arial" w:cs="Arial" w:eastAsia="Arial" w:hAnsi="Arial"/>
                <w:sz w:val="18"/>
                <w:szCs w:val="18"/>
                <w:color w:val="auto"/>
              </w:rPr>
              <w:t>$ 16.83</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$21.83</w:t>
            </w:r>
          </w:p>
        </w:tc>
        <w:tc>
          <w:tcPr>
            <w:tcW w:w="9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$20.01</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29.7%</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First Quarter</w:t>
            </w:r>
          </w:p>
        </w:tc>
        <w:tc>
          <w:tcPr>
            <w:tcW w:w="2540" w:type="dxa"/>
            <w:vAlign w:val="bottom"/>
            <w:gridSpan w:val="3"/>
          </w:tcPr>
          <w:p>
            <w:pPr>
              <w:jc w:val="right"/>
              <w:ind w:right="280"/>
              <w:spacing w:after="0"/>
              <w:rPr>
                <w:sz w:val="20"/>
                <w:szCs w:val="20"/>
                <w:color w:val="auto"/>
              </w:rPr>
            </w:pPr>
            <w:r>
              <w:rPr>
                <w:rFonts w:ascii="Arial" w:cs="Arial" w:eastAsia="Arial" w:hAnsi="Arial"/>
                <w:sz w:val="18"/>
                <w:szCs w:val="18"/>
                <w:color w:val="auto"/>
              </w:rPr>
              <w:t>$ 15.57</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$23.28</w:t>
            </w:r>
          </w:p>
        </w:tc>
        <w:tc>
          <w:tcPr>
            <w:tcW w:w="9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$11.30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49.5%</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$ 16.08</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$19.51</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$12.57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Third Quarter</w:t>
            </w:r>
          </w:p>
        </w:tc>
        <w:tc>
          <w:tcPr>
            <w:tcW w:w="2540" w:type="dxa"/>
            <w:vAlign w:val="bottom"/>
            <w:gridSpan w:val="3"/>
          </w:tcPr>
          <w:p>
            <w:pPr>
              <w:jc w:val="right"/>
              <w:ind w:right="280"/>
              <w:spacing w:after="0"/>
              <w:rPr>
                <w:sz w:val="20"/>
                <w:szCs w:val="20"/>
                <w:color w:val="auto"/>
              </w:rPr>
            </w:pPr>
            <w:r>
              <w:rPr>
                <w:rFonts w:ascii="Arial" w:cs="Arial" w:eastAsia="Arial" w:hAnsi="Arial"/>
                <w:sz w:val="18"/>
                <w:szCs w:val="18"/>
                <w:color w:val="auto"/>
              </w:rPr>
              <w:t>$ 16.87</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$18.48</w:t>
            </w:r>
          </w:p>
        </w:tc>
        <w:tc>
          <w:tcPr>
            <w:tcW w:w="9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$15.68</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$ 17.16</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$21.24</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$16.31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Year ended December 31, 2021</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$22.76</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$20.46</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5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divided by NAV (in each case, as of the applicable quarter). Does not reflect intraday trading prices.</w:t>
      </w: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540" w:right="360" w:hanging="424"/>
        <w:spacing w:after="0" w:line="290"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NAV has not yet been calculated for this period. NAV for the first quarter of 2021 will be available with the filing of the Company’s Quarterly Report on Form 10-Q for such quarter, which the Company estimates will be filed on or about May 4, 2021.</w:t>
      </w:r>
    </w:p>
    <w:p>
      <w:pPr>
        <w:spacing w:after="0" w:line="16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Stockholder Considerations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Dilution</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 xml:space="preserve">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Arial" w:cs="Arial" w:eastAsia="Arial" w:hAnsi="Arial"/>
          <w:sz w:val="17"/>
          <w:szCs w:val="17"/>
          <w:b w:val="1"/>
          <w:bCs w:val="1"/>
          <w:color w:val="auto"/>
        </w:rPr>
        <w:t>There will be no limit on the percentage below net asset value per share at which shares may be sold by</w:t>
      </w:r>
      <w:r>
        <w:rPr>
          <w:rFonts w:ascii="Arial" w:cs="Arial" w:eastAsia="Arial" w:hAnsi="Arial"/>
          <w:sz w:val="17"/>
          <w:szCs w:val="17"/>
          <w:color w:val="auto"/>
        </w:rPr>
        <w:t xml:space="preserve"> </w:t>
      </w:r>
      <w:r>
        <w:rPr>
          <w:rFonts w:ascii="Arial" w:cs="Arial" w:eastAsia="Arial" w:hAnsi="Arial"/>
          <w:sz w:val="17"/>
          <w:szCs w:val="17"/>
          <w:b w:val="1"/>
          <w:bCs w:val="1"/>
          <w:color w:val="auto"/>
        </w:rPr>
        <w:t>the Company or number of offerings, each for up to 25% of the Company’s then-outstanding common stock, that the Company may conduct under this proposal for the one-year period that authorization is granted</w:t>
      </w:r>
      <w:r>
        <w:rPr>
          <w:rFonts w:ascii="Arial" w:cs="Arial" w:eastAsia="Arial" w:hAnsi="Arial"/>
          <w:sz w:val="17"/>
          <w:szCs w:val="17"/>
          <w:color w:val="auto"/>
        </w:rPr>
        <w:t>.</w:t>
      </w:r>
    </w:p>
    <w:p>
      <w:pPr>
        <w:spacing w:after="0" w:line="17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9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9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two headings and accompanying tables explain and provide hypothetical examples on the impact of a public offering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common stock at a price less than NAV on two different types of investors:</w:t>
      </w:r>
    </w:p>
    <w:p>
      <w:pPr>
        <w:spacing w:after="0" w:line="11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w:t>
      </w:r>
    </w:p>
    <w:p>
      <w:pPr>
        <w:spacing w:after="0" w:line="24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84"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The example assumes that the issuer has 67.7 million shares outstanding, $2.3 billion in total assets and $1.2 billion in total liabilities (all figures correspond to actual data for the Company as of December 31, 2020). The net asset value and NAV per share are thus $1.2 billion and $17.16 per share as of December 31, 2020. The chart illustrates the dilutive effect on Stockholder A of (a) an offering of 3.4 million shares of common stock (5% of the outstanding shares) at $16.30 per share after offering expenses and commissions (a 5% discount from NAV per share), (b) an offering of 6.8 million shares of common stock (10% of the outstanding shares) at $15.44 per share after offering expenses and commissions (a 10% discount from NAV per share), (c) an offering of 13.5 million shares of common stock (20% of the outstanding shares) at $13.73 per share after offering expenses and commissions (a 20% discount from NAV per share), and (d) an offering of 16.9 million shares of common stock (25% of the outstanding shares) at $12.87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Example 2</w:t>
            </w:r>
          </w:p>
        </w:tc>
        <w:tc>
          <w:tcPr>
            <w:tcW w:w="8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5%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10%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20%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Prior to</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5%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10% Discount</w:t>
            </w:r>
          </w:p>
        </w:tc>
        <w:tc>
          <w:tcPr>
            <w:tcW w:w="8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06"/>
        </w:trPr>
        <w:tc>
          <w:tcPr>
            <w:tcW w:w="2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2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980" w:type="dxa"/>
            <w:vAlign w:val="bottom"/>
            <w:tcBorders>
              <w:top w:val="single" w:sz="8" w:color="auto"/>
            </w:tcBorders>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Sale Below</w:t>
            </w: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NAV</w:t>
            </w: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9"/>
        </w:trPr>
        <w:tc>
          <w:tcPr>
            <w:tcW w:w="2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17.16</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16.26</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14.45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13.55</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16.30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15.44</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13.73</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12.87</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Offered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3,384,210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6,768,421</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13,536,842</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16,921,052</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67,684,209</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71,068,419</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74,452,630</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81,221,051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84,605,261</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17.16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17.12</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(0.92%)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16.59</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16.30</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67,684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67,684</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67,684</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67,684</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67,684</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0.09%</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(9.09%)</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Total Net Asset Value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1,161,315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1,158,553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1,150,766</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(0.91%)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1,122,620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1,103,268</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w w:val="98"/>
              </w:rPr>
              <w:t>Total Investment by Stockholder A (Assumed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to be $17.16 per Share)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1,161,315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1,161,315</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1,161,315</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1,161,315</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1,161,315</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Dilution to Stockholder A (Total Net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Value Less Total Investment)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(2,762)</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(10,549)</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(38,694)</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(58,047)</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w w:val="99"/>
              </w:rPr>
              <w:t>Investment per Share Held by Stockholder A</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40"/>
              <w:spacing w:after="0" w:line="149" w:lineRule="exact"/>
              <w:rPr>
                <w:sz w:val="20"/>
                <w:szCs w:val="20"/>
                <w:color w:val="auto"/>
              </w:rPr>
            </w:pPr>
            <w:r>
              <w:rPr>
                <w:rFonts w:ascii="Arial" w:cs="Arial" w:eastAsia="Arial" w:hAnsi="Arial"/>
                <w:sz w:val="14"/>
                <w:szCs w:val="14"/>
                <w:color w:val="auto"/>
              </w:rPr>
              <w:t>(Assumed to be $17.16 per Share 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Shares Held Prior to 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17.16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17.16</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17.16</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17.16</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17.16</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Asset Value per Share Held by</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Stockholder A</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17.12</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17.00</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16.59</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16.30</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rPr>
              <w:t>Dilution per Share Held by Stockholder A</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40"/>
              <w:spacing w:after="0" w:line="149" w:lineRule="exact"/>
              <w:rPr>
                <w:sz w:val="20"/>
                <w:szCs w:val="20"/>
                <w:color w:val="auto"/>
              </w:rPr>
            </w:pPr>
            <w:r>
              <w:rPr>
                <w:rFonts w:ascii="Arial" w:cs="Arial" w:eastAsia="Arial" w:hAnsi="Arial"/>
                <w:sz w:val="14"/>
                <w:szCs w:val="14"/>
                <w:color w:val="auto"/>
              </w:rPr>
              <w:t>(Net Asset Value per Share Less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(0.04)</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(0.16)</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(0.57)</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(0.86)</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Percentage Dilution to Stockholder A</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(Dilution per Share Divided by Investment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(0.92%)</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13.5 million shares) rather than its 0.10% proportionate share and (b) 150% of such percentage (i.e., 0.15% of an offering of 13.5 million shares) rather than its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2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9"/>
              </w:rPr>
              <w:t>Prior to Sale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Following Sale</w:t>
            </w:r>
          </w:p>
        </w:tc>
        <w:tc>
          <w:tcPr>
            <w:tcW w:w="46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Following Sale</w:t>
            </w:r>
          </w:p>
        </w:tc>
        <w:tc>
          <w:tcPr>
            <w:tcW w:w="4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Below NAV</w:t>
            </w:r>
          </w:p>
        </w:tc>
        <w:tc>
          <w:tcPr>
            <w:tcW w:w="1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14.45</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14.45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Offered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13,536,842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13,536,842</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Total Shares Outstanding</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67,684,209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81,221,051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81,221,051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98"/>
        </w:trPr>
        <w:tc>
          <w:tcPr>
            <w:tcW w:w="4880" w:type="dxa"/>
            <w:vAlign w:val="bottom"/>
          </w:tcPr>
          <w:p>
            <w:pPr>
              <w:spacing w:after="0" w:line="198" w:lineRule="exact"/>
              <w:rPr>
                <w:sz w:val="20"/>
                <w:szCs w:val="20"/>
                <w:color w:val="auto"/>
              </w:rPr>
            </w:pPr>
            <w:r>
              <w:rPr>
                <w:rFonts w:ascii="Arial" w:cs="Arial" w:eastAsia="Arial" w:hAnsi="Arial"/>
                <w:sz w:val="18"/>
                <w:szCs w:val="18"/>
                <w:b w:val="1"/>
                <w:bCs w:val="1"/>
                <w:color w:val="auto"/>
              </w:rPr>
              <w:t>Dilution/Accretion to Participating Stockholder Shares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80"/>
              <w:spacing w:after="0"/>
              <w:rPr>
                <w:sz w:val="20"/>
                <w:szCs w:val="20"/>
                <w:color w:val="auto"/>
              </w:rPr>
            </w:pPr>
            <w:r>
              <w:rPr>
                <w:rFonts w:ascii="Arial" w:cs="Arial" w:eastAsia="Arial" w:hAnsi="Arial"/>
                <w:sz w:val="18"/>
                <w:szCs w:val="18"/>
                <w:b w:val="1"/>
                <w:bCs w:val="1"/>
                <w:color w:val="auto"/>
              </w:rPr>
              <w:t>Held by Stockholder 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74,452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87,989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Percentage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0.09%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0.11%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 Value Held by Stockholder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1,161,315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1,234,883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1,459,407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25.67%</w:t>
            </w: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Total Investment by Stockholder A (Assumed to be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$17.16 per Share on Shares Held Prior to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1,161,315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1,259,122</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1,454,737</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Dilution/Accretion to Stockholder A (Total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Asset Value Less Total Investment)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(24,239)</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4,671</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Investment per Share Held by Stockholder A (Assumed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to be $17.16 per Share on Shares Held Prior to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17.16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16.91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16.53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 Value per Share Held by Stockholder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16.59</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Dilution/Accretion per Share Held by Stockholder A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Asset Value per Share Less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(0.33)</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Percentage Dilution/Accretion to Stockholder A (Dilution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per Share Divided by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Underwritten Offerings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Consideration of Potential Conflicts of Interest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Sixth Street Specialty Lending Advisers, as such fees are based on the amount of the Company’s gross assets, and considered the effect of the following factors:</w:t>
      </w:r>
    </w:p>
    <w:p>
      <w:pPr>
        <w:spacing w:after="0" w:line="92" w:lineRule="exact"/>
        <w:rPr>
          <w:sz w:val="20"/>
          <w:szCs w:val="20"/>
          <w:color w:val="auto"/>
        </w:rPr>
      </w:pPr>
    </w:p>
    <w:p>
      <w:pPr>
        <w:ind w:left="1080" w:right="2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268"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BUSINESS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STOCKHOLDER PROPOSALS AND NOMINATIONS FOR THE 2022 ANNUAL MEETING OF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2022 annual meeting of stockholders pursuant to Rule 14a-8 of the SEC’s rules must be received by us at our principal executive offices no later than December 14, 2021.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Ian Simmonds, Sixth Street Specialty Lending, Inc., 2100 McKinney Avenue, Suite 1500, Dallas, TX 75201.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2022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Our Bylaws require that the proposal or recommendation for nomination must be received by our Secretary at our principal executive offices at the above address no later than February 25, 2022, unless the date of our 2022 annual meeting is more than 30 days before or more than 60 days after May 26, 2022, the anniversary of our 2021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2020 to any stockholder upon request. Requests should be directed to the Secretary of the Company, Ian Simmonds, Sixth Street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or by emailing us at IRTSLX@sixthstreet.com.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888 7</w:t>
      </w:r>
      <w:r>
        <w:rPr>
          <w:rFonts w:ascii="Arial" w:cs="Arial" w:eastAsia="Arial" w:hAnsi="Arial"/>
          <w:sz w:val="14"/>
          <w:szCs w:val="14"/>
          <w:color w:val="auto"/>
        </w:rPr>
        <w:t>th</w:t>
      </w:r>
      <w:r>
        <w:rPr>
          <w:rFonts w:ascii="Arial" w:cs="Arial" w:eastAsia="Arial" w:hAnsi="Arial"/>
          <w:sz w:val="17"/>
          <w:szCs w:val="17"/>
          <w:color w:val="auto"/>
        </w:rPr>
        <w:t xml:space="preserve"> Avenue, 35</w:t>
      </w:r>
      <w:r>
        <w:rPr>
          <w:rFonts w:ascii="Arial" w:cs="Arial" w:eastAsia="Arial" w:hAnsi="Arial"/>
          <w:sz w:val="14"/>
          <w:szCs w:val="14"/>
          <w:color w:val="auto"/>
        </w:rPr>
        <w:t>th</w:t>
      </w:r>
      <w:r>
        <w:rPr>
          <w:rFonts w:ascii="Arial" w:cs="Arial" w:eastAsia="Arial" w:hAnsi="Arial"/>
          <w:sz w:val="17"/>
          <w:szCs w:val="17"/>
          <w:color w:val="auto"/>
        </w:rPr>
        <w:t xml:space="preserve"> Floor, New York, NY 10106, Attention: TSLX Investor Relations, by email at IRTSLX@sixthstreet.com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81"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WHETHER OR NOT YOU PLAN TO ATTEND THE MEETING VIRTUALLY,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Chief Financial Officer, Chief Compliance Officer and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320" w:top="459" w:right="5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1637030" cy="488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7030" cy="4889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8"/>
          <w:szCs w:val="8"/>
          <w:i w:val="1"/>
          <w:iCs w:val="1"/>
          <w:color w:val="auto"/>
        </w:rPr>
        <w:t>SIXTH STREET SPECIALTY LENDING, INC.</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9"/>
          <w:szCs w:val="9"/>
          <w:i w:val="1"/>
          <w:iCs w:val="1"/>
          <w:color w:val="auto"/>
        </w:rPr>
        <w:t>2100 MCKINNEY AVENUE, SUITE 1500</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9"/>
          <w:szCs w:val="9"/>
          <w:i w:val="1"/>
          <w:iCs w:val="1"/>
          <w:color w:val="auto"/>
        </w:rPr>
        <w:t>DALLAS, TX 75201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INTERNET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Before The Meeting - </w:t>
      </w:r>
      <w:r>
        <w:rPr>
          <w:rFonts w:ascii="Arial" w:cs="Arial" w:eastAsia="Arial" w:hAnsi="Arial"/>
          <w:sz w:val="13"/>
          <w:szCs w:val="13"/>
          <w:color w:val="auto"/>
        </w:rPr>
        <w:t>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www.proxyvote.com</w:t>
      </w:r>
    </w:p>
    <w:p>
      <w:pPr>
        <w:spacing w:after="0" w:line="94" w:lineRule="exact"/>
        <w:rPr>
          <w:sz w:val="20"/>
          <w:szCs w:val="20"/>
          <w:color w:val="auto"/>
        </w:rPr>
      </w:pPr>
    </w:p>
    <w:p>
      <w:pPr>
        <w:jc w:val="both"/>
        <w:ind w:right="980"/>
        <w:spacing w:after="0" w:line="242"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on May 25, 2021. Have your proxy card in hand when you access the web site and follow the instructions to obtain your records and to create an electronic voting instruction form.</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During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www.virtualshareholdermeeting.com/TSLX2021</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You may attend the meeting via the Internet and vote during the meeting. Have</w:t>
      </w:r>
    </w:p>
    <w:p>
      <w:pPr>
        <w:spacing w:after="0" w:line="216" w:lineRule="auto"/>
        <w:rPr>
          <w:sz w:val="20"/>
          <w:szCs w:val="20"/>
          <w:color w:val="auto"/>
        </w:rPr>
      </w:pPr>
      <w:r>
        <w:rPr>
          <w:rFonts w:ascii="Arial" w:cs="Arial" w:eastAsia="Arial" w:hAnsi="Arial"/>
          <w:sz w:val="13"/>
          <w:szCs w:val="13"/>
          <w:color w:val="auto"/>
        </w:rPr>
        <w:t>the information that is printed in the box marked by the arrow available and</w:t>
      </w:r>
    </w:p>
    <w:p>
      <w:pPr>
        <w:spacing w:after="0"/>
        <w:rPr>
          <w:sz w:val="20"/>
          <w:szCs w:val="20"/>
          <w:color w:val="auto"/>
        </w:rPr>
      </w:pPr>
      <w:r>
        <w:rPr>
          <w:rFonts w:ascii="Arial" w:cs="Arial" w:eastAsia="Arial" w:hAnsi="Arial"/>
          <w:sz w:val="13"/>
          <w:szCs w:val="13"/>
          <w:color w:val="auto"/>
        </w:rPr>
        <w:t>follow the instructions.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19" w:lineRule="auto"/>
        <w:rPr>
          <w:sz w:val="20"/>
          <w:szCs w:val="20"/>
          <w:color w:val="auto"/>
        </w:rPr>
      </w:pPr>
      <w:r>
        <w:rPr>
          <w:rFonts w:ascii="Arial" w:cs="Arial" w:eastAsia="Arial" w:hAnsi="Arial"/>
          <w:sz w:val="13"/>
          <w:szCs w:val="13"/>
          <w:color w:val="auto"/>
        </w:rPr>
        <w:t>Use any touch-tone telephone to transmit your voting instructions up until</w:t>
      </w:r>
    </w:p>
    <w:p>
      <w:pPr>
        <w:spacing w:after="0" w:line="234" w:lineRule="auto"/>
        <w:rPr>
          <w:sz w:val="20"/>
          <w:szCs w:val="20"/>
          <w:color w:val="auto"/>
        </w:rPr>
      </w:pPr>
      <w:r>
        <w:rPr>
          <w:rFonts w:ascii="Arial" w:cs="Arial" w:eastAsia="Arial" w:hAnsi="Arial"/>
          <w:sz w:val="12"/>
          <w:szCs w:val="12"/>
          <w:color w:val="auto"/>
        </w:rPr>
        <w:t>11:59 p.m. Eastern Time on May 25, 2021. Have your proxy card in hand when</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you call and then follow the instructions.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37" w:lineRule="auto"/>
        <w:rPr>
          <w:sz w:val="20"/>
          <w:szCs w:val="20"/>
          <w:color w:val="auto"/>
        </w:rPr>
      </w:pPr>
      <w:r>
        <w:rPr>
          <w:rFonts w:ascii="Arial" w:cs="Arial" w:eastAsia="Arial" w:hAnsi="Arial"/>
          <w:sz w:val="12"/>
          <w:szCs w:val="12"/>
          <w:color w:val="auto"/>
        </w:rPr>
        <w:t>Mark, sign and date your proxy card and return it in the postage-paid envelope</w:t>
      </w:r>
    </w:p>
    <w:p>
      <w:pPr>
        <w:spacing w:after="0" w:line="235" w:lineRule="auto"/>
        <w:rPr>
          <w:sz w:val="20"/>
          <w:szCs w:val="20"/>
          <w:color w:val="auto"/>
        </w:rPr>
      </w:pPr>
      <w:r>
        <w:rPr>
          <w:rFonts w:ascii="Arial" w:cs="Arial" w:eastAsia="Arial" w:hAnsi="Arial"/>
          <w:sz w:val="12"/>
          <w:szCs w:val="12"/>
          <w:color w:val="auto"/>
        </w:rPr>
        <w:t>we have provided or return it to Vote Processing, c/o Broadridge, 51 Mercedes</w:t>
      </w:r>
    </w:p>
    <w:p>
      <w:pPr>
        <w:spacing w:after="0"/>
        <w:rPr>
          <w:sz w:val="20"/>
          <w:szCs w:val="20"/>
          <w:color w:val="auto"/>
        </w:rPr>
      </w:pPr>
      <w:r>
        <w:rPr>
          <w:rFonts w:ascii="Arial" w:cs="Arial" w:eastAsia="Arial" w:hAnsi="Arial"/>
          <w:sz w:val="13"/>
          <w:szCs w:val="13"/>
          <w:color w:val="auto"/>
        </w:rPr>
        <w:t>Way, Edgewood, NY 11717.</w:t>
      </w:r>
    </w:p>
    <w:p>
      <w:pPr>
        <w:spacing w:after="0" w:line="200" w:lineRule="exact"/>
        <w:rPr>
          <w:sz w:val="20"/>
          <w:szCs w:val="20"/>
          <w:color w:val="auto"/>
        </w:rPr>
      </w:pPr>
    </w:p>
    <w:p>
      <w:pPr>
        <w:sectPr>
          <w:pgSz w:w="11900" w:h="16838" w:orient="portrait"/>
          <w:cols w:equalWidth="0" w:num="2">
            <w:col w:w="5020" w:space="720"/>
            <w:col w:w="54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17" w:lineRule="exact"/>
        <w:rPr>
          <w:sz w:val="20"/>
          <w:szCs w:val="20"/>
          <w:color w:val="auto"/>
        </w:rPr>
      </w:pPr>
    </w:p>
    <w:p>
      <w:pPr>
        <w:ind w:left="6020"/>
        <w:spacing w:after="0"/>
        <w:tabs>
          <w:tab w:leader="none" w:pos="8480" w:val="left"/>
        </w:tabs>
        <w:rPr>
          <w:sz w:val="20"/>
          <w:szCs w:val="20"/>
          <w:color w:val="auto"/>
        </w:rPr>
      </w:pPr>
      <w:r>
        <w:rPr>
          <w:rFonts w:ascii="Arial" w:cs="Arial" w:eastAsia="Arial" w:hAnsi="Arial"/>
          <w:sz w:val="13"/>
          <w:szCs w:val="13"/>
          <w:color w:val="auto"/>
        </w:rPr>
        <w:t>D43057-Z79064</w:t>
      </w:r>
      <w:r>
        <w:rPr>
          <w:sz w:val="20"/>
          <w:szCs w:val="20"/>
          <w:color w:val="auto"/>
        </w:rPr>
        <w:tab/>
      </w:r>
      <w:r>
        <w:rPr>
          <w:rFonts w:ascii="Arial" w:cs="Arial" w:eastAsia="Arial" w:hAnsi="Arial"/>
          <w:sz w:val="12"/>
          <w:szCs w:val="12"/>
          <w:color w:val="auto"/>
        </w:rPr>
        <w:t>KEEP THIS PORTION FOR YOUR RECORDS</w:t>
      </w:r>
    </w:p>
    <w:p>
      <w:pPr>
        <w:jc w:val="center"/>
        <w:ind w:left="180" w:right="160"/>
        <w:spacing w:after="0"/>
        <w:rPr>
          <w:sz w:val="20"/>
          <w:szCs w:val="20"/>
          <w:color w:val="auto"/>
        </w:rPr>
      </w:pPr>
      <w:r>
        <w:rPr>
          <w:rFonts w:ascii="Arial" w:cs="Arial" w:eastAsia="Arial" w:hAnsi="Arial"/>
          <w:sz w:val="18"/>
          <w:szCs w:val="18"/>
          <w:color w:val="auto"/>
        </w:rPr>
        <w:t>— — — — — — — —  — — — — — — — — — — — — — —  — — — — — — — — — — — — — — — — — —</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jc w:val="center"/>
        <w:ind w:right="-9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4525" cy="40030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4525" cy="4003040"/>
                    </a:xfrm>
                    <a:prstGeom prst="rect">
                      <a:avLst/>
                    </a:prstGeom>
                    <a:noFill/>
                  </pic:spPr>
                </pic:pic>
              </a:graphicData>
            </a:graphic>
          </wp:anchor>
        </w:drawing>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SIXTH STREET SPECIALTY LENDING, INC.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tabs>
          <w:tab w:leader="none" w:pos="9340" w:val="left"/>
          <w:tab w:leader="none" w:pos="9660" w:val="left"/>
          <w:tab w:leader="none" w:pos="10260" w:val="left"/>
        </w:tabs>
        <w:rPr>
          <w:sz w:val="20"/>
          <w:szCs w:val="20"/>
          <w:color w:val="auto"/>
        </w:rPr>
      </w:pPr>
      <w:r>
        <w:rPr>
          <w:rFonts w:ascii="Arial" w:cs="Arial" w:eastAsia="Arial" w:hAnsi="Arial"/>
          <w:sz w:val="14"/>
          <w:szCs w:val="14"/>
          <w:b w:val="1"/>
          <w:bCs w:val="1"/>
          <w:color w:val="auto"/>
        </w:rPr>
        <w:t>The Board of Directors recommends you vote FOR the following proposal:</w:t>
      </w:r>
      <w:r>
        <w:rPr>
          <w:sz w:val="20"/>
          <w:szCs w:val="20"/>
          <w:color w:val="auto"/>
        </w:rPr>
        <w:tab/>
      </w:r>
      <w:r>
        <w:rPr>
          <w:rFonts w:ascii="Arial" w:cs="Arial" w:eastAsia="Arial" w:hAnsi="Arial"/>
          <w:sz w:val="25"/>
          <w:szCs w:val="25"/>
          <w:b w:val="1"/>
          <w:bCs w:val="1"/>
          <w:color w:val="auto"/>
          <w:vertAlign w:val="superscript"/>
        </w:rPr>
        <w:t>For</w:t>
      </w:r>
      <w:r>
        <w:rPr>
          <w:rFonts w:ascii="Arial" w:cs="Arial" w:eastAsia="Arial" w:hAnsi="Arial"/>
          <w:sz w:val="25"/>
          <w:szCs w:val="25"/>
          <w:b w:val="1"/>
          <w:bCs w:val="1"/>
          <w:color w:val="auto"/>
        </w:rPr>
        <w:tab/>
      </w:r>
      <w:r>
        <w:rPr>
          <w:rFonts w:ascii="Arial" w:cs="Arial" w:eastAsia="Arial" w:hAnsi="Arial"/>
          <w:sz w:val="25"/>
          <w:szCs w:val="25"/>
          <w:b w:val="1"/>
          <w:bCs w:val="1"/>
          <w:color w:val="auto"/>
          <w:vertAlign w:val="superscript"/>
        </w:rPr>
        <w:t>Against</w:t>
      </w:r>
      <w:r>
        <w:rPr>
          <w:sz w:val="20"/>
          <w:szCs w:val="20"/>
          <w:color w:val="auto"/>
        </w:rPr>
        <w:tab/>
      </w:r>
      <w:r>
        <w:rPr>
          <w:rFonts w:ascii="Arial" w:cs="Arial" w:eastAsia="Arial" w:hAnsi="Arial"/>
          <w:sz w:val="18"/>
          <w:szCs w:val="18"/>
          <w:b w:val="1"/>
          <w:bCs w:val="1"/>
          <w:color w:val="auto"/>
          <w:vertAlign w:val="superscript"/>
        </w:rPr>
        <w:t>Abstain</w:t>
      </w:r>
    </w:p>
    <w:p>
      <w:pPr>
        <w:spacing w:after="0" w:line="117" w:lineRule="exact"/>
        <w:rPr>
          <w:sz w:val="20"/>
          <w:szCs w:val="20"/>
          <w:color w:val="auto"/>
        </w:rPr>
      </w:pPr>
    </w:p>
    <w:p>
      <w:pPr>
        <w:jc w:val="both"/>
        <w:ind w:left="940" w:right="2100" w:hanging="287"/>
        <w:spacing w:after="0" w:line="249" w:lineRule="auto"/>
        <w:tabs>
          <w:tab w:leader="none" w:pos="920" w:val="left"/>
        </w:tabs>
        <w:rPr>
          <w:sz w:val="20"/>
          <w:szCs w:val="20"/>
          <w:color w:val="auto"/>
        </w:rPr>
      </w:pPr>
      <w:r>
        <w:rPr>
          <w:rFonts w:ascii="Arial" w:cs="Arial" w:eastAsia="Arial" w:hAnsi="Arial"/>
          <w:sz w:val="14"/>
          <w:szCs w:val="14"/>
          <w:color w:val="auto"/>
        </w:rPr>
        <w:t>1.</w:t>
        <w:tab/>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0" w:lineRule="exact"/>
        <w:rPr>
          <w:sz w:val="20"/>
          <w:szCs w:val="20"/>
          <w:color w:val="auto"/>
        </w:rPr>
      </w:pPr>
    </w:p>
    <w:p>
      <w:pPr>
        <w:spacing w:after="0" w:line="334" w:lineRule="exact"/>
        <w:rPr>
          <w:sz w:val="20"/>
          <w:szCs w:val="20"/>
          <w:color w:val="auto"/>
        </w:rPr>
      </w:pPr>
    </w:p>
    <w:p>
      <w:pPr>
        <w:jc w:val="both"/>
        <w:ind w:left="660" w:right="2120"/>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named proxies are also authorized to transact such other business as may properly come before the Special Meeting</w:t>
      </w:r>
      <w:r>
        <w:rPr>
          <w:rFonts w:ascii="Arial" w:cs="Arial" w:eastAsia="Arial" w:hAnsi="Arial"/>
          <w:sz w:val="14"/>
          <w:szCs w:val="14"/>
          <w:b w:val="1"/>
          <w:bCs w:val="1"/>
          <w:color w:val="auto"/>
        </w:rPr>
        <w:t xml:space="preserve"> </w:t>
      </w:r>
      <w:r>
        <w:rPr>
          <w:rFonts w:ascii="Arial" w:cs="Arial" w:eastAsia="Arial" w:hAnsi="Arial"/>
          <w:sz w:val="14"/>
          <w:szCs w:val="14"/>
          <w:color w:val="auto"/>
        </w:rPr>
        <w:t>of Stockholders or any 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Please sign exactly as your name(s) appear(s) hereon. When signing as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attorney, executor, administrator, or other fiduciary, please give full title as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such. Joint owners should each sign personally. All holders must sign. If a</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corporation or partnership, please sign in full corporate or partnership</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name by authorized officer.</w:t>
      </w:r>
    </w:p>
    <w:p>
      <w:pPr>
        <w:spacing w:after="0" w:line="200" w:lineRule="exact"/>
        <w:rPr>
          <w:sz w:val="20"/>
          <w:szCs w:val="20"/>
          <w:color w:val="auto"/>
        </w:rPr>
      </w:pPr>
    </w:p>
    <w:p>
      <w:pPr>
        <w:spacing w:after="0" w:line="356" w:lineRule="exact"/>
        <w:rPr>
          <w:sz w:val="20"/>
          <w:szCs w:val="20"/>
          <w:color w:val="auto"/>
        </w:rPr>
      </w:pPr>
    </w:p>
    <w:p>
      <w:pPr>
        <w:ind w:left="700"/>
        <w:spacing w:after="0"/>
        <w:tabs>
          <w:tab w:leader="none" w:pos="3060" w:val="left"/>
          <w:tab w:leader="none" w:pos="5820" w:val="left"/>
          <w:tab w:leader="none" w:pos="8200" w:val="left"/>
        </w:tabs>
        <w:rPr>
          <w:sz w:val="20"/>
          <w:szCs w:val="20"/>
          <w:color w:val="auto"/>
        </w:rPr>
      </w:pPr>
      <w:r>
        <w:rPr>
          <w:rFonts w:ascii="Arial" w:cs="Arial" w:eastAsia="Arial" w:hAnsi="Arial"/>
          <w:sz w:val="13"/>
          <w:szCs w:val="13"/>
          <w:color w:val="auto"/>
        </w:rPr>
        <w:t>Signature [PLEASE SIGN WITHIN</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ind w:left="700"/>
        <w:spacing w:after="0"/>
        <w:rPr>
          <w:sz w:val="20"/>
          <w:szCs w:val="20"/>
          <w:color w:val="auto"/>
        </w:rPr>
      </w:pPr>
      <w:r>
        <w:rPr>
          <w:rFonts w:ascii="Arial" w:cs="Arial" w:eastAsia="Arial" w:hAnsi="Arial"/>
          <w:sz w:val="13"/>
          <w:szCs w:val="13"/>
          <w:color w:val="auto"/>
        </w:rPr>
        <w:t>BOX]</w:t>
      </w:r>
    </w:p>
    <w:p>
      <w:pPr>
        <w:sectPr>
          <w:pgSz w:w="11900" w:h="16838" w:orient="portrait"/>
          <w:cols w:equalWidth="0" w:num="1">
            <w:col w:w="11140"/>
          </w:cols>
          <w:pgMar w:left="32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1474470</wp:posOffset>
            </wp:positionV>
            <wp:extent cx="4037330" cy="1191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3733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Important Notice Regarding the Availability of Proxy Materials for the Special Meeting:</w:t>
      </w:r>
    </w:p>
    <w:p>
      <w:pPr>
        <w:spacing w:after="0" w:line="18"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Notice and Proxy Statement is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right="680"/>
        <w:spacing w:after="0" w:line="255" w:lineRule="auto"/>
        <w:rPr>
          <w:sz w:val="20"/>
          <w:szCs w:val="20"/>
          <w:color w:val="auto"/>
        </w:rPr>
      </w:pPr>
      <w:r>
        <w:rPr>
          <w:rFonts w:ascii="Arial" w:cs="Arial" w:eastAsia="Arial" w:hAnsi="Arial"/>
          <w:sz w:val="18"/>
          <w:szCs w:val="18"/>
          <w:b w:val="1"/>
          <w:bCs w:val="1"/>
          <w:color w:val="auto"/>
        </w:rPr>
        <w:t>— — — — — — — — — — — — — — — — — — — — — — — — — — — — — — — — — — — — — — — —</w:t>
      </w:r>
    </w:p>
    <w:p>
      <w:pPr>
        <w:spacing w:after="0" w:line="310" w:lineRule="exact"/>
        <w:rPr>
          <w:sz w:val="20"/>
          <w:szCs w:val="20"/>
          <w:color w:val="auto"/>
        </w:rPr>
      </w:pPr>
    </w:p>
    <w:p>
      <w:pPr>
        <w:ind w:left="9940"/>
        <w:spacing w:after="0"/>
        <w:rPr>
          <w:sz w:val="20"/>
          <w:szCs w:val="20"/>
          <w:color w:val="auto"/>
        </w:rPr>
      </w:pPr>
      <w:r>
        <w:rPr>
          <w:rFonts w:ascii="Arial" w:cs="Arial" w:eastAsia="Arial" w:hAnsi="Arial"/>
          <w:sz w:val="13"/>
          <w:szCs w:val="13"/>
          <w:color w:val="auto"/>
        </w:rPr>
        <w:t>D43058-Z79064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4525" cy="3959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4525" cy="3959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SIXTH STREET SPECIALTY LENDING, INC.</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Special Meeting of Stockholders</w:t>
      </w:r>
    </w:p>
    <w:p>
      <w:pPr>
        <w:jc w:val="center"/>
        <w:ind w:right="-379"/>
        <w:spacing w:after="0" w:line="230" w:lineRule="auto"/>
        <w:rPr>
          <w:sz w:val="20"/>
          <w:szCs w:val="20"/>
          <w:color w:val="auto"/>
        </w:rPr>
      </w:pPr>
      <w:r>
        <w:rPr>
          <w:rFonts w:ascii="Arial" w:cs="Arial" w:eastAsia="Arial" w:hAnsi="Arial"/>
          <w:sz w:val="22"/>
          <w:szCs w:val="22"/>
          <w:b w:val="1"/>
          <w:bCs w:val="1"/>
          <w:color w:val="auto"/>
        </w:rPr>
        <w:t>May 26, 2021 1:30 PM EDT</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320" w:lineRule="exact"/>
        <w:rPr>
          <w:sz w:val="20"/>
          <w:szCs w:val="20"/>
          <w:color w:val="auto"/>
        </w:rPr>
      </w:pPr>
    </w:p>
    <w:p>
      <w:pPr>
        <w:jc w:val="both"/>
        <w:ind w:left="480"/>
        <w:spacing w:after="0" w:line="238" w:lineRule="auto"/>
        <w:rPr>
          <w:sz w:val="20"/>
          <w:szCs w:val="20"/>
          <w:color w:val="auto"/>
        </w:rPr>
      </w:pPr>
      <w:r>
        <w:rPr>
          <w:rFonts w:ascii="Arial" w:cs="Arial" w:eastAsia="Arial" w:hAnsi="Arial"/>
          <w:sz w:val="18"/>
          <w:szCs w:val="18"/>
          <w:color w:val="auto"/>
        </w:rPr>
        <w:t>The stockholders hereby appoint Ian Simmonds and Jennifer Gordon, or either of them, as proxies, each with the power to appoint his/her substitute, and hereby authorize them to represent and to vote, as designated on the reverse side of this ballot, all of the shares of common stock of SIXTH STREET SPECIALTY LENDING, INC. that the stockholders are entitled to vote at a Special Meeting of Stockholders to be held virtually at www.virtualshareholdermeeting.com/TSLX2021, at 1:30 PM EDT on May 26, 2021 and any adjournment or postponement thereof.</w:t>
      </w:r>
    </w:p>
    <w:p>
      <w:pPr>
        <w:spacing w:after="0" w:line="180" w:lineRule="exact"/>
        <w:rPr>
          <w:sz w:val="20"/>
          <w:szCs w:val="20"/>
          <w:color w:val="auto"/>
        </w:rPr>
      </w:pPr>
    </w:p>
    <w:p>
      <w:pPr>
        <w:jc w:val="both"/>
        <w:ind w:left="480"/>
        <w:spacing w:after="0" w:line="271"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ectPr>
          <w:pgSz w:w="11900" w:h="16838" w:orient="portrait"/>
          <w:cols w:equalWidth="0" w:num="1">
            <w:col w:w="10880"/>
          </w:cols>
          <w:pgMar w:left="320" w:top="45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Continued and to be signed on reverse side</w:t>
      </w:r>
    </w:p>
    <w:sectPr>
      <w:pgSz w:w="11900" w:h="16838" w:orient="portrait"/>
      <w:cols w:equalWidth="0" w:num="1">
        <w:col w:w="10880"/>
      </w:cols>
      <w:pgMar w:left="320" w:top="459"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lvl w:ilvl="1">
      <w:lvlJc w:val="left"/>
      <w:lvlText w:val="(%2)"/>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2021-04-13T15:09:30Z</dcterms:created>
  <dcterms:modified xsi:type="dcterms:W3CDTF">2021-04-13T15:09:30Z</dcterms:modified>
</cp:coreProperties>
</file>