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0222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7"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MSSB TPG Specialty Lending Onshore</w:t>
        </w:r>
      </w:hyperlink>
      <w:r>
        <w:rPr>
          <w:rFonts w:ascii="Arial" w:cs="Arial" w:eastAsia="Arial" w:hAnsi="Arial"/>
          <w:sz w:val="22"/>
          <w:szCs w:val="22"/>
          <w:u w:val="single" w:color="auto"/>
          <w:color w:val="0000EE"/>
        </w:rPr>
        <w:t xml:space="preserve"> </w:t>
      </w:r>
      <w:hyperlink r:id="rId12">
        <w:r>
          <w:rPr>
            <w:rFonts w:ascii="Arial" w:cs="Arial" w:eastAsia="Arial" w:hAnsi="Arial"/>
            <w:sz w:val="22"/>
            <w:szCs w:val="22"/>
            <w:u w:val="single" w:color="auto"/>
            <w:color w:val="0000EE"/>
          </w:rPr>
          <w:t>Feeder Fund</w:t>
        </w:r>
      </w:hyperlink>
    </w:p>
    <w:p>
      <w:pPr>
        <w:spacing w:after="0" w:line="313"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right="300"/>
        <w:spacing w:after="0" w:line="268" w:lineRule="auto"/>
        <w:rPr>
          <w:sz w:val="20"/>
          <w:szCs w:val="20"/>
          <w:color w:val="auto"/>
        </w:rPr>
      </w:pPr>
      <w:r>
        <w:rPr>
          <w:rFonts w:ascii="Arial" w:cs="Arial" w:eastAsia="Arial" w:hAnsi="Arial"/>
          <w:sz w:val="18"/>
          <w:szCs w:val="18"/>
          <w:color w:val="0000FF"/>
        </w:rPr>
        <w:t>C/O MORGAN STANLEY GWM FEEDER STRATEGIES</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LLC, 522 FIFTH AVENUE, 13TH FLOOR</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080" w:type="dxa"/>
            <w:vAlign w:val="bottom"/>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r>
      <w:tr>
        <w:trPr>
          <w:trHeight w:val="242"/>
        </w:trPr>
        <w:tc>
          <w:tcPr>
            <w:tcW w:w="2080" w:type="dxa"/>
            <w:vAlign w:val="bottom"/>
          </w:tcPr>
          <w:p>
            <w:pPr>
              <w:ind w:left="40"/>
              <w:spacing w:after="0"/>
              <w:rPr>
                <w:sz w:val="20"/>
                <w:szCs w:val="20"/>
                <w:color w:val="auto"/>
              </w:rPr>
            </w:pPr>
            <w:r>
              <w:rPr>
                <w:rFonts w:ascii="Arial" w:cs="Arial" w:eastAsia="Arial" w:hAnsi="Arial"/>
                <w:sz w:val="18"/>
                <w:szCs w:val="18"/>
                <w:color w:val="0000FF"/>
              </w:rPr>
              <w:t>NEW YORKNY</w:t>
            </w:r>
          </w:p>
        </w:tc>
        <w:tc>
          <w:tcPr>
            <w:tcW w:w="940" w:type="dxa"/>
            <w:vAlign w:val="bottom"/>
          </w:tcPr>
          <w:p>
            <w:pPr>
              <w:jc w:val="right"/>
              <w:spacing w:after="0"/>
              <w:rPr>
                <w:sz w:val="20"/>
                <w:szCs w:val="20"/>
                <w:color w:val="auto"/>
              </w:rPr>
            </w:pPr>
            <w:r>
              <w:rPr>
                <w:rFonts w:ascii="Arial" w:cs="Arial" w:eastAsia="Arial" w:hAnsi="Arial"/>
                <w:sz w:val="18"/>
                <w:szCs w:val="18"/>
                <w:color w:val="0000FF"/>
              </w:rPr>
              <w:t>10036</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TPG Specialty Lending,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N/A</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below)</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8"/>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0" w:type="dxa"/>
            <w:vAlign w:val="bottom"/>
            <w:gridSpan w:val="2"/>
            <w:vMerge w:val="continue"/>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560" w:type="dxa"/>
            <w:vAlign w:val="bottom"/>
            <w:gridSpan w:val="3"/>
          </w:tcPr>
          <w:p>
            <w:pPr>
              <w:ind w:left="80"/>
              <w:spacing w:after="0"/>
              <w:rPr>
                <w:sz w:val="20"/>
                <w:szCs w:val="20"/>
                <w:color w:val="auto"/>
              </w:rPr>
            </w:pPr>
            <w:r>
              <w:rPr>
                <w:rFonts w:ascii="Arial" w:cs="Arial" w:eastAsia="Arial" w:hAnsi="Arial"/>
                <w:sz w:val="18"/>
                <w:szCs w:val="18"/>
                <w:color w:val="0000FF"/>
              </w:rPr>
              <w:t>09/13/2013</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253" w:lineRule="exact"/>
        <w:rPr>
          <w:sz w:val="20"/>
          <w:szCs w:val="20"/>
          <w:color w:val="auto"/>
        </w:rPr>
      </w:pPr>
    </w:p>
    <w:p>
      <w:pPr>
        <w:sectPr>
          <w:pgSz w:w="11900" w:h="16838" w:orient="portrait"/>
          <w:cols w:equalWidth="0" w:num="2">
            <w:col w:w="3580" w:space="420"/>
            <w:col w:w="7420"/>
          </w:cols>
          <w:pgMar w:left="240" w:top="226" w:right="239" w:bottom="1440" w:gutter="0" w:footer="0" w:header="0"/>
          <w:type w:val="continuous"/>
        </w:sectPr>
      </w:pPr>
    </w:p>
    <w:p>
      <w:pPr>
        <w:spacing w:after="0" w:line="125"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32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09/13/2013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P</w:t>
            </w: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3,769</w:t>
            </w:r>
            <w:r>
              <w:rPr>
                <w:rFonts w:ascii="Arial" w:cs="Arial" w:eastAsia="Arial" w:hAnsi="Arial"/>
                <w:sz w:val="22"/>
                <w:szCs w:val="22"/>
                <w:color w:val="008000"/>
                <w:vertAlign w:val="superscript"/>
              </w:rPr>
              <w:t>(1)</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A</w:t>
            </w:r>
          </w:p>
        </w:tc>
        <w:tc>
          <w:tcPr>
            <w:tcW w:w="960" w:type="dxa"/>
            <w:vAlign w:val="bottom"/>
            <w:tcBorders>
              <w:bottom w:val="single" w:sz="8" w:color="2C2C2C"/>
            </w:tcBorders>
            <w:gridSpan w:val="3"/>
          </w:tcPr>
          <w:p>
            <w:pPr>
              <w:ind w:left="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1,019.48</w:t>
            </w:r>
            <w:r>
              <w:rPr>
                <w:rFonts w:ascii="Arial" w:cs="Arial" w:eastAsia="Arial" w:hAnsi="Arial"/>
                <w:sz w:val="22"/>
                <w:szCs w:val="22"/>
                <w:color w:val="008000"/>
                <w:w w:val="91"/>
                <w:vertAlign w:val="superscript"/>
              </w:rPr>
              <w:t>(2)</w:t>
            </w:r>
          </w:p>
        </w:tc>
        <w:tc>
          <w:tcPr>
            <w:tcW w:w="122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80,146</w:t>
            </w:r>
            <w:r>
              <w:rPr>
                <w:rFonts w:ascii="Arial" w:cs="Arial" w:eastAsia="Arial" w:hAnsi="Arial"/>
                <w:sz w:val="22"/>
                <w:szCs w:val="22"/>
                <w:color w:val="008000"/>
                <w:vertAlign w:val="superscript"/>
              </w:rPr>
              <w:t>(3)</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Morgan Stanley GWM Feeder Strategies LLC is the managing owner of the reporting person, and is a wholly-owned subsidiary of Morgan Stanley Smith Barney Holdings LLC. Morgan Stanley Smith Barney Holdings LLC is indirectly majority-owned by Morgan Stanley.</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Issuer delivered a drawdown notice on September 13, 2013, and upon receiving the drawdown notice, the reporting person became obligated to make a capital contribution of $3,842,419 to purchase 3,769 shares of Common Stock at a price of $1019.48 per share.</w:t>
      </w:r>
    </w:p>
    <w:p>
      <w:pPr>
        <w:spacing w:after="0" w:line="30" w:lineRule="exact"/>
        <w:rPr>
          <w:rFonts w:ascii="Arial" w:cs="Arial" w:eastAsia="Arial" w:hAnsi="Arial"/>
          <w:sz w:val="14"/>
          <w:szCs w:val="14"/>
          <w:color w:val="008000"/>
        </w:rPr>
      </w:pPr>
    </w:p>
    <w:p>
      <w:pPr>
        <w:ind w:left="40" w:right="100" w:firstLine="9"/>
        <w:spacing w:after="0" w:line="228"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Although MSSB TPG Specialty Lending Onshore Feeder Fund (the "Trust") beneficially owns 80,146 shares of the common stock of the Issuer and would otherwise be entitled to vote such shares, the Trust has contractually agreed to pass such voting rights through to the Trust's underlying investors (each a "Unitholder" and collectively, the "Unitholders") pro rata in accordance with each Unitholder's relative ownership of units of the Trust. Each Unitholder will make its own determination as to how to vote with respect to its portion of the Trust's shares of the Issuer, as well as whether or not to vote with respect to such shares. If Unitholders representing a certain percentage vote their interests, the Trust will vote all shares in accordance with the votes received. If, however, less than the agreed upon representative vote is received, the Trust will not vote any of the shares.</w:t>
      </w:r>
    </w:p>
    <w:p>
      <w:pPr>
        <w:spacing w:after="0" w:line="62"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James V. Bruno, On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322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22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of Morgan Stanley GWM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468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68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Feeder Strategies LLC, the</w:t>
      </w:r>
      <w:r>
        <w:rPr>
          <w:sz w:val="20"/>
          <w:szCs w:val="20"/>
          <w:color w:val="auto"/>
        </w:rPr>
        <w:tab/>
      </w:r>
      <w:r>
        <w:rPr>
          <w:rFonts w:ascii="Arial" w:cs="Arial" w:eastAsia="Arial" w:hAnsi="Arial"/>
          <w:sz w:val="15"/>
          <w:szCs w:val="15"/>
          <w:color w:val="0000FF"/>
        </w:rPr>
        <w:t>09/18/2013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managing owner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0306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306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334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3342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527270"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2019-12-17T17:04:34Z</dcterms:created>
  <dcterms:modified xsi:type="dcterms:W3CDTF">2019-12-17T17:04:34Z</dcterms:modified>
</cp:coreProperties>
</file>