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Commerce Street, Suite 3300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Fort Worth, TX 76102</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May 24, 2016</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CORRESPONDENCE</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Jay Williamson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20549-7553</w:t>
      </w:r>
    </w:p>
    <w:p>
      <w:pPr>
        <w:spacing w:after="0" w:line="238" w:lineRule="exact"/>
        <w:rPr>
          <w:sz w:val="24"/>
          <w:szCs w:val="24"/>
          <w:color w:val="auto"/>
        </w:rPr>
      </w:pPr>
    </w:p>
    <w:p>
      <w:pPr>
        <w:ind w:left="920"/>
        <w:spacing w:after="0"/>
        <w:rPr>
          <w:sz w:val="20"/>
          <w:szCs w:val="20"/>
          <w:color w:val="auto"/>
        </w:rPr>
      </w:pPr>
      <w:r>
        <w:rPr>
          <w:rFonts w:ascii="Arial" w:cs="Arial" w:eastAsia="Arial" w:hAnsi="Arial"/>
          <w:sz w:val="18"/>
          <w:szCs w:val="18"/>
          <w:color w:val="auto"/>
        </w:rPr>
        <w:t>Re: TPG Specialty Lending, Inc.</w:t>
      </w:r>
    </w:p>
    <w:p>
      <w:pPr>
        <w:spacing w:after="0" w:line="23" w:lineRule="exact"/>
        <w:rPr>
          <w:sz w:val="24"/>
          <w:szCs w:val="24"/>
          <w:color w:val="auto"/>
        </w:rPr>
      </w:pPr>
    </w:p>
    <w:p>
      <w:pPr>
        <w:ind w:left="1260"/>
        <w:spacing w:after="0"/>
        <w:rPr>
          <w:sz w:val="20"/>
          <w:szCs w:val="20"/>
          <w:color w:val="auto"/>
        </w:rPr>
      </w:pPr>
      <w:r>
        <w:rPr>
          <w:rFonts w:ascii="Arial" w:cs="Arial" w:eastAsia="Arial" w:hAnsi="Arial"/>
          <w:sz w:val="18"/>
          <w:szCs w:val="18"/>
          <w:u w:val="single" w:color="auto"/>
          <w:color w:val="auto"/>
        </w:rPr>
        <w:t>Registration Statement on Form N-2 (File No. 333-210524)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Williamson:</w:t>
      </w:r>
    </w:p>
    <w:p>
      <w:pPr>
        <w:spacing w:after="0" w:line="225" w:lineRule="exact"/>
        <w:rPr>
          <w:sz w:val="24"/>
          <w:szCs w:val="24"/>
          <w:color w:val="auto"/>
        </w:rPr>
      </w:pPr>
    </w:p>
    <w:p>
      <w:pPr>
        <w:ind w:right="20" w:firstLine="913"/>
        <w:spacing w:after="0" w:line="264" w:lineRule="auto"/>
        <w:rPr>
          <w:sz w:val="20"/>
          <w:szCs w:val="20"/>
          <w:color w:val="auto"/>
        </w:rPr>
      </w:pPr>
      <w:r>
        <w:rPr>
          <w:rFonts w:ascii="Arial" w:cs="Arial" w:eastAsia="Arial" w:hAnsi="Arial"/>
          <w:sz w:val="18"/>
          <w:szCs w:val="18"/>
          <w:color w:val="auto"/>
        </w:rPr>
        <w:t>Pursuant to Rule 461 under the Securities Act of 1933, as amended, TPG Specialty Lending, Inc. (the “</w:t>
      </w:r>
      <w:r>
        <w:rPr>
          <w:rFonts w:ascii="Arial" w:cs="Arial" w:eastAsia="Arial" w:hAnsi="Arial"/>
          <w:sz w:val="18"/>
          <w:szCs w:val="18"/>
          <w:u w:val="single" w:color="auto"/>
          <w:color w:val="auto"/>
        </w:rPr>
        <w:t>Company</w:t>
      </w:r>
      <w:r>
        <w:rPr>
          <w:rFonts w:ascii="Arial" w:cs="Arial" w:eastAsia="Arial" w:hAnsi="Arial"/>
          <w:sz w:val="18"/>
          <w:szCs w:val="18"/>
          <w:color w:val="auto"/>
        </w:rPr>
        <w:t>”) hereby requests that the effectiveness of the above-referenced Registration Statement on Form N-2, as amended, be accelerated so that it will be declared effective by 3:00pm, Eastern Time, on May 25, 2016 or as soon thereafter as reasonably practicable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81" w:lineRule="exact"/>
        <w:rPr>
          <w:sz w:val="24"/>
          <w:szCs w:val="24"/>
          <w:color w:val="auto"/>
        </w:rPr>
      </w:pPr>
    </w:p>
    <w:p>
      <w:pPr>
        <w:ind w:left="920"/>
        <w:spacing w:after="0"/>
        <w:rPr>
          <w:sz w:val="20"/>
          <w:szCs w:val="20"/>
          <w:color w:val="auto"/>
        </w:rPr>
      </w:pPr>
      <w:r>
        <w:rPr>
          <w:rFonts w:ascii="Arial" w:cs="Arial" w:eastAsia="Arial" w:hAnsi="Arial"/>
          <w:sz w:val="18"/>
          <w:szCs w:val="18"/>
          <w:color w:val="auto"/>
        </w:rPr>
        <w:t>The Company hereby acknowledges that:</w:t>
      </w:r>
    </w:p>
    <w:p>
      <w:pPr>
        <w:spacing w:after="0" w:line="131" w:lineRule="exact"/>
        <w:rPr>
          <w:sz w:val="24"/>
          <w:szCs w:val="24"/>
          <w:color w:val="auto"/>
        </w:rPr>
      </w:pPr>
    </w:p>
    <w:p>
      <w:pPr>
        <w:ind w:left="900" w:right="80" w:hanging="325"/>
        <w:spacing w:after="0" w:line="308"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should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or the staff, acting pursuant to delegated authority, declare the Registration Statement effective, it does not foreclose the Commission from taking any action with respect to the Registration Statement;</w:t>
      </w:r>
    </w:p>
    <w:p>
      <w:pPr>
        <w:spacing w:after="0" w:line="51" w:lineRule="exact"/>
        <w:rPr>
          <w:rFonts w:ascii="Arial" w:cs="Arial" w:eastAsia="Arial" w:hAnsi="Arial"/>
          <w:sz w:val="17"/>
          <w:szCs w:val="17"/>
          <w:color w:val="auto"/>
        </w:rPr>
      </w:pPr>
    </w:p>
    <w:p>
      <w:pPr>
        <w:ind w:left="900" w:right="520" w:hanging="325"/>
        <w:spacing w:after="0" w:line="342"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action of the Commission or the staff, acting pursuant to delegated authority, in declaring the Registration Statement effective, does not relieve the Company from its full responsibility for the adequacy and accuracy of the disclosure in the Registration Statement; and</w:t>
      </w:r>
    </w:p>
    <w:p>
      <w:pPr>
        <w:spacing w:after="0" w:line="29" w:lineRule="exact"/>
        <w:rPr>
          <w:rFonts w:ascii="Arial" w:cs="Arial" w:eastAsia="Arial" w:hAnsi="Arial"/>
          <w:sz w:val="16"/>
          <w:szCs w:val="16"/>
          <w:color w:val="auto"/>
        </w:rPr>
      </w:pPr>
    </w:p>
    <w:p>
      <w:pPr>
        <w:ind w:left="900" w:right="22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70" w:lineRule="exact"/>
        <w:rPr>
          <w:sz w:val="24"/>
          <w:szCs w:val="24"/>
          <w:color w:val="auto"/>
        </w:rPr>
      </w:pPr>
    </w:p>
    <w:p>
      <w:pPr>
        <w:ind w:right="180" w:firstLine="913"/>
        <w:spacing w:after="0" w:line="277" w:lineRule="auto"/>
        <w:rPr>
          <w:sz w:val="20"/>
          <w:szCs w:val="20"/>
          <w:color w:val="auto"/>
        </w:rPr>
      </w:pPr>
      <w:r>
        <w:rPr>
          <w:rFonts w:ascii="Arial" w:cs="Arial" w:eastAsia="Arial" w:hAnsi="Arial"/>
          <w:sz w:val="18"/>
          <w:szCs w:val="18"/>
          <w:color w:val="auto"/>
        </w:rPr>
        <w:t>Please contact Adam E. Fleisher of Cleary Gottlieb Steen &amp; Hamilton LLP at (212) 225-2286 or Helena K. Grannis of Cleary Gottlieb Steen &amp; Hamilton LLP at (212) 225-2376, counsel to the Company, if you have any questions or concerns regarding this matter.</w:t>
      </w:r>
    </w:p>
    <w:p>
      <w:pPr>
        <w:spacing w:after="0" w:line="31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Ian Simmonds</w:t>
      </w:r>
    </w:p>
    <w:p>
      <w:pPr>
        <w:spacing w:after="0" w:line="23"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Name: Ian Simmonds</w:t>
      </w:r>
    </w:p>
    <w:p>
      <w:pPr>
        <w:spacing w:after="0" w:line="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4"/>
          <w:szCs w:val="24"/>
          <w:color w:val="auto"/>
        </w:rPr>
      </w:pPr>
    </w:p>
    <w:p>
      <w:pPr>
        <w:ind w:left="460" w:right="9680" w:hanging="452"/>
        <w:spacing w:after="0" w:line="291" w:lineRule="auto"/>
        <w:tabs>
          <w:tab w:leader="none" w:pos="449" w:val="left"/>
        </w:tabs>
        <w:numPr>
          <w:ilvl w:val="0"/>
          <w:numId w:val="2"/>
        </w:numPr>
        <w:rPr>
          <w:rFonts w:ascii="Arial" w:cs="Arial" w:eastAsia="Arial" w:hAnsi="Arial"/>
          <w:sz w:val="16"/>
          <w:szCs w:val="16"/>
          <w:color w:val="auto"/>
        </w:rPr>
      </w:pPr>
      <w:r>
        <w:rPr>
          <w:rFonts w:ascii="Arial" w:cs="Arial" w:eastAsia="Arial" w:hAnsi="Arial"/>
          <w:sz w:val="16"/>
          <w:szCs w:val="16"/>
          <w:color w:val="auto"/>
        </w:rPr>
        <w:t>David Stiepleman Jennifer Gordon</w:t>
      </w:r>
    </w:p>
    <w:p>
      <w:pPr>
        <w:ind w:left="680"/>
        <w:spacing w:after="0"/>
        <w:rPr>
          <w:rFonts w:ascii="Arial" w:cs="Arial" w:eastAsia="Arial" w:hAnsi="Arial"/>
          <w:sz w:val="16"/>
          <w:szCs w:val="16"/>
          <w:color w:val="auto"/>
        </w:rPr>
      </w:pPr>
      <w:r>
        <w:rPr>
          <w:rFonts w:ascii="Arial" w:cs="Arial" w:eastAsia="Arial" w:hAnsi="Arial"/>
          <w:sz w:val="18"/>
          <w:szCs w:val="18"/>
          <w:color w:val="auto"/>
        </w:rPr>
        <w:t>TPG Specialty Lending, Inc.</w:t>
      </w:r>
    </w:p>
    <w:p>
      <w:pPr>
        <w:spacing w:after="0" w:line="210" w:lineRule="exact"/>
        <w:rPr>
          <w:rFonts w:ascii="Arial" w:cs="Arial" w:eastAsia="Arial" w:hAnsi="Arial"/>
          <w:sz w:val="16"/>
          <w:szCs w:val="16"/>
          <w:color w:val="auto"/>
        </w:rPr>
      </w:pPr>
    </w:p>
    <w:p>
      <w:pPr>
        <w:ind w:left="460" w:right="9200"/>
        <w:spacing w:after="0" w:line="288" w:lineRule="auto"/>
        <w:rPr>
          <w:rFonts w:ascii="Arial" w:cs="Arial" w:eastAsia="Arial" w:hAnsi="Arial"/>
          <w:sz w:val="16"/>
          <w:szCs w:val="16"/>
          <w:color w:val="auto"/>
        </w:rPr>
      </w:pPr>
      <w:r>
        <w:rPr>
          <w:rFonts w:ascii="Arial" w:cs="Arial" w:eastAsia="Arial" w:hAnsi="Arial"/>
          <w:sz w:val="16"/>
          <w:szCs w:val="16"/>
          <w:color w:val="auto"/>
        </w:rPr>
        <w:t>Adam E. Fleisher Michael A. Gerstenzang Helena K. Grannis</w:t>
      </w:r>
    </w:p>
    <w:p>
      <w:pPr>
        <w:ind w:left="680"/>
        <w:spacing w:after="0"/>
        <w:rPr>
          <w:rFonts w:ascii="Arial" w:cs="Arial" w:eastAsia="Arial" w:hAnsi="Arial"/>
          <w:sz w:val="16"/>
          <w:szCs w:val="16"/>
          <w:color w:val="auto"/>
        </w:rPr>
      </w:pPr>
      <w:r>
        <w:rPr>
          <w:rFonts w:ascii="Arial" w:cs="Arial" w:eastAsia="Arial" w:hAnsi="Arial"/>
          <w:sz w:val="18"/>
          <w:szCs w:val="18"/>
          <w:color w:val="auto"/>
        </w:rPr>
        <w:t>Cleary Gottlieb Steen &amp; Hamilton LLP</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2019-12-08T20:33:45Z</dcterms:created>
  <dcterms:modified xsi:type="dcterms:W3CDTF">2019-12-08T20:33:45Z</dcterms:modified>
</cp:coreProperties>
</file>