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458187d497ad.htm"/>
      <w:bookmarkStart w:id="1" w:name="ksd458187d497ad"/>
      <w:bookmarkEnd w:id="0"/>
      <w:bookmarkEnd w:id="1"/>
      <w:r>
        <w:rPr>
          <w:rFonts w:ascii="Times New Roman" w:hAnsi="Times New Roman"/>
          <w:b/>
          <w:sz w:val="20"/>
        </w:rPr>
        <w:t xml:space="preserve">Filed pursuant to Rule 497(a)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File No. 333-269222 </w:t>
      </w:r>
    </w:p>
    <w:p>
      <w:pPr>
        <w:pStyle w:val="TextBody"/>
        <w:bidi w:val="0"/>
        <w:spacing w:before="0" w:after="0"/>
        <w:jc w:val="right"/>
        <w:rPr>
          <w:rFonts w:ascii="Times New Roman" w:hAnsi="Times New Roman"/>
          <w:b/>
          <w:sz w:val="20"/>
        </w:rPr>
      </w:pPr>
      <w:r>
        <w:rPr>
          <w:rFonts w:ascii="Times New Roman" w:hAnsi="Times New Roman"/>
          <w:b/>
          <w:sz w:val="20"/>
        </w:rPr>
        <w:t xml:space="preserve">Rule 482ad </w:t>
      </w:r>
    </w:p>
    <w:p>
      <w:pPr>
        <w:pStyle w:val="TextBody"/>
        <w:bidi w:val="0"/>
        <w:spacing w:before="240" w:after="0"/>
        <w:jc w:val="left"/>
        <w:rPr>
          <w:rFonts w:ascii="Times New Roman" w:hAnsi="Times New Roman"/>
          <w:b/>
          <w:sz w:val="20"/>
        </w:rPr>
      </w:pPr>
      <w:r>
        <w:rPr>
          <w:rFonts w:ascii="Times New Roman" w:hAnsi="Times New Roman"/>
          <w:b/>
          <w:sz w:val="20"/>
        </w:rPr>
        <w:t xml:space="preserve">Sixth Street Specialty Lending, Inc. Announces Public Offering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NEW YORK(BUSINESS WIRE)May 10, 2023 Sixth Street Specialty Lending, Inc. (NYSE:TSLX) (TSLX or the Company) announced today that it has launched a public offering of 4,500,000 shares of its common stock. TSLX also plans to grant the underwriters for the offering an option to purchase up to an additional 675,000 shares of its common stock. The offering will be made pursuant to a registration statement, which has been filed with the Securities and Exchange Commission (the SEC) and became effective automatically upon filing. The completion of the proposed offering depends upon several factors, including market and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 </w:t>
      </w:r>
    </w:p>
    <w:p>
      <w:pPr>
        <w:pStyle w:val="TextBody"/>
        <w:bidi w:val="0"/>
        <w:spacing w:before="240" w:after="0"/>
        <w:jc w:val="left"/>
        <w:rPr>
          <w:rFonts w:ascii="Times New Roman" w:hAnsi="Times New Roman"/>
          <w:sz w:val="20"/>
        </w:rPr>
      </w:pPr>
      <w:r>
        <w:rPr>
          <w:rFonts w:ascii="Times New Roman" w:hAnsi="Times New Roman"/>
          <w:sz w:val="20"/>
        </w:rPr>
        <w:t xml:space="preserve">Wells Fargo Securities, Morgan Stanley, BofA Securities, RBC Capital Markets, Keefe, Bruyette &amp; Woods, </w:t>
      </w:r>
      <w:r>
        <w:rPr>
          <w:rFonts w:ascii="Times New Roman" w:hAnsi="Times New Roman"/>
          <w:i/>
          <w:sz w:val="20"/>
        </w:rPr>
        <w:t xml:space="preserve">A Stifel Company, </w:t>
      </w:r>
      <w:r>
        <w:rPr>
          <w:rFonts w:ascii="Times New Roman" w:hAnsi="Times New Roman"/>
          <w:sz w:val="20"/>
        </w:rPr>
        <w:t xml:space="preserve">Raymond James, Goldman Sachs &amp; Co. LLC and J.P. Morgan Securities LLC are acting as joint book running managers for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are advised to carefully consider the investment objectives, risks, charges and expenses of the Company before investing. The preliminary prospectus supplement dated May 10, 2023 and the accompanying prospectus dated January 13, 2023, which have been filed with the SEC, contain this and other information about the Company and should be read carefully before investing. </w:t>
      </w:r>
    </w:p>
    <w:p>
      <w:pPr>
        <w:pStyle w:val="TextBody"/>
        <w:bidi w:val="0"/>
        <w:spacing w:before="120" w:after="0"/>
        <w:jc w:val="left"/>
        <w:rPr>
          <w:rFonts w:ascii="Times New Roman" w:hAnsi="Times New Roman"/>
          <w:b/>
          <w:sz w:val="20"/>
        </w:rPr>
      </w:pPr>
      <w:r>
        <w:rPr>
          <w:rFonts w:ascii="Times New Roman" w:hAnsi="Times New Roman"/>
          <w:b/>
          <w:sz w:val="20"/>
        </w:rPr>
        <w:t xml:space="preserve">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An effective shelf registration statement relating to these securities is on file with the SEC. The offering may be made only by means of a preliminary prospectus supplement and an accompanying prospectus, copies of which may be obtained from Wells Fargo Securities, Attention: Equity Syndicate Department, 500 West 33rd Street, New York, New York, 10001, at 800-645-3751 (option #5) or email a request to WFScustomerservice@wellsfargo.com. </w:t>
      </w:r>
    </w:p>
    <w:p>
      <w:pPr>
        <w:pStyle w:val="TextBody"/>
        <w:bidi w:val="0"/>
        <w:spacing w:before="120" w:after="0"/>
        <w:jc w:val="left"/>
        <w:rPr>
          <w:rFonts w:ascii="Times New Roman" w:hAnsi="Times New Roman"/>
          <w:b/>
          <w:sz w:val="20"/>
        </w:rPr>
      </w:pPr>
      <w:r>
        <w:rPr>
          <w:rFonts w:ascii="Times New Roman" w:hAnsi="Times New Roman"/>
          <w:b/>
          <w:sz w:val="20"/>
        </w:rPr>
        <w:t xml:space="preserve">About Sixth Street Specialty Lending, Inc. </w:t>
      </w:r>
    </w:p>
    <w:p>
      <w:pPr>
        <w:pStyle w:val="TextBody"/>
        <w:bidi w:val="0"/>
        <w:spacing w:before="120" w:after="0"/>
        <w:jc w:val="left"/>
        <w:rPr>
          <w:rFonts w:ascii="Times New Roman" w:hAnsi="Times New Roman"/>
          <w:sz w:val="20"/>
        </w:rPr>
      </w:pPr>
      <w:r>
        <w:rPr>
          <w:rFonts w:ascii="Times New Roman" w:hAnsi="Times New Roman"/>
          <w:sz w:val="20"/>
        </w:rPr>
        <w:t xml:space="preserve">Sixth Street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an SEC registered investment adviser. The Company leverages the deep investment, sector, and operating resources of Sixth Street, a global investment firm with over $65 billion in assets under management as of March 31, 2023.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Source: Sixth Street Specialty Lending, Inc. </w:t>
      </w:r>
    </w:p>
    <w:p>
      <w:pPr>
        <w:pStyle w:val="TextBody"/>
        <w:bidi w:val="0"/>
        <w:spacing w:before="240" w:after="0"/>
        <w:jc w:val="left"/>
        <w:rPr>
          <w:rFonts w:ascii="Times New Roman" w:hAnsi="Times New Roman"/>
          <w:sz w:val="20"/>
        </w:rPr>
      </w:pPr>
      <w:r>
        <w:rPr>
          <w:rFonts w:ascii="Times New Roman" w:hAnsi="Times New Roman"/>
          <w:sz w:val="20"/>
        </w:rPr>
        <w:t xml:space="preserve">Investors: </w:t>
      </w:r>
    </w:p>
    <w:p>
      <w:pPr>
        <w:pStyle w:val="TextBody"/>
        <w:bidi w:val="0"/>
        <w:spacing w:before="240" w:after="0"/>
        <w:jc w:val="left"/>
        <w:rPr>
          <w:rFonts w:ascii="Times New Roman" w:hAnsi="Times New Roman"/>
          <w:sz w:val="20"/>
        </w:rPr>
      </w:pPr>
      <w:r>
        <w:rPr>
          <w:rFonts w:ascii="Times New Roman" w:hAnsi="Times New Roman"/>
          <w:sz w:val="20"/>
        </w:rPr>
        <w:t xml:space="preserve">Cami VanHorn, 469-621-2033 </w:t>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Inc. </w:t>
      </w:r>
    </w:p>
    <w:p>
      <w:pPr>
        <w:pStyle w:val="TextBody"/>
        <w:bidi w:val="0"/>
        <w:spacing w:before="0" w:after="0"/>
        <w:jc w:val="left"/>
        <w:rPr>
          <w:rFonts w:ascii="Times New Roman" w:hAnsi="Times New Roman"/>
          <w:sz w:val="20"/>
        </w:rPr>
      </w:pPr>
      <w:r>
        <w:rPr>
          <w:rFonts w:ascii="Times New Roman" w:hAnsi="Times New Roman"/>
          <w:sz w:val="20"/>
        </w:rPr>
        <w:t xml:space="preserve">IRTSLX@sixthstreet.com </w:t>
      </w:r>
    </w:p>
    <w:p>
      <w:pPr>
        <w:pStyle w:val="TextBody"/>
        <w:bidi w:val="0"/>
        <w:spacing w:before="120" w:after="0"/>
        <w:jc w:val="left"/>
        <w:rPr>
          <w:rFonts w:ascii="Times New Roman" w:hAnsi="Times New Roman"/>
          <w:sz w:val="20"/>
        </w:rPr>
      </w:pPr>
      <w:r>
        <w:rPr>
          <w:rFonts w:ascii="Times New Roman" w:hAnsi="Times New Roman"/>
          <w:sz w:val="20"/>
        </w:rPr>
        <w:t xml:space="preserve">Media: </w:t>
      </w:r>
    </w:p>
    <w:p>
      <w:pPr>
        <w:pStyle w:val="TextBody"/>
        <w:bidi w:val="0"/>
        <w:spacing w:before="240" w:after="0"/>
        <w:jc w:val="left"/>
        <w:rPr>
          <w:rFonts w:ascii="Times New Roman" w:hAnsi="Times New Roman"/>
          <w:sz w:val="20"/>
        </w:rPr>
      </w:pPr>
      <w:r>
        <w:rPr>
          <w:rFonts w:ascii="Times New Roman" w:hAnsi="Times New Roman"/>
          <w:sz w:val="20"/>
        </w:rPr>
        <w:t xml:space="preserve">Patrick Clifford, 617-793-2004 </w:t>
      </w:r>
    </w:p>
    <w:p>
      <w:pPr>
        <w:pStyle w:val="TextBody"/>
        <w:bidi w:val="0"/>
        <w:spacing w:before="0" w:after="0"/>
        <w:jc w:val="left"/>
        <w:rPr>
          <w:rFonts w:ascii="Times New Roman" w:hAnsi="Times New Roman"/>
          <w:sz w:val="20"/>
        </w:rPr>
      </w:pPr>
      <w:r>
        <w:rPr>
          <w:rFonts w:ascii="Times New Roman" w:hAnsi="Times New Roman"/>
          <w:sz w:val="20"/>
        </w:rPr>
        <w:t xml:space="preserve">Sixth Street </w:t>
      </w:r>
    </w:p>
    <w:p>
      <w:pPr>
        <w:pStyle w:val="TextBody"/>
        <w:bidi w:val="0"/>
        <w:spacing w:before="0" w:after="0"/>
        <w:jc w:val="left"/>
        <w:rPr>
          <w:rFonts w:ascii="Times New Roman" w:hAnsi="Times New Roman"/>
          <w:sz w:val="20"/>
        </w:rPr>
      </w:pPr>
      <w:r>
        <w:rPr>
          <w:rFonts w:ascii="Times New Roman" w:hAnsi="Times New Roman"/>
          <w:sz w:val="20"/>
        </w:rPr>
        <w:t xml:space="preserve">PClifford@sixthstreet.com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827</Words>
  <Characters>4604</Characters>
  <CharactersWithSpaces>5373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497AD</dc:title>
</cp:coreProperties>
</file>