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333-217207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ind w:right="3460" w:firstLine="3463"/>
        <w:spacing w:after="0" w:line="402" w:lineRule="auto"/>
        <w:rPr>
          <w:sz w:val="20"/>
          <w:szCs w:val="20"/>
          <w:color w:val="auto"/>
        </w:rPr>
      </w:pPr>
      <w:r>
        <w:rPr>
          <w:rFonts w:ascii="Arial" w:cs="Arial" w:eastAsia="Arial" w:hAnsi="Arial"/>
          <w:sz w:val="18"/>
          <w:szCs w:val="18"/>
          <w:color w:val="auto"/>
        </w:rPr>
        <w:t xml:space="preserve">[TEXT OF COMMUNICATION SENT VIA BLOOMBERG] </w:t>
      </w:r>
      <w:r>
        <w:rPr>
          <w:rFonts w:ascii="Arial" w:cs="Arial" w:eastAsia="Arial" w:hAnsi="Arial"/>
          <w:sz w:val="18"/>
          <w:szCs w:val="18"/>
          <w:b w:val="1"/>
          <w:bCs w:val="1"/>
          <w:u w:val="single" w:color="auto"/>
          <w:color w:val="auto"/>
        </w:rPr>
        <w:t>TPG Specialty Lending, Inc. Guidance Announcement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PRICE GUIDANCE:</w:t>
            </w:r>
          </w:p>
        </w:tc>
        <w:tc>
          <w:tcPr>
            <w:tcW w:w="6720" w:type="dxa"/>
            <w:vAlign w:val="bottom"/>
          </w:tcPr>
          <w:p>
            <w:pPr>
              <w:ind w:left="1600"/>
              <w:spacing w:after="0"/>
              <w:rPr>
                <w:sz w:val="20"/>
                <w:szCs w:val="20"/>
                <w:color w:val="auto"/>
              </w:rPr>
            </w:pPr>
            <w:r>
              <w:rPr>
                <w:rFonts w:ascii="Arial" w:cs="Arial" w:eastAsia="Arial" w:hAnsi="Arial"/>
                <w:sz w:val="18"/>
                <w:szCs w:val="18"/>
                <w:color w:val="auto"/>
              </w:rPr>
              <w:t>T+212.5#</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ISSUER:</w:t>
            </w:r>
          </w:p>
        </w:tc>
        <w:tc>
          <w:tcPr>
            <w:tcW w:w="6720" w:type="dxa"/>
            <w:vAlign w:val="bottom"/>
          </w:tcPr>
          <w:p>
            <w:pPr>
              <w:ind w:left="1600"/>
              <w:spacing w:after="0"/>
              <w:rPr>
                <w:sz w:val="20"/>
                <w:szCs w:val="20"/>
                <w:color w:val="auto"/>
              </w:rPr>
            </w:pPr>
            <w:r>
              <w:rPr>
                <w:rFonts w:ascii="Arial" w:cs="Arial" w:eastAsia="Arial" w:hAnsi="Arial"/>
                <w:sz w:val="18"/>
                <w:szCs w:val="18"/>
                <w:color w:val="auto"/>
              </w:rPr>
              <w:t>TPG Specialty Lending, Inc. [“TSLX”]</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EXPECTED RATINGS:</w:t>
            </w:r>
          </w:p>
        </w:tc>
        <w:tc>
          <w:tcPr>
            <w:tcW w:w="6720" w:type="dxa"/>
            <w:vAlign w:val="bottom"/>
          </w:tcPr>
          <w:p>
            <w:pPr>
              <w:ind w:left="1600"/>
              <w:spacing w:after="0"/>
              <w:rPr>
                <w:sz w:val="20"/>
                <w:szCs w:val="20"/>
                <w:color w:val="auto"/>
              </w:rPr>
            </w:pPr>
            <w:r>
              <w:rPr>
                <w:rFonts w:ascii="Arial" w:cs="Arial" w:eastAsia="Arial" w:hAnsi="Arial"/>
                <w:sz w:val="18"/>
                <w:szCs w:val="18"/>
                <w:color w:val="auto"/>
              </w:rPr>
              <w:t>NR/BBB-/BBB- (NR/Stable/Stable)*</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SECURITY DESCRIPTION:</w:t>
            </w:r>
          </w:p>
        </w:tc>
        <w:tc>
          <w:tcPr>
            <w:tcW w:w="6720" w:type="dxa"/>
            <w:vAlign w:val="bottom"/>
          </w:tcPr>
          <w:p>
            <w:pPr>
              <w:ind w:left="1600"/>
              <w:spacing w:after="0"/>
              <w:rPr>
                <w:sz w:val="20"/>
                <w:szCs w:val="20"/>
                <w:color w:val="auto"/>
              </w:rPr>
            </w:pPr>
            <w:r>
              <w:rPr>
                <w:rFonts w:ascii="Arial" w:cs="Arial" w:eastAsia="Arial" w:hAnsi="Arial"/>
                <w:sz w:val="18"/>
                <w:szCs w:val="18"/>
                <w:color w:val="auto"/>
              </w:rPr>
              <w:t>Unsecured Notes</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FORMAT:</w:t>
            </w:r>
          </w:p>
        </w:tc>
        <w:tc>
          <w:tcPr>
            <w:tcW w:w="6720" w:type="dxa"/>
            <w:vAlign w:val="bottom"/>
          </w:tcPr>
          <w:p>
            <w:pPr>
              <w:ind w:left="1600"/>
              <w:spacing w:after="0"/>
              <w:rPr>
                <w:sz w:val="20"/>
                <w:szCs w:val="20"/>
                <w:color w:val="auto"/>
              </w:rPr>
            </w:pPr>
            <w:r>
              <w:rPr>
                <w:rFonts w:ascii="Arial" w:cs="Arial" w:eastAsia="Arial" w:hAnsi="Arial"/>
                <w:sz w:val="18"/>
                <w:szCs w:val="18"/>
                <w:color w:val="auto"/>
              </w:rPr>
              <w:t>SEC Registered</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SIZE:</w:t>
            </w:r>
          </w:p>
        </w:tc>
        <w:tc>
          <w:tcPr>
            <w:tcW w:w="6720" w:type="dxa"/>
            <w:vAlign w:val="bottom"/>
          </w:tcPr>
          <w:p>
            <w:pPr>
              <w:ind w:left="1600"/>
              <w:spacing w:after="0"/>
              <w:rPr>
                <w:sz w:val="20"/>
                <w:szCs w:val="20"/>
                <w:color w:val="auto"/>
              </w:rPr>
            </w:pPr>
            <w:r>
              <w:rPr>
                <w:rFonts w:ascii="Arial" w:cs="Arial" w:eastAsia="Arial" w:hAnsi="Arial"/>
                <w:sz w:val="18"/>
                <w:szCs w:val="18"/>
                <w:color w:val="auto"/>
              </w:rPr>
              <w:t>$TBD</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MATURITY:</w:t>
            </w:r>
          </w:p>
        </w:tc>
        <w:tc>
          <w:tcPr>
            <w:tcW w:w="6720" w:type="dxa"/>
            <w:vAlign w:val="bottom"/>
          </w:tcPr>
          <w:p>
            <w:pPr>
              <w:ind w:left="1600"/>
              <w:spacing w:after="0"/>
              <w:rPr>
                <w:sz w:val="20"/>
                <w:szCs w:val="20"/>
                <w:color w:val="auto"/>
              </w:rPr>
            </w:pPr>
            <w:r>
              <w:rPr>
                <w:rFonts w:ascii="Arial" w:cs="Arial" w:eastAsia="Arial" w:hAnsi="Arial"/>
                <w:sz w:val="18"/>
                <w:szCs w:val="18"/>
                <w:color w:val="auto"/>
              </w:rPr>
              <w:t>5-year ([•]/[•]/2023)</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STRUCTURE:</w:t>
            </w:r>
          </w:p>
        </w:tc>
        <w:tc>
          <w:tcPr>
            <w:tcW w:w="6720" w:type="dxa"/>
            <w:vAlign w:val="bottom"/>
          </w:tcPr>
          <w:p>
            <w:pPr>
              <w:ind w:left="1600"/>
              <w:spacing w:after="0"/>
              <w:rPr>
                <w:sz w:val="20"/>
                <w:szCs w:val="20"/>
                <w:color w:val="auto"/>
              </w:rPr>
            </w:pPr>
            <w:r>
              <w:rPr>
                <w:rFonts w:ascii="Arial" w:cs="Arial" w:eastAsia="Arial" w:hAnsi="Arial"/>
                <w:sz w:val="18"/>
                <w:szCs w:val="18"/>
                <w:color w:val="auto"/>
              </w:rPr>
              <w:t>100% COC (see Red)</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ACTIVE BOOKRUNNERS:</w:t>
            </w:r>
          </w:p>
        </w:tc>
        <w:tc>
          <w:tcPr>
            <w:tcW w:w="6720" w:type="dxa"/>
            <w:vAlign w:val="bottom"/>
          </w:tcPr>
          <w:p>
            <w:pPr>
              <w:ind w:left="1600"/>
              <w:spacing w:after="0"/>
              <w:rPr>
                <w:sz w:val="20"/>
                <w:szCs w:val="20"/>
                <w:color w:val="auto"/>
              </w:rPr>
            </w:pPr>
            <w:r>
              <w:rPr>
                <w:rFonts w:ascii="Arial" w:cs="Arial" w:eastAsia="Arial" w:hAnsi="Arial"/>
                <w:sz w:val="18"/>
                <w:szCs w:val="18"/>
                <w:color w:val="auto"/>
              </w:rPr>
              <w:t>BofAML/Citigroup/HSBC/JPM/SunTrust</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MINIMUM DENOMS:</w:t>
            </w:r>
          </w:p>
        </w:tc>
        <w:tc>
          <w:tcPr>
            <w:tcW w:w="6720" w:type="dxa"/>
            <w:vAlign w:val="bottom"/>
          </w:tcPr>
          <w:p>
            <w:pPr>
              <w:ind w:left="1600"/>
              <w:spacing w:after="0"/>
              <w:rPr>
                <w:sz w:val="20"/>
                <w:szCs w:val="20"/>
                <w:color w:val="auto"/>
              </w:rPr>
            </w:pPr>
            <w:r>
              <w:rPr>
                <w:rFonts w:ascii="Arial" w:cs="Arial" w:eastAsia="Arial" w:hAnsi="Arial"/>
                <w:sz w:val="18"/>
                <w:szCs w:val="18"/>
                <w:color w:val="auto"/>
              </w:rPr>
              <w:t>$2,000 × $1,000</w:t>
            </w:r>
          </w:p>
        </w:tc>
        <w:tc>
          <w:tcPr>
            <w:tcW w:w="0" w:type="dxa"/>
            <w:vAlign w:val="bottom"/>
          </w:tcPr>
          <w:p>
            <w:pPr>
              <w:spacing w:after="0"/>
              <w:rPr>
                <w:sz w:val="1"/>
                <w:szCs w:val="1"/>
                <w:color w:val="auto"/>
              </w:rPr>
            </w:pPr>
          </w:p>
        </w:tc>
      </w:tr>
      <w:tr>
        <w:trPr>
          <w:trHeight w:val="220"/>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USE OF PROCEEDS:</w:t>
            </w:r>
          </w:p>
        </w:tc>
        <w:tc>
          <w:tcPr>
            <w:tcW w:w="6720" w:type="dxa"/>
            <w:vAlign w:val="bottom"/>
          </w:tcPr>
          <w:p>
            <w:pPr>
              <w:ind w:left="1600"/>
              <w:spacing w:after="0"/>
              <w:rPr>
                <w:sz w:val="20"/>
                <w:szCs w:val="20"/>
                <w:color w:val="auto"/>
              </w:rPr>
            </w:pPr>
            <w:r>
              <w:rPr>
                <w:rFonts w:ascii="Arial" w:cs="Arial" w:eastAsia="Arial" w:hAnsi="Arial"/>
                <w:sz w:val="18"/>
                <w:szCs w:val="18"/>
                <w:color w:val="auto"/>
                <w:w w:val="92"/>
              </w:rPr>
              <w:t>To repay a portion of outstanding indebtedness under revolving credit</w:t>
            </w:r>
          </w:p>
        </w:tc>
        <w:tc>
          <w:tcPr>
            <w:tcW w:w="0" w:type="dxa"/>
            <w:vAlign w:val="bottom"/>
          </w:tcPr>
          <w:p>
            <w:pPr>
              <w:spacing w:after="0"/>
              <w:rPr>
                <w:sz w:val="1"/>
                <w:szCs w:val="1"/>
                <w:color w:val="auto"/>
              </w:rPr>
            </w:pPr>
          </w:p>
        </w:tc>
      </w:tr>
      <w:tr>
        <w:trPr>
          <w:trHeight w:val="216"/>
        </w:trPr>
        <w:tc>
          <w:tcPr>
            <w:tcW w:w="44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OPTIONAL REDEMPTION:</w:t>
            </w:r>
          </w:p>
        </w:tc>
        <w:tc>
          <w:tcPr>
            <w:tcW w:w="6720" w:type="dxa"/>
            <w:vAlign w:val="bottom"/>
          </w:tcPr>
          <w:p>
            <w:pPr>
              <w:ind w:left="1600"/>
              <w:spacing w:after="0"/>
              <w:rPr>
                <w:sz w:val="20"/>
                <w:szCs w:val="20"/>
                <w:color w:val="auto"/>
              </w:rPr>
            </w:pPr>
            <w:r>
              <w:rPr>
                <w:rFonts w:ascii="Arial" w:cs="Arial" w:eastAsia="Arial" w:hAnsi="Arial"/>
                <w:sz w:val="18"/>
                <w:szCs w:val="18"/>
                <w:color w:val="auto"/>
              </w:rPr>
              <w:t>facility</w:t>
            </w:r>
          </w:p>
        </w:tc>
        <w:tc>
          <w:tcPr>
            <w:tcW w:w="0" w:type="dxa"/>
            <w:vAlign w:val="bottom"/>
          </w:tcPr>
          <w:p>
            <w:pPr>
              <w:spacing w:after="0"/>
              <w:rPr>
                <w:sz w:val="1"/>
                <w:szCs w:val="1"/>
                <w:color w:val="auto"/>
              </w:rPr>
            </w:pPr>
          </w:p>
        </w:tc>
      </w:tr>
      <w:tr>
        <w:trPr>
          <w:trHeight w:val="212"/>
        </w:trPr>
        <w:tc>
          <w:tcPr>
            <w:tcW w:w="4460" w:type="dxa"/>
            <w:vAlign w:val="bottom"/>
            <w:vMerge w:val="continue"/>
          </w:tcPr>
          <w:p>
            <w:pPr>
              <w:spacing w:after="0"/>
              <w:rPr>
                <w:sz w:val="18"/>
                <w:szCs w:val="18"/>
                <w:color w:val="auto"/>
              </w:rPr>
            </w:pPr>
          </w:p>
        </w:tc>
        <w:tc>
          <w:tcPr>
            <w:tcW w:w="6720" w:type="dxa"/>
            <w:vAlign w:val="bottom"/>
          </w:tcPr>
          <w:p>
            <w:pPr>
              <w:ind w:left="1600"/>
              <w:spacing w:after="0"/>
              <w:rPr>
                <w:sz w:val="20"/>
                <w:szCs w:val="20"/>
                <w:color w:val="auto"/>
              </w:rPr>
            </w:pPr>
            <w:r>
              <w:rPr>
                <w:rFonts w:ascii="Arial" w:cs="Arial" w:eastAsia="Arial" w:hAnsi="Arial"/>
                <w:sz w:val="18"/>
                <w:szCs w:val="18"/>
                <w:color w:val="auto"/>
                <w:w w:val="93"/>
              </w:rPr>
              <w:t>Make whole call prior to maturity; one-month par call prior to maturity</w:t>
            </w: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SETTLEMENT:</w:t>
            </w:r>
          </w:p>
        </w:tc>
        <w:tc>
          <w:tcPr>
            <w:tcW w:w="6720" w:type="dxa"/>
            <w:vAlign w:val="bottom"/>
          </w:tcPr>
          <w:p>
            <w:pPr>
              <w:ind w:left="1600"/>
              <w:spacing w:after="0"/>
              <w:rPr>
                <w:sz w:val="20"/>
                <w:szCs w:val="20"/>
                <w:color w:val="auto"/>
              </w:rPr>
            </w:pPr>
            <w:r>
              <w:rPr>
                <w:rFonts w:ascii="Arial" w:cs="Arial" w:eastAsia="Arial" w:hAnsi="Arial"/>
                <w:sz w:val="18"/>
                <w:szCs w:val="18"/>
                <w:color w:val="auto"/>
              </w:rPr>
              <w:t>T+3</w:t>
            </w:r>
          </w:p>
        </w:tc>
        <w:tc>
          <w:tcPr>
            <w:tcW w:w="0" w:type="dxa"/>
            <w:vAlign w:val="bottom"/>
          </w:tcPr>
          <w:p>
            <w:pPr>
              <w:spacing w:after="0"/>
              <w:rPr>
                <w:sz w:val="1"/>
                <w:szCs w:val="1"/>
                <w:color w:val="auto"/>
              </w:rPr>
            </w:pPr>
          </w:p>
        </w:tc>
      </w:tr>
      <w:tr>
        <w:trPr>
          <w:trHeight w:val="234"/>
        </w:trPr>
        <w:tc>
          <w:tcPr>
            <w:tcW w:w="4460" w:type="dxa"/>
            <w:vAlign w:val="bottom"/>
          </w:tcPr>
          <w:p>
            <w:pPr>
              <w:ind w:left="360"/>
              <w:spacing w:after="0"/>
              <w:rPr>
                <w:sz w:val="20"/>
                <w:szCs w:val="20"/>
                <w:color w:val="auto"/>
              </w:rPr>
            </w:pPr>
            <w:r>
              <w:rPr>
                <w:rFonts w:ascii="Arial" w:cs="Arial" w:eastAsia="Arial" w:hAnsi="Arial"/>
                <w:sz w:val="18"/>
                <w:szCs w:val="18"/>
                <w:b w:val="1"/>
                <w:bCs w:val="1"/>
                <w:color w:val="auto"/>
              </w:rPr>
              <w:t>TIMING:</w:t>
            </w:r>
          </w:p>
        </w:tc>
        <w:tc>
          <w:tcPr>
            <w:tcW w:w="6720" w:type="dxa"/>
            <w:vAlign w:val="bottom"/>
          </w:tcPr>
          <w:p>
            <w:pPr>
              <w:ind w:left="1600"/>
              <w:spacing w:after="0"/>
              <w:rPr>
                <w:sz w:val="20"/>
                <w:szCs w:val="20"/>
                <w:color w:val="auto"/>
              </w:rPr>
            </w:pPr>
            <w:r>
              <w:rPr>
                <w:rFonts w:ascii="Arial" w:cs="Arial" w:eastAsia="Arial" w:hAnsi="Arial"/>
                <w:sz w:val="18"/>
                <w:szCs w:val="18"/>
                <w:color w:val="auto"/>
              </w:rPr>
              <w:t>Today’s Business</w:t>
            </w: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No EEA Retail sales/No PRIIPs KID.</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42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TSLX before investing. The preliminary prospectus supplement dated January 17, 2018, together with the accompanying prospectus dated May 30, 2017, which have been filed with the Securities and Exchange Commission, contain this and other information about TSLX and should be read carefully before investing.</w:t>
      </w:r>
    </w:p>
    <w:p>
      <w:pPr>
        <w:spacing w:after="0" w:line="14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in the preliminary prospectus supplement and the accompanying prospectus, and in this announcement, is not complete and may be changed. The preliminary prospectus supplement, the accompanying prospectus and this announcement are not offers to sell any securities of TSLX and are not soliciting an offer to buy such securities in any state or jurisdiction where such offer and sale is not permitted.</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revision or withdrawal at any time.</w:t>
      </w:r>
    </w:p>
    <w:p>
      <w:pPr>
        <w:spacing w:after="0" w:line="221"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prospectus supplement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obtain these documents for free by visiting EDGAR on the SEC Web site at www.sec.gov. Alternatively, the issuer, any underwriter or any dealer participating in the offering will arrange to send you the prospectus and the prospectus supplement if you request them by contacting Merrill Lynch, Pierce, Fenner &amp; Smith Incorporated at 1-800-294-1322; Citigroup Global Markets Inc., c/o Broadridge Financial Solutions, 1155 Long Island Avenue, Edgewood, New York 11717, email </w:t>
      </w:r>
      <w:r>
        <w:rPr>
          <w:rFonts w:ascii="Arial" w:cs="Arial" w:eastAsia="Arial" w:hAnsi="Arial"/>
          <w:sz w:val="17"/>
          <w:szCs w:val="17"/>
          <w:b w:val="1"/>
          <w:bCs w:val="1"/>
          <w:u w:val="single" w:color="auto"/>
          <w:color w:val="auto"/>
        </w:rPr>
        <w:t>prospectus@citi.com</w:t>
      </w:r>
      <w:r>
        <w:rPr>
          <w:rFonts w:ascii="Arial" w:cs="Arial" w:eastAsia="Arial" w:hAnsi="Arial"/>
          <w:sz w:val="17"/>
          <w:szCs w:val="17"/>
          <w:b w:val="1"/>
          <w:bCs w:val="1"/>
          <w:color w:val="auto"/>
        </w:rPr>
        <w:t>, telephone: 1-800-831-9146; HSBC Securities (USA) Inc. toll free at (866) 811-8049; J.P. Morgan Securities LLC at (212) 834-4533; or SunTrust Robinson Humphrey, Inc. at (800) 685-4786.</w:t>
      </w:r>
    </w:p>
    <w:p>
      <w:pPr>
        <w:spacing w:after="0" w:line="1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2019-12-07T21:22:07Z</dcterms:created>
  <dcterms:modified xsi:type="dcterms:W3CDTF">2019-12-07T21:22:07Z</dcterms:modified>
</cp:coreProperties>
</file>