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163"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41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right="2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000"/>
          </w:cols>
          <w:pgMar w:left="240" w:top="230" w:right="659" w:bottom="451"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are pleased to invite you to attend the 2017 Annual Meeting of Stockholders of TPG Specialty Lending, Inc. to be held on May 18, 2017, at 9:00 a.m., local time, at the offices of TPG, 345 California Street, Suite 3300, San Francisco, CA 94104.</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pages include a formal notice of the meeting and our proxy statement. The Notice of Internet Availability of Proxy Materials you received in the mail and this proxy statement describe various matters on the agenda for the meeting. Please read these materials so that you will know what we plan to do at the meeting. It is important that your shares be represented at the annual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You will also receive separate proxy materials for a special meeting of stockholders, which will be held at the same place and on the same date stated above, but not at the same time. Please be certain to vote separately each proxy card that you receive from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7, 2017</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Notice Regarding the Availability of Proxy Material for the Annual Meeting of Stockholders to Be Held on May 18, 2017.</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proxy statement and annual report on Form 10-K for the year ended December 31, 2016 are available online at www.proxyvote.com.</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applicable to the Annual Meeting of Stockholders may be found in the proxy statement and accompanying proxy card:</w:t>
      </w:r>
    </w:p>
    <w:p>
      <w:pPr>
        <w:spacing w:after="0" w:line="15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0980"/>
          </w:cols>
          <w:pgMar w:left="240" w:top="459" w:right="6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TPG Specialty Lending, Inc. </w:t>
      </w:r>
      <w:r>
        <w:rPr>
          <w:rFonts w:ascii="Arial" w:cs="Arial" w:eastAsia="Arial" w:hAnsi="Arial"/>
          <w:sz w:val="18"/>
          <w:szCs w:val="18"/>
          <w:color w:val="auto"/>
        </w:rPr>
        <w:t>301 Commerce Street, Suite 3300 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the 2017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NOTICE IS HEREBY GIVEN that the 2017 Annual Meeting of Stockholders of TPG Specialty Lending, Inc. will be held at the offices of TPG, 345 California Street, Suite 3300, San Francisco, CA 94104 on May 18, 2017, at 9:00 a.m., local time. The 2017 Annual Meeting of Stockholders is being held for the following purposes:</w:t>
      </w:r>
    </w:p>
    <w:p>
      <w:pPr>
        <w:spacing w:after="0" w:line="73" w:lineRule="exact"/>
        <w:rPr>
          <w:sz w:val="20"/>
          <w:szCs w:val="20"/>
          <w:color w:val="auto"/>
        </w:rPr>
      </w:pPr>
    </w:p>
    <w:p>
      <w:pPr>
        <w:ind w:left="460" w:right="580" w:firstLine="443"/>
        <w:spacing w:after="0" w:line="277" w:lineRule="auto"/>
        <w:tabs>
          <w:tab w:leader="none" w:pos="1078"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two Class III directors, each to serve for a three-year term and until a successor has been duly elected and qualified or until the director’s earlier resignation or removal.</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selection of KPMG LLP as the Company’s independent registered public accounting firm for the fiscal year ending December 31,</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2017.</w:t>
      </w:r>
    </w:p>
    <w:p>
      <w:pPr>
        <w:spacing w:after="0" w:line="102" w:lineRule="exact"/>
        <w:rPr>
          <w:rFonts w:ascii="Arial" w:cs="Arial" w:eastAsia="Arial" w:hAnsi="Arial"/>
          <w:sz w:val="16"/>
          <w:szCs w:val="16"/>
          <w:color w:val="auto"/>
        </w:rPr>
      </w:pPr>
    </w:p>
    <w:p>
      <w:pPr>
        <w:ind w:left="1080" w:hanging="177"/>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2017 Annual Meeting of Stockholders or any postponement or adjournment</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Only stockholders of record at the close of business on March 24, 2017, are entitled to notice of and to vote at the 2017 Annual Meeting of Stockholders or any postponement or adjournment thereof.</w:t>
      </w:r>
    </w:p>
    <w:p>
      <w:pPr>
        <w:spacing w:after="0" w:line="170"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We are furnishing a proxy statement, annual report and proxy card to our stockholders on the internet, rather than mailing printed copies of those materials to each stockholder. If you received a Notice of Internet Availability of Proxy Materials by mail, you will not receive a printed copy of the proxy statement, annual report and proxy card unless you request them. Instead, the Notice of Internet Availability of Proxy Materials will instruct you as to how you may access and review the proxy statement and annual report, and vote your proxy, on the internet.</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Your vote is extremely important to us. If you are unable to attend the 2017 Annual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from time to time we may repurchase shares of our common stock and are notifying you of this ability as required by applicable securities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“Stock Repurchase Plan” in the proxy statement.</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Compliance Officer, Vice President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7, 2017</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12"/>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Proxy Statement for the 2017 Annual Meeting of Stockholders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1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Security Ownership of Certain Beneficial Owners and Management</w:t>
              </w:r>
            </w:hyperlink>
          </w:p>
        </w:tc>
        <w:tc>
          <w:tcPr>
            <w:tcW w:w="6160" w:type="dxa"/>
            <w:vAlign w:val="bottom"/>
            <w:gridSpan w:val="3"/>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Proposal No. 1—Election of Directors</w:t>
              </w:r>
            </w:hyperlink>
          </w:p>
        </w:tc>
        <w:tc>
          <w:tcPr>
            <w:tcW w:w="82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60" w:type="dxa"/>
            <w:vAlign w:val="bottom"/>
            <w:gridSpan w:val="1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Corporate Governance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Proposal No. 2—Ratification of Selection of Independent Registered Public Accounting Firm</w:t>
              </w:r>
            </w:hyperlink>
          </w:p>
        </w:tc>
        <w:tc>
          <w:tcPr>
            <w:tcW w:w="42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Audit Committee Report</w:t>
              </w:r>
            </w:hyperlink>
          </w:p>
        </w:tc>
        <w:tc>
          <w:tcPr>
            <w:tcW w:w="926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60" w:type="dxa"/>
            <w:vAlign w:val="bottom"/>
            <w:gridSpan w:val="1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Other Business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Stock Repurchase Plan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Stockholder Proposals and Nominations for the 2018 Annual Meeting of Stockholders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Annual Report</w:t>
              </w:r>
            </w:hyperlink>
          </w:p>
        </w:tc>
        <w:tc>
          <w:tcPr>
            <w:tcW w:w="5120" w:type="dxa"/>
            <w:vAlign w:val="bottom"/>
            <w:tcBorders>
              <w:top w:val="single" w:sz="8" w:color="0000EE"/>
            </w:tcBorders>
            <w:gridSpan w:val="9"/>
          </w:tcPr>
          <w:p>
            <w:pPr>
              <w:spacing w:after="0"/>
              <w:rPr>
                <w:sz w:val="17"/>
                <w:szCs w:val="17"/>
                <w:color w:val="auto"/>
              </w:rPr>
            </w:pPr>
          </w:p>
        </w:tc>
        <w:tc>
          <w:tcPr>
            <w:tcW w:w="48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Householding of Proxy Materials</w:t>
              </w:r>
            </w:hyperlink>
          </w:p>
        </w:tc>
        <w:tc>
          <w:tcPr>
            <w:tcW w:w="864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060" w:type="dxa"/>
            <w:vAlign w:val="bottom"/>
            <w:gridSpan w:val="1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Privacy Principles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TPG Specialty Lending, Inc. </w:t>
      </w:r>
      <w:r>
        <w:rPr>
          <w:rFonts w:ascii="Arial" w:cs="Arial" w:eastAsia="Arial" w:hAnsi="Arial"/>
          <w:sz w:val="18"/>
          <w:szCs w:val="18"/>
          <w:color w:val="auto"/>
        </w:rPr>
        <w:t>301 Commerce Street, Suite 3300 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accompanying proxy is solicited on behalf of the Board of Directors (the “Board”) of TPG Specialty Lending, Inc., which is sometimes referred to in this proxy statement as “TSL,” “TSLX,” “we,” “us,” “our,” or the “Company,” for use at the 2017 Annual Meeting of Stockholders (the “Meeting”) to be held at the offices of TPG, 345 California Street, Suite 3300, San Francisco, CA 94104 on May 18, 2017, at 9:00 a.m., local time. Only holders of record of our common stock at the close of business on March 24, 2017, which is the record date, will be entitled to vote at the Meeting. At the close of business on the record date, we had 59,839,041 shares of common stock outstanding and entitled to vote.</w:t>
      </w:r>
    </w:p>
    <w:p>
      <w:pPr>
        <w:spacing w:after="0" w:line="188"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 April 7, 2017. This proxy statement, including the accompanying form of proxy (collectively, the “Proxy Statement”), and the Company’s Annual Report for the fiscal year ended December 31, 2016 will first be made available to stockholders on or about April 7, 2017. The Annual Report and Proxy Statement can both be accessed online at www.proxyvote.com.</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(1)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the Class III director candidates nominated by the Board and (2)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the selection of KPMG LLP as the Company’s independent registered public accounting firm for the fiscal year ending December 31, 2017. Should any matter not described above be properly presented at the Meeting, the named proxies will vote in accordance with their judgment as permitted.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our common stock are entitled to one vote for each share held as of the record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2017 Annual Meeting of Stockholders is being held for the following purposes:</w:t>
      </w:r>
    </w:p>
    <w:p>
      <w:pPr>
        <w:spacing w:after="0" w:line="225" w:lineRule="exact"/>
        <w:rPr>
          <w:sz w:val="20"/>
          <w:szCs w:val="20"/>
          <w:color w:val="auto"/>
        </w:rPr>
      </w:pPr>
    </w:p>
    <w:p>
      <w:pPr>
        <w:ind w:right="30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two Class III directors, each to serve for a three-year term and until a successor has been duly elected and qualified or until the director’s earlier resignation or removal.</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ratify the selection of KPMG LLP as the Company’s independent registered public accounting firm for the fiscal year ending December 31, 2017.</w:t>
      </w:r>
    </w:p>
    <w:p>
      <w:pPr>
        <w:spacing w:after="0" w:line="248" w:lineRule="exact"/>
        <w:rPr>
          <w:rFonts w:ascii="Arial" w:cs="Arial" w:eastAsia="Arial" w:hAnsi="Arial"/>
          <w:sz w:val="16"/>
          <w:szCs w:val="16"/>
          <w:color w:val="auto"/>
        </w:rPr>
      </w:pPr>
    </w:p>
    <w:p>
      <w:pPr>
        <w:ind w:left="640" w:hanging="176"/>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2017 Annual Meeting of Stockholders or any postponement or adjournment thereof.</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majority of the outstanding shares of common stock must be present or represented by proxy at the Meeting in order to have a quorum. If you have properly voted by proxy online, by phone, or via mail, you will be considered part of the quorum. We will count “abstain” and “withhold”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w:t>
      </w:r>
    </w:p>
    <w:p>
      <w:pPr>
        <w:spacing w:after="0" w:line="178"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affirmative vote of the majority of shares represented at the meeting and voting on the proposal will determine the outcome of the ratification of the independent registered public accounting firm. For each of these proposals, “abstain” votes and broker non-votes, if any, though counted for purposes of establishing a quorum, will have no effect on the outcome of the vote.</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inspector of elections appointed for the Meeting will separately tabulate affirmative votes, “against” votes or “withhold” votes, as applicable, “abstain” votes and broker non-votes.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named proxies for the Meeting are Jennifer Gordon and David Stiepleman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 Regarding This Proxy</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Company will pay the expenses of soliciting proxies to be voted at the Meeting. The Company has retained Broadridge Investor Communications Solutions, Inc. to assist with the distribution and collection of proxies for a fee of approximately $50,000, plus reimbursement of expenses.</w:t>
      </w:r>
    </w:p>
    <w:p>
      <w:pPr>
        <w:spacing w:after="0" w:line="124"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employees of TSL Advisers, LLC, the Company’s investment adviser (the “Adviser”). No additional compensation will be paid to such directors, officers or regular employees for such services. The address of the Adviser is 301 Commerce Street, Suite 3300, Fort Worth, TX 76102.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66"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You can contact us by mail sent to the attention of the Secretary of the Company, Jennifer Gordon, TPG Specialty Lending, Inc., 888 7</w:t>
      </w:r>
      <w:r>
        <w:rPr>
          <w:rFonts w:ascii="Arial" w:cs="Arial" w:eastAsia="Arial" w:hAnsi="Arial"/>
          <w:sz w:val="13"/>
          <w:szCs w:val="13"/>
          <w:color w:val="auto"/>
        </w:rPr>
        <w:t>th</w:t>
      </w:r>
      <w:r>
        <w:rPr>
          <w:rFonts w:ascii="Arial" w:cs="Arial" w:eastAsia="Arial" w:hAnsi="Arial"/>
          <w:sz w:val="16"/>
          <w:szCs w:val="16"/>
          <w:color w:val="auto"/>
        </w:rPr>
        <w:t xml:space="preserve">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NY 10106. You can call us by dialing (212) 601-4753. You can access our proxy materials online at www.proxyvote.com.</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24, 2017,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percentage ownership is based on 59,839,041 shares of common stock outstanding as of March 24, 2017.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8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8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9"/>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8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8440" w:type="dxa"/>
            <w:vAlign w:val="bottom"/>
            <w:gridSpan w:val="2"/>
            <w:vMerge w:val="continue"/>
          </w:tcPr>
          <w:p>
            <w:pPr>
              <w:spacing w:after="0"/>
              <w:rPr>
                <w:sz w:val="14"/>
                <w:szCs w:val="14"/>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96"/>
        </w:trPr>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Directors and Executive Officers:</w:t>
            </w:r>
          </w:p>
        </w:tc>
        <w:tc>
          <w:tcPr>
            <w:tcW w:w="59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Joshua Easterly</w:t>
            </w:r>
            <w:r>
              <w:rPr>
                <w:rFonts w:ascii="Arial" w:cs="Arial" w:eastAsia="Arial" w:hAnsi="Arial"/>
                <w:sz w:val="15"/>
                <w:szCs w:val="15"/>
                <w:color w:val="auto"/>
              </w:rPr>
              <w:t>(2)</w:t>
            </w:r>
            <w:r>
              <w:rPr>
                <w:rFonts w:ascii="Arial" w:cs="Arial" w:eastAsia="Arial" w:hAnsi="Arial"/>
                <w:sz w:val="18"/>
                <w:szCs w:val="18"/>
                <w:color w:val="auto"/>
              </w:rPr>
              <w:t xml:space="preserve"> (Director Nominee)</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33,088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Michael Fishman (Director Nominee)</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36,366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Richard Higginbotham</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10,000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Ross</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17,701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56,516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Ian Simmonds</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2,150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Robert (Bo) Stanley</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2,788</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(14 persons)</w:t>
            </w:r>
            <w:r>
              <w:rPr>
                <w:rFonts w:ascii="Arial" w:cs="Arial" w:eastAsia="Arial" w:hAnsi="Arial"/>
                <w:sz w:val="15"/>
                <w:szCs w:val="15"/>
                <w:color w:val="auto"/>
              </w:rPr>
              <w:t>(3)(4)</w:t>
            </w:r>
          </w:p>
        </w:tc>
        <w:tc>
          <w:tcPr>
            <w:tcW w:w="960" w:type="dxa"/>
            <w:vAlign w:val="bottom"/>
          </w:tcPr>
          <w:p>
            <w:pPr>
              <w:jc w:val="right"/>
              <w:spacing w:after="0"/>
              <w:rPr>
                <w:sz w:val="20"/>
                <w:szCs w:val="20"/>
                <w:color w:val="auto"/>
              </w:rPr>
            </w:pPr>
            <w:r>
              <w:rPr>
                <w:rFonts w:ascii="Arial" w:cs="Arial" w:eastAsia="Arial" w:hAnsi="Arial"/>
                <w:sz w:val="18"/>
                <w:szCs w:val="18"/>
                <w:color w:val="auto"/>
              </w:rPr>
              <w:t>2,862,245</w:t>
            </w:r>
          </w:p>
        </w:tc>
        <w:tc>
          <w:tcPr>
            <w:tcW w:w="8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Division of Investment, Department of Treasury, State of New Jersey</w:t>
            </w:r>
            <w:r>
              <w:rPr>
                <w:rFonts w:ascii="Arial" w:cs="Arial" w:eastAsia="Arial" w:hAnsi="Arial"/>
                <w:sz w:val="15"/>
                <w:szCs w:val="15"/>
                <w:color w:val="auto"/>
              </w:rPr>
              <w:t>(5)</w:t>
            </w:r>
          </w:p>
        </w:tc>
        <w:tc>
          <w:tcPr>
            <w:tcW w:w="960" w:type="dxa"/>
            <w:vAlign w:val="bottom"/>
          </w:tcPr>
          <w:p>
            <w:pPr>
              <w:jc w:val="right"/>
              <w:spacing w:after="0"/>
              <w:rPr>
                <w:sz w:val="20"/>
                <w:szCs w:val="20"/>
                <w:color w:val="auto"/>
              </w:rPr>
            </w:pPr>
            <w:r>
              <w:rPr>
                <w:rFonts w:ascii="Arial" w:cs="Arial" w:eastAsia="Arial" w:hAnsi="Arial"/>
                <w:sz w:val="18"/>
                <w:szCs w:val="18"/>
                <w:color w:val="auto"/>
              </w:rPr>
              <w:t>5,800,000</w:t>
            </w:r>
          </w:p>
        </w:tc>
        <w:tc>
          <w:tcPr>
            <w:tcW w:w="8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State Teachers Retirement Board of Ohio</w:t>
            </w:r>
            <w:r>
              <w:rPr>
                <w:rFonts w:ascii="Arial" w:cs="Arial" w:eastAsia="Arial" w:hAnsi="Arial"/>
                <w:sz w:val="15"/>
                <w:szCs w:val="15"/>
                <w:color w:val="auto"/>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4,357,090</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Universities Superannuation Scheme Ltd.</w:t>
            </w:r>
            <w:r>
              <w:rPr>
                <w:rFonts w:ascii="Arial" w:cs="Arial" w:eastAsia="Arial" w:hAnsi="Arial"/>
                <w:sz w:val="15"/>
                <w:szCs w:val="15"/>
                <w:color w:val="auto"/>
              </w:rPr>
              <w:t>(7)</w:t>
            </w:r>
          </w:p>
        </w:tc>
        <w:tc>
          <w:tcPr>
            <w:tcW w:w="960" w:type="dxa"/>
            <w:vAlign w:val="bottom"/>
          </w:tcPr>
          <w:p>
            <w:pPr>
              <w:jc w:val="right"/>
              <w:spacing w:after="0"/>
              <w:rPr>
                <w:sz w:val="20"/>
                <w:szCs w:val="20"/>
                <w:color w:val="auto"/>
              </w:rPr>
            </w:pPr>
            <w:r>
              <w:rPr>
                <w:rFonts w:ascii="Arial" w:cs="Arial" w:eastAsia="Arial" w:hAnsi="Arial"/>
                <w:sz w:val="18"/>
                <w:szCs w:val="18"/>
                <w:color w:val="auto"/>
              </w:rPr>
              <w:t>3,488,476</w:t>
            </w:r>
          </w:p>
        </w:tc>
        <w:tc>
          <w:tcPr>
            <w:tcW w:w="8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&amp; Company</w:t>
            </w:r>
            <w:r>
              <w:rPr>
                <w:rFonts w:ascii="Arial" w:cs="Arial" w:eastAsia="Arial" w:hAnsi="Arial"/>
                <w:sz w:val="15"/>
                <w:szCs w:val="15"/>
                <w:color w:val="auto"/>
              </w:rPr>
              <w:t>(8)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3,487,095</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(9)</w:t>
            </w:r>
          </w:p>
        </w:tc>
        <w:tc>
          <w:tcPr>
            <w:tcW w:w="960" w:type="dxa"/>
            <w:vAlign w:val="bottom"/>
          </w:tcPr>
          <w:p>
            <w:pPr>
              <w:jc w:val="right"/>
              <w:spacing w:after="0"/>
              <w:rPr>
                <w:sz w:val="20"/>
                <w:szCs w:val="20"/>
                <w:color w:val="auto"/>
              </w:rPr>
            </w:pPr>
            <w:r>
              <w:rPr>
                <w:rFonts w:ascii="Arial" w:cs="Arial" w:eastAsia="Arial" w:hAnsi="Arial"/>
                <w:sz w:val="18"/>
                <w:szCs w:val="18"/>
                <w:color w:val="auto"/>
              </w:rPr>
              <w:t>3,344,041</w:t>
            </w:r>
          </w:p>
        </w:tc>
        <w:tc>
          <w:tcPr>
            <w:tcW w:w="8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460" w:right="40" w:hanging="452"/>
        <w:spacing w:after="0" w:line="26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8,625 shares of common stock beneficially owned by Mr. Easterly have been pledged as security in connection with a line of credit with a third party financial institution unaffiliated with the Company.</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 14,169 shares of common stock beneficially owned by certain officers have been pledged as security in connection with lines of credit with a third party financial institution unaffiliated with the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TSL Advisers holds 2,732,307 shares of common stock, or the TSL Advisers Shares.</w:t>
      </w:r>
    </w:p>
    <w:p>
      <w:pPr>
        <w:spacing w:after="0" w:line="9" w:lineRule="exact"/>
        <w:rPr>
          <w:rFonts w:ascii="Arial" w:cs="Arial" w:eastAsia="Arial" w:hAnsi="Arial"/>
          <w:sz w:val="18"/>
          <w:szCs w:val="18"/>
          <w:color w:val="auto"/>
        </w:rPr>
      </w:pPr>
    </w:p>
    <w:p>
      <w:pPr>
        <w:ind w:left="460" w:right="100"/>
        <w:spacing w:after="0" w:line="250"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(“TSSP”),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1" w:lineRule="exact"/>
        <w:rPr>
          <w:rFonts w:ascii="Arial" w:cs="Arial" w:eastAsia="Arial" w:hAnsi="Arial"/>
          <w:sz w:val="18"/>
          <w:szCs w:val="18"/>
          <w:color w:val="auto"/>
        </w:rPr>
      </w:pPr>
    </w:p>
    <w:p>
      <w:pPr>
        <w:ind w:left="460" w:right="120"/>
        <w:spacing w:after="0" w:line="250"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1"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9"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all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1"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upon a Schedule 13G filed with the SEC on January 27, 2017 by Wells Fargo &amp; Company on its own behalf and on behalf of certain subsidiaries. The address of Wells Fargo &amp; Company is 420 Montgomery Street, San Francisco, CA 94163.</w:t>
      </w: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14, 2017 by FMR LLC and Abigail P. Johnson. As of February 14, 2017 FMR LLC had</w:t>
      </w:r>
    </w:p>
    <w:p>
      <w:pPr>
        <w:spacing w:after="0" w:line="32" w:lineRule="exact"/>
        <w:rPr>
          <w:rFonts w:ascii="Arial" w:cs="Arial" w:eastAsia="Arial" w:hAnsi="Arial"/>
          <w:sz w:val="16"/>
          <w:szCs w:val="16"/>
          <w:color w:val="auto"/>
        </w:rPr>
      </w:pPr>
    </w:p>
    <w:p>
      <w:pPr>
        <w:ind w:left="460" w:right="120"/>
        <w:spacing w:after="0" w:line="267" w:lineRule="auto"/>
        <w:rPr>
          <w:rFonts w:ascii="Arial" w:cs="Arial" w:eastAsia="Arial" w:hAnsi="Arial"/>
          <w:sz w:val="16"/>
          <w:szCs w:val="16"/>
          <w:color w:val="auto"/>
        </w:rPr>
      </w:pPr>
      <w:r>
        <w:rPr>
          <w:rFonts w:ascii="Arial" w:cs="Arial" w:eastAsia="Arial" w:hAnsi="Arial"/>
          <w:sz w:val="17"/>
          <w:szCs w:val="17"/>
          <w:color w:val="auto"/>
        </w:rPr>
        <w:t>(i) sole power to vote 123,864 shares and (ii) sole power to dispose of 3,344,041 shares. Abigail P. Johnson had sole power to dispose of 3,344,041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as amended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our certificate of incorporation, our Board consists of five members. The Board is divided into three classes, with the members of each class each serving staggered, three-year terms. The terms of our Class I directors will expire at the 2018 annual meeting of stockholders; the term of our Class II director will expire at the 2019 annual meeting of stockholders; and the terms of our Class III directors will expire at the Meeting.</w:t>
      </w:r>
    </w:p>
    <w:p>
      <w:pPr>
        <w:spacing w:after="0" w:line="16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Board has nominated Joshua Easterly and Michael Fishman as Class III directors, each to serve until his successor is duly elected and qualified at the annual meeting of stockholders held in 2020 or until his earlier death, resignation or removal. Messrs. Easterly and Fishman are currently directors of TSLX.</w:t>
      </w:r>
    </w:p>
    <w:p>
      <w:pPr>
        <w:spacing w:after="0" w:line="18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Messrs. Easterly and Fishman have consented to being named in this proxy statement and to serving as directors if elected at the Meeting. If, for any reason, either or both of them become unable or unwilling to serve at the time of the Meeting, the persons named as proxies in the proxy will have the authority to vote for a substitute nominee or nominees. We do not anticipate that either Mr. Easterly or Mr. Fishman will be unable or unwilling to serve.</w:t>
      </w:r>
    </w:p>
    <w:p>
      <w:pPr>
        <w:spacing w:after="0" w:line="14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Messers. Easterly and Fishman are considered “interested persons” of the Company, of the Adviser, and of certain of their respective affiliates as defined in Section 2(a)(19) of the Investment Company Act of 1940 (the “1940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stockholders vote “FOR” the Company’s nominees for Class III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Set forth below are brief biographies of Messrs. Easterly and Fishman and of all other members of the Board who will continue in office.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Nominees for Election as Class III Director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Age</w:t>
            </w:r>
          </w:p>
        </w:tc>
        <w:tc>
          <w:tcPr>
            <w:tcW w:w="5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Position</w:t>
            </w: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Expiration of Term</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Director Since</w:t>
            </w: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Joshua Easterly</w:t>
            </w: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38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Chairman, Director and Co-Chief Executive Officer</w:t>
            </w:r>
          </w:p>
        </w:tc>
        <w:tc>
          <w:tcPr>
            <w:tcW w:w="4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4"/>
              </w:rPr>
              <w:t>2017</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Michael Fishman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380" w:type="dxa"/>
            <w:vAlign w:val="bottom"/>
          </w:tcPr>
          <w:p>
            <w:pPr>
              <w:spacing w:after="0"/>
              <w:rPr>
                <w:sz w:val="20"/>
                <w:szCs w:val="20"/>
                <w:color w:val="auto"/>
              </w:rPr>
            </w:pPr>
          </w:p>
        </w:tc>
        <w:tc>
          <w:tcPr>
            <w:tcW w:w="56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Director and Co-Chief Executive Officer</w:t>
            </w:r>
          </w:p>
        </w:tc>
        <w:tc>
          <w:tcPr>
            <w:tcW w:w="1640" w:type="dxa"/>
            <w:vAlign w:val="bottom"/>
            <w:gridSpan w:val="2"/>
          </w:tcPr>
          <w:p>
            <w:pPr>
              <w:ind w:left="820"/>
              <w:spacing w:after="0"/>
              <w:rPr>
                <w:sz w:val="20"/>
                <w:szCs w:val="20"/>
                <w:color w:val="auto"/>
              </w:rPr>
            </w:pPr>
            <w:r>
              <w:rPr>
                <w:rFonts w:ascii="Arial" w:cs="Arial" w:eastAsia="Arial" w:hAnsi="Arial"/>
                <w:sz w:val="18"/>
                <w:szCs w:val="18"/>
                <w:color w:val="auto"/>
              </w:rPr>
              <w:t>2017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2011</w:t>
            </w:r>
          </w:p>
        </w:tc>
      </w:tr>
    </w:tbl>
    <w:p>
      <w:pPr>
        <w:spacing w:after="0" w:line="18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color w:val="auto"/>
        </w:rPr>
        <w:t xml:space="preserve">Joshua Easterly </w:t>
      </w:r>
      <w:r>
        <w:rPr>
          <w:rFonts w:ascii="Arial" w:cs="Arial" w:eastAsia="Arial" w:hAnsi="Arial"/>
          <w:sz w:val="17"/>
          <w:szCs w:val="17"/>
          <w:color w:val="auto"/>
        </w:rPr>
        <w:t>was appointed Co-Chief Executive Officer in December 2013 and elected a director and Chairman of TSLX in March 2011.</w:t>
      </w:r>
      <w:r>
        <w:rPr>
          <w:rFonts w:ascii="Arial" w:cs="Arial" w:eastAsia="Arial" w:hAnsi="Arial"/>
          <w:sz w:val="17"/>
          <w:szCs w:val="17"/>
          <w:b w:val="1"/>
          <w:bCs w:val="1"/>
          <w:color w:val="auto"/>
        </w:rPr>
        <w:t xml:space="preserve"> </w:t>
      </w:r>
      <w:r>
        <w:rPr>
          <w:rFonts w:ascii="Arial" w:cs="Arial" w:eastAsia="Arial" w:hAnsi="Arial"/>
          <w:sz w:val="17"/>
          <w:szCs w:val="17"/>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holds a Bachelor of Science in Business Administration, magna cum laude, from California State University, Fresno. Mr. Easterly’s depth of experience investing in a variety of distressed and special situations transactions, as well as his extensive knowledge of the business and operations of TSSP, provides the Board with valuable insight and expertise.</w:t>
      </w:r>
    </w:p>
    <w:p>
      <w:pPr>
        <w:spacing w:after="0" w:line="174" w:lineRule="exact"/>
        <w:rPr>
          <w:sz w:val="20"/>
          <w:szCs w:val="20"/>
          <w:color w:val="auto"/>
        </w:rPr>
      </w:pPr>
    </w:p>
    <w:p>
      <w:pPr>
        <w:ind w:right="1040" w:firstLine="456"/>
        <w:spacing w:after="0" w:line="282" w:lineRule="auto"/>
        <w:rPr>
          <w:sz w:val="20"/>
          <w:szCs w:val="20"/>
          <w:color w:val="auto"/>
        </w:rPr>
      </w:pPr>
      <w:r>
        <w:rPr>
          <w:rFonts w:ascii="Arial" w:cs="Arial" w:eastAsia="Arial" w:hAnsi="Arial"/>
          <w:sz w:val="18"/>
          <w:szCs w:val="18"/>
          <w:b w:val="1"/>
          <w:bCs w:val="1"/>
          <w:color w:val="auto"/>
        </w:rPr>
        <w:t xml:space="preserve">Michael Fishman </w:t>
      </w:r>
      <w:r>
        <w:rPr>
          <w:rFonts w:ascii="Arial" w:cs="Arial" w:eastAsia="Arial" w:hAnsi="Arial"/>
          <w:sz w:val="18"/>
          <w:szCs w:val="18"/>
          <w:color w:val="auto"/>
        </w:rPr>
        <w:t>was appointed director and Chief Executive Officer of TSLX in April 2011 and became Co-Chief Executive Officer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2013. Mr. Fishman is a TPG and TSSP Partner. He has been 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executive in corporate lending for more than 20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Incumbent Class I Directors: Term Expiring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vMerge w:val="restart"/>
          </w:tcPr>
          <w:p>
            <w:pPr>
              <w:spacing w:after="0"/>
              <w:rPr>
                <w:sz w:val="20"/>
                <w:szCs w:val="20"/>
                <w:color w:val="auto"/>
              </w:rPr>
            </w:pPr>
            <w:r>
              <w:rPr>
                <w:rFonts w:ascii="Arial" w:cs="Arial" w:eastAsia="Arial" w:hAnsi="Arial"/>
                <w:sz w:val="18"/>
                <w:szCs w:val="18"/>
                <w:color w:val="auto"/>
              </w:rPr>
              <w:t>Richard Higginbotham</w:t>
            </w:r>
          </w:p>
        </w:tc>
        <w:tc>
          <w:tcPr>
            <w:tcW w:w="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Age</w:t>
            </w:r>
          </w:p>
        </w:tc>
        <w:tc>
          <w:tcPr>
            <w:tcW w:w="4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Position</w:t>
            </w: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Expiration of Term</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Director Since</w:t>
            </w:r>
          </w:p>
        </w:tc>
        <w:tc>
          <w:tcPr>
            <w:tcW w:w="0" w:type="dxa"/>
            <w:vAlign w:val="bottom"/>
          </w:tcPr>
          <w:p>
            <w:pPr>
              <w:spacing w:after="0"/>
              <w:rPr>
                <w:sz w:val="1"/>
                <w:szCs w:val="1"/>
                <w:color w:val="auto"/>
              </w:rPr>
            </w:pPr>
          </w:p>
        </w:tc>
      </w:tr>
      <w:tr>
        <w:trPr>
          <w:trHeight w:val="195"/>
        </w:trPr>
        <w:tc>
          <w:tcPr>
            <w:tcW w:w="4200" w:type="dxa"/>
            <w:vAlign w:val="bottom"/>
            <w:vMerge w:val="continue"/>
          </w:tcPr>
          <w:p>
            <w:pPr>
              <w:spacing w:after="0"/>
              <w:rPr>
                <w:sz w:val="16"/>
                <w:szCs w:val="16"/>
                <w:color w:val="auto"/>
              </w:rPr>
            </w:pPr>
          </w:p>
        </w:tc>
        <w:tc>
          <w:tcPr>
            <w:tcW w:w="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69</w:t>
            </w:r>
          </w:p>
        </w:tc>
        <w:tc>
          <w:tcPr>
            <w:tcW w:w="38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Director (Independent)</w:t>
            </w:r>
          </w:p>
        </w:tc>
        <w:tc>
          <w:tcPr>
            <w:tcW w:w="400" w:type="dxa"/>
            <w:vAlign w:val="bottom"/>
          </w:tcPr>
          <w:p>
            <w:pPr>
              <w:spacing w:after="0"/>
              <w:rPr>
                <w:sz w:val="16"/>
                <w:szCs w:val="16"/>
                <w:color w:val="auto"/>
              </w:rPr>
            </w:pPr>
          </w:p>
        </w:tc>
        <w:tc>
          <w:tcPr>
            <w:tcW w:w="1180" w:type="dxa"/>
            <w:vAlign w:val="bottom"/>
            <w:tcBorders>
              <w:top w:val="single" w:sz="8" w:color="auto"/>
            </w:tcBorders>
          </w:tcPr>
          <w:p>
            <w:pPr>
              <w:ind w:left="820"/>
              <w:spacing w:after="0" w:line="195" w:lineRule="exact"/>
              <w:rPr>
                <w:sz w:val="20"/>
                <w:szCs w:val="20"/>
                <w:color w:val="auto"/>
              </w:rPr>
            </w:pPr>
            <w:r>
              <w:rPr>
                <w:rFonts w:ascii="Arial" w:cs="Arial" w:eastAsia="Arial" w:hAnsi="Arial"/>
                <w:sz w:val="18"/>
                <w:szCs w:val="18"/>
                <w:color w:val="auto"/>
                <w:w w:val="84"/>
              </w:rPr>
              <w:t>2018</w:t>
            </w:r>
          </w:p>
        </w:tc>
        <w:tc>
          <w:tcPr>
            <w:tcW w:w="460" w:type="dxa"/>
            <w:vAlign w:val="bottom"/>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Ronald Tanemura</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80" w:type="dxa"/>
            <w:vAlign w:val="bottom"/>
          </w:tcPr>
          <w:p>
            <w:pPr>
              <w:spacing w:after="0"/>
              <w:rPr>
                <w:sz w:val="20"/>
                <w:szCs w:val="20"/>
                <w:color w:val="auto"/>
              </w:rPr>
            </w:pPr>
          </w:p>
        </w:tc>
        <w:tc>
          <w:tcPr>
            <w:tcW w:w="400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Director (Independent)</w:t>
            </w:r>
          </w:p>
        </w:tc>
        <w:tc>
          <w:tcPr>
            <w:tcW w:w="1640" w:type="dxa"/>
            <w:vAlign w:val="bottom"/>
            <w:gridSpan w:val="2"/>
          </w:tcPr>
          <w:p>
            <w:pPr>
              <w:ind w:left="820"/>
              <w:spacing w:after="0"/>
              <w:rPr>
                <w:sz w:val="20"/>
                <w:szCs w:val="20"/>
                <w:color w:val="auto"/>
              </w:rPr>
            </w:pPr>
            <w:r>
              <w:rPr>
                <w:rFonts w:ascii="Arial" w:cs="Arial" w:eastAsia="Arial" w:hAnsi="Arial"/>
                <w:sz w:val="18"/>
                <w:szCs w:val="18"/>
                <w:color w:val="auto"/>
              </w:rPr>
              <w:t>2018</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 xml:space="preserve">Richard Higginbotham </w:t>
      </w:r>
      <w:r>
        <w:rPr>
          <w:rFonts w:ascii="Arial" w:cs="Arial" w:eastAsia="Arial" w:hAnsi="Arial"/>
          <w:sz w:val="17"/>
          <w:szCs w:val="17"/>
          <w:color w:val="auto"/>
        </w:rPr>
        <w:t>was elected a director of TSLX in March 2011. From 2010 to 2013, he was a director of Healthcare Finance Group LLC.</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7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 xml:space="preserve">Ronald Tanemura </w:t>
      </w:r>
      <w:r>
        <w:rPr>
          <w:rFonts w:ascii="Arial" w:cs="Arial" w:eastAsia="Arial" w:hAnsi="Arial"/>
          <w:sz w:val="17"/>
          <w:szCs w:val="17"/>
          <w:color w:val="auto"/>
        </w:rPr>
        <w:t>was elected a director of TSLX in March 2011. Since 2012, Mr. Tanemura has served as a director of post-reorganization Lehman</w:t>
      </w:r>
      <w:r>
        <w:rPr>
          <w:rFonts w:ascii="Arial" w:cs="Arial" w:eastAsia="Arial" w:hAnsi="Arial"/>
          <w:sz w:val="17"/>
          <w:szCs w:val="17"/>
          <w:b w:val="1"/>
          <w:bCs w:val="1"/>
          <w:color w:val="auto"/>
        </w:rPr>
        <w:t xml:space="preserve"> </w:t>
      </w:r>
      <w:r>
        <w:rPr>
          <w:rFonts w:ascii="Arial" w:cs="Arial" w:eastAsia="Arial" w:hAnsi="Arial"/>
          <w:sz w:val="17"/>
          <w:szCs w:val="17"/>
          <w:color w:val="auto"/>
        </w:rPr>
        <w:t>Brothers Holdings Inc. in New York. Also, since November 2012, he has served as a non-executive director of ICE Clear Credit in Chicago and, since 2009, he has served as a non-executive director of ICE Clear Europe in London, both wholly owned subsidiaries of IntercontinentalExchange,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Incumbent Class II Director: Term Expiring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vMerge w:val="restart"/>
          </w:tcPr>
          <w:p>
            <w:pPr>
              <w:spacing w:after="0"/>
              <w:rPr>
                <w:sz w:val="20"/>
                <w:szCs w:val="20"/>
                <w:color w:val="auto"/>
              </w:rPr>
            </w:pPr>
            <w:r>
              <w:rPr>
                <w:rFonts w:ascii="Arial" w:cs="Arial" w:eastAsia="Arial" w:hAnsi="Arial"/>
                <w:sz w:val="18"/>
                <w:szCs w:val="18"/>
                <w:color w:val="auto"/>
              </w:rPr>
              <w:t>John Ross</w:t>
            </w:r>
          </w:p>
        </w:tc>
        <w:tc>
          <w:tcPr>
            <w:tcW w:w="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Age</w:t>
            </w:r>
          </w:p>
        </w:tc>
        <w:tc>
          <w:tcPr>
            <w:tcW w:w="4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Position</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Expiration of Term</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Director Since</w:t>
            </w:r>
          </w:p>
        </w:tc>
        <w:tc>
          <w:tcPr>
            <w:tcW w:w="0" w:type="dxa"/>
            <w:vAlign w:val="bottom"/>
          </w:tcPr>
          <w:p>
            <w:pPr>
              <w:spacing w:after="0"/>
              <w:rPr>
                <w:sz w:val="1"/>
                <w:szCs w:val="1"/>
                <w:color w:val="auto"/>
              </w:rPr>
            </w:pPr>
          </w:p>
        </w:tc>
      </w:tr>
      <w:tr>
        <w:trPr>
          <w:trHeight w:val="224"/>
        </w:trPr>
        <w:tc>
          <w:tcPr>
            <w:tcW w:w="4160" w:type="dxa"/>
            <w:vAlign w:val="bottom"/>
            <w:vMerge w:val="continue"/>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72</w:t>
            </w:r>
          </w:p>
        </w:tc>
        <w:tc>
          <w:tcPr>
            <w:tcW w:w="38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Director (Independent)</w:t>
            </w:r>
          </w:p>
        </w:tc>
        <w:tc>
          <w:tcPr>
            <w:tcW w:w="40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color w:val="auto"/>
        </w:rPr>
        <w:t xml:space="preserve">John Ross </w:t>
      </w:r>
      <w:r>
        <w:rPr>
          <w:rFonts w:ascii="Arial" w:cs="Arial" w:eastAsia="Arial" w:hAnsi="Arial"/>
          <w:sz w:val="16"/>
          <w:szCs w:val="16"/>
          <w:color w:val="auto"/>
        </w:rPr>
        <w:t>was elected a director of TSLX in March 2011. From 2003 to 2011, Mr. Ross was a director and member of the board risk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and Nominees in the Company</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sets forth the dollar range of equity securities of the Company beneficially owned by each director or director nominee as of March 24, 2017. The Company is not part of a “family of investment companies,” as that term is defined in the 1940 Act.</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560" w:type="dxa"/>
            <w:vAlign w:val="bottom"/>
            <w:gridSpan w:val="3"/>
          </w:tcPr>
          <w:p>
            <w:pPr>
              <w:ind w:left="1280"/>
              <w:spacing w:after="0"/>
              <w:rPr>
                <w:sz w:val="20"/>
                <w:szCs w:val="20"/>
                <w:color w:val="auto"/>
              </w:rPr>
            </w:pPr>
            <w:r>
              <w:rPr>
                <w:rFonts w:ascii="Arial" w:cs="Arial" w:eastAsia="Arial" w:hAnsi="Arial"/>
                <w:sz w:val="14"/>
                <w:szCs w:val="14"/>
                <w:b w:val="1"/>
                <w:bCs w:val="1"/>
                <w:color w:val="auto"/>
                <w:w w:val="95"/>
              </w:rPr>
              <w:t>Dollar Range of our Common Stock</w:t>
            </w:r>
          </w:p>
        </w:tc>
      </w:tr>
      <w:tr>
        <w:trPr>
          <w:trHeight w:val="171"/>
        </w:trPr>
        <w:tc>
          <w:tcPr>
            <w:tcW w:w="4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80" w:type="dxa"/>
            <w:vAlign w:val="bottom"/>
            <w:gridSpan w:val="2"/>
          </w:tcPr>
          <w:p>
            <w:pPr>
              <w:ind w:left="340"/>
              <w:spacing w:after="0"/>
              <w:rPr>
                <w:sz w:val="20"/>
                <w:szCs w:val="20"/>
                <w:color w:val="auto"/>
              </w:rPr>
            </w:pPr>
            <w:r>
              <w:rPr>
                <w:rFonts w:ascii="Arial" w:cs="Arial" w:eastAsia="Arial" w:hAnsi="Arial"/>
                <w:sz w:val="14"/>
                <w:szCs w:val="14"/>
                <w:b w:val="1"/>
                <w:bCs w:val="1"/>
                <w:color w:val="auto"/>
              </w:rPr>
              <w:t xml:space="preserve">Beneficially Owned </w:t>
            </w:r>
            <w:r>
              <w:rPr>
                <w:rFonts w:ascii="Arial" w:cs="Arial" w:eastAsia="Arial" w:hAnsi="Arial"/>
                <w:sz w:val="12"/>
                <w:szCs w:val="12"/>
                <w:b w:val="1"/>
                <w:bCs w:val="1"/>
                <w:color w:val="auto"/>
              </w:rPr>
              <w:t>(1) (2)</w:t>
            </w: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128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Joshua Easterly (Director Nominee)</w:t>
            </w:r>
          </w:p>
        </w:tc>
        <w:tc>
          <w:tcPr>
            <w:tcW w:w="1280" w:type="dxa"/>
            <w:vAlign w:val="bottom"/>
          </w:tcPr>
          <w:p>
            <w:pPr>
              <w:spacing w:after="0"/>
              <w:rPr>
                <w:sz w:val="18"/>
                <w:szCs w:val="18"/>
                <w:color w:val="auto"/>
              </w:rPr>
            </w:pPr>
          </w:p>
        </w:tc>
        <w:tc>
          <w:tcPr>
            <w:tcW w:w="2280" w:type="dxa"/>
            <w:vAlign w:val="bottom"/>
            <w:gridSpan w:val="2"/>
          </w:tcPr>
          <w:p>
            <w:pPr>
              <w:ind w:left="640"/>
              <w:spacing w:after="0"/>
              <w:rPr>
                <w:sz w:val="20"/>
                <w:szCs w:val="20"/>
                <w:color w:val="auto"/>
              </w:rPr>
            </w:pPr>
            <w:r>
              <w:rPr>
                <w:rFonts w:ascii="Arial" w:cs="Arial" w:eastAsia="Arial" w:hAnsi="Arial"/>
                <w:sz w:val="18"/>
                <w:szCs w:val="18"/>
                <w:color w:val="auto"/>
              </w:rPr>
              <w:t>over $100,000</w:t>
            </w: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Michael Fishman (Director Nominee)</w:t>
            </w:r>
          </w:p>
        </w:tc>
        <w:tc>
          <w:tcPr>
            <w:tcW w:w="12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over $100,000</w:t>
            </w:r>
          </w:p>
        </w:tc>
      </w:tr>
      <w:tr>
        <w:trPr>
          <w:trHeight w:val="216"/>
        </w:trPr>
        <w:tc>
          <w:tcPr>
            <w:tcW w:w="420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Richard Higginbotham</w:t>
            </w:r>
          </w:p>
        </w:tc>
        <w:tc>
          <w:tcPr>
            <w:tcW w:w="12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over $100,000</w:t>
            </w: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John Ross</w:t>
            </w:r>
          </w:p>
        </w:tc>
        <w:tc>
          <w:tcPr>
            <w:tcW w:w="1280" w:type="dxa"/>
            <w:vAlign w:val="bottom"/>
          </w:tcPr>
          <w:p>
            <w:pPr>
              <w:spacing w:after="0"/>
              <w:rPr>
                <w:sz w:val="18"/>
                <w:szCs w:val="18"/>
                <w:color w:val="auto"/>
              </w:rPr>
            </w:pPr>
          </w:p>
        </w:tc>
        <w:tc>
          <w:tcPr>
            <w:tcW w:w="2280" w:type="dxa"/>
            <w:vAlign w:val="bottom"/>
            <w:gridSpan w:val="2"/>
          </w:tcPr>
          <w:p>
            <w:pPr>
              <w:ind w:left="640"/>
              <w:spacing w:after="0"/>
              <w:rPr>
                <w:sz w:val="20"/>
                <w:szCs w:val="20"/>
                <w:color w:val="auto"/>
              </w:rPr>
            </w:pPr>
            <w:r>
              <w:rPr>
                <w:rFonts w:ascii="Arial" w:cs="Arial" w:eastAsia="Arial" w:hAnsi="Arial"/>
                <w:sz w:val="18"/>
                <w:szCs w:val="18"/>
                <w:color w:val="auto"/>
              </w:rPr>
              <w:t>over $100,000</w:t>
            </w: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Ronald Tanemura</w:t>
            </w:r>
          </w:p>
        </w:tc>
        <w:tc>
          <w:tcPr>
            <w:tcW w:w="12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23"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March 24, 2017, multiplied by the closing sale price of the Company’s common stock as reported on the New York Stock Exchange (“NYSE”) as of March 24,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Involving Directors and Nominees Adverse to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Executive Officers Who Are Not Directors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520" w:type="dxa"/>
            <w:vAlign w:val="bottom"/>
            <w:gridSpan w:val="2"/>
          </w:tcPr>
          <w:p>
            <w:pPr>
              <w:ind w:left="960"/>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7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Position</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Officer Since</w:t>
            </w:r>
          </w:p>
        </w:tc>
      </w:tr>
      <w:tr>
        <w:trPr>
          <w:trHeight w:val="195"/>
        </w:trPr>
        <w:tc>
          <w:tcPr>
            <w:tcW w:w="20" w:type="dxa"/>
            <w:vAlign w:val="bottom"/>
          </w:tcPr>
          <w:p>
            <w:pPr>
              <w:spacing w:after="0"/>
              <w:rPr>
                <w:sz w:val="16"/>
                <w:szCs w:val="16"/>
                <w:color w:val="auto"/>
              </w:rPr>
            </w:pPr>
          </w:p>
        </w:tc>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Jennifer Gordon</w:t>
            </w:r>
          </w:p>
        </w:tc>
        <w:tc>
          <w:tcPr>
            <w:tcW w:w="220" w:type="dxa"/>
            <w:vAlign w:val="bottom"/>
          </w:tcPr>
          <w:p>
            <w:pPr>
              <w:spacing w:after="0"/>
              <w:rPr>
                <w:sz w:val="16"/>
                <w:szCs w:val="16"/>
                <w:color w:val="auto"/>
              </w:rPr>
            </w:pP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16"/>
                <w:szCs w:val="16"/>
                <w:color w:val="auto"/>
              </w:rPr>
            </w:pPr>
          </w:p>
        </w:tc>
        <w:tc>
          <w:tcPr>
            <w:tcW w:w="7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Chief Compliance Officer, Vice President and Secretary</w:t>
            </w:r>
          </w:p>
        </w:tc>
        <w:tc>
          <w:tcPr>
            <w:tcW w:w="22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2015</w:t>
            </w:r>
          </w:p>
        </w:tc>
        <w:tc>
          <w:tcPr>
            <w:tcW w:w="20" w:type="dxa"/>
            <w:vAlign w:val="bottom"/>
          </w:tcPr>
          <w:p>
            <w:pPr>
              <w:spacing w:after="0"/>
              <w:rPr>
                <w:sz w:val="16"/>
                <w:szCs w:val="16"/>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Michael Graf</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220" w:type="dxa"/>
            <w:vAlign w:val="bottom"/>
          </w:tcPr>
          <w:p>
            <w:pPr>
              <w:spacing w:after="0"/>
              <w:rPr>
                <w:sz w:val="18"/>
                <w:szCs w:val="18"/>
                <w:color w:val="auto"/>
              </w:rPr>
            </w:pPr>
          </w:p>
        </w:tc>
        <w:tc>
          <w:tcPr>
            <w:tcW w:w="75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Vice President and Principal Accounting Officer</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2015</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Craig Hamrah</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18"/>
                <w:szCs w:val="18"/>
                <w:color w:val="auto"/>
              </w:rPr>
            </w:pPr>
          </w:p>
        </w:tc>
        <w:tc>
          <w:tcPr>
            <w:tcW w:w="75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Vice President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2016</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Steven Pluss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8"/>
                <w:szCs w:val="18"/>
                <w:color w:val="auto"/>
              </w:rPr>
            </w:pPr>
          </w:p>
        </w:tc>
        <w:tc>
          <w:tcPr>
            <w:tcW w:w="75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Vice President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Ian Simmonds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18"/>
                <w:szCs w:val="18"/>
                <w:color w:val="auto"/>
              </w:rPr>
            </w:pPr>
          </w:p>
        </w:tc>
        <w:tc>
          <w:tcPr>
            <w:tcW w:w="75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2015</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Robert (Bo) Stanley</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18"/>
                <w:szCs w:val="18"/>
                <w:color w:val="auto"/>
              </w:rPr>
            </w:pPr>
          </w:p>
        </w:tc>
        <w:tc>
          <w:tcPr>
            <w:tcW w:w="75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President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2016</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Thomas Steiglehner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18"/>
                <w:szCs w:val="18"/>
                <w:color w:val="auto"/>
              </w:rPr>
            </w:pPr>
          </w:p>
        </w:tc>
        <w:tc>
          <w:tcPr>
            <w:tcW w:w="75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Vice President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2016</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David Stiepleman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18"/>
                <w:szCs w:val="18"/>
                <w:color w:val="auto"/>
              </w:rPr>
            </w:pPr>
          </w:p>
        </w:tc>
        <w:tc>
          <w:tcPr>
            <w:tcW w:w="75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Vice President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2011</w:t>
            </w:r>
          </w:p>
        </w:tc>
      </w:tr>
      <w:tr>
        <w:trPr>
          <w:trHeight w:val="230"/>
        </w:trPr>
        <w:tc>
          <w:tcPr>
            <w:tcW w:w="2540" w:type="dxa"/>
            <w:vAlign w:val="bottom"/>
            <w:gridSpan w:val="3"/>
          </w:tcPr>
          <w:p>
            <w:pPr>
              <w:spacing w:after="0"/>
              <w:rPr>
                <w:sz w:val="20"/>
                <w:szCs w:val="20"/>
                <w:color w:val="auto"/>
              </w:rPr>
            </w:pPr>
            <w:r>
              <w:rPr>
                <w:rFonts w:ascii="Arial" w:cs="Arial" w:eastAsia="Arial" w:hAnsi="Arial"/>
                <w:sz w:val="18"/>
                <w:szCs w:val="18"/>
                <w:color w:val="auto"/>
              </w:rPr>
              <w:t>Alan Waxman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20"/>
                <w:szCs w:val="20"/>
                <w:color w:val="auto"/>
              </w:rPr>
            </w:pPr>
          </w:p>
        </w:tc>
        <w:tc>
          <w:tcPr>
            <w:tcW w:w="75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Vice President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2011</w:t>
            </w:r>
          </w:p>
        </w:tc>
      </w:tr>
    </w:tbl>
    <w:p>
      <w:pPr>
        <w:spacing w:after="0" w:line="198"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 xml:space="preserve">Jennifer Gordon </w:t>
      </w:r>
      <w:r>
        <w:rPr>
          <w:rFonts w:ascii="Arial" w:cs="Arial" w:eastAsia="Arial" w:hAnsi="Arial"/>
          <w:sz w:val="18"/>
          <w:szCs w:val="18"/>
          <w:color w:val="auto"/>
        </w:rPr>
        <w:t>is Chief Compliance Officer, Vice President and Secretary of TSLX. Ms. Gordon is a Partner and the Chief Compliance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Deputy Chief Operating Officer of TSSP. Prior to joining TSSP, from 2004 to 2014, she held various positions at Goldman, Sachs &amp; Co., including most recently as Co-Head of Americas Securities Division Compliance. Ms. Gordon holds a J.D. from Fordham University School of Law and B.A. from the University of Michigan.</w:t>
      </w:r>
    </w:p>
    <w:p>
      <w:pPr>
        <w:spacing w:after="0" w:line="180"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Michael Graf </w:t>
      </w:r>
      <w:r>
        <w:rPr>
          <w:rFonts w:ascii="Arial" w:cs="Arial" w:eastAsia="Arial" w:hAnsi="Arial"/>
          <w:sz w:val="18"/>
          <w:szCs w:val="18"/>
          <w:color w:val="auto"/>
        </w:rPr>
        <w:t>is a Vice President and Principal Accounting Officer of TSLX. Mr. Graf has been TSLX’s Controller since 2013. From 2010 to 2013,</w:t>
      </w:r>
      <w:r>
        <w:rPr>
          <w:rFonts w:ascii="Arial" w:cs="Arial" w:eastAsia="Arial" w:hAnsi="Arial"/>
          <w:sz w:val="18"/>
          <w:szCs w:val="18"/>
          <w:b w:val="1"/>
          <w:bCs w:val="1"/>
          <w:color w:val="auto"/>
        </w:rPr>
        <w:t xml:space="preserve"> </w:t>
      </w:r>
      <w:r>
        <w:rPr>
          <w:rFonts w:ascii="Arial" w:cs="Arial" w:eastAsia="Arial" w:hAnsi="Arial"/>
          <w:sz w:val="18"/>
          <w:szCs w:val="18"/>
          <w:color w:val="auto"/>
        </w:rPr>
        <w:t>Mr. Graf was a Vice President in Alternative Investments at U.S. Bancorp Fund Services, LLC. From 2006 to 2010, Mr. Graf was an Accounting Manager at GSC Group, Inc., a</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private investment firm. Prior to working at GSC Group Inc., Mr. Graf worked in public accounting at KPMG from 2004 to 2006. Mr. Graf holds a B.S. in Finance and Accounting from the Leonard N. Stern School of Business at New York University. He is a Certified Public Accountant.</w:t>
      </w:r>
    </w:p>
    <w:p>
      <w:pPr>
        <w:spacing w:after="0" w:line="143"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b w:val="1"/>
          <w:bCs w:val="1"/>
          <w:color w:val="auto"/>
        </w:rPr>
        <w:t xml:space="preserve">Craig Hamrah </w:t>
      </w:r>
      <w:r>
        <w:rPr>
          <w:rFonts w:ascii="Arial" w:cs="Arial" w:eastAsia="Arial" w:hAnsi="Arial"/>
          <w:sz w:val="16"/>
          <w:szCs w:val="16"/>
          <w:color w:val="auto"/>
        </w:rPr>
        <w:t>is a Vice President, Senior Credit Underwriter of the Adviser and Managing Director of TSSP. Mr. Hamrah was previously with Silver</w:t>
      </w:r>
      <w:r>
        <w:rPr>
          <w:rFonts w:ascii="Arial" w:cs="Arial" w:eastAsia="Arial" w:hAnsi="Arial"/>
          <w:sz w:val="16"/>
          <w:szCs w:val="16"/>
          <w:b w:val="1"/>
          <w:bCs w:val="1"/>
          <w:color w:val="auto"/>
        </w:rPr>
        <w:t xml:space="preserve"> </w:t>
      </w:r>
      <w:r>
        <w:rPr>
          <w:rFonts w:ascii="Arial" w:cs="Arial" w:eastAsia="Arial" w:hAnsi="Arial"/>
          <w:sz w:val="16"/>
          <w:szCs w:val="16"/>
          <w:color w:val="auto"/>
        </w:rPr>
        <w:t>Point Capital, where he was a senior deal underwriter in the private finance group. From 2004 to 2005, Mr. Hamrah was a Senior Vice President at the Royal Bank of Scotland. From 1997 to 2004, Mr. Hamrah was an Executive Vice President at Emigrant Savings Bank. Mr. Hamrah started his career at The CIT Group in 1990 working in the commercial finance and equipment finance divisions. He holds a B.A. in Business Economics from Brown University.</w:t>
      </w:r>
    </w:p>
    <w:p>
      <w:pPr>
        <w:spacing w:after="0" w:line="151"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TSLX. He is also a TPG and TSSP Partner and has been the Chief Risk Officer of TSSP since 2013,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from 2013 to 2016.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84" w:lineRule="exact"/>
        <w:rPr>
          <w:sz w:val="20"/>
          <w:szCs w:val="20"/>
          <w:color w:val="auto"/>
        </w:rPr>
      </w:pPr>
    </w:p>
    <w:p>
      <w:pPr>
        <w:ind w:right="20" w:firstLine="456"/>
        <w:spacing w:after="0" w:line="295" w:lineRule="auto"/>
        <w:rPr>
          <w:sz w:val="20"/>
          <w:szCs w:val="20"/>
          <w:color w:val="auto"/>
        </w:rPr>
      </w:pPr>
      <w:r>
        <w:rPr>
          <w:rFonts w:ascii="Arial" w:cs="Arial" w:eastAsia="Arial" w:hAnsi="Arial"/>
          <w:sz w:val="16"/>
          <w:szCs w:val="16"/>
          <w:b w:val="1"/>
          <w:bCs w:val="1"/>
          <w:color w:val="auto"/>
        </w:rPr>
        <w:t xml:space="preserve">Ian Simmonds </w:t>
      </w:r>
      <w:r>
        <w:rPr>
          <w:rFonts w:ascii="Arial" w:cs="Arial" w:eastAsia="Arial" w:hAnsi="Arial"/>
          <w:sz w:val="16"/>
          <w:szCs w:val="16"/>
          <w:color w:val="auto"/>
        </w:rPr>
        <w:t>is the Chief Financial Officer of TSLX and a Managing Director of TSSP. From 2005 to 2015, Mr. Simmonds was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156" w:lineRule="exact"/>
        <w:rPr>
          <w:sz w:val="20"/>
          <w:szCs w:val="20"/>
          <w:color w:val="auto"/>
        </w:rPr>
      </w:pPr>
    </w:p>
    <w:p>
      <w:pPr>
        <w:ind w:right="120" w:firstLine="456"/>
        <w:spacing w:after="0" w:line="303" w:lineRule="auto"/>
        <w:rPr>
          <w:sz w:val="20"/>
          <w:szCs w:val="20"/>
          <w:color w:val="auto"/>
        </w:rPr>
      </w:pPr>
      <w:r>
        <w:rPr>
          <w:rFonts w:ascii="Arial" w:cs="Arial" w:eastAsia="Arial" w:hAnsi="Arial"/>
          <w:sz w:val="16"/>
          <w:szCs w:val="16"/>
          <w:b w:val="1"/>
          <w:bCs w:val="1"/>
          <w:color w:val="auto"/>
        </w:rPr>
        <w:t xml:space="preserve">Robert (“Bo”) Stanley </w:t>
      </w:r>
      <w:r>
        <w:rPr>
          <w:rFonts w:ascii="Arial" w:cs="Arial" w:eastAsia="Arial" w:hAnsi="Arial"/>
          <w:sz w:val="16"/>
          <w:szCs w:val="16"/>
          <w:color w:val="auto"/>
        </w:rPr>
        <w:t>is President of TSLX and a Partner of TSSP. Mr. Stanley was previously with Wells Fargo Capital Finance, a provider of</w:t>
      </w:r>
      <w:r>
        <w:rPr>
          <w:rFonts w:ascii="Arial" w:cs="Arial" w:eastAsia="Arial" w:hAnsi="Arial"/>
          <w:sz w:val="16"/>
          <w:szCs w:val="16"/>
          <w:b w:val="1"/>
          <w:bCs w:val="1"/>
          <w:color w:val="auto"/>
        </w:rPr>
        <w:t xml:space="preserve"> </w:t>
      </w:r>
      <w:r>
        <w:rPr>
          <w:rFonts w:ascii="Arial" w:cs="Arial" w:eastAsia="Arial" w:hAnsi="Arial"/>
          <w:sz w:val="16"/>
          <w:szCs w:val="16"/>
          <w:color w:val="auto"/>
        </w:rPr>
        <w:t>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Thomas Steiglehner </w:t>
      </w:r>
      <w:r>
        <w:rPr>
          <w:rFonts w:ascii="Arial" w:cs="Arial" w:eastAsia="Arial" w:hAnsi="Arial"/>
          <w:sz w:val="18"/>
          <w:szCs w:val="18"/>
          <w:color w:val="auto"/>
        </w:rPr>
        <w:t>is a Vice President of TSLX and a Managing Director of TSSP. From 2003 to 2010 Mr. Steiglehner worked at Silver Point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where he co-founded the firm’s principal investing effort, Silver Point Finance. From 2002 to 2003, Mr. Steiglehner was a Senior Vice President at Wells Fargo Foothill, where he originated, structured, syndicated and executed financings for special situations, leveraged buyouts and acquisitions. From 1996 to 2002, he was a director at Gleacher and Co., a merchant bank, engaged in leveraged finance (including high yield, mezzanine and senior debt), principal investments, and strategic and financial advisory services. Mr. Steiglehner began his career at the Chase Manhattan Bank. He also was a Federal District Court law clerk in the Southern District of New York and the Eastern District of Louisiana. He holds an A.B in History from Princeton University and a J.D. from Tulane University.</w:t>
      </w:r>
    </w:p>
    <w:p>
      <w:pPr>
        <w:spacing w:after="0" w:line="189" w:lineRule="exact"/>
        <w:rPr>
          <w:sz w:val="20"/>
          <w:szCs w:val="20"/>
          <w:color w:val="auto"/>
        </w:rPr>
      </w:pPr>
    </w:p>
    <w:p>
      <w:pPr>
        <w:ind w:right="320" w:firstLine="456"/>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TSLX. He is also a TPG and TSSP Partner and has served as TSSP’s Chief Operating Officer since 2010.</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2007 to 2010, Mr. Stiepleman was a Managing Director and the Deputy General Counsel of Fortress Investment Group LLC, where he was the lead lawyer responsible for that firm’s new business initiatives. Prior to that, from 2003 to 2007, Mr. Stiepleman was lead counsel to the Americas Special Situations Group and the Mortgages Department at Goldman, Sachs &amp; Co. Mr. Stiepleman holds a B.A. in French and Political Science from Amherst College and a J.D. from Columbia University.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TSLX. Mr. Waxman is also a TPG and TSSP Partner and a member of TPG’s Executive Committee. He has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Partner and Chief Investment Officer of TSSP and Co-Chief Investment Officer of the Adviser since inception. Prior to joining TPG in 2009, Mr. Waxman was a Partner at Goldman, Sachs &amp; Co. During his career at Goldman, Sachs &amp; Co., he co-headed the Americas Special Situations Group, which invested that firm’s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 The terms of our Class I directors will expire at the 2018 annual meeting of stockholders; the term of our Class II director will expire at the 2019 annual meeting of stockholders; and the terms of our Class III directors will expire at the Meeting.</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our certificate of incorporation and bylaws, a majority of the Board will at all times consist of directors who are not “interested persons” of us, of the Adviser, or of any of our or its respective affiliates, as defined in the 1940 Act. Under Section 303A.00 of the NYSE Listed Company Manual, a director of a business development company (“BDC”) is considered to be independent if he or she is not an “interested person” of ours, as defined in Section 2(a)(19) of the 1940 Act. We refer to these directors as our “Independent Directors.”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Securities Exchange Act of 1934, as amended (the “Exchange Act”). Each director who serves on the Compensation Committee and Nominating and Corporate Governance Committee is an independent director under the applicable NYSE listing standards.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Messrs. Easterly and Fishman are considered “interested persons” (as defined in the 1940 Act) of the Company since both of them are employed by the Adviser. See “Proposal No. 1 Election of Directors – Biographical Information.”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Our Board met four times in 2016 and acted on various occasions by written consent. Our Board also holds informal periodic telephonic update meetings.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Mr. Easterly attended the 2016 annual meeting of stockholders in person.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24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9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Jennifer Gordon,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Independent Directors via email is available on our website at http://www.tpgspecialtylending.com.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7"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30" w:lineRule="exact"/>
        <w:rPr>
          <w:rFonts w:ascii="Arial" w:cs="Arial" w:eastAsia="Arial" w:hAnsi="Arial"/>
          <w:sz w:val="18"/>
          <w:szCs w:val="18"/>
          <w:color w:val="auto"/>
        </w:rPr>
      </w:pPr>
    </w:p>
    <w:p>
      <w:pPr>
        <w:ind w:left="900" w:right="8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has the sole authority to approve the engagement, and review the performance of, our independent registered public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1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held eight meetings in 2016 and acted on various occasions by written consent.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Mr. Higginbotham serves as Chairman. The Nominating and Corporate Governance Committee held one meeting in 2016.</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900" w:right="240" w:hanging="325"/>
        <w:spacing w:after="0" w:line="286"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reviewing and approving the reimbursement by us of compensation paid by the Adviser or its affiliates pursuant to the terms of the investment advisory agreement entered into by and between the Company and the Adviser, as amended (the “Investment Advisory Agreement”) and the administration agreement entered into between us and the Adviser (the “Administration Agreement”);</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“—Compensation and Insider Participation—Compensation of Executive Officers.”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members of the Compensation Committee are Messrs. Ross, Higginbotham and Tanemura, each of whom is independent for purposes of the NYSE corporate governance rules. Mr. Ross serves as Chairman. The Compensation Committee held one meeting in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The corporate governance section contains the following documents, which are available in print to any stockholder who requests a copy in writing to 888 7th Avenue, 35th Floor, New York, NY 10106, Attention: TSLX Investor Relations, or by emailing us at IRTSL@tpg.com:</w:t>
      </w:r>
    </w:p>
    <w:p>
      <w:pPr>
        <w:spacing w:after="0" w:line="9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our SOX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Gordon, TPG Specialty Lending, Inc., 301 Commerce Street, Suite 3300, Fort Worth, TX 76102. Please refer to the text of our bylaws (including Article II, paragraph (K)), which are on file with the SEC, and “Bylaw Requirements for Stockholder Submission of Nominations and Proposals” in this proxy statement for additional information.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TSLX as defined in Section 2(a)(19) of the 1940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needs of TSLX with respect to the particular talents and experience of its directors;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w:t>
      </w:r>
    </w:p>
    <w:p>
      <w:pPr>
        <w:spacing w:after="0" w:line="19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adopted a SOX Code of Business Conduct and Ethics which applies to, among others, our executive officers, including our Principal Executive Officers and Principal Financial Officer, as well as every officer, director and employee of the Company. There have been no material changes to our corporate code of ethics or material waivers of the code that apply to our Co-Chief Executive Officers or Chief Financial Officer. Our SOX Code of Business Conduct and Ethics can be accessed on our website at http://www.tpgspecialtylending.com.</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Involvement in Certain Legal Proceedings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Election of Officers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Board elects our officers and our officers serve until their resignation or termination or until their successors are duly elected and qualified.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$100,000 annual retainer;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$1,500 for each monthly telephonic update meeting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5620" w:right="4800" w:hanging="5045"/>
        <w:spacing w:after="0" w:line="536" w:lineRule="auto"/>
        <w:tabs>
          <w:tab w:leader="none" w:pos="896"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additional fee of $10,000 per year for the chairman of the Audit Committee. 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During the year ended December 31, 2016, we also reimbursed directors for certain out-of-pocket expenses each Independent Director incurred in connection with the fulfillment of his duties as an Independent Director.</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2016:</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240" w:type="dxa"/>
            <w:vAlign w:val="bottom"/>
            <w:gridSpan w:val="3"/>
          </w:tcPr>
          <w:p>
            <w:pPr>
              <w:jc w:val="right"/>
              <w:spacing w:after="0"/>
              <w:rPr>
                <w:sz w:val="20"/>
                <w:szCs w:val="20"/>
                <w:color w:val="auto"/>
              </w:rPr>
            </w:pPr>
            <w:r>
              <w:rPr>
                <w:rFonts w:ascii="Arial" w:cs="Arial" w:eastAsia="Arial" w:hAnsi="Arial"/>
                <w:sz w:val="14"/>
                <w:szCs w:val="14"/>
                <w:b w:val="1"/>
                <w:bCs w:val="1"/>
                <w:color w:val="auto"/>
              </w:rPr>
              <w:t>Fees Earned or</w:t>
            </w:r>
          </w:p>
        </w:tc>
        <w:tc>
          <w:tcPr>
            <w:tcW w:w="740" w:type="dxa"/>
            <w:vAlign w:val="bottom"/>
          </w:tcPr>
          <w:p>
            <w:pPr>
              <w:spacing w:after="0"/>
              <w:rPr>
                <w:sz w:val="14"/>
                <w:szCs w:val="14"/>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Paid in Cash</w:t>
            </w:r>
          </w:p>
        </w:tc>
        <w:tc>
          <w:tcPr>
            <w:tcW w:w="7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2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7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$127,500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John Ross</w:t>
            </w:r>
          </w:p>
        </w:tc>
        <w:tc>
          <w:tcPr>
            <w:tcW w:w="25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137,500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5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TSL Advisers, LLC is our external manager. Our Adviser is a Delaware limited liability company. Our Adviser acts as our investment adviser and administrator and is a registered investment adviser with the SEC under the Investment Advisers Act of 1940, as amended (the “Advisers Act”).</w:t>
      </w:r>
    </w:p>
    <w:p>
      <w:pPr>
        <w:spacing w:after="0" w:line="12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an investment review committee (the “Investment Review Committee”), which includes senior personnel of our Adviser and TSSP. The members of the Investment Review Committee are Joshua Easterly, Michael Fishman, Alan Waxman and David Stiepleman.</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TSSP, with over $18 billion of assets under management as of December 31, 2016, is the special situations and credit platform of TPG Global, LLC, or “TPG,” and encompasses TPG Specialty Lending, Inc.,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highly complex, global public and private investments executed through primary originations, secondary market purchases and restructurings, and has a team of over 160 investment and operating professionals. As of December 31, 2016, twenty nine (29) of these personnel are dedicated to our business, including twenty one (21) investment professionals.</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TPG is a leading global private investment firm founded in 1992 with approximately $72 billion of assets under management as of December 31, 2016,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300 professionals.</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Relationship with TPG</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2,732,307 shares, or 4.6%, of our common stock as of March 24, 2017.</w:t>
      </w:r>
    </w:p>
    <w:p>
      <w:pPr>
        <w:spacing w:after="0" w:line="15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Allocations of Loan Origination Investment Opportunities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Exemptive Order</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900" w:right="5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investment will not benefit any affiliate other than the affiliate participating in the investment, and as otherwise permitted by the order.</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 of Non-Loan Origination Investment Opportunities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If TPG and the Adviser were to determine that an investment that is not a middle-market loan origination for a company domiciled in the United States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Administrator</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Business Relationships</w:t>
      </w:r>
    </w:p>
    <w:p>
      <w:pPr>
        <w:spacing w:after="0" w:line="11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Certain of our current directors and officers are directors or officers of the Adviser or its affiliates. See “Proposal No. 1 Election of Directors – Biographical Information.”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5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(the “Management Fee”) and may also pay certain incentive fees (the “Incentive Fees”).</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2016, Management Fees were $24.3 million.</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Adviser has voluntarily waived the Management Fee on our ownership of shares of common stock in TICC Capital Corp. (the “TICC Shares”) for any period in which TICC Capital Corp. remains our portfolio company. For the year ended December 31, 2016, Management Fees of $0.1 million were waived, consisting solely of Management Fees attributable to our ownership of the TICC Shares. Any waived Management Fees are not subject to recoupment by the Adviser.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46" w:lineRule="exact"/>
        <w:rPr>
          <w:rFonts w:ascii="Arial" w:cs="Arial" w:eastAsia="Arial" w:hAnsi="Arial"/>
          <w:sz w:val="16"/>
          <w:szCs w:val="16"/>
          <w:color w:val="auto"/>
        </w:rPr>
      </w:pPr>
    </w:p>
    <w:p>
      <w:pPr>
        <w:ind w:left="900" w:right="20"/>
        <w:spacing w:after="0" w:line="271" w:lineRule="auto"/>
        <w:rPr>
          <w:rFonts w:ascii="Arial" w:cs="Arial" w:eastAsia="Arial" w:hAnsi="Arial"/>
          <w:sz w:val="16"/>
          <w:szCs w:val="16"/>
          <w:color w:val="auto"/>
        </w:rPr>
      </w:pPr>
      <w:r>
        <w:rPr>
          <w:rFonts w:ascii="Arial" w:cs="Arial" w:eastAsia="Arial" w:hAnsi="Arial"/>
          <w:sz w:val="17"/>
          <w:szCs w:val="17"/>
          <w:color w:val="auto"/>
        </w:rPr>
        <w:t>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at which catch-up is achieved. Once the “hurdle rate” is reached and catch-up is achieved, 17.5% of any pre-Incentive Fee net investment income in excess of 1.82% in any quarter is payable to the Adviser.</w:t>
      </w:r>
    </w:p>
    <w:p>
      <w:pPr>
        <w:spacing w:after="0" w:line="62"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70" w:lineRule="exact"/>
        <w:rPr>
          <w:sz w:val="20"/>
          <w:szCs w:val="20"/>
          <w:color w:val="auto"/>
        </w:rPr>
      </w:pPr>
    </w:p>
    <w:p>
      <w:pPr>
        <w:ind w:left="900" w:hanging="446"/>
        <w:spacing w:after="0" w:line="270"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2"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2016, Incentive Fees were $22.7 million, comprised of fees related to pre-incentive fee net investment income. For the year ended December 31, 2016, no incentive fees were accrued related to capital gains.</w:t>
      </w:r>
    </w:p>
    <w:p>
      <w:pPr>
        <w:spacing w:after="0" w:line="17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us as a result of our ownership of the TICC Shares for any period in which TICC Capital Corp.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remains our portfolio company. The Adviser has not waived any part of the Capital Gains Fee attributable to our ownership of the TICC Shares and, accordingly, any realized capital gains or losses and unrealized capital depreciation with respect to the TICC Shares will be applied against our cumulative realized capital gains on which the Capital Gains Fee is calculated.</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the year ended December 31, 2016, Incentive Fees of $0.3 million were waived, consisting solely of Incentive Fees attributable to our ownership of the TICC Shares. Any waived Incentive Fees are not subject to recoupment by the Adviser.</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Since our IPO, with the exception of its waiver of Management Fees and certain Incentive Fees attributable to our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our ownership of the TICC Shares, as the Adviser can discontinue the voluntary waiver at any time. Accordingly, we may be required to continue to pay the full amount of the Management Fee and Incentive Fee, including with respect to the TICC Shares, in future periods.</w:t>
      </w:r>
    </w:p>
    <w:p>
      <w:pPr>
        <w:spacing w:after="0" w:line="18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November 7, 2016, the Board renewed the Investment Advisory Agreement. Unless earlier terminated as described below, the Investment Advisory Agreement will remain in effect until November 2017,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March 15, 2011, we entered into the Administration Agreement with our Adviser. The Administration Agreement was subsequently amended on February 22, 2017 to make certain clarifications to the agreement to provide greater detail regarding the scope of the costs and expenses of the Administrator’s services.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w:t>
      </w:r>
      <w:r>
        <w:rPr>
          <w:rFonts w:ascii="Arial" w:cs="Arial" w:eastAsia="Arial" w:hAnsi="Arial"/>
          <w:sz w:val="17"/>
          <w:szCs w:val="17"/>
          <w:i w:val="1"/>
          <w:iCs w:val="1"/>
          <w:color w:val="auto"/>
        </w:rPr>
        <w:t>Payment of Our Expenses</w:t>
      </w:r>
      <w:r>
        <w:rPr>
          <w:rFonts w:ascii="Arial" w:cs="Arial" w:eastAsia="Arial" w:hAnsi="Arial"/>
          <w:sz w:val="17"/>
          <w:szCs w:val="17"/>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2016, we incurred expenses of $3.1 million for administrative services payable under the terms of the Administration Agreement.</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February 2017, the Board approved an amendment to the Administration Agreement. Unless earlier terminated as described below, the Administration Agreement will remain in effect until February 2018,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80"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 of Our Expenses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7"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59"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w:t>
      </w:r>
    </w:p>
    <w:p>
      <w:pPr>
        <w:spacing w:after="0" w:line="170"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Duration and Termination</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Unless earlier terminated as described below, the Investment Advisory Agreement will remain in effect until November 2017 and the Administration Agreement will remain in effect until February 2018,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2016. In its consideration of the Investment Advisory Agreement at the time of approval and renewal, the Board focused on information it had received relating to, among other things:</w:t>
      </w:r>
    </w:p>
    <w:p>
      <w:pPr>
        <w:spacing w:after="0" w:line="92"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expense ratio compared to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those services under the Investment Advisory Agreement;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Board also took into consideration the reimbursement of expenses incurred by the Adviser on our behalf, which expenses include travel expenses, when determining whether to approve renewal of the Investment Advisory Agreement and the Administration Agreement. No one factor was given greater weight than any others, but rather the Board considered all factors collectively as a whole.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Section 16(a) of the Exchange Act requires our directors and executive officers, as defined under the Exchange Act, and persons who own more than 10% of a registered class of our equity securities to file initial reports of ownership and reports of changes in ownership with the SEC. Such executive officers, directors and stockholders are required by SEC regulations to furnish us with copies of all Section 16(a) forms they file. Based solely upon a review of the copies of such forms furnished to us and written representations from our directors and executive officers, all persons subject to the reporting requirements of Section 16(a) filed all required reports on a timely basis in 2015.</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Audit Committee has selected KPMG LLP to serve as our independent registered public accounting firm to audit our consolidated financial statements for the year ending December 31, 2017. While the Audit Committee is responsible for the appointment, compensation, retention, termination and oversight of the independent auditor, we are requesting, as a matter of good corporate governance, that the stockholders ratify the appointment of KPMG LLP as the Company’s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w:t>
      </w:r>
    </w:p>
    <w:p>
      <w:pPr>
        <w:spacing w:after="0" w:line="16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KPMG LLP’s representatives are expected to be available telephonically for the Meeting and will have an opportunity to make a statement, if they so desire, as well as to respond to appropriate questions asked by our stockholders.</w:t>
      </w:r>
    </w:p>
    <w:p>
      <w:pPr>
        <w:spacing w:after="0" w:line="16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The Board recommends that our stockholders vote “FOR” ratification of the selection of KPMG LLP as the Company’s independent registered public accounting firm for the fiscal year ending December 31,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KPMG LLP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Fees</w:t>
      </w:r>
    </w:p>
    <w:p>
      <w:pPr>
        <w:spacing w:after="0" w:line="11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For the year ended December 31, 2016, the aggregate fees billed by KPMG LLP for the audit of our consolidated financial statements, review of our interim financial statements and other professional services related to SEC registration statements were $922,000. In addition, we reimbursed KPMG LLP $21,218 for out-of-pocket expenses incurred in the performance of audit services.</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For the year ended December 31, 2015, the aggregate fees billed by KPMG LLP for the audit of our consolidated financial statements, review of our interim financial statements and other professional services related to SEC registration statements were $992,000. In addition, we reimbursed KPMG LLP $20,000 for out-of-pocket expenses incurred in the performance of audit services.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Audit-Related Fees</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For the year ended December 31, 2016, the aggregate fees billed by KPMG LLP for audit-related services, which consist of assurance and related services that are reasonably related to the performance of the audit or review of our consolidated financial statements, but which are not reportable as Audit Fees, were $0.</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For the year ended December 31, 2015, the aggregate fees billed by KPMG LLP for audit-related services, which consist of assurance and related services that are reasonably related to the performance of the audit or review of our consolidated financial statements, but which are not reportable as Audit Fees, were $22,000.</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our financial statements and that are traditionally performed by the independent auditor.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Fees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For the year ended December 31, 2016, the aggregate fees billed by KPMG LLP for tax compliance, tax advice and tax planning services were $117,575.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For the year ended December 31, 2015, the aggregate fees billed by KPMG LLP for tax compliance, tax advice and tax planning services were $206,090.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services include tax compliance, tax planning and tax advice.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For the year ended December 31, 2016, the fees billed for services rendered by KPMG LLP not reportable as Audit Fees, Audit-Related Fees or Tax Fees were $125,000. We paid these fees in connection with due diligence on a prospective portfolio company investment. These fees were reimbursed to us by the portfolio company.</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For the year ended December 31, 2015, the fees billed for services rendered by KPMG LLP not reportable as Audit Fees, Audit-Related Fees or Tax Fees were $151,000. We paid these fees in connection with due diligence on a prospective portfolio company investment. These fees were reimbursed to us by the portfolio company.</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services provided by KPMG LLP described in “Audit-Related Fees,” “Tax Fees” and “All Other Fees” above, were approved by the Audit Committee according to applicable SEC rules. The Audit Committee has determined the rendering of the above-mentioned non-audit services by KPMG LLP was compatible with maintaining our independent registered public accounting firm’s independence.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121" w:lineRule="exact"/>
        <w:rPr>
          <w:sz w:val="20"/>
          <w:szCs w:val="20"/>
          <w:color w:val="auto"/>
        </w:rPr>
      </w:pPr>
    </w:p>
    <w:p>
      <w:pPr>
        <w:jc w:val="center"/>
        <w:ind w:right="60"/>
        <w:spacing w:after="0" w:line="342" w:lineRule="auto"/>
        <w:rPr>
          <w:sz w:val="20"/>
          <w:szCs w:val="20"/>
          <w:color w:val="auto"/>
        </w:rPr>
      </w:pPr>
      <w:r>
        <w:rPr>
          <w:rFonts w:ascii="Arial" w:cs="Arial" w:eastAsia="Arial" w:hAnsi="Arial"/>
          <w:sz w:val="16"/>
          <w:szCs w:val="16"/>
          <w:color w:val="auto"/>
        </w:rPr>
        <w:t>The Audit Committee has considered whether the provision of the above-noted services is compatible with maintaining the independence of the independent registered public accounting firm and has determined that the provision of such services has not adversely affected KPMG LLP’s independence.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Audit Committee of our Board operates under a written charter adopted by the Board. The Audit Committee is currently composed of Messrs.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Ross, Higginbotham and Tanemura.</w:t>
      </w:r>
    </w:p>
    <w:p>
      <w:pPr>
        <w:spacing w:after="0" w:line="21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Pre-Approval Policy</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Review with Management</w:t>
      </w:r>
    </w:p>
    <w:p>
      <w:pPr>
        <w:spacing w:after="0" w:line="11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 designed to ensure full, fair and adequate financial reporting and disclosures, including procedures for certifications by the Company’s Co-Chief Executive Officers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Review and Discussion with Independent Registered Public Accounting Firm</w:t>
      </w:r>
    </w:p>
    <w:p>
      <w:pPr>
        <w:spacing w:after="0" w:line="117"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w:t>
      </w:r>
    </w:p>
    <w:p>
      <w:pPr>
        <w:spacing w:after="0" w:line="18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Audit Committee also has discussed with KPMG matters relating to KPMG’s judgments about the quality, as well as the acceptability, of the Company’s accounting principles as applied in its financial reporting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as required by Public Company Accounting Oversight Board Auditing Standard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In addition, the Audit Committee has discussed with KPMG their independence from management and the Company, as well as the matters in the written disclosures received from KPMG and required by Public Company Accounting Oversight Board Rule 3526, </w:t>
      </w:r>
      <w:r>
        <w:rPr>
          <w:rFonts w:ascii="Arial" w:cs="Arial" w:eastAsia="Arial" w:hAnsi="Arial"/>
          <w:sz w:val="18"/>
          <w:szCs w:val="18"/>
          <w:i w:val="1"/>
          <w:iCs w:val="1"/>
          <w:color w:val="auto"/>
        </w:rPr>
        <w:t>Communication with Audit Committees Concerning Independence</w:t>
      </w:r>
      <w:r>
        <w:rPr>
          <w:rFonts w:ascii="Arial" w:cs="Arial" w:eastAsia="Arial" w:hAnsi="Arial"/>
          <w:sz w:val="18"/>
          <w:szCs w:val="18"/>
          <w:color w:val="auto"/>
        </w:rPr>
        <w:t>. The Audit Committee received a written communication from KPMG confirming their independence and discussed it with them. The 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2016 for filing with the Securities and Exchange Commission. The Audit Committee also recommended the selection of KPMG LLP to serve as the independent registered public accounting firm for the year ending December 31, 2017.</w:t>
      </w:r>
    </w:p>
    <w:p>
      <w:pPr>
        <w:spacing w:after="0" w:line="16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Respectfully Submitted,</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John Ross, Chairman</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Richard Higginbotham</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Ronald Tanemura</w:t>
      </w:r>
    </w:p>
    <w:p>
      <w:pPr>
        <w:spacing w:after="0" w:line="207"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Unless marked to the contrary, the shares represented by the enclosed proxy card will be voted “FOR” ratification of the appointment of KPMG LLP as the Company’s independent registered public accounting firm for the fiscal year ending December 31, 2017.</w:t>
      </w:r>
    </w:p>
    <w:p>
      <w:pPr>
        <w:spacing w:after="0" w:line="13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The material contained in the foregoing Audit Committee Report is not “soliciting material,” is not deemed “filed” with the SEC, and is not to be incorporated by reference into any filing of the Company under the Exchange Act, whether made before or after the date hereof and irrespective of any general incorporation language in any such filing.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 Board is not aware of any other matter to be submitted at the Meeting. If any other matter properly comes before the Meeting, the persons named in this proxy generally will have discretionary authority to vote the shares thereby represented in accordance with their judgment.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accordance with Section 23(c)(1) under the 1940 Act, the Company hereby advises you that it may repurchase shares of its common stock from time to time.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in place a stock repurchase plan to acquire up to $50 million in the aggregate of our common stock at prices below our net asset value per share over a specified period, in accordance with the guidelines specified in Rule 10b-18 and Rule 10b5-1 of the Exchange Act (the “Company 10b5-1 Plan”). We put the Company 10b5-1 Plan in place because we believe that, in the current market conditions, if our common stock is trading below our then-current net asset value per share, it is in the best interest of our stockholders for us to reinvest in our portfolio and increase our leverage ratio through share repurchases.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Unless extended or terminated by the Board, the Company 10b5-1 Plan will be in effect through the earlier of August 31, 2017 or such time as the current approved repurchase amount of up to $50 million has been fully utilized, subject to certain conditions.</w:t>
      </w:r>
    </w:p>
    <w:p>
      <w:pPr>
        <w:spacing w:after="0" w:line="38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STOCKHOLDER PROPOSALS AND NOMINATIONS FOR THE 2018 ANNUAL MEETING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Any proposal of a stockholder intended to be included in our proxy statement and form of proxy/voting instruction card for the 2018 annual meeting of stockholders pursuant to Rule 14a-8 of the SEC’s rules must be received by us at our principal executive offices no later than December 8, 2017.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Jennifer Gordon, TPG Specialty Lending, Inc., 301 Commerce Street, Suite 3300, Fort Worth, TX 76102.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2018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Bylaws require that the proposal or recommendation for nomination must be received by our Secretary at our principal executive offices at the above address no later than February 19, 2018, unless the date of our 2018 annual meeting is more than 30 days before or more than 60 days after May 18, 2018, the anniversary of our 2017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 copy of our Annual Report on Form 10-K for the fiscal year ended December 31, 2016, which includes financial statements, is being furnished with this proxy statement.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7th Avenue, 35th Floor, New York, NY 10106, Attention: TSLX Investor Relations, by email at IRTSL@tpg.com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63"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 Jennifer Gordon</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20"/>
        <w:spacing w:after="0"/>
        <w:rPr>
          <w:sz w:val="20"/>
          <w:szCs w:val="20"/>
          <w:color w:val="auto"/>
        </w:rPr>
      </w:pPr>
      <w:r>
        <w:rPr>
          <w:rFonts w:ascii="Arial" w:cs="Arial" w:eastAsia="Arial" w:hAnsi="Arial"/>
          <w:sz w:val="18"/>
          <w:szCs w:val="18"/>
          <w:i w:val="1"/>
          <w:iCs w:val="1"/>
          <w:color w:val="auto"/>
        </w:rPr>
        <w:t>Chief Compliance Officer, Vice President and Secretary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and Proxy Statement and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are available at www.proxyvote.com.</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May 18, 2017 9:00 AM PDT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stockholders hereby appoint Jennifer Gordon and David Stiepleman, or either of them, as proxies, each with the power to appoint his or her substitute, and hereby authorize them to represent and to vote, as designated on the reverse side of this ballot, all of the shares of common stock of TPG SPECIALTY LENDING, INC. that the stockholders are entitled to vote at the Annual Meeting of Stockholders to be held at 9:00 AM PDT on May 18, 2017 at the offices of TPG, 345 California Street, Suite 3300, San Francisco, CA 94104, and any adjournment or postponement thereof.</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286" w:lineRule="exact"/>
        <w:rPr>
          <w:sz w:val="20"/>
          <w:szCs w:val="20"/>
          <w:color w:val="auto"/>
        </w:rPr>
      </w:pPr>
    </w:p>
    <w:p>
      <w:pPr>
        <w:ind w:left="920"/>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150"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Keep This Portion For Your Records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Detach and Return This Portion Only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Arial" w:cs="Arial" w:eastAsia="Arial" w:hAnsi="Arial"/>
                <w:sz w:val="18"/>
                <w:szCs w:val="18"/>
                <w:color w:val="auto"/>
              </w:rPr>
              <w:t>1.   Election of Directors</w:t>
            </w:r>
          </w:p>
        </w:tc>
        <w:tc>
          <w:tcPr>
            <w:tcW w:w="1920" w:type="dxa"/>
            <w:vAlign w:val="bottom"/>
          </w:tcPr>
          <w:p>
            <w:pPr>
              <w:ind w:left="1300"/>
              <w:spacing w:after="0"/>
              <w:rPr>
                <w:sz w:val="20"/>
                <w:szCs w:val="20"/>
                <w:color w:val="auto"/>
              </w:rPr>
            </w:pPr>
            <w:r>
              <w:rPr>
                <w:rFonts w:ascii="Arial" w:cs="Arial" w:eastAsia="Arial" w:hAnsi="Arial"/>
                <w:sz w:val="18"/>
                <w:szCs w:val="18"/>
                <w:color w:val="auto"/>
              </w:rPr>
              <w:t>For All</w:t>
            </w:r>
          </w:p>
        </w:tc>
        <w:tc>
          <w:tcPr>
            <w:tcW w:w="1160" w:type="dxa"/>
            <w:vAlign w:val="bottom"/>
          </w:tcPr>
          <w:p>
            <w:pPr>
              <w:ind w:left="120"/>
              <w:spacing w:after="0"/>
              <w:rPr>
                <w:sz w:val="20"/>
                <w:szCs w:val="20"/>
                <w:color w:val="auto"/>
              </w:rPr>
            </w:pPr>
            <w:r>
              <w:rPr>
                <w:rFonts w:ascii="Arial" w:cs="Arial" w:eastAsia="Arial" w:hAnsi="Arial"/>
                <w:sz w:val="18"/>
                <w:szCs w:val="18"/>
                <w:color w:val="auto"/>
              </w:rPr>
              <w:t>Withhold All</w:t>
            </w:r>
          </w:p>
        </w:tc>
        <w:tc>
          <w:tcPr>
            <w:tcW w:w="1420" w:type="dxa"/>
            <w:vAlign w:val="bottom"/>
          </w:tcPr>
          <w:p>
            <w:pPr>
              <w:ind w:left="120"/>
              <w:spacing w:after="0"/>
              <w:rPr>
                <w:sz w:val="20"/>
                <w:szCs w:val="20"/>
                <w:color w:val="auto"/>
              </w:rPr>
            </w:pPr>
            <w:r>
              <w:rPr>
                <w:rFonts w:ascii="Arial" w:cs="Arial" w:eastAsia="Arial" w:hAnsi="Arial"/>
                <w:sz w:val="18"/>
                <w:szCs w:val="18"/>
                <w:color w:val="auto"/>
              </w:rPr>
              <w:t>For All Except</w:t>
            </w:r>
          </w:p>
        </w:tc>
        <w:tc>
          <w:tcPr>
            <w:tcW w:w="3760" w:type="dxa"/>
            <w:vAlign w:val="bottom"/>
          </w:tcPr>
          <w:p>
            <w:pPr>
              <w:spacing w:after="0"/>
              <w:rPr>
                <w:sz w:val="20"/>
                <w:szCs w:val="20"/>
                <w:color w:val="auto"/>
              </w:rPr>
            </w:pPr>
            <w:r>
              <w:rPr>
                <w:rFonts w:ascii="Arial" w:cs="Arial" w:eastAsia="Arial" w:hAnsi="Arial"/>
                <w:sz w:val="18"/>
                <w:szCs w:val="18"/>
                <w:color w:val="auto"/>
              </w:rPr>
              <w:t>To withhold authority to vote for any individual</w:t>
            </w:r>
          </w:p>
        </w:tc>
      </w:tr>
      <w:tr>
        <w:trPr>
          <w:trHeight w:val="249"/>
        </w:trPr>
        <w:tc>
          <w:tcPr>
            <w:tcW w:w="3160" w:type="dxa"/>
            <w:vAlign w:val="bottom"/>
            <w:gridSpan w:val="2"/>
          </w:tcPr>
          <w:p>
            <w:pPr>
              <w:ind w:left="360"/>
              <w:spacing w:after="0"/>
              <w:rPr>
                <w:sz w:val="20"/>
                <w:szCs w:val="20"/>
                <w:color w:val="auto"/>
              </w:rPr>
            </w:pPr>
            <w:r>
              <w:rPr>
                <w:rFonts w:ascii="Arial" w:cs="Arial" w:eastAsia="Arial" w:hAnsi="Arial"/>
                <w:sz w:val="18"/>
                <w:szCs w:val="18"/>
                <w:color w:val="auto"/>
              </w:rPr>
              <w:t>Nominees:</w:t>
            </w:r>
          </w:p>
        </w:tc>
        <w:tc>
          <w:tcPr>
            <w:tcW w:w="192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spacing w:after="0"/>
              <w:rPr>
                <w:sz w:val="20"/>
                <w:szCs w:val="20"/>
                <w:color w:val="auto"/>
              </w:rPr>
            </w:pPr>
            <w:r>
              <w:rPr>
                <w:rFonts w:ascii="Arial" w:cs="Arial" w:eastAsia="Arial" w:hAnsi="Arial"/>
                <w:sz w:val="18"/>
                <w:szCs w:val="18"/>
                <w:color w:val="auto"/>
                <w:w w:val="99"/>
              </w:rPr>
              <w:t>nominee(s), mark “For All Except” and write the</w:t>
            </w:r>
          </w:p>
        </w:tc>
      </w:tr>
      <w:tr>
        <w:trPr>
          <w:trHeight w:val="230"/>
        </w:trPr>
        <w:tc>
          <w:tcPr>
            <w:tcW w:w="560" w:type="dxa"/>
            <w:vAlign w:val="bottom"/>
          </w:tcPr>
          <w:p>
            <w:pPr>
              <w:ind w:left="360"/>
              <w:spacing w:after="0"/>
              <w:rPr>
                <w:sz w:val="20"/>
                <w:szCs w:val="20"/>
                <w:color w:val="auto"/>
              </w:rPr>
            </w:pPr>
            <w:r>
              <w:rPr>
                <w:rFonts w:ascii="Arial" w:cs="Arial" w:eastAsia="Arial" w:hAnsi="Arial"/>
                <w:sz w:val="18"/>
                <w:szCs w:val="18"/>
                <w:color w:val="auto"/>
                <w:w w:val="89"/>
              </w:rPr>
              <w:t>01</w:t>
            </w:r>
          </w:p>
        </w:tc>
        <w:tc>
          <w:tcPr>
            <w:tcW w:w="2600" w:type="dxa"/>
            <w:vAlign w:val="bottom"/>
          </w:tcPr>
          <w:p>
            <w:pPr>
              <w:ind w:left="20"/>
              <w:spacing w:after="0"/>
              <w:rPr>
                <w:sz w:val="20"/>
                <w:szCs w:val="20"/>
                <w:color w:val="auto"/>
              </w:rPr>
            </w:pPr>
            <w:r>
              <w:rPr>
                <w:rFonts w:ascii="Arial" w:cs="Arial" w:eastAsia="Arial" w:hAnsi="Arial"/>
                <w:sz w:val="18"/>
                <w:szCs w:val="18"/>
                <w:color w:val="auto"/>
              </w:rPr>
              <w:t>Joshua Easterly</w:t>
            </w:r>
          </w:p>
        </w:tc>
        <w:tc>
          <w:tcPr>
            <w:tcW w:w="1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number(s) of the nominee(s) on the line below.</w:t>
            </w:r>
          </w:p>
        </w:tc>
      </w:tr>
      <w:tr>
        <w:trPr>
          <w:trHeight w:val="217"/>
        </w:trPr>
        <w:tc>
          <w:tcPr>
            <w:tcW w:w="560" w:type="dxa"/>
            <w:vAlign w:val="bottom"/>
          </w:tcPr>
          <w:p>
            <w:pPr>
              <w:ind w:left="360"/>
              <w:spacing w:after="0"/>
              <w:rPr>
                <w:sz w:val="20"/>
                <w:szCs w:val="20"/>
                <w:color w:val="auto"/>
              </w:rPr>
            </w:pPr>
            <w:r>
              <w:rPr>
                <w:rFonts w:ascii="Arial" w:cs="Arial" w:eastAsia="Arial" w:hAnsi="Arial"/>
                <w:sz w:val="18"/>
                <w:szCs w:val="18"/>
                <w:color w:val="auto"/>
                <w:w w:val="89"/>
              </w:rPr>
              <w:t>02</w:t>
            </w:r>
          </w:p>
        </w:tc>
        <w:tc>
          <w:tcPr>
            <w:tcW w:w="2600" w:type="dxa"/>
            <w:vAlign w:val="bottom"/>
          </w:tcPr>
          <w:p>
            <w:pPr>
              <w:ind w:left="20"/>
              <w:spacing w:after="0"/>
              <w:rPr>
                <w:sz w:val="20"/>
                <w:szCs w:val="20"/>
                <w:color w:val="auto"/>
              </w:rPr>
            </w:pPr>
            <w:r>
              <w:rPr>
                <w:rFonts w:ascii="Arial" w:cs="Arial" w:eastAsia="Arial" w:hAnsi="Arial"/>
                <w:sz w:val="18"/>
                <w:szCs w:val="18"/>
                <w:color w:val="auto"/>
              </w:rPr>
              <w:t>Michael Fishman</w:t>
            </w:r>
          </w:p>
        </w:tc>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you vote FOR the following proposal:</w:t>
      </w:r>
    </w:p>
    <w:p>
      <w:pPr>
        <w:sectPr>
          <w:pgSz w:w="11900" w:h="16838" w:orient="portrait"/>
          <w:cols w:equalWidth="0" w:num="1">
            <w:col w:w="11420"/>
          </w:cols>
          <w:pgMar w:left="240" w:top="459" w:right="239" w:bottom="1440" w:gutter="0" w:footer="0" w:header="0"/>
        </w:sectPr>
      </w:pPr>
    </w:p>
    <w:p>
      <w:pPr>
        <w:spacing w:after="0" w:line="14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2.</w:t>
        <w:tab/>
        <w:t>To ratify the selection of KPMG LLP as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independent registered public</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For</w:t>
      </w:r>
    </w:p>
    <w:p>
      <w:pPr>
        <w:spacing w:after="0" w:line="4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Against</w:t>
      </w:r>
    </w:p>
    <w:p>
      <w:pPr>
        <w:spacing w:after="0" w:line="4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Abstain</w:t>
      </w:r>
    </w:p>
    <w:p>
      <w:pPr>
        <w:spacing w:after="0" w:line="4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60" w:lineRule="exact"/>
        <w:rPr>
          <w:sz w:val="20"/>
          <w:szCs w:val="20"/>
          <w:color w:val="auto"/>
        </w:rPr>
      </w:pPr>
    </w:p>
    <w:p>
      <w:pPr>
        <w:sectPr>
          <w:pgSz w:w="11900" w:h="16838" w:orient="portrait"/>
          <w:cols w:equalWidth="0" w:num="4">
            <w:col w:w="3740" w:space="720"/>
            <w:col w:w="240" w:space="500"/>
            <w:col w:w="560" w:space="600"/>
            <w:col w:w="5060"/>
          </w:cols>
          <w:pgMar w:left="240" w:top="459" w:right="2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accounting firm for the fiscal year ending</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December 31, 2017.</w:t>
      </w:r>
    </w:p>
    <w:p>
      <w:pPr>
        <w:sectPr>
          <w:pgSz w:w="11900" w:h="16838" w:orient="portrait"/>
          <w:cols w:equalWidth="0" w:num="1">
            <w:col w:w="11420"/>
          </w:cols>
          <w:pgMar w:left="240" w:top="459" w:right="239" w:bottom="1440" w:gutter="0" w:footer="0" w:header="0"/>
          <w:type w:val="continuous"/>
        </w:sectPr>
      </w:pPr>
    </w:p>
    <w:p>
      <w:pPr>
        <w:spacing w:after="0" w:line="20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The named proxies are also authorized to transact such other business as may properly come before the 2017 Annual Meeting of Stockholders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 or adjournment thereof.</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7"/>
          <w:szCs w:val="17"/>
          <w:color w:val="auto"/>
        </w:rPr>
        <w:t>YES  NO</w:t>
      </w:r>
    </w:p>
    <w:p>
      <w:pPr>
        <w:spacing w:after="0" w:line="98" w:lineRule="exact"/>
        <w:rPr>
          <w:sz w:val="20"/>
          <w:szCs w:val="20"/>
          <w:color w:val="auto"/>
        </w:rPr>
      </w:pPr>
    </w:p>
    <w:p>
      <w:pPr>
        <w:jc w:val="center"/>
        <w:ind w:left="5500"/>
        <w:spacing w:after="0" w:line="181" w:lineRule="exact"/>
        <w:tabs>
          <w:tab w:leader="none" w:pos="280" w:val="left"/>
        </w:tabs>
        <w:rPr>
          <w:sz w:val="20"/>
          <w:szCs w:val="20"/>
          <w:color w:val="auto"/>
        </w:rPr>
      </w:pPr>
      <w:r>
        <w:rPr>
          <w:rFonts w:ascii="MS PGothic" w:cs="MS PGothic" w:eastAsia="MS PGothic" w:hAnsi="MS PGothic"/>
          <w:sz w:val="18"/>
          <w:szCs w:val="18"/>
          <w:color w:val="auto"/>
        </w:rPr>
        <w:t>☐</w:t>
        <w:tab/>
        <w:t>☐</w:t>
      </w:r>
    </w:p>
    <w:p>
      <w:pPr>
        <w:spacing w:after="0" w:line="2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225"/>
        </w:trPr>
        <w:tc>
          <w:tcPr>
            <w:tcW w:w="4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 (Please Sign Within Box)</w:t>
            </w:r>
          </w:p>
        </w:tc>
        <w:tc>
          <w:tcPr>
            <w:tcW w:w="100" w:type="dxa"/>
            <w:vAlign w:val="bottom"/>
          </w:tcPr>
          <w:p>
            <w:pPr>
              <w:spacing w:after="0"/>
              <w:rPr>
                <w:sz w:val="19"/>
                <w:szCs w:val="19"/>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234"/>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(Joint Owners)</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340"/>
      </w:cols>
      <w:pgMar w:left="240" w:top="4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lvl w:ilvl="1">
      <w:lvlJc w:val="left"/>
      <w:lvlText w:val="(%2)"/>
      <w:numFmt w:val="decimal"/>
      <w:start w:val="1"/>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2"/>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Roman"/>
      <w:start w:val="1"/>
    </w:lvl>
  </w:abstractNum>
  <w:abstractNum w:abstractNumId="23">
    <w:nsid w:val="4353D0CD"/>
    <w:multiLevelType w:val="hybridMultilevel"/>
    <w:lvl w:ilvl="0">
      <w:lvlJc w:val="left"/>
      <w:lvlText w:val="(%1)"/>
      <w:numFmt w:val="lowerRoman"/>
      <w:start w:val="2"/>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2019-12-07T14:29:24Z</dcterms:created>
  <dcterms:modified xsi:type="dcterms:W3CDTF">2019-12-07T14:29:24Z</dcterms:modified>
</cp:coreProperties>
</file>