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July 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120" w:type="dxa"/>
            <w:vAlign w:val="bottom"/>
          </w:tcPr>
          <w:p>
            <w:pPr>
              <w:jc w:val="center"/>
              <w:ind w:right="242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20" w:type="dxa"/>
            <w:vAlign w:val="bottom"/>
          </w:tcPr>
          <w:p>
            <w:pPr>
              <w:jc w:val="center"/>
              <w:ind w:right="24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20" w:type="dxa"/>
            <w:vAlign w:val="bottom"/>
          </w:tcPr>
          <w:p>
            <w:pPr>
              <w:jc w:val="center"/>
              <w:ind w:right="244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20" w:type="dxa"/>
            <w:vAlign w:val="bottom"/>
          </w:tcPr>
          <w:p>
            <w:pPr>
              <w:jc w:val="center"/>
              <w:ind w:left="120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20" w:type="dxa"/>
            <w:vAlign w:val="bottom"/>
          </w:tcPr>
          <w:p>
            <w:pPr>
              <w:jc w:val="center"/>
              <w:ind w:left="120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20" w:type="dxa"/>
            <w:vAlign w:val="bottom"/>
          </w:tcPr>
          <w:p>
            <w:pPr>
              <w:jc w:val="center"/>
              <w:ind w:left="120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July 2, 2013, TPG Specialty Lending, Inc. (the “Company”) entered into an agreement to amend and restate its senior secured revolving credit facility (as amended and restated, the “A&amp;R Revolving Credit Facility”). The A&amp;R Revolving Credit Facility became effective on July 3, 2013. The A&amp;R Revolving Credit Facility, among other things, (a) increased the size of the facility from $200 million to $350 million; (b) increased the limit for swingline loans from $30 million to $50 million; (c) extended the expiration of the revolving period from August 24, 2015 to June 30, 2017, during which period the Company, subject to certain conditions, may make borrowings under the facility; (d) extended the stated maturity date from August 23, 2016 to July 2, 2018; (e) modified pricing; and, (f) increased advance rates for certain types of investments used in determining the borrowing base.</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A&amp;R Revolving Credit Facility also reduced the fee rate on undrawn commitment amounts from 0.500% to 0.375% per annum. The A&amp;R Revolving Credit Facility continues to be guaranteed by certain subsidiaries of the Company and secured by a perfected first-priority interest in substantially all the portfolio investments held by the Company and each guarantor.</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A&amp;R Revolving Credit Facility includes an uncommitted accordion feature that allows the Company, under certain circumstances, to increase the size of the facility to a maximum of $550 million.</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Prior to the amendment, the revolving credit facility contained a covenant restricting the Company from incurring secured debt (other than the facility and any capital call facility) in excess of 40% of the total assets of the Company. The A&amp;R Revolving Credit Facility removes this covenant. The A&amp;R Revolving Credit Facility continues to include customary covenants, including certain financial covenants related to asset coverage and liquidity and other maintenance covenants, as well as customary events of default.</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foregoing description of the A&amp;R Revolving Credit Facility is not complete and is qualified in its entirety by reference to the full text of such agreement, filed as Exhibit 10.1 hereto and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Number</w:t>
            </w:r>
          </w:p>
        </w:tc>
        <w:tc>
          <w:tcPr>
            <w:tcW w:w="760" w:type="dxa"/>
            <w:vAlign w:val="bottom"/>
          </w:tcPr>
          <w:p>
            <w:pPr>
              <w:spacing w:after="0"/>
              <w:rPr>
                <w:sz w:val="14"/>
                <w:szCs w:val="14"/>
                <w:color w:val="auto"/>
              </w:rPr>
            </w:pPr>
          </w:p>
        </w:tc>
        <w:tc>
          <w:tcPr>
            <w:tcW w:w="9660" w:type="dxa"/>
            <w:vAlign w:val="bottom"/>
            <w:tcBorders>
              <w:bottom w:val="single" w:sz="8" w:color="auto"/>
            </w:tcBorders>
          </w:tcPr>
          <w:p>
            <w:pPr>
              <w:ind w:left="450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gridSpan w:val="2"/>
          </w:tcPr>
          <w:p>
            <w:pPr>
              <w:ind w:left="760"/>
              <w:spacing w:after="0"/>
              <w:rPr>
                <w:sz w:val="20"/>
                <w:szCs w:val="20"/>
                <w:color w:val="auto"/>
              </w:rPr>
            </w:pPr>
            <w:r>
              <w:rPr>
                <w:rFonts w:ascii="Arial" w:cs="Arial" w:eastAsia="Arial" w:hAnsi="Arial"/>
                <w:sz w:val="18"/>
                <w:szCs w:val="18"/>
                <w:color w:val="auto"/>
                <w:w w:val="89"/>
              </w:rPr>
              <w:t>Amended and Restated Senior Secured Revolving Credit Agreement, dated as of July 2, 2013, among TPG Specialty Lending, Inc., the</w:t>
            </w:r>
          </w:p>
        </w:tc>
      </w:tr>
      <w:tr>
        <w:trPr>
          <w:trHeight w:val="222"/>
        </w:trPr>
        <w:tc>
          <w:tcPr>
            <w:tcW w:w="1000" w:type="dxa"/>
            <w:vAlign w:val="bottom"/>
          </w:tcPr>
          <w:p>
            <w:pPr>
              <w:spacing w:after="0"/>
              <w:rPr>
                <w:sz w:val="19"/>
                <w:szCs w:val="19"/>
                <w:color w:val="auto"/>
              </w:rPr>
            </w:pPr>
          </w:p>
        </w:tc>
        <w:tc>
          <w:tcPr>
            <w:tcW w:w="10420" w:type="dxa"/>
            <w:vAlign w:val="bottom"/>
            <w:gridSpan w:val="2"/>
          </w:tcPr>
          <w:p>
            <w:pPr>
              <w:ind w:left="760"/>
              <w:spacing w:after="0"/>
              <w:rPr>
                <w:sz w:val="20"/>
                <w:szCs w:val="20"/>
                <w:color w:val="auto"/>
              </w:rPr>
            </w:pPr>
            <w:r>
              <w:rPr>
                <w:rFonts w:ascii="Arial" w:cs="Arial" w:eastAsia="Arial" w:hAnsi="Arial"/>
                <w:sz w:val="18"/>
                <w:szCs w:val="18"/>
                <w:color w:val="auto"/>
              </w:rPr>
              <w:t>lenders party thereto, SunTrust Bank as administrative agent and JPMorgan Chase Bank N.A. as syndication agent.</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820" w:type="dxa"/>
            <w:vAlign w:val="bottom"/>
            <w:gridSpan w:val="2"/>
          </w:tcPr>
          <w:p>
            <w:pPr>
              <w:ind w:left="2320"/>
              <w:spacing w:after="0"/>
              <w:rPr>
                <w:sz w:val="20"/>
                <w:szCs w:val="20"/>
                <w:color w:val="auto"/>
              </w:rPr>
            </w:pPr>
            <w:r>
              <w:rPr>
                <w:rFonts w:ascii="Arial" w:cs="Arial" w:eastAsia="Arial" w:hAnsi="Arial"/>
                <w:sz w:val="18"/>
                <w:szCs w:val="18"/>
                <w:color w:val="auto"/>
              </w:rPr>
              <w:t>TPG SPECIALTY LENDING, INC.</w:t>
            </w:r>
          </w:p>
        </w:tc>
      </w:tr>
      <w:tr>
        <w:trPr>
          <w:trHeight w:val="222"/>
        </w:trPr>
        <w:tc>
          <w:tcPr>
            <w:tcW w:w="3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240" w:type="dxa"/>
            <w:vAlign w:val="bottom"/>
          </w:tcPr>
          <w:p>
            <w:pPr>
              <w:ind w:left="540"/>
              <w:spacing w:after="0"/>
              <w:rPr>
                <w:sz w:val="20"/>
                <w:szCs w:val="20"/>
                <w:color w:val="auto"/>
              </w:rPr>
            </w:pPr>
            <w:r>
              <w:rPr>
                <w:rFonts w:ascii="Arial" w:cs="Arial" w:eastAsia="Arial" w:hAnsi="Arial"/>
                <w:sz w:val="18"/>
                <w:szCs w:val="18"/>
                <w:color w:val="auto"/>
              </w:rPr>
              <w:t>(Registrant)</w:t>
            </w:r>
          </w:p>
        </w:tc>
      </w:tr>
      <w:tr>
        <w:trPr>
          <w:trHeight w:val="447"/>
        </w:trPr>
        <w:tc>
          <w:tcPr>
            <w:tcW w:w="3600" w:type="dxa"/>
            <w:vAlign w:val="bottom"/>
          </w:tcPr>
          <w:p>
            <w:pPr>
              <w:spacing w:after="0"/>
              <w:rPr>
                <w:sz w:val="20"/>
                <w:szCs w:val="20"/>
                <w:color w:val="auto"/>
              </w:rPr>
            </w:pPr>
            <w:r>
              <w:rPr>
                <w:rFonts w:ascii="Arial" w:cs="Arial" w:eastAsia="Arial" w:hAnsi="Arial"/>
                <w:sz w:val="18"/>
                <w:szCs w:val="18"/>
                <w:color w:val="auto"/>
              </w:rPr>
              <w:t>Date: July 9, 2013</w:t>
            </w:r>
          </w:p>
        </w:tc>
        <w:tc>
          <w:tcPr>
            <w:tcW w:w="7820" w:type="dxa"/>
            <w:vAlign w:val="bottom"/>
            <w:gridSpan w:val="2"/>
          </w:tcPr>
          <w:p>
            <w:pPr>
              <w:ind w:left="2320"/>
              <w:spacing w:after="0"/>
              <w:rPr>
                <w:sz w:val="20"/>
                <w:szCs w:val="20"/>
                <w:color w:val="auto"/>
              </w:rPr>
            </w:pPr>
            <w:r>
              <w:rPr>
                <w:rFonts w:ascii="Arial" w:cs="Arial" w:eastAsia="Arial" w:hAnsi="Arial"/>
                <w:sz w:val="18"/>
                <w:szCs w:val="18"/>
                <w:color w:val="auto"/>
              </w:rPr>
              <w:t>By: /s/ Ronald Cami</w:t>
            </w:r>
          </w:p>
        </w:tc>
      </w:tr>
      <w:tr>
        <w:trPr>
          <w:trHeight w:val="202"/>
        </w:trPr>
        <w:tc>
          <w:tcPr>
            <w:tcW w:w="36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Cami</w:t>
            </w:r>
          </w:p>
        </w:tc>
      </w:tr>
      <w:tr>
        <w:trPr>
          <w:trHeight w:val="222"/>
        </w:trPr>
        <w:tc>
          <w:tcPr>
            <w:tcW w:w="3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4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SENIOR SECURED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16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July 2, 2013</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The LENDERS Party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SUNTRUST ROBINSON HUMPHREY, INC.</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183515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19"/>
                <w:szCs w:val="19"/>
                <w:color w:val="auto"/>
              </w:rPr>
            </w:pPr>
          </w:p>
        </w:tc>
        <w:tc>
          <w:tcPr>
            <w:tcW w:w="7160" w:type="dxa"/>
            <w:vAlign w:val="bottom"/>
          </w:tcPr>
          <w:p>
            <w:pPr>
              <w:ind w:left="310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45"/>
        </w:trPr>
        <w:tc>
          <w:tcPr>
            <w:tcW w:w="16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88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1.01.</w:t>
            </w:r>
          </w:p>
        </w:tc>
        <w:tc>
          <w:tcPr>
            <w:tcW w:w="716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1.02.   Classification of Loans and Borrowings</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1.03.</w:t>
            </w:r>
          </w:p>
        </w:tc>
        <w:tc>
          <w:tcPr>
            <w:tcW w:w="7160" w:type="dxa"/>
            <w:vAlign w:val="bottom"/>
          </w:tcPr>
          <w:p>
            <w:pPr>
              <w:ind w:left="120"/>
              <w:spacing w:after="0"/>
              <w:rPr>
                <w:sz w:val="20"/>
                <w:szCs w:val="20"/>
                <w:color w:val="auto"/>
              </w:rPr>
            </w:pPr>
            <w:r>
              <w:rPr>
                <w:rFonts w:ascii="Arial" w:cs="Arial" w:eastAsia="Arial" w:hAnsi="Arial"/>
                <w:sz w:val="18"/>
                <w:szCs w:val="18"/>
                <w:color w:val="auto"/>
              </w:rPr>
              <w:t>Terms Generally</w:t>
            </w: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1.04.   Accounting Terms; GAAP</w:t>
            </w: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1.05.   Currencies; Currency Equivalents</w:t>
            </w:r>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2.01.</w:t>
            </w:r>
          </w:p>
        </w:tc>
        <w:tc>
          <w:tcPr>
            <w:tcW w:w="7160" w:type="dxa"/>
            <w:vAlign w:val="bottom"/>
          </w:tcPr>
          <w:p>
            <w:pPr>
              <w:ind w:left="120"/>
              <w:spacing w:after="0"/>
              <w:rPr>
                <w:sz w:val="20"/>
                <w:szCs w:val="20"/>
                <w:color w:val="auto"/>
              </w:rPr>
            </w:pPr>
            <w:r>
              <w:rPr>
                <w:rFonts w:ascii="Arial" w:cs="Arial" w:eastAsia="Arial" w:hAnsi="Arial"/>
                <w:sz w:val="18"/>
                <w:szCs w:val="18"/>
                <w:color w:val="auto"/>
              </w:rPr>
              <w:t>The 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2.02.   Loans and Borrowings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2.03.   Requests for Syndicated Borrowings</w:t>
            </w:r>
          </w:p>
        </w:tc>
        <w:tc>
          <w:tcPr>
            <w:tcW w:w="2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2.04.</w:t>
            </w:r>
          </w:p>
        </w:tc>
        <w:tc>
          <w:tcPr>
            <w:tcW w:w="7160" w:type="dxa"/>
            <w:vAlign w:val="bottom"/>
          </w:tcPr>
          <w:p>
            <w:pPr>
              <w:ind w:left="120"/>
              <w:spacing w:after="0"/>
              <w:rPr>
                <w:sz w:val="20"/>
                <w:szCs w:val="20"/>
                <w:color w:val="auto"/>
              </w:rPr>
            </w:pPr>
            <w:r>
              <w:rPr>
                <w:rFonts w:ascii="Arial" w:cs="Arial" w:eastAsia="Arial" w:hAnsi="Arial"/>
                <w:sz w:val="18"/>
                <w:szCs w:val="18"/>
                <w:color w:val="auto"/>
              </w:rPr>
              <w:t>Swingline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2.05.</w:t>
            </w:r>
          </w:p>
        </w:tc>
        <w:tc>
          <w:tcPr>
            <w:tcW w:w="7160" w:type="dxa"/>
            <w:vAlign w:val="bottom"/>
          </w:tcPr>
          <w:p>
            <w:pPr>
              <w:ind w:left="120"/>
              <w:spacing w:after="0"/>
              <w:rPr>
                <w:sz w:val="20"/>
                <w:szCs w:val="20"/>
                <w:color w:val="auto"/>
              </w:rPr>
            </w:pPr>
            <w:r>
              <w:rPr>
                <w:rFonts w:ascii="Arial" w:cs="Arial" w:eastAsia="Arial" w:hAnsi="Arial"/>
                <w:sz w:val="18"/>
                <w:szCs w:val="18"/>
                <w:color w:val="auto"/>
              </w:rPr>
              <w:t>Letters of Credit</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2.06.   Funding of Borrowings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2.07.</w:t>
            </w:r>
          </w:p>
        </w:tc>
        <w:tc>
          <w:tcPr>
            <w:tcW w:w="7160" w:type="dxa"/>
            <w:vAlign w:val="bottom"/>
          </w:tcPr>
          <w:p>
            <w:pPr>
              <w:ind w:left="120"/>
              <w:spacing w:after="0"/>
              <w:rPr>
                <w:sz w:val="20"/>
                <w:szCs w:val="20"/>
                <w:color w:val="auto"/>
              </w:rPr>
            </w:pPr>
            <w:r>
              <w:rPr>
                <w:rFonts w:ascii="Arial" w:cs="Arial" w:eastAsia="Arial" w:hAnsi="Arial"/>
                <w:sz w:val="18"/>
                <w:szCs w:val="18"/>
                <w:color w:val="auto"/>
              </w:rPr>
              <w:t>Interest Elections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2.08.   Termination, Reduction or Increase of the 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2.09.   Repayment of Loans; Evidence of Debt</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2.10.   Prepayment of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2.11.</w:t>
            </w:r>
          </w:p>
        </w:tc>
        <w:tc>
          <w:tcPr>
            <w:tcW w:w="7160" w:type="dxa"/>
            <w:vAlign w:val="bottom"/>
          </w:tcPr>
          <w:p>
            <w:pPr>
              <w:ind w:left="120"/>
              <w:spacing w:after="0"/>
              <w:rPr>
                <w:sz w:val="20"/>
                <w:szCs w:val="20"/>
                <w:color w:val="auto"/>
              </w:rPr>
            </w:pPr>
            <w:r>
              <w:rPr>
                <w:rFonts w:ascii="Arial" w:cs="Arial" w:eastAsia="Arial" w:hAnsi="Arial"/>
                <w:sz w:val="18"/>
                <w:szCs w:val="18"/>
                <w:color w:val="auto"/>
              </w:rPr>
              <w:t>Fees</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2.12.</w:t>
            </w:r>
          </w:p>
        </w:tc>
        <w:tc>
          <w:tcPr>
            <w:tcW w:w="7160" w:type="dxa"/>
            <w:vAlign w:val="bottom"/>
          </w:tcPr>
          <w:p>
            <w:pPr>
              <w:ind w:left="120"/>
              <w:spacing w:after="0"/>
              <w:rPr>
                <w:sz w:val="20"/>
                <w:szCs w:val="20"/>
                <w:color w:val="auto"/>
              </w:rPr>
            </w:pPr>
            <w:r>
              <w:rPr>
                <w:rFonts w:ascii="Arial" w:cs="Arial" w:eastAsia="Arial" w:hAnsi="Arial"/>
                <w:sz w:val="18"/>
                <w:szCs w:val="18"/>
                <w:color w:val="auto"/>
              </w:rPr>
              <w:t>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2.13.   Alternate Rate of 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2.14.</w:t>
            </w:r>
          </w:p>
        </w:tc>
        <w:tc>
          <w:tcPr>
            <w:tcW w:w="7160" w:type="dxa"/>
            <w:vAlign w:val="bottom"/>
          </w:tcPr>
          <w:p>
            <w:pPr>
              <w:ind w:left="120"/>
              <w:spacing w:after="0"/>
              <w:rPr>
                <w:sz w:val="20"/>
                <w:szCs w:val="20"/>
                <w:color w:val="auto"/>
              </w:rPr>
            </w:pPr>
            <w:r>
              <w:rPr>
                <w:rFonts w:ascii="Arial" w:cs="Arial" w:eastAsia="Arial" w:hAnsi="Arial"/>
                <w:sz w:val="18"/>
                <w:szCs w:val="18"/>
                <w:color w:val="auto"/>
              </w:rPr>
              <w:t>Increased Costs</w:t>
            </w:r>
          </w:p>
        </w:tc>
        <w:tc>
          <w:tcPr>
            <w:tcW w:w="2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2.15.   Break Funding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2.16.</w:t>
            </w:r>
          </w:p>
        </w:tc>
        <w:tc>
          <w:tcPr>
            <w:tcW w:w="7160" w:type="dxa"/>
            <w:vAlign w:val="bottom"/>
          </w:tcPr>
          <w:p>
            <w:pPr>
              <w:ind w:left="12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2.17.   Payments Generally; Pro Rata Treatment: Sharing of Set-offs</w:t>
            </w:r>
          </w:p>
        </w:tc>
        <w:tc>
          <w:tcPr>
            <w:tcW w:w="2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840" w:type="dxa"/>
            <w:vAlign w:val="bottom"/>
            <w:gridSpan w:val="2"/>
          </w:tcPr>
          <w:p>
            <w:pPr>
              <w:ind w:left="440"/>
              <w:spacing w:after="0"/>
              <w:rPr>
                <w:sz w:val="20"/>
                <w:szCs w:val="20"/>
                <w:color w:val="auto"/>
              </w:rPr>
            </w:pPr>
            <w:r>
              <w:rPr>
                <w:rFonts w:ascii="Arial" w:cs="Arial" w:eastAsia="Arial" w:hAnsi="Arial"/>
                <w:sz w:val="18"/>
                <w:szCs w:val="18"/>
                <w:color w:val="auto"/>
              </w:rPr>
              <w:t>SECTION 2.18.   Mitigation Obligations; Replacement of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2.19.</w:t>
            </w:r>
          </w:p>
        </w:tc>
        <w:tc>
          <w:tcPr>
            <w:tcW w:w="7160" w:type="dxa"/>
            <w:vAlign w:val="bottom"/>
          </w:tcPr>
          <w:p>
            <w:pPr>
              <w:ind w:left="120"/>
              <w:spacing w:after="0"/>
              <w:rPr>
                <w:sz w:val="20"/>
                <w:szCs w:val="20"/>
                <w:color w:val="auto"/>
              </w:rPr>
            </w:pPr>
            <w:r>
              <w:rPr>
                <w:rFonts w:ascii="Arial" w:cs="Arial" w:eastAsia="Arial" w:hAnsi="Arial"/>
                <w:sz w:val="18"/>
                <w:szCs w:val="18"/>
                <w:color w:val="auto"/>
              </w:rPr>
              <w:t>Defaulting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8"/>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3.01.</w:t>
            </w:r>
          </w:p>
        </w:tc>
        <w:tc>
          <w:tcPr>
            <w:tcW w:w="7160" w:type="dxa"/>
            <w:vAlign w:val="bottom"/>
          </w:tcPr>
          <w:p>
            <w:pPr>
              <w:ind w:left="120"/>
              <w:spacing w:after="0"/>
              <w:rPr>
                <w:sz w:val="20"/>
                <w:szCs w:val="20"/>
                <w:color w:val="auto"/>
              </w:rPr>
            </w:pPr>
            <w:r>
              <w:rPr>
                <w:rFonts w:ascii="Arial" w:cs="Arial" w:eastAsia="Arial" w:hAnsi="Arial"/>
                <w:sz w:val="18"/>
                <w:szCs w:val="18"/>
                <w:color w:val="auto"/>
              </w:rPr>
              <w:t>Organization; Powers</w:t>
            </w:r>
          </w:p>
        </w:tc>
        <w:tc>
          <w:tcPr>
            <w:tcW w:w="2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2"/>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3.02.</w:t>
            </w:r>
          </w:p>
        </w:tc>
        <w:tc>
          <w:tcPr>
            <w:tcW w:w="7160" w:type="dxa"/>
            <w:vAlign w:val="bottom"/>
          </w:tcPr>
          <w:p>
            <w:pPr>
              <w:ind w:left="120"/>
              <w:spacing w:after="0"/>
              <w:rPr>
                <w:sz w:val="20"/>
                <w:szCs w:val="20"/>
                <w:color w:val="auto"/>
              </w:rPr>
            </w:pPr>
            <w:r>
              <w:rPr>
                <w:rFonts w:ascii="Arial" w:cs="Arial" w:eastAsia="Arial" w:hAnsi="Arial"/>
                <w:sz w:val="18"/>
                <w:szCs w:val="18"/>
                <w:color w:val="auto"/>
              </w:rPr>
              <w:t>Authorization; Enforceability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328"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3.03.   Governmental Approvals; No Conflicts</w:t>
            </w:r>
          </w:p>
        </w:tc>
        <w:tc>
          <w:tcPr>
            <w:tcW w:w="26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3.04.   Financial Condition; No Material Adverse Change</w:t>
            </w:r>
          </w:p>
        </w:tc>
        <w:tc>
          <w:tcPr>
            <w:tcW w:w="26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3.05.</w:t>
            </w:r>
          </w:p>
        </w:tc>
        <w:tc>
          <w:tcPr>
            <w:tcW w:w="702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6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3.06.   Compliance with Laws and Agreements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3.07.</w:t>
            </w:r>
          </w:p>
        </w:tc>
        <w:tc>
          <w:tcPr>
            <w:tcW w:w="7020" w:type="dxa"/>
            <w:vAlign w:val="bottom"/>
          </w:tcPr>
          <w:p>
            <w:pPr>
              <w:ind w:left="120"/>
              <w:spacing w:after="0"/>
              <w:rPr>
                <w:sz w:val="20"/>
                <w:szCs w:val="20"/>
                <w:color w:val="auto"/>
              </w:rPr>
            </w:pPr>
            <w:r>
              <w:rPr>
                <w:rFonts w:ascii="Arial" w:cs="Arial" w:eastAsia="Arial" w:hAnsi="Arial"/>
                <w:sz w:val="18"/>
                <w:szCs w:val="18"/>
                <w:color w:val="auto"/>
              </w:rPr>
              <w:t>Taxes</w:t>
            </w:r>
          </w:p>
        </w:tc>
        <w:tc>
          <w:tcPr>
            <w:tcW w:w="2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3.08.</w:t>
            </w:r>
          </w:p>
        </w:tc>
        <w:tc>
          <w:tcPr>
            <w:tcW w:w="7020" w:type="dxa"/>
            <w:vAlign w:val="bottom"/>
          </w:tcPr>
          <w:p>
            <w:pPr>
              <w:ind w:left="120"/>
              <w:spacing w:after="0"/>
              <w:rPr>
                <w:sz w:val="20"/>
                <w:szCs w:val="20"/>
                <w:color w:val="auto"/>
              </w:rPr>
            </w:pPr>
            <w:r>
              <w:rPr>
                <w:rFonts w:ascii="Arial" w:cs="Arial" w:eastAsia="Arial" w:hAnsi="Arial"/>
                <w:sz w:val="18"/>
                <w:szCs w:val="18"/>
                <w:color w:val="auto"/>
              </w:rPr>
              <w:t>ERISA</w:t>
            </w:r>
          </w:p>
        </w:tc>
        <w:tc>
          <w:tcPr>
            <w:tcW w:w="2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3.09.</w:t>
            </w:r>
          </w:p>
        </w:tc>
        <w:tc>
          <w:tcPr>
            <w:tcW w:w="7020" w:type="dxa"/>
            <w:vAlign w:val="bottom"/>
          </w:tcPr>
          <w:p>
            <w:pPr>
              <w:ind w:left="120"/>
              <w:spacing w:after="0"/>
              <w:rPr>
                <w:sz w:val="20"/>
                <w:szCs w:val="20"/>
                <w:color w:val="auto"/>
              </w:rPr>
            </w:pPr>
            <w:r>
              <w:rPr>
                <w:rFonts w:ascii="Arial" w:cs="Arial" w:eastAsia="Arial" w:hAnsi="Arial"/>
                <w:sz w:val="18"/>
                <w:szCs w:val="18"/>
                <w:color w:val="auto"/>
              </w:rPr>
              <w:t>Disclosure</w:t>
            </w:r>
          </w:p>
        </w:tc>
        <w:tc>
          <w:tcPr>
            <w:tcW w:w="2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3.10.   Investment Company Act; Margin Regulations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3.11.   Material Agreements and Liens</w:t>
            </w:r>
          </w:p>
        </w:tc>
        <w:tc>
          <w:tcPr>
            <w:tcW w:w="2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3.12.   Subsidiaries and Investments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3.13.</w:t>
            </w:r>
          </w:p>
        </w:tc>
        <w:tc>
          <w:tcPr>
            <w:tcW w:w="7020" w:type="dxa"/>
            <w:vAlign w:val="bottom"/>
          </w:tcPr>
          <w:p>
            <w:pPr>
              <w:ind w:left="120"/>
              <w:spacing w:after="0"/>
              <w:rPr>
                <w:sz w:val="20"/>
                <w:szCs w:val="20"/>
                <w:color w:val="auto"/>
              </w:rPr>
            </w:pPr>
            <w:r>
              <w:rPr>
                <w:rFonts w:ascii="Arial" w:cs="Arial" w:eastAsia="Arial" w:hAnsi="Arial"/>
                <w:sz w:val="18"/>
                <w:szCs w:val="18"/>
                <w:color w:val="auto"/>
              </w:rPr>
              <w:t>Properties</w:t>
            </w: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3.14.</w:t>
            </w:r>
          </w:p>
        </w:tc>
        <w:tc>
          <w:tcPr>
            <w:tcW w:w="7020" w:type="dxa"/>
            <w:vAlign w:val="bottom"/>
          </w:tcPr>
          <w:p>
            <w:pPr>
              <w:ind w:left="120"/>
              <w:spacing w:after="0"/>
              <w:rPr>
                <w:sz w:val="20"/>
                <w:szCs w:val="20"/>
                <w:color w:val="auto"/>
              </w:rPr>
            </w:pPr>
            <w:r>
              <w:rPr>
                <w:rFonts w:ascii="Arial" w:cs="Arial" w:eastAsia="Arial" w:hAnsi="Arial"/>
                <w:sz w:val="18"/>
                <w:szCs w:val="18"/>
                <w:color w:val="auto"/>
              </w:rPr>
              <w:t>Affiliate Agreements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3.15.</w:t>
            </w:r>
          </w:p>
        </w:tc>
        <w:tc>
          <w:tcPr>
            <w:tcW w:w="7020" w:type="dxa"/>
            <w:vAlign w:val="bottom"/>
          </w:tcPr>
          <w:p>
            <w:pPr>
              <w:ind w:left="120"/>
              <w:spacing w:after="0"/>
              <w:rPr>
                <w:sz w:val="20"/>
                <w:szCs w:val="20"/>
                <w:color w:val="auto"/>
              </w:rPr>
            </w:pPr>
            <w:r>
              <w:rPr>
                <w:rFonts w:ascii="Arial" w:cs="Arial" w:eastAsia="Arial" w:hAnsi="Arial"/>
                <w:sz w:val="18"/>
                <w:szCs w:val="18"/>
                <w:color w:val="auto"/>
              </w:rPr>
              <w:t>OFAC</w:t>
            </w: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3.16.</w:t>
            </w:r>
          </w:p>
        </w:tc>
        <w:tc>
          <w:tcPr>
            <w:tcW w:w="7020" w:type="dxa"/>
            <w:vAlign w:val="bottom"/>
          </w:tcPr>
          <w:p>
            <w:pPr>
              <w:ind w:left="120"/>
              <w:spacing w:after="0"/>
              <w:rPr>
                <w:sz w:val="20"/>
                <w:szCs w:val="20"/>
                <w:color w:val="auto"/>
              </w:rPr>
            </w:pPr>
            <w:r>
              <w:rPr>
                <w:rFonts w:ascii="Arial" w:cs="Arial" w:eastAsia="Arial" w:hAnsi="Arial"/>
                <w:sz w:val="18"/>
                <w:szCs w:val="18"/>
                <w:color w:val="auto"/>
              </w:rPr>
              <w:t>Patriot Act</w:t>
            </w: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3.17.</w:t>
            </w:r>
          </w:p>
        </w:tc>
        <w:tc>
          <w:tcPr>
            <w:tcW w:w="7020" w:type="dxa"/>
            <w:vAlign w:val="bottom"/>
          </w:tcPr>
          <w:p>
            <w:pPr>
              <w:ind w:left="120"/>
              <w:spacing w:after="0"/>
              <w:rPr>
                <w:sz w:val="20"/>
                <w:szCs w:val="20"/>
                <w:color w:val="auto"/>
              </w:rPr>
            </w:pPr>
            <w:r>
              <w:rPr>
                <w:rFonts w:ascii="Arial" w:cs="Arial" w:eastAsia="Arial" w:hAnsi="Arial"/>
                <w:sz w:val="18"/>
                <w:szCs w:val="18"/>
                <w:color w:val="auto"/>
              </w:rPr>
              <w:t>Collateral Documents</w:t>
            </w: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ARTICLE IV CONDITIONS</w:t>
            </w:r>
          </w:p>
        </w:tc>
        <w:tc>
          <w:tcPr>
            <w:tcW w:w="26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4.01.</w:t>
            </w:r>
          </w:p>
        </w:tc>
        <w:tc>
          <w:tcPr>
            <w:tcW w:w="7020" w:type="dxa"/>
            <w:vAlign w:val="bottom"/>
          </w:tcPr>
          <w:p>
            <w:pPr>
              <w:ind w:left="120"/>
              <w:spacing w:after="0"/>
              <w:rPr>
                <w:sz w:val="20"/>
                <w:szCs w:val="20"/>
                <w:color w:val="auto"/>
              </w:rPr>
            </w:pPr>
            <w:r>
              <w:rPr>
                <w:rFonts w:ascii="Arial" w:cs="Arial" w:eastAsia="Arial" w:hAnsi="Arial"/>
                <w:sz w:val="18"/>
                <w:szCs w:val="18"/>
                <w:color w:val="auto"/>
              </w:rPr>
              <w:t>Effective Date</w:t>
            </w:r>
          </w:p>
        </w:tc>
        <w:tc>
          <w:tcPr>
            <w:tcW w:w="26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4.02.</w:t>
            </w:r>
          </w:p>
        </w:tc>
        <w:tc>
          <w:tcPr>
            <w:tcW w:w="7020" w:type="dxa"/>
            <w:vAlign w:val="bottom"/>
          </w:tcPr>
          <w:p>
            <w:pPr>
              <w:ind w:left="120"/>
              <w:spacing w:after="0"/>
              <w:rPr>
                <w:sz w:val="20"/>
                <w:szCs w:val="20"/>
                <w:color w:val="auto"/>
              </w:rPr>
            </w:pPr>
            <w:r>
              <w:rPr>
                <w:rFonts w:ascii="Arial" w:cs="Arial" w:eastAsia="Arial" w:hAnsi="Arial"/>
                <w:sz w:val="18"/>
                <w:szCs w:val="18"/>
                <w:color w:val="auto"/>
              </w:rPr>
              <w:t>Each Credit Event</w:t>
            </w:r>
          </w:p>
        </w:tc>
        <w:tc>
          <w:tcPr>
            <w:tcW w:w="26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8"/>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5.01.   Financial Statements and Other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5.02.   Notices of Material Events</w:t>
            </w:r>
          </w:p>
        </w:tc>
        <w:tc>
          <w:tcPr>
            <w:tcW w:w="2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5.03.   Existence: Conduct of Business</w:t>
            </w:r>
          </w:p>
        </w:tc>
        <w:tc>
          <w:tcPr>
            <w:tcW w:w="2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5.04.   Payment of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5.05.   Maintenance of Properties; Insurance</w:t>
            </w:r>
          </w:p>
        </w:tc>
        <w:tc>
          <w:tcPr>
            <w:tcW w:w="2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5.06.   Books and Records; Inspection and Audit Rights</w:t>
            </w:r>
          </w:p>
        </w:tc>
        <w:tc>
          <w:tcPr>
            <w:tcW w:w="2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5.07.   Compliance with Laws</w:t>
            </w:r>
          </w:p>
        </w:tc>
        <w:tc>
          <w:tcPr>
            <w:tcW w:w="2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SECTION 5.08.   Certain Obligations Respecting Subsidiaries; Further Assurances</w:t>
            </w:r>
          </w:p>
        </w:tc>
        <w:tc>
          <w:tcPr>
            <w:tcW w:w="2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5.09.</w:t>
            </w:r>
          </w:p>
        </w:tc>
        <w:tc>
          <w:tcPr>
            <w:tcW w:w="702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2"/>
        </w:trPr>
        <w:tc>
          <w:tcPr>
            <w:tcW w:w="1680" w:type="dxa"/>
            <w:vAlign w:val="bottom"/>
          </w:tcPr>
          <w:p>
            <w:pPr>
              <w:ind w:left="440"/>
              <w:spacing w:after="0"/>
              <w:rPr>
                <w:sz w:val="20"/>
                <w:szCs w:val="20"/>
                <w:color w:val="auto"/>
              </w:rPr>
            </w:pPr>
            <w:r>
              <w:rPr>
                <w:rFonts w:ascii="Arial" w:cs="Arial" w:eastAsia="Arial" w:hAnsi="Arial"/>
                <w:sz w:val="18"/>
                <w:szCs w:val="18"/>
                <w:color w:val="auto"/>
                <w:w w:val="97"/>
              </w:rPr>
              <w:t>SECTION 5.10.</w:t>
            </w:r>
          </w:p>
        </w:tc>
        <w:tc>
          <w:tcPr>
            <w:tcW w:w="7020" w:type="dxa"/>
            <w:vAlign w:val="bottom"/>
          </w:tcPr>
          <w:p>
            <w:pPr>
              <w:ind w:left="120"/>
              <w:spacing w:after="0"/>
              <w:rPr>
                <w:sz w:val="20"/>
                <w:szCs w:val="20"/>
                <w:color w:val="auto"/>
              </w:rPr>
            </w:pPr>
            <w:r>
              <w:rPr>
                <w:rFonts w:ascii="Arial" w:cs="Arial" w:eastAsia="Arial" w:hAnsi="Arial"/>
                <w:sz w:val="18"/>
                <w:szCs w:val="18"/>
                <w:color w:val="auto"/>
              </w:rPr>
              <w:t>Status of RIC and BDC</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8840" w:type="dxa"/>
            <w:vAlign w:val="bottom"/>
          </w:tcPr>
          <w:p>
            <w:pPr>
              <w:jc w:val="center"/>
              <w:ind w:left="2512"/>
              <w:spacing w:after="0"/>
              <w:rPr>
                <w:sz w:val="20"/>
                <w:szCs w:val="20"/>
                <w:color w:val="auto"/>
              </w:rPr>
            </w:pPr>
            <w:r>
              <w:rPr>
                <w:rFonts w:ascii="Arial" w:cs="Arial" w:eastAsia="Arial" w:hAnsi="Arial"/>
                <w:sz w:val="18"/>
                <w:szCs w:val="18"/>
                <w:b w:val="1"/>
                <w:bCs w:val="1"/>
                <w:color w:val="auto"/>
                <w:w w:val="96"/>
              </w:rPr>
              <w:t>TABLE OF CONTENTS</w:t>
            </w:r>
          </w:p>
        </w:tc>
        <w:tc>
          <w:tcPr>
            <w:tcW w:w="2480" w:type="dxa"/>
            <w:vAlign w:val="bottom"/>
          </w:tcPr>
          <w:p>
            <w:pPr>
              <w:spacing w:after="0"/>
              <w:rPr>
                <w:sz w:val="19"/>
                <w:szCs w:val="19"/>
                <w:color w:val="auto"/>
              </w:rPr>
            </w:pPr>
          </w:p>
        </w:tc>
      </w:tr>
      <w:tr>
        <w:trPr>
          <w:trHeight w:val="222"/>
        </w:trPr>
        <w:tc>
          <w:tcPr>
            <w:tcW w:w="8840" w:type="dxa"/>
            <w:vAlign w:val="bottom"/>
          </w:tcPr>
          <w:p>
            <w:pPr>
              <w:jc w:val="center"/>
              <w:ind w:left="2492"/>
              <w:spacing w:after="0"/>
              <w:rPr>
                <w:sz w:val="20"/>
                <w:szCs w:val="20"/>
                <w:color w:val="auto"/>
              </w:rPr>
            </w:pPr>
            <w:r>
              <w:rPr>
                <w:rFonts w:ascii="Arial" w:cs="Arial" w:eastAsia="Arial" w:hAnsi="Arial"/>
                <w:sz w:val="18"/>
                <w:szCs w:val="18"/>
                <w:color w:val="auto"/>
                <w:w w:val="91"/>
              </w:rPr>
              <w:t>(continued)</w:t>
            </w:r>
          </w:p>
        </w:tc>
        <w:tc>
          <w:tcPr>
            <w:tcW w:w="2480" w:type="dxa"/>
            <w:vAlign w:val="bottom"/>
          </w:tcPr>
          <w:p>
            <w:pPr>
              <w:spacing w:after="0"/>
              <w:rPr>
                <w:sz w:val="19"/>
                <w:szCs w:val="19"/>
                <w:color w:val="auto"/>
              </w:rPr>
            </w:pPr>
          </w:p>
        </w:tc>
      </w:tr>
      <w:tr>
        <w:trPr>
          <w:trHeight w:val="291"/>
        </w:trPr>
        <w:tc>
          <w:tcPr>
            <w:tcW w:w="88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5.11. Investment Policies</w:t>
            </w:r>
          </w:p>
        </w:tc>
        <w:tc>
          <w:tcPr>
            <w:tcW w:w="2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5.12. Portfolio Valuation and Diversification Etc</w:t>
            </w:r>
          </w:p>
        </w:tc>
        <w:tc>
          <w:tcPr>
            <w:tcW w:w="2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SECTION 5.13. Calculation of Borrowing Base</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VI NEGATIVE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8"/>
        </w:trPr>
        <w:tc>
          <w:tcPr>
            <w:tcW w:w="8840" w:type="dxa"/>
            <w:vAlign w:val="bottom"/>
          </w:tcPr>
          <w:p>
            <w:pPr>
              <w:ind w:left="440"/>
              <w:spacing w:after="0"/>
              <w:rPr>
                <w:sz w:val="20"/>
                <w:szCs w:val="20"/>
                <w:color w:val="auto"/>
              </w:rPr>
            </w:pPr>
            <w:r>
              <w:rPr>
                <w:rFonts w:ascii="Arial" w:cs="Arial" w:eastAsia="Arial" w:hAnsi="Arial"/>
                <w:sz w:val="18"/>
                <w:szCs w:val="18"/>
                <w:color w:val="auto"/>
              </w:rPr>
              <w:t>SECTION 6.01. Indebtedness</w:t>
            </w:r>
          </w:p>
        </w:tc>
        <w:tc>
          <w:tcPr>
            <w:tcW w:w="2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6.02. Liens</w:t>
            </w:r>
          </w:p>
        </w:tc>
        <w:tc>
          <w:tcPr>
            <w:tcW w:w="2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6.03. Fundamental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6.04. Investments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6.05. Restricted 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6.06. Certain Restrictions on 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6.07. Certain Financial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6.08. Transactions with Affiliates</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6.09. Lines of Business</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6.10. No Further Negative Pledge</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6.11. Modifications of Longer-Term Indebtedness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6.12. Payments of Longer-Term Indebtedness</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6.13. Accounting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SECTION 6.14. SBIC Guarantee</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8"/>
        </w:trPr>
        <w:tc>
          <w:tcPr>
            <w:tcW w:w="8840" w:type="dxa"/>
            <w:vAlign w:val="bottom"/>
          </w:tcPr>
          <w:p>
            <w:pPr>
              <w:spacing w:after="0"/>
              <w:rPr>
                <w:sz w:val="20"/>
                <w:szCs w:val="20"/>
                <w:color w:val="auto"/>
              </w:rPr>
            </w:pPr>
            <w:r>
              <w:rPr>
                <w:rFonts w:ascii="Arial" w:cs="Arial" w:eastAsia="Arial" w:hAnsi="Arial"/>
                <w:sz w:val="18"/>
                <w:szCs w:val="18"/>
                <w:color w:val="auto"/>
              </w:rPr>
              <w:t>ARTICLE VII EVENTS OF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8840" w:type="dxa"/>
            <w:vAlign w:val="bottom"/>
          </w:tcPr>
          <w:p>
            <w:pPr>
              <w:spacing w:after="0"/>
              <w:rPr>
                <w:sz w:val="20"/>
                <w:szCs w:val="20"/>
                <w:color w:val="auto"/>
              </w:rPr>
            </w:pPr>
            <w:r>
              <w:rPr>
                <w:rFonts w:ascii="Arial" w:cs="Arial" w:eastAsia="Arial" w:hAnsi="Arial"/>
                <w:sz w:val="18"/>
                <w:szCs w:val="18"/>
                <w:color w:val="auto"/>
              </w:rPr>
              <w:t>ARTICLE VIII THE ADMINISTRATIVE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18"/>
        </w:trPr>
        <w:tc>
          <w:tcPr>
            <w:tcW w:w="8840" w:type="dxa"/>
            <w:vAlign w:val="bottom"/>
          </w:tcPr>
          <w:p>
            <w:pPr>
              <w:ind w:left="440"/>
              <w:spacing w:after="0"/>
              <w:rPr>
                <w:sz w:val="20"/>
                <w:szCs w:val="20"/>
                <w:color w:val="auto"/>
              </w:rPr>
            </w:pPr>
            <w:r>
              <w:rPr>
                <w:rFonts w:ascii="Arial" w:cs="Arial" w:eastAsia="Arial" w:hAnsi="Arial"/>
                <w:sz w:val="18"/>
                <w:szCs w:val="18"/>
                <w:color w:val="auto"/>
              </w:rPr>
              <w:t>SECTION 8.01. Appointment of the Administrative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8.02. Capacity as Lender</w:t>
            </w:r>
          </w:p>
        </w:tc>
        <w:tc>
          <w:tcPr>
            <w:tcW w:w="24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8.03. Limitation of Duties; Exculpation</w:t>
            </w:r>
          </w:p>
        </w:tc>
        <w:tc>
          <w:tcPr>
            <w:tcW w:w="24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8.04. Reliance</w:t>
            </w:r>
          </w:p>
        </w:tc>
        <w:tc>
          <w:tcPr>
            <w:tcW w:w="24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8.05. Sub-Agents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8.06. Resignation; Successor Administrative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840" w:type="dxa"/>
            <w:vAlign w:val="bottom"/>
          </w:tcPr>
          <w:p>
            <w:pPr>
              <w:ind w:left="440"/>
              <w:spacing w:after="0"/>
              <w:rPr>
                <w:sz w:val="20"/>
                <w:szCs w:val="20"/>
                <w:color w:val="auto"/>
              </w:rPr>
            </w:pPr>
            <w:r>
              <w:rPr>
                <w:rFonts w:ascii="Arial" w:cs="Arial" w:eastAsia="Arial" w:hAnsi="Arial"/>
                <w:sz w:val="18"/>
                <w:szCs w:val="18"/>
                <w:color w:val="auto"/>
              </w:rPr>
              <w:t>SECTION 8.07. Reliance by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SECTION 8.08. Modifications to Loan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ARTICLE IX MISCELLANEOUS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8840" w:type="dxa"/>
            <w:vAlign w:val="bottom"/>
          </w:tcPr>
          <w:p>
            <w:pPr>
              <w:ind w:left="440"/>
              <w:spacing w:after="0"/>
              <w:rPr>
                <w:sz w:val="20"/>
                <w:szCs w:val="20"/>
                <w:color w:val="auto"/>
              </w:rPr>
            </w:pPr>
            <w:r>
              <w:rPr>
                <w:rFonts w:ascii="Arial" w:cs="Arial" w:eastAsia="Arial" w:hAnsi="Arial"/>
                <w:sz w:val="18"/>
                <w:szCs w:val="18"/>
                <w:color w:val="auto"/>
              </w:rPr>
              <w:t>SECTION 9.01. Notices; Electronic Communications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65"/>
        </w:trPr>
        <w:tc>
          <w:tcPr>
            <w:tcW w:w="8840" w:type="dxa"/>
            <w:vAlign w:val="bottom"/>
          </w:tcPr>
          <w:p>
            <w:pPr>
              <w:jc w:val="center"/>
              <w:ind w:left="2492"/>
              <w:spacing w:after="0"/>
              <w:rPr>
                <w:sz w:val="20"/>
                <w:szCs w:val="20"/>
                <w:color w:val="auto"/>
              </w:rPr>
            </w:pPr>
            <w:r>
              <w:rPr>
                <w:rFonts w:ascii="Arial" w:cs="Arial" w:eastAsia="Arial" w:hAnsi="Arial"/>
                <w:sz w:val="18"/>
                <w:szCs w:val="18"/>
                <w:color w:val="auto"/>
              </w:rPr>
              <w:t>-iii-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22"/>
        </w:trPr>
        <w:tc>
          <w:tcPr>
            <w:tcW w:w="8480" w:type="dxa"/>
            <w:vAlign w:val="bottom"/>
          </w:tcPr>
          <w:p>
            <w:pPr>
              <w:ind w:left="43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19"/>
                <w:szCs w:val="19"/>
                <w:color w:val="auto"/>
              </w:rPr>
            </w:pPr>
          </w:p>
        </w:tc>
      </w:tr>
      <w:tr>
        <w:trPr>
          <w:trHeight w:val="222"/>
        </w:trPr>
        <w:tc>
          <w:tcPr>
            <w:tcW w:w="8480" w:type="dxa"/>
            <w:vAlign w:val="bottom"/>
          </w:tcPr>
          <w:p>
            <w:pPr>
              <w:ind w:left="4860"/>
              <w:spacing w:after="0"/>
              <w:rPr>
                <w:sz w:val="20"/>
                <w:szCs w:val="20"/>
                <w:color w:val="auto"/>
              </w:rPr>
            </w:pPr>
            <w:r>
              <w:rPr>
                <w:rFonts w:ascii="Arial" w:cs="Arial" w:eastAsia="Arial" w:hAnsi="Arial"/>
                <w:sz w:val="18"/>
                <w:szCs w:val="18"/>
                <w:color w:val="auto"/>
              </w:rPr>
              <w:t>(continued)</w:t>
            </w:r>
          </w:p>
        </w:tc>
        <w:tc>
          <w:tcPr>
            <w:tcW w:w="2400" w:type="dxa"/>
            <w:vAlign w:val="bottom"/>
          </w:tcPr>
          <w:p>
            <w:pPr>
              <w:spacing w:after="0"/>
              <w:rPr>
                <w:sz w:val="19"/>
                <w:szCs w:val="19"/>
                <w:color w:val="auto"/>
              </w:rPr>
            </w:pPr>
          </w:p>
        </w:tc>
      </w:tr>
      <w:tr>
        <w:trPr>
          <w:trHeight w:val="291"/>
        </w:trPr>
        <w:tc>
          <w:tcPr>
            <w:tcW w:w="84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9.02. Waivers; Amendments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9.03. Expenses; Indemnity; Damage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9.04. Successors and Assigns</w:t>
            </w:r>
          </w:p>
        </w:tc>
        <w:tc>
          <w:tcPr>
            <w:tcW w:w="24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9.05. 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9.07. 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9.08. Right of Setoff</w:t>
            </w:r>
          </w:p>
        </w:tc>
        <w:tc>
          <w:tcPr>
            <w:tcW w:w="2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9.09. Governing Law; Jurisdiction; Etc</w:t>
            </w:r>
          </w:p>
        </w:tc>
        <w:tc>
          <w:tcPr>
            <w:tcW w:w="2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9.10. 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9.11. Judgment Currency</w:t>
            </w:r>
          </w:p>
        </w:tc>
        <w:tc>
          <w:tcPr>
            <w:tcW w:w="24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9.12. Headings</w:t>
            </w:r>
          </w:p>
        </w:tc>
        <w:tc>
          <w:tcPr>
            <w:tcW w:w="24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9.13. Treatment of Certain Information; No Fiduciary Duty; 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SECTION 9.14. USA PATRIOT Act</w:t>
            </w:r>
          </w:p>
        </w:tc>
        <w:tc>
          <w:tcPr>
            <w:tcW w:w="24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SECTION 9.15. Effect of Amendment and Restatement of the Existing Credit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880"/>
          </w:cols>
          <w:pgMar w:left="680" w:top="27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1.01(a)</w:t>
            </w: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w w:val="90"/>
              </w:rPr>
              <w:t>- Approved Dealers and Approved Pricing Services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1.01(b)</w:t>
            </w: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3580" w:type="dxa"/>
            <w:vAlign w:val="bottom"/>
          </w:tcPr>
          <w:p>
            <w:pPr>
              <w:ind w:left="60"/>
              <w:spacing w:after="0"/>
              <w:rPr>
                <w:sz w:val="20"/>
                <w:szCs w:val="20"/>
                <w:color w:val="auto"/>
              </w:rPr>
            </w:pPr>
            <w:r>
              <w:rPr>
                <w:rFonts w:ascii="Arial" w:cs="Arial" w:eastAsia="Arial" w:hAnsi="Arial"/>
                <w:sz w:val="18"/>
                <w:szCs w:val="18"/>
                <w:color w:val="auto"/>
              </w:rPr>
              <w:t>Commitments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1.01(c)</w:t>
            </w: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 Industry Classification Group List</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3.11</w:t>
            </w: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 Material Agreements and Liens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3.12(a)</w:t>
            </w: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3580" w:type="dxa"/>
            <w:vAlign w:val="bottom"/>
          </w:tcPr>
          <w:p>
            <w:pPr>
              <w:ind w:left="60"/>
              <w:spacing w:after="0"/>
              <w:rPr>
                <w:sz w:val="20"/>
                <w:szCs w:val="20"/>
                <w:color w:val="auto"/>
              </w:rPr>
            </w:pPr>
            <w:r>
              <w:rPr>
                <w:rFonts w:ascii="Arial" w:cs="Arial" w:eastAsia="Arial" w:hAnsi="Arial"/>
                <w:sz w:val="18"/>
                <w:szCs w:val="18"/>
                <w:color w:val="auto"/>
              </w:rPr>
              <w:t>Subsidiaries</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SCHEDULE 3.12(b)</w:t>
            </w: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3580" w:type="dxa"/>
            <w:vAlign w:val="bottom"/>
          </w:tcPr>
          <w:p>
            <w:pPr>
              <w:ind w:left="60"/>
              <w:spacing w:after="0"/>
              <w:rPr>
                <w:sz w:val="20"/>
                <w:szCs w:val="20"/>
                <w:color w:val="auto"/>
              </w:rPr>
            </w:pPr>
            <w:r>
              <w:rPr>
                <w:rFonts w:ascii="Arial" w:cs="Arial" w:eastAsia="Arial" w:hAnsi="Arial"/>
                <w:sz w:val="18"/>
                <w:szCs w:val="18"/>
                <w:color w:val="auto"/>
              </w:rPr>
              <w:t>Investments</w:t>
            </w: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SCHEDULE 6.08</w:t>
            </w: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358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r>
      <w:tr>
        <w:trPr>
          <w:trHeight w:val="426"/>
        </w:trPr>
        <w:tc>
          <w:tcPr>
            <w:tcW w:w="1640" w:type="dxa"/>
            <w:vAlign w:val="bottom"/>
          </w:tcPr>
          <w:p>
            <w:pPr>
              <w:spacing w:after="0"/>
              <w:rPr>
                <w:sz w:val="20"/>
                <w:szCs w:val="20"/>
                <w:color w:val="auto"/>
              </w:rPr>
            </w:pPr>
            <w:r>
              <w:rPr>
                <w:rFonts w:ascii="Arial" w:cs="Arial" w:eastAsia="Arial" w:hAnsi="Arial"/>
                <w:sz w:val="18"/>
                <w:szCs w:val="18"/>
                <w:color w:val="auto"/>
              </w:rPr>
              <w:t>EXHIBIT A</w:t>
            </w: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EXHIBIT B</w:t>
            </w: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 Form of Borrowing Base Certificate</w:t>
            </w: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EXHIBIT C</w:t>
            </w: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 Form of Borrowing Request</w:t>
            </w:r>
          </w:p>
        </w:tc>
      </w:tr>
    </w:tbl>
    <w:p>
      <w:pPr>
        <w:ind w:left="18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ind w:right="1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SENIOR SECURED REVOLVING CREDIT AGREEMENT dated as of July 2, 2013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TPG SPECIALTY LENDING,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party hereto, and SUNTRUST BANK, as Administrative Agent.</w:t>
      </w:r>
    </w:p>
    <w:p>
      <w:pPr>
        <w:spacing w:after="0" w:line="85"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Pursuant to the Senior Secured Revolving Credit Agreement dated as of August 23, 2012 (as amended, supplemented or otherwise modified prior to the Effective Date,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among the Borrower, the lenders party thereto (collectively, the “</w:t>
      </w:r>
      <w:r>
        <w:rPr>
          <w:rFonts w:ascii="Arial" w:cs="Arial" w:eastAsia="Arial" w:hAnsi="Arial"/>
          <w:sz w:val="18"/>
          <w:szCs w:val="18"/>
          <w:u w:val="single" w:color="auto"/>
          <w:color w:val="auto"/>
        </w:rPr>
        <w:t>Existing Lenders</w:t>
      </w:r>
      <w:r>
        <w:rPr>
          <w:rFonts w:ascii="Arial" w:cs="Arial" w:eastAsia="Arial" w:hAnsi="Arial"/>
          <w:sz w:val="18"/>
          <w:szCs w:val="18"/>
          <w:color w:val="auto"/>
        </w:rPr>
        <w:t>”) and the Administrative Agent, the Existing Lenders agreed to make extensions of credit to the Borrower on the terms and conditions set forth therein, including making loans (the “</w:t>
      </w:r>
      <w:r>
        <w:rPr>
          <w:rFonts w:ascii="Arial" w:cs="Arial" w:eastAsia="Arial" w:hAnsi="Arial"/>
          <w:sz w:val="18"/>
          <w:szCs w:val="18"/>
          <w:u w:val="single" w:color="auto"/>
          <w:color w:val="auto"/>
        </w:rPr>
        <w:t>Existing Loans</w:t>
      </w:r>
      <w:r>
        <w:rPr>
          <w:rFonts w:ascii="Arial" w:cs="Arial" w:eastAsia="Arial" w:hAnsi="Arial"/>
          <w:sz w:val="18"/>
          <w:szCs w:val="18"/>
          <w:color w:val="auto"/>
        </w:rPr>
        <w:t>”) to the Borrower.</w:t>
      </w:r>
    </w:p>
    <w:p>
      <w:pPr>
        <w:spacing w:after="0" w:line="143"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23"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parties hereto hereby agree to amend and restate the Existing Credit Agreement, and the Existing Credit Agreement is hereby amended and restated in its entirety as follows:</w:t>
      </w:r>
    </w:p>
    <w:p>
      <w:pPr>
        <w:spacing w:after="0" w:line="13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90"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32"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Borrowing Base</w:t>
      </w:r>
      <w:r>
        <w:rPr>
          <w:rFonts w:ascii="Arial" w:cs="Arial" w:eastAsia="Arial" w:hAnsi="Arial"/>
          <w:sz w:val="16"/>
          <w:szCs w:val="16"/>
          <w:color w:val="auto"/>
        </w:rPr>
        <w:t xml:space="preserve">” means the Borrowing Base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 w:name="page11"/>
    <w:bookmarkEnd w:id="10"/>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Adjusted Covered Debt Balance</w:t>
      </w:r>
      <w:r>
        <w:rPr>
          <w:rFonts w:ascii="Arial" w:cs="Arial" w:eastAsia="Arial" w:hAnsi="Arial"/>
          <w:sz w:val="18"/>
          <w:szCs w:val="18"/>
          <w:color w:val="auto"/>
        </w:rPr>
        <w:t xml:space="preserve">” means, on any date, the aggregate Covered Debt Amount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40"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SunTrust, in its capacity as administrative agent for the Lenders 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Appraisal Testing Month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5.12(b)(ii)(E)(y)</w:t>
      </w:r>
      <w:r>
        <w:rPr>
          <w:rFonts w:ascii="Arial" w:cs="Arial" w:eastAsia="Arial" w:hAnsi="Arial"/>
          <w:sz w:val="18"/>
          <w:szCs w:val="18"/>
          <w:color w:val="auto"/>
        </w:rPr>
        <w:t>.</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Account</w:t>
      </w:r>
      <w:r>
        <w:rPr>
          <w:rFonts w:ascii="Arial" w:cs="Arial" w:eastAsia="Arial" w:hAnsi="Arial"/>
          <w:sz w:val="18"/>
          <w:szCs w:val="18"/>
          <w:color w:val="auto"/>
        </w:rPr>
        <w:t>” means, for each Currency, an account in respect of such Currency designated by the Administrative Agent in a notice to the Borrower and the Lenders.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71"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43"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Agreements</w:t>
      </w:r>
      <w:r>
        <w:rPr>
          <w:rFonts w:ascii="Arial" w:cs="Arial" w:eastAsia="Arial" w:hAnsi="Arial"/>
          <w:sz w:val="16"/>
          <w:szCs w:val="16"/>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93"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 w:name="page12"/>
    <w:bookmarkEnd w:id="11"/>
    <w:p>
      <w:pPr>
        <w:ind w:right="60" w:firstLine="913"/>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Agreed Foreign Currency</w:t>
      </w:r>
      <w:r>
        <w:rPr>
          <w:rFonts w:ascii="Arial" w:cs="Arial" w:eastAsia="Arial" w:hAnsi="Arial"/>
          <w:sz w:val="18"/>
          <w:szCs w:val="18"/>
          <w:color w:val="auto"/>
        </w:rPr>
        <w:t>” means, at any time, any of Canadian Dollars, English Pounds Sterling, Euros and,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for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and (c) the rate per annum equal to 1%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2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Dollar Percentage</w:t>
      </w:r>
      <w:r>
        <w:rPr>
          <w:rFonts w:ascii="Arial" w:cs="Arial" w:eastAsia="Arial" w:hAnsi="Arial"/>
          <w:sz w:val="18"/>
          <w:szCs w:val="18"/>
          <w:color w:val="auto"/>
        </w:rPr>
        <w:t>”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Financial Statements</w:t>
      </w:r>
      <w:r>
        <w:rPr>
          <w:rFonts w:ascii="Arial" w:cs="Arial" w:eastAsia="Arial" w:hAnsi="Arial"/>
          <w:sz w:val="16"/>
          <w:szCs w:val="16"/>
          <w:color w:val="auto"/>
        </w:rPr>
        <w:t xml:space="preserve">” means, as at any date, the most-recent audited financial statements of the Borrower delivered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immediately prior to the delivery to the Lenders of new audited financial statements of the Borrower a Material Adverse Change (the “</w:t>
      </w:r>
      <w:r>
        <w:rPr>
          <w:rFonts w:ascii="Arial" w:cs="Arial" w:eastAsia="Arial" w:hAnsi="Arial"/>
          <w:sz w:val="16"/>
          <w:szCs w:val="16"/>
          <w:u w:val="single" w:color="auto"/>
          <w:color w:val="auto"/>
        </w:rPr>
        <w:t>Pre-existing MAC</w:t>
      </w:r>
      <w:r>
        <w:rPr>
          <w:rFonts w:ascii="Arial" w:cs="Arial" w:eastAsia="Arial" w:hAnsi="Arial"/>
          <w:sz w:val="16"/>
          <w:szCs w:val="16"/>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(a) with respect to any ABR Loan, 1.25% per annum; and (b) with respect to any Eurocurrency Loan, 2.25% per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annum.</w:t>
      </w:r>
    </w:p>
    <w:p>
      <w:pPr>
        <w:spacing w:after="0" w:line="151"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 w:name="page13"/>
    <w:bookmarkEnd w:id="12"/>
    <w:p>
      <w:pPr>
        <w:ind w:right="22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Applicable Multicurrency Percentage</w:t>
      </w:r>
      <w:r>
        <w:rPr>
          <w:rFonts w:ascii="Arial" w:cs="Arial" w:eastAsia="Arial" w:hAnsi="Arial"/>
          <w:sz w:val="16"/>
          <w:szCs w:val="16"/>
          <w:color w:val="auto"/>
        </w:rPr>
        <w:t>”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spacing w:after="0" w:line="107"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w:t>
      </w:r>
    </w:p>
    <w:p>
      <w:pPr>
        <w:spacing w:after="0" w:line="14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Dealer</w:t>
      </w:r>
      <w:r>
        <w:rPr>
          <w:rFonts w:ascii="Arial" w:cs="Arial" w:eastAsia="Arial" w:hAnsi="Arial"/>
          <w:sz w:val="18"/>
          <w:szCs w:val="18"/>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any other bank or broker-dealer acceptable to the Administrative Agent in its reasonable determination.</w:t>
      </w:r>
    </w:p>
    <w:p>
      <w:pPr>
        <w:spacing w:after="0" w:line="143"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Pricing Service</w:t>
      </w:r>
      <w:r>
        <w:rPr>
          <w:rFonts w:ascii="Arial" w:cs="Arial" w:eastAsia="Arial" w:hAnsi="Arial"/>
          <w:sz w:val="16"/>
          <w:szCs w:val="16"/>
          <w:color w:val="auto"/>
        </w:rPr>
        <w:t xml:space="preserve">” means a pricing or quotation service as set forth in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0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Third-Party Appraiser</w:t>
      </w:r>
      <w:r>
        <w:rPr>
          <w:rFonts w:ascii="Arial" w:cs="Arial" w:eastAsia="Arial" w:hAnsi="Arial"/>
          <w:sz w:val="16"/>
          <w:szCs w:val="16"/>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18"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Coverage Ratio</w:t>
      </w:r>
      <w:r>
        <w:rPr>
          <w:rFonts w:ascii="Arial" w:cs="Arial" w:eastAsia="Arial" w:hAnsi="Arial"/>
          <w:sz w:val="16"/>
          <w:szCs w:val="16"/>
          <w:color w:val="auto"/>
        </w:rPr>
        <w:t>” means the ratio, determined on a consolidated basis for Borrower and its Subsidiaries, without duplication, (a) the Value of total assets of the Borrower and its Subsidiaries, less all liabilities and indebtedness not represented by senior securities to (b) to the aggregate amount of senior securities representing indebtedness of Borrower and its Subsidiaries (including this Agreement and any Capital Call Facility),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02"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3" w:name="page14"/>
    <w:bookmarkEnd w:id="13"/>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Commitment Termination Date and the date of termination of the Commitments.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all Syndicated ABR Loans of the same Class made, converted or continued on the same date, (b) all Eurocurrency Loans of the same Class denominated in the same Currency that have the same Interest Period or (c) a Swingline Loan.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xml:space="preserve">” means a certificate of a Financial Officer of the Borrower,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appropriately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completed.</w:t>
      </w:r>
    </w:p>
    <w:p>
      <w:pPr>
        <w:spacing w:after="0" w:line="16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at any date on which the same is determined, the amount, if any, that (a) the aggregate Covered Debt Amount as of such date exceeds (b) the Borrowing Base as of such date.</w:t>
      </w:r>
    </w:p>
    <w:p>
      <w:pPr>
        <w:spacing w:after="0" w:line="13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Syndicated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05"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4" w:name="page15"/>
    <w:bookmarkEnd w:id="14"/>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Calculation Amount</w:t>
      </w:r>
      <w:r>
        <w:rPr>
          <w:rFonts w:ascii="Arial" w:cs="Arial" w:eastAsia="Arial" w:hAnsi="Arial"/>
          <w:sz w:val="16"/>
          <w:szCs w:val="16"/>
          <w:color w:val="auto"/>
        </w:rPr>
        <w:t xml:space="preserve">” shall mean, as of the end of any Testing Quarter, an amount equal to the greater of: (a) (i) 125% of the Adjusted Covered Debt Balance (as of the end of such Testing Quarter)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aggregate Value of all Quoted Investments included in the Borrowing Base (as of the end of such Testing Quarter) and (b) 10% of the aggregate Value of all Unquoted Investments included in the Borrowing Base (as of the end of such Testing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more than 25% (or, if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applies, 10%, or as near thereto as reasonably practicable) of the aggregate Value of the Unquoted Investments in the Borrowing Base be tested in respect of any applicable Testing Quarter.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1"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CAM Exchange Date</w:t>
      </w:r>
      <w:r>
        <w:rPr>
          <w:rFonts w:ascii="Arial" w:cs="Arial" w:eastAsia="Arial" w:hAnsi="Arial"/>
          <w:sz w:val="16"/>
          <w:szCs w:val="16"/>
          <w:color w:val="auto"/>
        </w:rPr>
        <w:t xml:space="preserve">” means the date on which any Event of Default referred to in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occur or the date on which the Company receives written notice from the Administrative Agent that any Event of Default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has occurred.</w:t>
      </w:r>
    </w:p>
    <w:p>
      <w:pPr>
        <w:spacing w:after="0" w:line="85"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Percentage</w:t>
      </w:r>
      <w:r>
        <w:rPr>
          <w:rFonts w:ascii="Arial" w:cs="Arial" w:eastAsia="Arial" w:hAnsi="Arial"/>
          <w:sz w:val="18"/>
          <w:szCs w:val="18"/>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43"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Call Facility</w:t>
      </w:r>
      <w:r>
        <w:rPr>
          <w:rFonts w:ascii="Arial" w:cs="Arial" w:eastAsia="Arial" w:hAnsi="Arial"/>
          <w:sz w:val="16"/>
          <w:szCs w:val="16"/>
          <w:color w:val="auto"/>
        </w:rPr>
        <w:t>” means any limited recourse debt facility of the Borrower secured solely by the capital commitments of the equity holders thereof and assets related thereto (and not secured by any Portfolio Investments, Cash or other property, in each case that constitute Collateral hereunder or are included in the Borrowing Base hereunder), including the facility established by the Amended and Restated Revolving Credit Agreement between the Borrower, Deutsche Bank Trust Company Americas, as administrative agent, and the lenders named therein (or any extension, renewal or replacement thereof), existing on the date hereof or as amended or amended and restated from time to time.</w:t>
      </w:r>
    </w:p>
    <w:p>
      <w:pPr>
        <w:spacing w:after="0" w:line="116"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any immediately available funds in Dollars or in any currency other than Dollars (measured in terms of the Dollar Equivalent thereof) which is a freely convertible currency.</w:t>
      </w:r>
    </w:p>
    <w:p>
      <w:pPr>
        <w:spacing w:after="0" w:line="118"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5" w:name="page16"/>
    <w:bookmarkEnd w:id="1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in respect of a Letter of Credit or any obligation hereunder, to provide and pledge cash collateral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2.05(k)</w:t>
      </w:r>
      <w:r>
        <w:rPr>
          <w:rFonts w:ascii="Arial" w:cs="Arial" w:eastAsia="Arial" w:hAnsi="Arial"/>
          <w:sz w:val="16"/>
          <w:szCs w:val="16"/>
          <w:color w:val="auto"/>
        </w:rPr>
        <w:t>, at a location and pursuant to documentation in form and substance reasonably satisfactory to Administrative Agent and the Issuing Bank. “</w:t>
      </w:r>
      <w:r>
        <w:rPr>
          <w:rFonts w:ascii="Arial" w:cs="Arial" w:eastAsia="Arial" w:hAnsi="Arial"/>
          <w:sz w:val="16"/>
          <w:szCs w:val="16"/>
          <w:u w:val="single" w:color="auto"/>
          <w:color w:val="auto"/>
        </w:rPr>
        <w:t>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(other than Cash) that are one or more of the following obligations:</w:t>
      </w:r>
    </w:p>
    <w:p>
      <w:pPr>
        <w:spacing w:after="0" w:line="90" w:lineRule="exact"/>
        <w:rPr>
          <w:sz w:val="20"/>
          <w:szCs w:val="20"/>
          <w:color w:val="auto"/>
        </w:rPr>
      </w:pPr>
    </w:p>
    <w:p>
      <w:pPr>
        <w:ind w:left="1140" w:hanging="23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U.S. Government Securities, in each case maturing within one year from the date of acquisition thereof;</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1"/>
          <w:numId w:val="3"/>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a credit rating of at least A-1 from S&amp;P and at least P-1 from Moody’s;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w:t>
      </w:r>
    </w:p>
    <w:p>
      <w:pPr>
        <w:spacing w:after="0" w:line="38" w:lineRule="exact"/>
        <w:rPr>
          <w:rFonts w:ascii="Arial" w:cs="Arial" w:eastAsia="Arial" w:hAnsi="Arial"/>
          <w:sz w:val="16"/>
          <w:szCs w:val="16"/>
          <w:color w:val="auto"/>
        </w:rPr>
      </w:pPr>
    </w:p>
    <w:p>
      <w:pPr>
        <w:ind w:left="460" w:right="60" w:firstLine="4"/>
        <w:spacing w:after="0" w:line="292" w:lineRule="auto"/>
        <w:tabs>
          <w:tab w:leader="none" w:pos="67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P-1 from Moody’s;</w:t>
      </w:r>
    </w:p>
    <w:p>
      <w:pPr>
        <w:spacing w:after="0" w:line="35" w:lineRule="exact"/>
        <w:rPr>
          <w:rFonts w:ascii="Arial" w:cs="Arial" w:eastAsia="Arial" w:hAnsi="Arial"/>
          <w:sz w:val="16"/>
          <w:szCs w:val="16"/>
          <w:color w:val="auto"/>
        </w:rPr>
      </w:pPr>
    </w:p>
    <w:p>
      <w:pPr>
        <w:ind w:left="460" w:right="40" w:firstLine="443"/>
        <w:spacing w:after="0" w:line="306" w:lineRule="auto"/>
        <w:tabs>
          <w:tab w:leader="none" w:pos="1147"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definition or (ii) an Approved Dealer having (or being a member of a consolidated group having) at such date of acquisition, a credit rating of at least A-1 from S&amp;P and at least P-1 from Moody’s; and</w:t>
      </w:r>
    </w:p>
    <w:p>
      <w:pPr>
        <w:spacing w:after="0" w:line="25" w:lineRule="exact"/>
        <w:rPr>
          <w:rFonts w:ascii="Arial" w:cs="Arial" w:eastAsia="Arial" w:hAnsi="Arial"/>
          <w:sz w:val="16"/>
          <w:szCs w:val="16"/>
          <w:color w:val="auto"/>
        </w:rPr>
      </w:pPr>
    </w:p>
    <w:p>
      <w:pPr>
        <w:ind w:left="460" w:right="180" w:firstLine="443"/>
        <w:spacing w:after="0" w:line="332" w:lineRule="auto"/>
        <w:tabs>
          <w:tab w:leader="none" w:pos="1137"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investments in money market funds that invest solely, and which are restricted by their respective charters to invest solely, in investments of the type described in the immediately preceding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(including as to credit quality and maturity).</w:t>
      </w:r>
    </w:p>
    <w:p>
      <w:pPr>
        <w:spacing w:after="0" w:line="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or repurchase agreements)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02"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6" w:name="page17"/>
    <w:bookmarkEnd w:id="16"/>
    <w:p>
      <w:pPr>
        <w:ind w:right="4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“CDOR Rate” means, the rate per annum, equal to the average of the annual yield rates applicable to Canadian Dollar banker’s acceptances at or about 10:00a.m. (Toronto, Ontario time) on the first day of such Interest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44"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External Manager ceases to be Controlled by (a) (I) David Bonderman or James Coulter and (II) Alan Waxman, or any of their successors or (b) an Affiliate of TPG Holdings II, L.P. (but, for the avoidance of doubt, excluding Controlled portfolio investment companies of TPG Holdings II, L.P.).</w:t>
      </w:r>
    </w:p>
    <w:p>
      <w:pPr>
        <w:spacing w:after="0" w:line="140" w:lineRule="exact"/>
        <w:rPr>
          <w:sz w:val="20"/>
          <w:szCs w:val="20"/>
          <w:color w:val="auto"/>
        </w:rPr>
      </w:pPr>
    </w:p>
    <w:p>
      <w:pPr>
        <w:ind w:right="8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w:t>
      </w:r>
    </w:p>
    <w:p>
      <w:pPr>
        <w:spacing w:after="0" w:line="2" w:lineRule="exact"/>
        <w:rPr>
          <w:sz w:val="20"/>
          <w:szCs w:val="20"/>
          <w:color w:val="auto"/>
        </w:rPr>
      </w:pPr>
    </w:p>
    <w:p>
      <w:pPr>
        <w:ind w:right="80" w:firstLine="8"/>
        <w:spacing w:after="0" w:line="252" w:lineRule="auto"/>
        <w:tabs>
          <w:tab w:leader="none" w:pos="239"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47"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any Loan or Borrowing, refers to whether such Loan, or the Loans constituting such Borrowing, are Syndicated Dollar Loans, Syndicated Multicurrency Loans or Swingline Loans; when used in reference to any Lender, refers to whether such Lender is a Dollar Lender or a Multicurrency Lender; and, when used in reference to any Commitment, refers to whether such Commitment is a Dollar Commitment or a Multicurrency Commitment. The “</w:t>
      </w:r>
      <w:r>
        <w:rPr>
          <w:rFonts w:ascii="Arial" w:cs="Arial" w:eastAsia="Arial" w:hAnsi="Arial"/>
          <w:sz w:val="16"/>
          <w:szCs w:val="16"/>
          <w:u w:val="single" w:color="auto"/>
          <w:color w:val="auto"/>
        </w:rPr>
        <w:t>Class</w:t>
      </w:r>
      <w:r>
        <w:rPr>
          <w:rFonts w:ascii="Arial" w:cs="Arial" w:eastAsia="Arial" w:hAnsi="Arial"/>
          <w:sz w:val="16"/>
          <w:szCs w:val="16"/>
          <w:color w:val="auto"/>
        </w:rPr>
        <w:t>” of a Letter of Credit refers to whether such Letter of Credit is a Dollar Letter of Credit or a Multicurrency Letter of Credit.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assigned to such term in the Guarantee and Security Agreement.</w:t>
      </w:r>
    </w:p>
    <w:p>
      <w:pPr>
        <w:spacing w:after="0" w:line="158"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7" w:name="page18"/>
    <w:bookmarkEnd w:id="17"/>
    <w:p>
      <w:pPr>
        <w:ind w:right="3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SunTrust in its capacity as Collateral Agent under the Guarantee and Security Agreement, and includes any successor Collateral Agent thereunder.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the Dollar Commitments and the Multicurrency Commitments.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June 30, 2017, as such date may be extended upon the consent of each affected Lender.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171"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8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Debt Amount</w:t>
      </w:r>
      <w:r>
        <w:rPr>
          <w:rFonts w:ascii="Arial" w:cs="Arial" w:eastAsia="Arial" w:hAnsi="Arial"/>
          <w:sz w:val="18"/>
          <w:szCs w:val="18"/>
          <w:color w:val="auto"/>
        </w:rPr>
        <w:t xml:space="preserve">” means, on any date, the sum of (x) all of the Revolving Credit Exposures of all Lenders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aggregate amount of Other Covered Indebtedness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(z) the LC Exposures fully Cash Collateralized on such date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and the last paragraph of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Foreign Currency.</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32"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any Lender that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Issuing Bank, Swingline Lender or any Lender any other amount required to be paid by it hereunder (including in respect of its participation in Letters of Credit or Swingline Loans) within two Business Days of the date when due, (b) has notified the Borrower, the Administrative Agent,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w:t>
      </w:r>
    </w:p>
    <w:p>
      <w:pPr>
        <w:spacing w:after="0" w:line="106" w:lineRule="exact"/>
        <w:rPr>
          <w:sz w:val="20"/>
          <w:szCs w:val="20"/>
          <w:color w:val="auto"/>
        </w:rPr>
      </w:pPr>
    </w:p>
    <w:p>
      <w:pPr>
        <w:jc w:val="both"/>
        <w:ind w:left="5920"/>
        <w:spacing w:after="0"/>
        <w:tabs>
          <w:tab w:leader="none" w:pos="94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or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shall be conclusive and binding absent manifest error, and such Lender shall be deemed to be a Defaulting Lender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upon such determination (and the Administrative Agent shall deliver written notice of such determination to the Borrower, each Issuing Bank and each Lender and the Swingline Lender).</w:t>
      </w:r>
    </w:p>
    <w:p>
      <w:pPr>
        <w:spacing w:after="0" w:line="124"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Borrower with respect to (a) principal of and interest on the Loans and (b) accrued and unpaid fees under the Loan Documents.</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143" w:lineRule="exact"/>
        <w:rPr>
          <w:sz w:val="20"/>
          <w:szCs w:val="20"/>
          <w:color w:val="auto"/>
        </w:rPr>
      </w:pPr>
    </w:p>
    <w:p>
      <w:pPr>
        <w:jc w:val="both"/>
        <w:ind w:right="100"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Commitment</w:t>
      </w:r>
      <w:r>
        <w:rPr>
          <w:rFonts w:ascii="Arial" w:cs="Arial" w:eastAsia="Arial" w:hAnsi="Arial"/>
          <w:sz w:val="16"/>
          <w:szCs w:val="16"/>
          <w:color w:val="auto"/>
        </w:rPr>
        <w:t xml:space="preserve">” means, with respect to each Dollar Lender,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w:t>
      </w:r>
    </w:p>
    <w:p>
      <w:pPr>
        <w:spacing w:after="0" w:line="1" w:lineRule="exact"/>
        <w:rPr>
          <w:sz w:val="20"/>
          <w:szCs w:val="20"/>
          <w:color w:val="auto"/>
        </w:rPr>
      </w:pPr>
    </w:p>
    <w:p>
      <w:pPr>
        <w:ind w:right="160" w:firstLine="8"/>
        <w:spacing w:after="0" w:line="255"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reduced or increased from time to time pursuant to assignments by or to such Lender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initial amount of each Lender’s Dollar Commitment is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or in the Assignment and Assumption pursuant to which such Lender shall have assumed its Dollar Commitment, as applicable. The initial aggregate amount of the Lenders’ Dollar Commitments is $0.</w:t>
      </w:r>
    </w:p>
    <w:p>
      <w:pPr>
        <w:spacing w:after="0" w:line="13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9" w:name="page20"/>
    <w:bookmarkEnd w:id="19"/>
    <w:p>
      <w:pPr>
        <w:jc w:val="both"/>
        <w:ind w:right="26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LC Exposure</w:t>
      </w:r>
      <w:r>
        <w:rPr>
          <w:rFonts w:ascii="Arial" w:cs="Arial" w:eastAsia="Arial" w:hAnsi="Arial"/>
          <w:sz w:val="16"/>
          <w:szCs w:val="16"/>
          <w:color w:val="auto"/>
        </w:rPr>
        <w:t xml:space="preserve">” means, at any time, the sum of (a) the aggregate undrawn amount of all outstanding Dollar Letters of Credit at such time </w:t>
      </w:r>
      <w:r>
        <w:rPr>
          <w:rFonts w:ascii="Arial" w:cs="Arial" w:eastAsia="Arial" w:hAnsi="Arial"/>
          <w:sz w:val="16"/>
          <w:szCs w:val="16"/>
          <w:u w:val="single" w:color="auto"/>
          <w:color w:val="auto"/>
        </w:rPr>
        <w:t>plus</w:t>
      </w:r>
    </w:p>
    <w:p>
      <w:pPr>
        <w:spacing w:after="0" w:line="38" w:lineRule="exact"/>
        <w:rPr>
          <w:sz w:val="20"/>
          <w:szCs w:val="20"/>
          <w:color w:val="auto"/>
        </w:rPr>
      </w:pPr>
    </w:p>
    <w:p>
      <w:pPr>
        <w:ind w:right="180" w:firstLine="8"/>
        <w:spacing w:after="0" w:line="323"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9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Lender</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Letters of Credit</w:t>
      </w:r>
      <w:r>
        <w:rPr>
          <w:rFonts w:ascii="Arial" w:cs="Arial" w:eastAsia="Arial" w:hAnsi="Arial"/>
          <w:sz w:val="18"/>
          <w:szCs w:val="18"/>
          <w:color w:val="auto"/>
        </w:rPr>
        <w:t>” means Letters of Credit that utilize the Dollar Commitments.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Loan</w:t>
      </w:r>
      <w:r>
        <w:rPr>
          <w:rFonts w:ascii="Arial" w:cs="Arial" w:eastAsia="Arial" w:hAnsi="Arial"/>
          <w:sz w:val="18"/>
          <w:szCs w:val="18"/>
          <w:color w:val="auto"/>
        </w:rPr>
        <w:t>” means a Loan denominated in Dollars.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means the date on which the conditions specified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194"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171"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27" w:lineRule="exact"/>
        <w:rPr>
          <w:sz w:val="20"/>
          <w:szCs w:val="20"/>
          <w:color w:val="auto"/>
        </w:rPr>
      </w:pPr>
    </w:p>
    <w:p>
      <w:pPr>
        <w:jc w:val="both"/>
        <w:ind w:left="5880"/>
        <w:spacing w:after="0"/>
        <w:tabs>
          <w:tab w:leader="none" w:pos="9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20" w:name="page21"/>
    <w:bookmarkEnd w:id="20"/>
    <w:p>
      <w:pPr>
        <w:ind w:right="2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3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a single currency of the Participating Member States.</w:t>
      </w:r>
    </w:p>
    <w:p>
      <w:pPr>
        <w:spacing w:after="0" w:line="171"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constituting such Borrowing, are bearing interest at a rate determined by reference to the Adjusted LIBO Rate.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the Issuing Bank or any other recipient of any payment to be made by or on account of any obligation of the Borrower hereunder, (a) income, corporate, franchise or other similar taxes imposed on (or measured by) its net income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Borrower is located, (c) in the case of a Lender, any U.S. withholding tax imposed on amounts payable to such Lender (i) at the time such Lender (other than an assignee pursuant to a request by the Borrower under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16"/>
          <w:szCs w:val="16"/>
          <w:u w:val="single" w:color="auto"/>
          <w:color w:val="auto"/>
        </w:rPr>
        <w:t>Section 2.16(f)</w:t>
      </w:r>
      <w:r>
        <w:rPr>
          <w:rFonts w:ascii="Arial" w:cs="Arial" w:eastAsia="Arial" w:hAnsi="Arial"/>
          <w:sz w:val="16"/>
          <w:szCs w:val="16"/>
          <w:color w:val="auto"/>
        </w:rPr>
        <w:t>,</w:t>
      </w:r>
    </w:p>
    <w:p>
      <w:pPr>
        <w:spacing w:after="0" w:line="5" w:lineRule="exact"/>
        <w:rPr>
          <w:sz w:val="20"/>
          <w:szCs w:val="20"/>
          <w:color w:val="auto"/>
        </w:rPr>
      </w:pPr>
    </w:p>
    <w:p>
      <w:pPr>
        <w:ind w:firstLine="8"/>
        <w:spacing w:after="0" w:line="261"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U.S. federal, state or local backup withholding Taxes imposed on payments made under any Loan Document, and (e) any U.S. federal withholding tax that is imposed pursuant to FATCA.</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21" w:name="page22"/>
    <w:bookmarkEnd w:id="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Existing 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External Manager</w:t>
      </w:r>
      <w:r>
        <w:rPr>
          <w:rFonts w:ascii="Arial" w:cs="Arial" w:eastAsia="Arial" w:hAnsi="Arial"/>
          <w:sz w:val="18"/>
          <w:szCs w:val="18"/>
          <w:color w:val="auto"/>
        </w:rPr>
        <w:t>” means TSL Advisers, LLC.</w:t>
      </w:r>
    </w:p>
    <w:p>
      <w:pPr>
        <w:spacing w:after="0" w:line="171"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Extraordinary Receipts</w:t>
      </w:r>
      <w:r>
        <w:rPr>
          <w:rFonts w:ascii="Arial" w:cs="Arial" w:eastAsia="Arial" w:hAnsi="Arial"/>
          <w:sz w:val="16"/>
          <w:szCs w:val="16"/>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Extraordinary Receipts shall not include any (x) amounts that the Borrower receives from the Administrative Agent or any Lender pursuant to </w:t>
      </w:r>
      <w:r>
        <w:rPr>
          <w:rFonts w:ascii="Arial" w:cs="Arial" w:eastAsia="Arial" w:hAnsi="Arial"/>
          <w:sz w:val="16"/>
          <w:szCs w:val="16"/>
          <w:u w:val="single" w:color="auto"/>
          <w:color w:val="auto"/>
        </w:rPr>
        <w:t>Section 2.16(f)</w:t>
      </w:r>
      <w:r>
        <w:rPr>
          <w:rFonts w:ascii="Arial" w:cs="Arial" w:eastAsia="Arial" w:hAnsi="Arial"/>
          <w:sz w:val="16"/>
          <w:szCs w:val="16"/>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2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 1471 through 1474 of the Code, as of the date of this Agreement (or any amended or successor version that is substantively comparable and not materially more onerous to comply with) and any regulations or official interpretations thereof.</w:t>
      </w:r>
    </w:p>
    <w:p>
      <w:pPr>
        <w:spacing w:after="0" w:line="132"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July 2, 2018.</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an SPE Subsidiary or an SBIC Subsidiary.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at any time any Currency other than Dollars.</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22" w:name="page23"/>
    <w:bookmarkEnd w:id="22"/>
    <w:p>
      <w:pPr>
        <w:ind w:right="3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Foreign Currency Equivalent</w:t>
      </w:r>
      <w:r>
        <w:rPr>
          <w:rFonts w:ascii="Arial" w:cs="Arial" w:eastAsia="Arial" w:hAnsi="Arial"/>
          <w:sz w:val="18"/>
          <w:szCs w:val="18"/>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under Section 7701(a)(30) of the Code.</w:t>
      </w:r>
    </w:p>
    <w:p>
      <w:pPr>
        <w:spacing w:after="0" w:line="17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43"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171"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of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4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(i) endorsements for collection or deposit in the ordinary course of business or (ii) customary indemnification agreements entered into in the ordinary course of</w:t>
      </w:r>
    </w:p>
    <w:p>
      <w:pPr>
        <w:spacing w:after="0" w:line="106"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23" w:name="page24"/>
    <w:bookmarkEnd w:id="23"/>
    <w:p>
      <w:pPr>
        <w:ind w:right="10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85"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modified and supplemented and in effect from time to time.</w:t>
      </w:r>
    </w:p>
    <w:p>
      <w:pPr>
        <w:spacing w:after="0" w:line="143"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Assumption Agreement</w:t>
      </w:r>
      <w:r>
        <w:rPr>
          <w:rFonts w:ascii="Arial" w:cs="Arial" w:eastAsia="Arial" w:hAnsi="Arial"/>
          <w:sz w:val="16"/>
          <w:szCs w:val="16"/>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10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protection agreement, commodity price protection agreement or other interest or currency exchange rate or commodity price hedging arrangement.</w:t>
      </w:r>
    </w:p>
    <w:p>
      <w:pPr>
        <w:spacing w:after="0" w:line="132"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Subsidiaries</w:t>
      </w:r>
      <w:r>
        <w:rPr>
          <w:rFonts w:ascii="Arial" w:cs="Arial" w:eastAsia="Arial" w:hAnsi="Arial"/>
          <w:sz w:val="16"/>
          <w:szCs w:val="16"/>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w:t>
      </w:r>
    </w:p>
    <w:p>
      <w:pPr>
        <w:spacing w:after="0" w:line="10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24" w:name="page25"/>
    <w:bookmarkEnd w:id="24"/>
    <w:p>
      <w:pPr>
        <w:ind w:right="3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w:t>
      </w:r>
      <w:r>
        <w:rPr>
          <w:rFonts w:ascii="Arial" w:cs="Arial" w:eastAsia="Arial" w:hAnsi="Arial"/>
          <w:sz w:val="18"/>
          <w:szCs w:val="18"/>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4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Classification Group</w:t>
      </w:r>
      <w:r>
        <w:rPr>
          <w:rFonts w:ascii="Arial" w:cs="Arial" w:eastAsia="Arial" w:hAnsi="Arial"/>
          <w:sz w:val="18"/>
          <w:szCs w:val="18"/>
          <w:color w:val="auto"/>
        </w:rPr>
        <w:t xml:space="preserve">” means (a) any of the classification groups set forth in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Election Request</w:t>
      </w:r>
      <w:r>
        <w:rPr>
          <w:rFonts w:ascii="Arial" w:cs="Arial" w:eastAsia="Arial" w:hAnsi="Arial"/>
          <w:sz w:val="16"/>
          <w:szCs w:val="16"/>
          <w:color w:val="auto"/>
        </w:rPr>
        <w:t xml:space="preserve">” means a request by the Borrower to convert or continue a Syndicated Borrowing in accordance with </w:t>
      </w:r>
      <w:r>
        <w:rPr>
          <w:rFonts w:ascii="Arial" w:cs="Arial" w:eastAsia="Arial" w:hAnsi="Arial"/>
          <w:sz w:val="16"/>
          <w:szCs w:val="16"/>
          <w:u w:val="single" w:color="auto"/>
          <w:color w:val="auto"/>
        </w:rPr>
        <w:t>Section 2.07</w:t>
      </w:r>
      <w:r>
        <w:rPr>
          <w:rFonts w:ascii="Arial" w:cs="Arial" w:eastAsia="Arial" w:hAnsi="Arial"/>
          <w:sz w:val="16"/>
          <w:szCs w:val="16"/>
          <w:color w:val="auto"/>
        </w:rPr>
        <w:t>.</w:t>
      </w:r>
    </w:p>
    <w:p>
      <w:pPr>
        <w:spacing w:after="0" w:line="19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4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Final Maturity Date, a period of less than one month’s duration commencing on the date of such Loan or Borrowing and ending on the Final Maturity Date, as specified in the applicable Borrowing Request or Interest Election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w:t>
      </w:r>
    </w:p>
    <w:p>
      <w:pPr>
        <w:spacing w:after="0" w:line="10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25" w:name="page26"/>
    <w:bookmarkEnd w:id="25"/>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ends on the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1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171"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Policies</w:t>
      </w:r>
      <w:r>
        <w:rPr>
          <w:rFonts w:ascii="Arial" w:cs="Arial" w:eastAsia="Arial" w:hAnsi="Arial"/>
          <w:sz w:val="16"/>
          <w:szCs w:val="16"/>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SunTrust, in its capacity as the issuer of Letters of Credit hereunder, and its successors in such capacity as provided in </w:t>
      </w:r>
      <w:r>
        <w:rPr>
          <w:rFonts w:ascii="Arial" w:cs="Arial" w:eastAsia="Arial" w:hAnsi="Arial"/>
          <w:sz w:val="18"/>
          <w:szCs w:val="18"/>
          <w:u w:val="single" w:color="auto"/>
          <w:color w:val="auto"/>
        </w:rPr>
        <w:t>Section 2.05(j)</w:t>
      </w:r>
      <w:r>
        <w:rPr>
          <w:rFonts w:ascii="Arial" w:cs="Arial" w:eastAsia="Arial" w:hAnsi="Arial"/>
          <w:sz w:val="18"/>
          <w:szCs w:val="18"/>
          <w:color w:val="auto"/>
        </w:rPr>
        <w:t>. In the case of any Letter of Credit to be issued in an Agreed Foreign Currency, SunTrust may designate any of its affiliates as the “Issuing Bank” for purposes of such Letter of Credit.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Bank pursuant to a Letter of Credit.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Dollar LC Exposure and the Multicurrency LC Exposure.</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collectively, the Dollar Lenders and the Multicurrency Lenders. Unless the context otherwise requires, the term “Lenders” includes the Swingline Lender.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2.05(k)</w:t>
      </w:r>
      <w:r>
        <w:rPr>
          <w:rFonts w:ascii="Arial" w:cs="Arial" w:eastAsia="Arial" w:hAnsi="Arial"/>
          <w:sz w:val="18"/>
          <w:szCs w:val="18"/>
          <w:color w:val="auto"/>
        </w:rPr>
        <w:t>.</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26" w:name="page27"/>
    <w:bookmarkEnd w:id="26"/>
    <w:p>
      <w:pPr>
        <w:ind w:right="14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Letter of Credit Documents</w:t>
      </w:r>
      <w:r>
        <w:rPr>
          <w:rFonts w:ascii="Arial" w:cs="Arial" w:eastAsia="Arial" w:hAnsi="Arial"/>
          <w:sz w:val="18"/>
          <w:szCs w:val="18"/>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43"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Quoted Currency</w:t>
      </w:r>
      <w:r>
        <w:rPr>
          <w:rFonts w:ascii="Arial" w:cs="Arial" w:eastAsia="Arial" w:hAnsi="Arial"/>
          <w:sz w:val="18"/>
          <w:szCs w:val="18"/>
          <w:color w:val="auto"/>
        </w:rPr>
        <w:t>” means each of the following currencies: Dollars; Euro; and English Pounds Sterling; in each case as long as there is a published LIBO rate with respect thereto.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for any Interest Period:</w:t>
      </w:r>
    </w:p>
    <w:p>
      <w:pPr>
        <w:spacing w:after="0" w:line="90" w:lineRule="exact"/>
        <w:rPr>
          <w:sz w:val="20"/>
          <w:szCs w:val="20"/>
          <w:color w:val="auto"/>
        </w:rPr>
      </w:pPr>
    </w:p>
    <w:p>
      <w:pPr>
        <w:ind w:right="60" w:firstLine="8"/>
        <w:spacing w:after="0" w:line="286" w:lineRule="auto"/>
        <w:tabs>
          <w:tab w:leader="none" w:pos="239"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the case of Eurocurrency Borrowings denominated in a LIBO Quoted Currency, the British Bankers’ Association Interest Settlement Rate per annum for deposits in the relevant Currency for a period equal to the Interest Period as displayed in the Bloomberg Financial Markets System (or such other page on that service or such other service designated by the British Bankers’ Association for the display of such Association’s Interest Settlement Rates for deposits in the relevant Currency) as of 11:00 a.m., London time on the day that is two Business Days prior to the first day of the Interest Period (or, solely with respect to Eurocurrency Borrowings in Pounds Sterling, on the first day of the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determines that the relevant foregoing sources are unavailable for the relevant Interest Period, LIBO Rate shall mean (i)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p>
    <w:p>
      <w:pPr>
        <w:spacing w:after="0" w:line="46" w:lineRule="exact"/>
        <w:rPr>
          <w:rFonts w:ascii="Arial" w:cs="Arial" w:eastAsia="Arial" w:hAnsi="Arial"/>
          <w:sz w:val="16"/>
          <w:szCs w:val="16"/>
          <w:color w:val="auto"/>
        </w:rPr>
      </w:pPr>
    </w:p>
    <w:p>
      <w:pPr>
        <w:ind w:left="1160" w:hanging="239"/>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Canadian Dollars, the CDOR Rate per annum; and</w:t>
      </w:r>
    </w:p>
    <w:p>
      <w:pPr>
        <w:spacing w:after="0" w:line="90" w:lineRule="exact"/>
        <w:rPr>
          <w:rFonts w:ascii="Arial" w:cs="Arial" w:eastAsia="Arial" w:hAnsi="Arial"/>
          <w:sz w:val="18"/>
          <w:szCs w:val="18"/>
          <w:color w:val="auto"/>
        </w:rPr>
      </w:pPr>
    </w:p>
    <w:p>
      <w:pPr>
        <w:ind w:right="580" w:firstLine="921"/>
        <w:spacing w:after="0" w:line="268" w:lineRule="auto"/>
        <w:tabs>
          <w:tab w:leader="none" w:pos="1152"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all Non-LIBO Quoted Currencies (other than Canadian Dollars), the calculation of the applicable reference rate shall be determined in accordance with market practice.</w:t>
      </w:r>
    </w:p>
    <w:p>
      <w:pPr>
        <w:spacing w:after="0" w:line="132"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0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27" w:name="page28"/>
    <w:bookmarkEnd w:id="2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Letter of Credit Documents and the Security Documents.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3.04(b)</w:t>
      </w:r>
      <w:r>
        <w:rPr>
          <w:rFonts w:ascii="Arial" w:cs="Arial" w:eastAsia="Arial" w:hAnsi="Arial"/>
          <w:sz w:val="18"/>
          <w:szCs w:val="18"/>
          <w:color w:val="auto"/>
        </w:rPr>
        <w:t>.</w:t>
      </w:r>
    </w:p>
    <w:p>
      <w:pPr>
        <w:spacing w:after="0" w:line="171" w:lineRule="exact"/>
        <w:rPr>
          <w:sz w:val="20"/>
          <w:szCs w:val="20"/>
          <w:color w:val="auto"/>
        </w:rPr>
      </w:pPr>
    </w:p>
    <w:p>
      <w:pPr>
        <w:ind w:right="30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13"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 Indebtedness (other than the Loans, Letters of Credit and Hedging Agreements), of any one or more of the Borrower and its Subsidiaries in an aggregate principal amount exceeding $10,000,000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$10,000,000.</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with respect to Cash Collateral consisting of Cash or deposit account balances, an amount equal to 100% of the Fronting Exposure of Issuing Bank with respect to Letters of Credit issued and outstanding at such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thereto.</w:t>
      </w:r>
    </w:p>
    <w:p>
      <w:pPr>
        <w:spacing w:after="0" w:line="171"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xml:space="preserve">” means, with respect to each Multicurrency Lender, the commitment of such Multicurrency Lender to make Syndicated Loans, and to acquire 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from time to time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and (b) reduced or increased from time to time pursuant to assignments by or to such Lender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initial amount of each Lender’s Multicurrency Commitment is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or in the Assignment and Assumption pursuant to which such Lender shall have assumed its Multicurrency commitment, as applicable. The initial aggregate amount of the Lenders’ Multicurrency Commitments is $350,000,000.</w:t>
      </w:r>
    </w:p>
    <w:p>
      <w:pPr>
        <w:spacing w:after="0" w:line="134"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28" w:name="page29"/>
    <w:bookmarkEnd w:id="28"/>
    <w:p>
      <w:pPr>
        <w:ind w:right="2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Multicurrency LC Exposure</w:t>
      </w:r>
      <w:r>
        <w:rPr>
          <w:rFonts w:ascii="Arial" w:cs="Arial" w:eastAsia="Arial" w:hAnsi="Arial"/>
          <w:sz w:val="18"/>
          <w:szCs w:val="18"/>
          <w:color w:val="auto"/>
        </w:rPr>
        <w:t xml:space="preserve">” means, at any time, the sum of (a) the aggregate undrawn amount of all outstanding Multicurrency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43"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Lender</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07" w:lineRule="exact"/>
        <w:rPr>
          <w:sz w:val="20"/>
          <w:szCs w:val="20"/>
          <w:color w:val="auto"/>
        </w:rPr>
      </w:pPr>
    </w:p>
    <w:p>
      <w:pPr>
        <w:ind w:left="920" w:right="3260"/>
        <w:spacing w:after="0" w:line="4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means Letters of Credit that utilize the Multicurrency Commitments. “</w:t>
      </w:r>
      <w:r>
        <w:rPr>
          <w:rFonts w:ascii="Arial" w:cs="Arial" w:eastAsia="Arial" w:hAnsi="Arial"/>
          <w:sz w:val="18"/>
          <w:szCs w:val="18"/>
          <w:u w:val="single" w:color="auto"/>
          <w:color w:val="auto"/>
        </w:rPr>
        <w:t>Multicurrency Loan</w:t>
      </w:r>
      <w:r>
        <w:rPr>
          <w:rFonts w:ascii="Arial" w:cs="Arial" w:eastAsia="Arial" w:hAnsi="Arial"/>
          <w:sz w:val="18"/>
          <w:szCs w:val="18"/>
          <w:color w:val="auto"/>
        </w:rPr>
        <w:t>” means a Loan denominated in Dollars or an Agreed Foreign Currency. “</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w:t>
      </w:r>
      <w:r>
        <w:rPr>
          <w:rFonts w:ascii="Arial" w:cs="Arial" w:eastAsia="Arial" w:hAnsi="Arial"/>
          <w:sz w:val="18"/>
          <w:szCs w:val="18"/>
          <w:u w:val="single" w:color="auto"/>
          <w:color w:val="auto"/>
        </w:rPr>
        <w:t>National Currency</w:t>
      </w:r>
      <w:r>
        <w:rPr>
          <w:rFonts w:ascii="Arial" w:cs="Arial" w:eastAsia="Arial" w:hAnsi="Arial"/>
          <w:sz w:val="18"/>
          <w:szCs w:val="18"/>
          <w:color w:val="auto"/>
        </w:rPr>
        <w:t>” means the currency, other than the Euro, of a Participating Member State. “</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3" w:lineRule="exact"/>
        <w:rPr>
          <w:sz w:val="20"/>
          <w:szCs w:val="20"/>
          <w:color w:val="auto"/>
        </w:rPr>
      </w:pPr>
    </w:p>
    <w:p>
      <w:pPr>
        <w:ind w:right="20" w:firstLine="921"/>
        <w:spacing w:after="0" w:line="302" w:lineRule="auto"/>
        <w:tabs>
          <w:tab w:leader="none" w:pos="1152" w:val="left"/>
        </w:tabs>
        <w:numPr>
          <w:ilvl w:val="1"/>
          <w:numId w:val="10"/>
        </w:numPr>
        <w:rPr>
          <w:rFonts w:ascii="Arial" w:cs="Arial" w:eastAsia="Arial" w:hAnsi="Arial"/>
          <w:sz w:val="15"/>
          <w:szCs w:val="15"/>
          <w:color w:val="auto"/>
        </w:rPr>
      </w:pPr>
      <w:r>
        <w:rPr>
          <w:rFonts w:ascii="Arial" w:cs="Arial" w:eastAsia="Arial" w:hAnsi="Arial"/>
          <w:sz w:val="15"/>
          <w:szCs w:val="15"/>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5"/>
          <w:szCs w:val="15"/>
          <w:u w:val="single" w:color="auto"/>
          <w:color w:val="auto"/>
        </w:rPr>
        <w:t>Section 2.10(d)</w:t>
      </w:r>
      <w:r>
        <w:rPr>
          <w:rFonts w:ascii="Arial" w:cs="Arial" w:eastAsia="Arial" w:hAnsi="Arial"/>
          <w:sz w:val="15"/>
          <w:szCs w:val="15"/>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5"/>
          <w:szCs w:val="15"/>
          <w:u w:val="single" w:color="auto"/>
          <w:color w:val="auto"/>
        </w:rPr>
        <w:t>minus</w:t>
      </w:r>
    </w:p>
    <w:p>
      <w:pPr>
        <w:spacing w:after="0" w:line="2" w:lineRule="exact"/>
        <w:rPr>
          <w:rFonts w:ascii="Arial" w:cs="Arial" w:eastAsia="Arial" w:hAnsi="Arial"/>
          <w:sz w:val="15"/>
          <w:szCs w:val="15"/>
          <w:color w:val="auto"/>
        </w:rPr>
      </w:pPr>
    </w:p>
    <w:p>
      <w:pPr>
        <w:ind w:right="220" w:firstLine="8"/>
        <w:spacing w:after="0" w:line="288"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0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29" w:name="page30"/>
    <w:bookmarkEnd w:id="29"/>
    <w:p>
      <w:pPr>
        <w:jc w:val="both"/>
        <w:ind w:right="40" w:firstLine="921"/>
        <w:spacing w:after="0" w:line="302" w:lineRule="auto"/>
        <w:tabs>
          <w:tab w:leader="none" w:pos="1162" w:val="left"/>
        </w:tabs>
        <w:numPr>
          <w:ilvl w:val="1"/>
          <w:numId w:val="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5"/>
          <w:szCs w:val="15"/>
          <w:u w:val="single" w:color="auto"/>
          <w:color w:val="auto"/>
        </w:rPr>
        <w:t>Section 2.10(d)</w:t>
      </w:r>
      <w:r>
        <w:rPr>
          <w:rFonts w:ascii="Arial" w:cs="Arial" w:eastAsia="Arial" w:hAnsi="Arial"/>
          <w:sz w:val="15"/>
          <w:szCs w:val="15"/>
          <w:color w:val="auto"/>
        </w:rPr>
        <w:t>), an amount equal to</w:t>
      </w:r>
    </w:p>
    <w:p>
      <w:pPr>
        <w:spacing w:after="0" w:line="1" w:lineRule="exact"/>
        <w:rPr>
          <w:rFonts w:ascii="Arial" w:cs="Arial" w:eastAsia="Arial" w:hAnsi="Arial"/>
          <w:sz w:val="15"/>
          <w:szCs w:val="15"/>
          <w:color w:val="auto"/>
        </w:rPr>
      </w:pPr>
    </w:p>
    <w:p>
      <w:pPr>
        <w:ind w:right="500" w:firstLine="8"/>
        <w:spacing w:after="0" w:line="302" w:lineRule="auto"/>
        <w:tabs>
          <w:tab w:leader="none" w:pos="21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sum of the cash and Cash Equivalents received in connection with such transaction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(1) reasonable out-of-pocket fees, costs and expenses, incurred by the Borrower or such Subsidiary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any reasonable costs, fees, commissions, premiums, expenses, or underwriting discounts or commissions incurred by the Borrower or any of its Subsidiaries in connection with such sale or issuance.</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 at such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 Quoted Currency</w:t>
      </w:r>
      <w:r>
        <w:rPr>
          <w:rFonts w:ascii="Arial" w:cs="Arial" w:eastAsia="Arial" w:hAnsi="Arial"/>
          <w:sz w:val="18"/>
          <w:szCs w:val="18"/>
          <w:color w:val="auto"/>
        </w:rPr>
        <w:t>” means any currency other than a LIBO Quoted Currency.</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means material non-public information (within the meaning of United States federal, state or other applicable securities laws) with respect to Borrower or its Affiliates or their Securities.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collectively, the Borrower and the Subsidiary Guarantors.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Covered Indebtedness</w:t>
      </w:r>
      <w:r>
        <w:rPr>
          <w:rFonts w:ascii="Arial" w:cs="Arial" w:eastAsia="Arial" w:hAnsi="Arial"/>
          <w:sz w:val="18"/>
          <w:szCs w:val="18"/>
          <w:color w:val="auto"/>
        </w:rPr>
        <w:t xml:space="preserve">” means, collectively, Secured Longer-Term Indebtedness, Secured Shorter-Term Indebtedness and Unsecured Shorter-Term Indebtedness; provided that “Other Covered Indebtedness” shall not include (a) any Indebtedness under any Capital Call Facility or (b) any Indebtedness secured by a Lien on Portfolio Investments permitted under </w:t>
      </w:r>
      <w:r>
        <w:rPr>
          <w:rFonts w:ascii="Arial" w:cs="Arial" w:eastAsia="Arial" w:hAnsi="Arial"/>
          <w:sz w:val="18"/>
          <w:szCs w:val="18"/>
          <w:u w:val="single" w:color="auto"/>
          <w:color w:val="auto"/>
        </w:rPr>
        <w:t>Section 6.02(e)</w:t>
      </w:r>
      <w:r>
        <w:rPr>
          <w:rFonts w:ascii="Arial" w:cs="Arial" w:eastAsia="Arial" w:hAnsi="Arial"/>
          <w:sz w:val="18"/>
          <w:szCs w:val="18"/>
          <w:color w:val="auto"/>
        </w:rPr>
        <w:t>.</w:t>
      </w:r>
    </w:p>
    <w:p>
      <w:pPr>
        <w:spacing w:after="0" w:line="140"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Permitted Indebtedness</w:t>
      </w:r>
      <w:r>
        <w:rPr>
          <w:rFonts w:ascii="Arial" w:cs="Arial" w:eastAsia="Arial" w:hAnsi="Arial"/>
          <w:sz w:val="16"/>
          <w:szCs w:val="16"/>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purchasing of securities,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16"/>
          <w:szCs w:val="16"/>
          <w:u w:val="single" w:color="auto"/>
          <w:color w:val="auto"/>
        </w:rPr>
        <w:t>clause (l)</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0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0" w:name="page31"/>
    <w:bookmarkEnd w:id="30"/>
    <w:p>
      <w:pPr>
        <w:ind w:right="2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any such taxes, charges or similar levies resulting from an assignment by any Lender in accordance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hereof (unless such assignment is made pursuant to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14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Company</w:t>
      </w:r>
      <w:r>
        <w:rPr>
          <w:rFonts w:ascii="Arial" w:cs="Arial" w:eastAsia="Arial" w:hAnsi="Arial"/>
          <w:sz w:val="18"/>
          <w:szCs w:val="18"/>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Community that adopts or has adopted the Euro as its lawful currency in accordance with the legislation of the European Union relating to the European Monetary Union.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194" w:lineRule="exact"/>
        <w:rPr>
          <w:sz w:val="20"/>
          <w:szCs w:val="20"/>
          <w:color w:val="auto"/>
        </w:rPr>
      </w:pPr>
    </w:p>
    <w:p>
      <w:pPr>
        <w:ind w:right="60" w:firstLine="913"/>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w:t>
      </w:r>
    </w:p>
    <w:p>
      <w:pPr>
        <w:ind w:right="20" w:firstLine="8"/>
        <w:spacing w:after="0" w:line="300" w:lineRule="auto"/>
        <w:tabs>
          <w:tab w:leader="none" w:pos="249"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5"/>
          <w:szCs w:val="15"/>
          <w:u w:val="single" w:color="auto"/>
          <w:color w:val="auto"/>
        </w:rPr>
        <w:t>clause (l)</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Article VII</w:t>
      </w:r>
      <w:r>
        <w:rPr>
          <w:rFonts w:ascii="Arial" w:cs="Arial" w:eastAsia="Arial" w:hAnsi="Arial"/>
          <w:sz w:val="15"/>
          <w:szCs w:val="15"/>
          <w:color w:val="auto"/>
        </w:rPr>
        <w:t>; (g) customary rights of setoff and liens upon</w:t>
      </w:r>
    </w:p>
    <w:p>
      <w:pPr>
        <w:spacing w:after="0" w:line="5" w:lineRule="exact"/>
        <w:rPr>
          <w:rFonts w:ascii="Arial" w:cs="Arial" w:eastAsia="Arial" w:hAnsi="Arial"/>
          <w:sz w:val="15"/>
          <w:szCs w:val="15"/>
          <w:color w:val="auto"/>
        </w:rPr>
      </w:pPr>
    </w:p>
    <w:p>
      <w:pPr>
        <w:ind w:right="260" w:firstLine="8"/>
        <w:spacing w:after="0" w:line="261" w:lineRule="auto"/>
        <w:tabs>
          <w:tab w:leader="none" w:pos="2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deposits of cash in favor of banks or other depository institutions in which such cash is maintained in the ordinary course of business, (ii) cash and financial assets held in securities accounts in favor of banks and other financial institutions with which such accounts are</w:t>
      </w:r>
    </w:p>
    <w:p>
      <w:pPr>
        <w:spacing w:after="0" w:line="124"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1" w:name="page32"/>
    <w:bookmarkEnd w:id="31"/>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and</w:t>
      </w:r>
    </w:p>
    <w:p>
      <w:pPr>
        <w:spacing w:after="0" w:line="1" w:lineRule="exact"/>
        <w:rPr>
          <w:sz w:val="20"/>
          <w:szCs w:val="20"/>
          <w:color w:val="auto"/>
        </w:rPr>
      </w:pPr>
    </w:p>
    <w:p>
      <w:pPr>
        <w:ind w:right="600" w:firstLine="8"/>
        <w:spacing w:after="0" w:line="323" w:lineRule="auto"/>
        <w:tabs>
          <w:tab w:leader="none" w:pos="21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deposits of money securing leases to which Borrower is a party as lessee made in the ordinary course of business. For the avoidance of doubt, no Liens securing any Capital Call Facility or the facility of any Financing Subsidiary shall be a Permitted Lien hereunder.</w:t>
      </w:r>
    </w:p>
    <w:p>
      <w:pPr>
        <w:spacing w:after="0" w:line="93" w:lineRule="exact"/>
        <w:rPr>
          <w:sz w:val="20"/>
          <w:szCs w:val="20"/>
          <w:color w:val="auto"/>
        </w:rPr>
      </w:pPr>
    </w:p>
    <w:p>
      <w:pPr>
        <w:ind w:right="2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Policy Amendment</w:t>
      </w:r>
      <w:r>
        <w:rPr>
          <w:rFonts w:ascii="Arial" w:cs="Arial" w:eastAsia="Arial" w:hAnsi="Arial"/>
          <w:sz w:val="18"/>
          <w:szCs w:val="18"/>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43"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SBIC Guarantee</w:t>
      </w:r>
      <w:r>
        <w:rPr>
          <w:rFonts w:ascii="Arial" w:cs="Arial" w:eastAsia="Arial" w:hAnsi="Arial"/>
          <w:sz w:val="18"/>
          <w:szCs w:val="18"/>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Arial" w:cs="Arial" w:eastAsia="Arial" w:hAnsi="Arial"/>
          <w:sz w:val="18"/>
          <w:szCs w:val="18"/>
          <w:u w:val="single" w:color="auto"/>
          <w:color w:val="auto"/>
        </w:rPr>
        <w:t>clause (s)</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 it shall be an Event of Default hereunder if any such event or condition giving rise to such recourse occurs).</w:t>
      </w:r>
    </w:p>
    <w:p>
      <w:pPr>
        <w:spacing w:after="0" w:line="143"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PFPC</w:t>
      </w:r>
      <w:r>
        <w:rPr>
          <w:rFonts w:ascii="Arial" w:cs="Arial" w:eastAsia="Arial" w:hAnsi="Arial"/>
          <w:sz w:val="18"/>
          <w:szCs w:val="18"/>
          <w:color w:val="auto"/>
        </w:rPr>
        <w:t>” means PFPC Trust Company.</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means has the meaning set forth in </w:t>
      </w:r>
      <w:r>
        <w:rPr>
          <w:rFonts w:ascii="Arial" w:cs="Arial" w:eastAsia="Arial" w:hAnsi="Arial"/>
          <w:sz w:val="18"/>
          <w:szCs w:val="18"/>
          <w:u w:val="single" w:color="auto"/>
          <w:color w:val="auto"/>
        </w:rPr>
        <w:t>Section 5.01(i)</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Investment</w:t>
      </w:r>
      <w:r>
        <w:rPr>
          <w:rFonts w:ascii="Arial" w:cs="Arial" w:eastAsia="Arial" w:hAnsi="Arial"/>
          <w:sz w:val="18"/>
          <w:szCs w:val="18"/>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(d) any Investment, which if debt, is an obligation (other</w:t>
      </w:r>
    </w:p>
    <w:p>
      <w:pPr>
        <w:spacing w:after="0" w:line="13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a revolving loan or delayed draw term loan) pursuant to which any future advances or payments to the Obligor may be required to be made by the Borrower;</w:t>
      </w:r>
    </w:p>
    <w:p>
      <w:pPr>
        <w:spacing w:after="0" w:line="38" w:lineRule="exact"/>
        <w:rPr>
          <w:sz w:val="20"/>
          <w:szCs w:val="20"/>
          <w:color w:val="auto"/>
        </w:rPr>
      </w:pPr>
    </w:p>
    <w:p>
      <w:pPr>
        <w:ind w:right="160" w:firstLine="8"/>
        <w:spacing w:after="0" w:line="261" w:lineRule="auto"/>
        <w:tabs>
          <w:tab w:leader="none" w:pos="2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Investment which is made to a bankrupt entity (other than a debtor-in-possession financing and current pay obligations); and (f) any Investment, Cash or account in which a Financing Subsidiary has an interest or the lenders under a Capital Call Facility have a Lien.</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the rate which is quoted in the print edition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Money Rates Section.</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Center</w:t>
      </w:r>
      <w:r>
        <w:rPr>
          <w:rFonts w:ascii="Arial" w:cs="Arial" w:eastAsia="Arial" w:hAnsi="Arial"/>
          <w:sz w:val="18"/>
          <w:szCs w:val="18"/>
          <w:color w:val="auto"/>
        </w:rPr>
        <w:t>” means, in the case of any Currency, the principal financial center where such Currency is cleared and settled, as determined by the Administrative Agent.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Lender</w:t>
      </w:r>
      <w:r>
        <w:rPr>
          <w:rFonts w:ascii="Arial" w:cs="Arial" w:eastAsia="Arial" w:hAnsi="Arial"/>
          <w:sz w:val="16"/>
          <w:szCs w:val="16"/>
          <w:color w:val="auto"/>
        </w:rPr>
        <w:t>” means Lenders that do not wish to receive Non-Public Information with respect to the Borrower or any of its Subsidiaries or their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Quarterly Dates</w:t>
      </w:r>
      <w:r>
        <w:rPr>
          <w:rFonts w:ascii="Arial" w:cs="Arial" w:eastAsia="Arial" w:hAnsi="Arial"/>
          <w:sz w:val="16"/>
          <w:szCs w:val="16"/>
          <w:color w:val="auto"/>
        </w:rPr>
        <w:t>” means the last Business Day of March, June, September and December in each year, commencing on September 30, 2013.</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Quoted Investments</w:t>
      </w:r>
      <w:r>
        <w:rPr>
          <w:rFonts w:ascii="Arial" w:cs="Arial" w:eastAsia="Arial" w:hAnsi="Arial"/>
          <w:sz w:val="18"/>
          <w:szCs w:val="18"/>
          <w:color w:val="auto"/>
        </w:rPr>
        <w:t xml:space="preserve">” means a Portfolio Investment with a value assigned by the Borrower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filed by the Borrower with the Securities and Exchange Commission on March 14, 2011.</w:t>
      </w:r>
    </w:p>
    <w:p>
      <w:pPr>
        <w:spacing w:after="0" w:line="194"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Regulations D, T, U and X</w:t>
      </w:r>
      <w:r>
        <w:rPr>
          <w:rFonts w:ascii="Arial" w:cs="Arial" w:eastAsia="Arial" w:hAnsi="Arial"/>
          <w:sz w:val="18"/>
          <w:szCs w:val="18"/>
          <w:color w:val="auto"/>
        </w:rPr>
        <w:t>” means, respectively, Regulations D, T, U and X of the Board of Governors of the Federal Reserve System (or any successor), as the same may be modified and supplemented and in effect from time to time.</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employees, agents and advisors of such Person and such Person’s Affiliates.</w:t>
      </w:r>
    </w:p>
    <w:p>
      <w:pPr>
        <w:spacing w:after="0" w:line="126" w:lineRule="exact"/>
        <w:rPr>
          <w:sz w:val="20"/>
          <w:szCs w:val="20"/>
          <w:color w:val="auto"/>
        </w:rPr>
      </w:pPr>
    </w:p>
    <w:p>
      <w:pPr>
        <w:ind w:right="540" w:firstLine="913"/>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Relevant Available Funds</w:t>
      </w:r>
      <w:r>
        <w:rPr>
          <w:rFonts w:ascii="Arial" w:cs="Arial" w:eastAsia="Arial" w:hAnsi="Arial"/>
          <w:sz w:val="18"/>
          <w:szCs w:val="18"/>
          <w:color w:val="auto"/>
        </w:rPr>
        <w:t>” means the sum (without duplication) of (a) the aggregate undrawn capital commitments of the Borrower’s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holders to the Borrower,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available to be drawn under any committed facilities, including, for the avoidance of doubt, this Agreement, for which all applicable conditions to availability could be satisfied at such time.</w:t>
      </w:r>
    </w:p>
    <w:p>
      <w:pPr>
        <w:spacing w:after="0" w:line="138"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w:t>
      </w:r>
    </w:p>
    <w:p>
      <w:pPr>
        <w:spacing w:after="0" w:line="10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3" w:name="page34"/>
    <w:bookmarkEnd w:id="33"/>
    <w:p>
      <w:pPr>
        <w:ind w:right="10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44" w:lineRule="exact"/>
        <w:rPr>
          <w:sz w:val="20"/>
          <w:szCs w:val="20"/>
          <w:color w:val="auto"/>
        </w:rPr>
      </w:pPr>
    </w:p>
    <w:p>
      <w:pPr>
        <w:ind w:right="10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 of Capital</w:t>
      </w:r>
      <w:r>
        <w:rPr>
          <w:rFonts w:ascii="Arial" w:cs="Arial" w:eastAsia="Arial" w:hAnsi="Arial"/>
          <w:sz w:val="16"/>
          <w:szCs w:val="16"/>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net of any fees, costs, expenses and taxes payable with respect thereto).</w:t>
      </w:r>
    </w:p>
    <w:p>
      <w:pPr>
        <w:spacing w:after="0" w:line="165" w:lineRule="exact"/>
        <w:rPr>
          <w:sz w:val="20"/>
          <w:szCs w:val="20"/>
          <w:color w:val="auto"/>
        </w:rPr>
      </w:pPr>
    </w:p>
    <w:p>
      <w:pPr>
        <w:ind w:right="7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Dollar Credit Exposure and Revolving Multicurrency Credit Exposure at such time.</w:t>
      </w:r>
    </w:p>
    <w:p>
      <w:pPr>
        <w:spacing w:after="0" w:line="132"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Dollar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85"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Multicurrency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8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means, as of any date of determination, the result, expressed as a percentage, of the Revolving Credit Exposure on such date divided by the aggregate outstanding Covered Debt Amount on such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under the Code.</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4" w:name="page35"/>
    <w:bookmarkEnd w:id="3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division of The McGraw Hill Companies, Inc., a New York corporation, or any successor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w:t>
      </w:r>
      <w:r>
        <w:rPr>
          <w:rFonts w:ascii="Arial" w:cs="Arial" w:eastAsia="Arial" w:hAnsi="Arial"/>
          <w:sz w:val="18"/>
          <w:szCs w:val="18"/>
          <w:color w:val="auto"/>
        </w:rPr>
        <w:t>” means the United States Small Business Administration.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SBIC Equity Commitment</w:t>
      </w:r>
      <w:r>
        <w:rPr>
          <w:rFonts w:ascii="Arial" w:cs="Arial" w:eastAsia="Arial" w:hAnsi="Arial"/>
          <w:sz w:val="18"/>
          <w:szCs w:val="18"/>
          <w:color w:val="auto"/>
        </w:rPr>
        <w:t>” means a commitment by the Borrower to make one or more capital contributions to an SBIC Subsidiary.</w:t>
      </w:r>
    </w:p>
    <w:p>
      <w:pPr>
        <w:spacing w:after="0" w:line="17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SBIC Subsidiary</w:t>
      </w:r>
      <w:r>
        <w:rPr>
          <w:rFonts w:ascii="Arial" w:cs="Arial" w:eastAsia="Arial" w:hAnsi="Arial"/>
          <w:sz w:val="16"/>
          <w:szCs w:val="16"/>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27"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Debt Amount</w:t>
      </w:r>
      <w:r>
        <w:rPr>
          <w:rFonts w:ascii="Arial" w:cs="Arial" w:eastAsia="Arial" w:hAnsi="Arial"/>
          <w:sz w:val="18"/>
          <w:szCs w:val="18"/>
          <w:color w:val="auto"/>
        </w:rPr>
        <w:t>” means, on any date, the aggregate amount of all Secured Longer-Term Indebtedness and Secured Shorter-Term Indebtedness on such date (other than the obligations owed under (a) the Loan Documents, including the Revolving Credit Exposure, and (b) any Capital Call Facility).</w:t>
      </w:r>
    </w:p>
    <w:p>
      <w:pPr>
        <w:spacing w:after="0" w:line="140" w:lineRule="exact"/>
        <w:rPr>
          <w:sz w:val="20"/>
          <w:szCs w:val="20"/>
          <w:color w:val="auto"/>
        </w:rPr>
      </w:pPr>
    </w:p>
    <w:p>
      <w:pPr>
        <w:ind w:right="14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Longer-Term Indebtedness</w:t>
      </w:r>
      <w:r>
        <w:rPr>
          <w:rFonts w:ascii="Arial" w:cs="Arial" w:eastAsia="Arial" w:hAnsi="Arial"/>
          <w:sz w:val="16"/>
          <w:szCs w:val="16"/>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Final Maturity Date (it being understood that none of: (w) the conversion features under convertible notes; (x) the triggering and/or settlement thereof; or (y) any cash payment made in respect thereof ,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have either executed</w:t>
      </w:r>
    </w:p>
    <w:p>
      <w:pPr>
        <w:spacing w:after="0" w:line="1" w:lineRule="exact"/>
        <w:rPr>
          <w:sz w:val="20"/>
          <w:szCs w:val="20"/>
          <w:color w:val="auto"/>
        </w:rPr>
      </w:pPr>
    </w:p>
    <w:p>
      <w:pPr>
        <w:ind w:firstLine="8"/>
        <w:spacing w:after="0" w:line="295" w:lineRule="auto"/>
        <w:tabs>
          <w:tab w:leader="none" w:pos="2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 “Secured Longer-Term Indebtedness” shall not include any Indebtedness under any Capital Call Facility.</w:t>
      </w:r>
    </w:p>
    <w:p>
      <w:pPr>
        <w:spacing w:after="0" w:line="10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5" w:name="page36"/>
    <w:bookmarkEnd w:id="35"/>
    <w:p>
      <w:pPr>
        <w:ind w:right="60"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Secured Shorter-Term Indebtedness</w:t>
      </w:r>
      <w:r>
        <w:rPr>
          <w:rFonts w:ascii="Arial" w:cs="Arial" w:eastAsia="Arial" w:hAnsi="Arial"/>
          <w:sz w:val="16"/>
          <w:szCs w:val="16"/>
          <w:color w:val="auto"/>
        </w:rPr>
        <w:t>”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have either executed (i) a joinder agreement to the Guarantee and Security Agreement or</w:t>
      </w:r>
    </w:p>
    <w:p>
      <w:pPr>
        <w:spacing w:after="0" w:line="1" w:lineRule="exact"/>
        <w:rPr>
          <w:sz w:val="20"/>
          <w:szCs w:val="20"/>
          <w:color w:val="auto"/>
        </w:rPr>
      </w:pPr>
    </w:p>
    <w:p>
      <w:pPr>
        <w:ind w:right="40" w:firstLine="8"/>
        <w:spacing w:after="0" w:line="320" w:lineRule="auto"/>
        <w:tabs>
          <w:tab w:leader="none" w:pos="258"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such other document or agreement, in a form reasonably satisfactory to the Administrative Agent and the Collateral Agent, pursuant to which the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Arial" w:cs="Arial" w:eastAsia="Arial" w:hAnsi="Arial"/>
          <w:sz w:val="15"/>
          <w:szCs w:val="15"/>
          <w:u w:val="single" w:color="auto"/>
          <w:color w:val="auto"/>
        </w:rPr>
        <w:t>Section 6.11(a)</w:t>
      </w:r>
      <w:r>
        <w:rPr>
          <w:rFonts w:ascii="Arial" w:cs="Arial" w:eastAsia="Arial" w:hAnsi="Arial"/>
          <w:sz w:val="15"/>
          <w:szCs w:val="15"/>
          <w:color w:val="auto"/>
        </w:rPr>
        <w:t>. “Secured Shorter-Term Indebtedness” shall not include any Indebtedness under any Capital Call Facility.</w:t>
      </w:r>
    </w:p>
    <w:p>
      <w:pPr>
        <w:spacing w:after="0" w:line="10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43"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at any date, the amount determined on a consolidated basis, without duplication, in accordance with GAAP, of shareholders equity for the Borrower and its Subsidiaries at such date.</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 Subsidiary</w:t>
      </w:r>
      <w:r>
        <w:rPr>
          <w:rFonts w:ascii="Arial" w:cs="Arial" w:eastAsia="Arial" w:hAnsi="Arial"/>
          <w:sz w:val="18"/>
          <w:szCs w:val="18"/>
          <w:color w:val="auto"/>
        </w:rPr>
        <w:t>” means a direct or indirect Subsidiary of the Borrower to which any Obligor sells, conveys or otherwise transfers (whether directly or indirectly) Portfolio Investments, which engages in no material activities other than in connection with the purchase or financing of such assets and which is designated by the Borrower (as provided below) as an SPE Subsidiary:</w:t>
      </w:r>
    </w:p>
    <w:p>
      <w:pPr>
        <w:spacing w:after="0" w:line="59" w:lineRule="exact"/>
        <w:rPr>
          <w:sz w:val="20"/>
          <w:szCs w:val="20"/>
          <w:color w:val="auto"/>
        </w:rPr>
      </w:pPr>
    </w:p>
    <w:p>
      <w:pPr>
        <w:ind w:right="260" w:firstLine="921"/>
        <w:spacing w:after="0" w:line="256" w:lineRule="auto"/>
        <w:tabs>
          <w:tab w:leader="none" w:pos="11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62" w:lineRule="exact"/>
        <w:rPr>
          <w:rFonts w:ascii="Arial" w:cs="Arial" w:eastAsia="Arial" w:hAnsi="Arial"/>
          <w:sz w:val="18"/>
          <w:szCs w:val="18"/>
          <w:color w:val="auto"/>
        </w:rPr>
      </w:pPr>
    </w:p>
    <w:p>
      <w:pPr>
        <w:ind w:right="60" w:firstLine="921"/>
        <w:spacing w:after="0" w:line="259"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which no Obligor has any material contract, agreement, arrangement or understanding other than on terms no less favorable to such Obligor than those that might be obtained at the time from Persons that are not Affiliates of any Obligor, other than fees payable in the ordinary course of business in connection with servicing receivables, and</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6" w:name="page37"/>
    <w:bookmarkEnd w:id="36"/>
    <w:p>
      <w:pPr>
        <w:ind w:right="200" w:firstLine="921"/>
        <w:spacing w:after="0" w:line="268" w:lineRule="auto"/>
        <w:tabs>
          <w:tab w:leader="none" w:pos="1152"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which no Obligor has any obligation to maintain or preserve such entity’s financial condition or cause such entity to achieve certain levels of operating results.</w:t>
      </w:r>
    </w:p>
    <w:p>
      <w:pPr>
        <w:spacing w:after="0" w:line="132"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Equity Interest</w:t>
      </w:r>
      <w:r>
        <w:rPr>
          <w:rFonts w:ascii="Arial" w:cs="Arial" w:eastAsia="Arial" w:hAnsi="Arial"/>
          <w:sz w:val="16"/>
          <w:szCs w:val="16"/>
          <w:color w:val="auto"/>
        </w:rPr>
        <w:t xml:space="preserve">” means any Equity Interest that is subject to a Lien in favor of creditors of the issuer of such Equity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8" w:lineRule="exact"/>
        <w:rPr>
          <w:sz w:val="20"/>
          <w:szCs w:val="20"/>
          <w:color w:val="auto"/>
        </w:rPr>
      </w:pPr>
    </w:p>
    <w:p>
      <w:pPr>
        <w:ind w:right="240" w:firstLine="8"/>
        <w:spacing w:after="0" w:line="254"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44"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43"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Statutory Reserve Rate</w:t>
      </w:r>
      <w:r>
        <w:rPr>
          <w:rFonts w:ascii="Arial" w:cs="Arial" w:eastAsia="Arial" w:hAnsi="Arial"/>
          <w:sz w:val="15"/>
          <w:szCs w:val="15"/>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0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w:t>
      </w:r>
    </w:p>
    <w:p>
      <w:pPr>
        <w:spacing w:after="0" w:line="12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7" w:name="page38"/>
    <w:bookmarkEnd w:id="3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13"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any Subsidiary that is a Guarantor under the Guarantee and Security Agreement. It is understood and agreed that no Financing Subsidiary, Immaterial Subsidiary or Foreign Subsidiary shall be a Subsidiary Guarantor.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SunTrust</w:t>
      </w:r>
      <w:r>
        <w:rPr>
          <w:rFonts w:ascii="Arial" w:cs="Arial" w:eastAsia="Arial" w:hAnsi="Arial"/>
          <w:sz w:val="18"/>
          <w:szCs w:val="18"/>
          <w:color w:val="auto"/>
        </w:rPr>
        <w:t>” means SunTrust Bank.</w:t>
      </w:r>
    </w:p>
    <w:p>
      <w:pPr>
        <w:spacing w:after="0" w:line="171"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0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xml:space="preserve">” means SunTrust, in its capacity as lender of Swingline Loans hereunder, and its successors in such capacity as provided in </w:t>
      </w:r>
      <w:r>
        <w:rPr>
          <w:rFonts w:ascii="Arial" w:cs="Arial" w:eastAsia="Arial" w:hAnsi="Arial"/>
          <w:sz w:val="18"/>
          <w:szCs w:val="18"/>
          <w:u w:val="single" w:color="auto"/>
          <w:color w:val="auto"/>
        </w:rPr>
        <w:t>Section 2.04(d)</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Syndicated</w:t>
      </w:r>
      <w:r>
        <w:rPr>
          <w:rFonts w:ascii="Arial" w:cs="Arial" w:eastAsia="Arial" w:hAnsi="Arial"/>
          <w:sz w:val="18"/>
          <w:szCs w:val="18"/>
          <w:color w:val="auto"/>
        </w:rPr>
        <w:t xml:space="preserve">”, when used in reference to any Loan or Borrowing, refers to whether such Loan, or the Loans constituting such Borrowing, are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32" w:lineRule="exact"/>
        <w:rPr>
          <w:sz w:val="20"/>
          <w:szCs w:val="20"/>
          <w:color w:val="auto"/>
        </w:rPr>
      </w:pPr>
    </w:p>
    <w:p>
      <w:pPr>
        <w:ind w:right="46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6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earliest to occur of (i) the Final Maturity Date, (ii) the date of the termination of the Commitments in full pursuant to </w:t>
      </w:r>
      <w:r>
        <w:rPr>
          <w:rFonts w:ascii="Arial" w:cs="Arial" w:eastAsia="Arial" w:hAnsi="Arial"/>
          <w:sz w:val="18"/>
          <w:szCs w:val="18"/>
          <w:u w:val="single" w:color="auto"/>
          <w:color w:val="auto"/>
        </w:rPr>
        <w:t>Section 2.08(c)</w:t>
      </w:r>
      <w:r>
        <w:rPr>
          <w:rFonts w:ascii="Arial" w:cs="Arial" w:eastAsia="Arial" w:hAnsi="Arial"/>
          <w:sz w:val="18"/>
          <w:szCs w:val="18"/>
          <w:color w:val="auto"/>
        </w:rPr>
        <w:t xml:space="preserve">, or (iii) the date on which the Commitments are terminated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5.12(b)(ii)(E)(x)</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and the other Loan Documents, the borrowing of Loans, the use of the proceeds thereof and the issuance of Letters of Credit hereunder.</w:t>
      </w:r>
    </w:p>
    <w:p>
      <w:pPr>
        <w:spacing w:after="0" w:line="132"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8" w:name="page39"/>
    <w:bookmarkEnd w:id="38"/>
    <w:p>
      <w:pPr>
        <w:ind w:right="20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Undisclosed Administration</w:t>
      </w:r>
      <w:r>
        <w:rPr>
          <w:rFonts w:ascii="Arial" w:cs="Arial" w:eastAsia="Arial" w:hAnsi="Arial"/>
          <w:sz w:val="16"/>
          <w:szCs w:val="16"/>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from time to time in the State of New York.</w:t>
      </w:r>
    </w:p>
    <w:p>
      <w:pPr>
        <w:spacing w:after="0" w:line="171"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Unsecured Longer-Term Indebtedness</w:t>
      </w:r>
      <w:r>
        <w:rPr>
          <w:rFonts w:ascii="Arial" w:cs="Arial" w:eastAsia="Arial" w:hAnsi="Arial"/>
          <w:sz w:val="16"/>
          <w:szCs w:val="16"/>
          <w:color w:val="auto"/>
        </w:rPr>
        <w:t xml:space="preserve">” means any Indebtedness of an Obligor (which may be Guaranteed by Subsidiary Guarantors) that (a) has no amortization prior to, and a final maturity date not earlier than, six months after the Final Maturity Date (it being understood that none of : (w) the conversion features under convertible notes; (x) the triggering and/or settlement thereof or (y) any cash payment made in respect thereof,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16"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Shorter-Term Indebtedness</w:t>
      </w:r>
      <w:r>
        <w:rPr>
          <w:rFonts w:ascii="Arial" w:cs="Arial" w:eastAsia="Arial" w:hAnsi="Arial"/>
          <w:sz w:val="18"/>
          <w:szCs w:val="18"/>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18"/>
          <w:szCs w:val="18"/>
          <w:u w:val="single" w:color="auto"/>
          <w:color w:val="auto"/>
        </w:rPr>
        <w:t>Section 6.11(a)</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Unquoted Investments</w:t>
      </w:r>
      <w:r>
        <w:rPr>
          <w:rFonts w:ascii="Arial" w:cs="Arial" w:eastAsia="Arial" w:hAnsi="Arial"/>
          <w:sz w:val="18"/>
          <w:szCs w:val="18"/>
          <w:color w:val="auto"/>
        </w:rPr>
        <w:t xml:space="preserve">” means a Portfolio Investment with a value assigned by the Borrower pursuant to </w:t>
      </w:r>
      <w:r>
        <w:rPr>
          <w:rFonts w:ascii="Arial" w:cs="Arial" w:eastAsia="Arial" w:hAnsi="Arial"/>
          <w:sz w:val="18"/>
          <w:szCs w:val="18"/>
          <w:u w:val="single" w:color="auto"/>
          <w:color w:val="auto"/>
        </w:rPr>
        <w:t>Section 5.12(b)(ii)(B)</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3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2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39" w:name="page40"/>
    <w:bookmarkEnd w:id="39"/>
    <w:p>
      <w:pPr>
        <w:ind w:right="2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2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1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0" w:name="page41"/>
    <w:bookmarkEnd w:id="4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1.05. </w:t>
      </w:r>
      <w:r>
        <w:rPr>
          <w:rFonts w:ascii="Arial" w:cs="Arial" w:eastAsia="Arial" w:hAnsi="Arial"/>
          <w:sz w:val="18"/>
          <w:szCs w:val="18"/>
          <w:u w:val="single" w:color="auto"/>
          <w:color w:val="auto"/>
        </w:rPr>
        <w:t>Currencies; Currency Equivalents</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83" w:lineRule="auto"/>
        <w:tabs>
          <w:tab w:leader="none" w:pos="1152"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Currencies Generally</w:t>
      </w:r>
      <w:r>
        <w:rPr>
          <w:rFonts w:ascii="Arial" w:cs="Arial" w:eastAsia="Arial" w:hAnsi="Arial"/>
          <w:sz w:val="16"/>
          <w:szCs w:val="16"/>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the last sentence of </w:t>
      </w:r>
      <w:r>
        <w:rPr>
          <w:rFonts w:ascii="Arial" w:cs="Arial" w:eastAsia="Arial" w:hAnsi="Arial"/>
          <w:sz w:val="16"/>
          <w:szCs w:val="16"/>
          <w:u w:val="single" w:color="auto"/>
          <w:color w:val="auto"/>
        </w:rPr>
        <w:t>Section 2.17(a)</w:t>
      </w:r>
      <w:r>
        <w:rPr>
          <w:rFonts w:ascii="Arial" w:cs="Arial" w:eastAsia="Arial" w:hAnsi="Arial"/>
          <w:sz w:val="16"/>
          <w:szCs w:val="16"/>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w:t>
      </w:r>
    </w:p>
    <w:p>
      <w:pPr>
        <w:spacing w:after="0" w:line="2" w:lineRule="exact"/>
        <w:rPr>
          <w:rFonts w:ascii="Arial" w:cs="Arial" w:eastAsia="Arial" w:hAnsi="Arial"/>
          <w:sz w:val="16"/>
          <w:szCs w:val="16"/>
          <w:color w:val="auto"/>
        </w:rPr>
      </w:pPr>
    </w:p>
    <w:p>
      <w:pPr>
        <w:ind w:right="40" w:firstLine="8"/>
        <w:spacing w:after="0" w:line="287" w:lineRule="auto"/>
        <w:tabs>
          <w:tab w:leader="none" w:pos="2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w:t>
      </w:r>
    </w:p>
    <w:p>
      <w:pPr>
        <w:spacing w:after="0" w:line="124" w:lineRule="exact"/>
        <w:rPr>
          <w:rFonts w:ascii="Arial" w:cs="Arial" w:eastAsia="Arial" w:hAnsi="Arial"/>
          <w:sz w:val="16"/>
          <w:szCs w:val="16"/>
          <w:color w:val="auto"/>
        </w:rPr>
      </w:pPr>
    </w:p>
    <w:p>
      <w:pPr>
        <w:ind w:right="40" w:firstLine="921"/>
        <w:spacing w:after="0" w:line="287" w:lineRule="auto"/>
        <w:tabs>
          <w:tab w:leader="none" w:pos="1161"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Special Provisions Relating to Euro</w:t>
      </w:r>
      <w:r>
        <w:rPr>
          <w:rFonts w:ascii="Arial" w:cs="Arial" w:eastAsia="Arial" w:hAnsi="Arial"/>
          <w:sz w:val="16"/>
          <w:szCs w:val="16"/>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Borrowing denominated in such currency that is outstanding immediately prior to such date, such replacement shall take effect at the end of the Interest Period therefor.</w:t>
      </w:r>
    </w:p>
    <w:p>
      <w:pPr>
        <w:spacing w:after="0" w:line="123"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1" w:name="page42"/>
    <w:bookmarkEnd w:id="41"/>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appropriate to reflect the introduction or changeover to the Euro in any country that becomes a Participating Member State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THE CREDITS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Commitments</w:t>
      </w:r>
      <w:r>
        <w:rPr>
          <w:rFonts w:ascii="Arial" w:cs="Arial" w:eastAsia="Arial" w:hAnsi="Arial"/>
          <w:sz w:val="18"/>
          <w:szCs w:val="18"/>
          <w:color w:val="auto"/>
        </w:rPr>
        <w:t>. Subject to the terms and conditions set forth herein:</w:t>
      </w:r>
    </w:p>
    <w:p>
      <w:pPr>
        <w:spacing w:after="0" w:line="171" w:lineRule="exact"/>
        <w:rPr>
          <w:sz w:val="20"/>
          <w:szCs w:val="20"/>
          <w:color w:val="auto"/>
        </w:rPr>
      </w:pPr>
    </w:p>
    <w:p>
      <w:pPr>
        <w:ind w:right="140" w:firstLine="921"/>
        <w:spacing w:after="0" w:line="256" w:lineRule="auto"/>
        <w:tabs>
          <w:tab w:leader="none" w:pos="11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Dollar Lender severally agrees to make Syndicated Loans in Dollars to the Borrower from time to time during the Availability Period in an aggregate principal amount that will not result in (i) such Lender’s Revolving Dollar Credit Exposure exceeding such Lender’s Dollar Commitment, (ii) the aggregate Revolving Dollar Credit Exposure of all of the Dollar Lenders exceeding the aggregate Dollar Commitments or (iii) the total Covered Debt Amount exceeding the Borrowing Base then in effect; and</w:t>
      </w:r>
    </w:p>
    <w:p>
      <w:pPr>
        <w:spacing w:after="0" w:line="143" w:lineRule="exact"/>
        <w:rPr>
          <w:rFonts w:ascii="Arial" w:cs="Arial" w:eastAsia="Arial" w:hAnsi="Arial"/>
          <w:sz w:val="18"/>
          <w:szCs w:val="18"/>
          <w:color w:val="auto"/>
        </w:rPr>
      </w:pPr>
    </w:p>
    <w:p>
      <w:pPr>
        <w:ind w:right="20" w:firstLine="921"/>
        <w:spacing w:after="0" w:line="298" w:lineRule="auto"/>
        <w:tabs>
          <w:tab w:leader="none" w:pos="1162"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Multicurrency Lender severally agrees to make Syndicated Loans in Dollars and in Agreed Foreign Currencies to the Borrower from time to time during the Availability Period in an aggregate principal amount that will not result in (i) such Lender’s Revolving Multicurrency Credit Exposure exceeding such Lender’s Multicurrency Commitment, (ii) the aggregate Revolving Multicurrency Credit Exposure of all of the Multicurrency Lenders exceeding the aggregate Multicurrency Commitments or (iii) the total Covered Debt Amount exceeding the Borrowing Base then in effect.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Within the foregoing limits and subject to the terms and conditions set forth herein, the Borrower may borrow, prepay and reborrow Syndicated Loans.</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6" w:lineRule="auto"/>
        <w:tabs>
          <w:tab w:leader="none" w:pos="115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Obligations of Lenders</w:t>
      </w:r>
      <w:r>
        <w:rPr>
          <w:rFonts w:ascii="Arial" w:cs="Arial" w:eastAsia="Arial" w:hAnsi="Arial"/>
          <w:sz w:val="18"/>
          <w:szCs w:val="18"/>
          <w:color w:val="auto"/>
        </w:rPr>
        <w:t xml:space="preserve">.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w:t>
      </w:r>
    </w:p>
    <w:p>
      <w:pPr>
        <w:spacing w:after="0" w:line="143" w:lineRule="exact"/>
        <w:rPr>
          <w:rFonts w:ascii="Arial" w:cs="Arial" w:eastAsia="Arial" w:hAnsi="Arial"/>
          <w:sz w:val="18"/>
          <w:szCs w:val="18"/>
          <w:color w:val="auto"/>
        </w:rPr>
      </w:pPr>
    </w:p>
    <w:p>
      <w:pPr>
        <w:jc w:val="both"/>
        <w:ind w:right="120" w:firstLine="921"/>
        <w:spacing w:after="0" w:line="298" w:lineRule="auto"/>
        <w:tabs>
          <w:tab w:leader="none" w:pos="116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Type of Loans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 to repay such Loan in accordance with the terms of this Agreement.</w:t>
      </w:r>
    </w:p>
    <w:p>
      <w:pPr>
        <w:spacing w:after="0" w:line="9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2" w:name="page43"/>
    <w:bookmarkEnd w:id="42"/>
    <w:p>
      <w:pPr>
        <w:jc w:val="both"/>
        <w:ind w:right="20" w:firstLine="921"/>
        <w:spacing w:after="0" w:line="255"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Minimum Amounts</w:t>
      </w:r>
      <w:r>
        <w:rPr>
          <w:rFonts w:ascii="Arial" w:cs="Arial" w:eastAsia="Arial" w:hAnsi="Arial"/>
          <w:sz w:val="18"/>
          <w:szCs w:val="18"/>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8"/>
          <w:szCs w:val="18"/>
          <w:u w:val="single" w:color="auto"/>
          <w:color w:val="auto"/>
        </w:rPr>
        <w:t>Section 2.05(f)</w:t>
      </w:r>
      <w:r>
        <w:rPr>
          <w:rFonts w:ascii="Arial" w:cs="Arial" w:eastAsia="Arial" w:hAnsi="Arial"/>
          <w:sz w:val="18"/>
          <w:szCs w:val="18"/>
          <w:color w:val="auto"/>
        </w:rPr>
        <w:t>. Borrowings of more than one Class, Currency and Type may be outstanding at the same time.</w:t>
      </w:r>
    </w:p>
    <w:p>
      <w:pPr>
        <w:spacing w:after="0" w:line="142" w:lineRule="exact"/>
        <w:rPr>
          <w:rFonts w:ascii="Arial" w:cs="Arial" w:eastAsia="Arial" w:hAnsi="Arial"/>
          <w:sz w:val="18"/>
          <w:szCs w:val="18"/>
          <w:color w:val="auto"/>
        </w:rPr>
      </w:pPr>
    </w:p>
    <w:p>
      <w:pPr>
        <w:ind w:right="120" w:firstLine="921"/>
        <w:spacing w:after="0" w:line="332" w:lineRule="auto"/>
        <w:tabs>
          <w:tab w:leader="none" w:pos="1161"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Limitations on Interest Periods</w:t>
      </w:r>
      <w:r>
        <w:rPr>
          <w:rFonts w:ascii="Arial" w:cs="Arial" w:eastAsia="Arial" w:hAnsi="Arial"/>
          <w:sz w:val="16"/>
          <w:szCs w:val="16"/>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w:t>
      </w:r>
    </w:p>
    <w:p>
      <w:pPr>
        <w:spacing w:after="0" w:line="85" w:lineRule="exact"/>
        <w:rPr>
          <w:rFonts w:ascii="Arial" w:cs="Arial" w:eastAsia="Arial" w:hAnsi="Arial"/>
          <w:sz w:val="16"/>
          <w:szCs w:val="16"/>
          <w:color w:val="auto"/>
        </w:rPr>
      </w:pPr>
    </w:p>
    <w:p>
      <w:pPr>
        <w:ind w:right="20" w:firstLine="921"/>
        <w:spacing w:after="0" w:line="298"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Treatment of Classes</w:t>
      </w:r>
      <w:r>
        <w:rPr>
          <w:rFonts w:ascii="Arial" w:cs="Arial" w:eastAsia="Arial" w:hAnsi="Arial"/>
          <w:sz w:val="16"/>
          <w:szCs w:val="16"/>
          <w:color w:val="auto"/>
        </w:rPr>
        <w:t>. Notwithstanding anything to the contrary contained herein, with respect to each Syndicated Loan, Swingline Loan or Letter of Credit designated in Dollars,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Syndicated Borrowings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2"/>
          <w:numId w:val="28"/>
        </w:numPr>
        <w:rPr>
          <w:rFonts w:ascii="Arial" w:cs="Arial" w:eastAsia="Arial" w:hAnsi="Arial"/>
          <w:sz w:val="16"/>
          <w:szCs w:val="16"/>
          <w:color w:val="auto"/>
        </w:rPr>
      </w:pPr>
      <w:r>
        <w:rPr>
          <w:rFonts w:ascii="Arial" w:cs="Arial" w:eastAsia="Arial" w:hAnsi="Arial"/>
          <w:sz w:val="16"/>
          <w:szCs w:val="16"/>
          <w:u w:val="single" w:color="auto"/>
          <w:color w:val="auto"/>
        </w:rPr>
        <w:t>Notice by the Borrower</w:t>
      </w:r>
      <w:r>
        <w:rPr>
          <w:rFonts w:ascii="Arial" w:cs="Arial" w:eastAsia="Arial" w:hAnsi="Arial"/>
          <w:sz w:val="16"/>
          <w:szCs w:val="16"/>
          <w:color w:val="auto"/>
        </w:rPr>
        <w:t>. To request a Syndicated Borrowing, the Borrower shall notify the Administrative Agent of such request by telephone</w:t>
      </w:r>
    </w:p>
    <w:p>
      <w:pPr>
        <w:spacing w:after="0" w:line="38" w:lineRule="exact"/>
        <w:rPr>
          <w:rFonts w:ascii="Arial" w:cs="Arial" w:eastAsia="Arial" w:hAnsi="Arial"/>
          <w:sz w:val="16"/>
          <w:szCs w:val="16"/>
          <w:color w:val="auto"/>
        </w:rPr>
      </w:pPr>
    </w:p>
    <w:p>
      <w:pPr>
        <w:ind w:right="160" w:firstLine="8"/>
        <w:spacing w:after="0" w:line="252" w:lineRule="auto"/>
        <w:tabs>
          <w:tab w:leader="none" w:pos="2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a Eurocurrency Borrowing denominated in Dollars, not later than 11:00 a.m., Atlanta, Georgia time, three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one Business Day before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48" w:lineRule="exact"/>
        <w:rPr>
          <w:rFonts w:ascii="Arial" w:cs="Arial" w:eastAsia="Arial" w:hAnsi="Arial"/>
          <w:sz w:val="18"/>
          <w:szCs w:val="18"/>
          <w:color w:val="auto"/>
        </w:rPr>
      </w:pPr>
    </w:p>
    <w:p>
      <w:pPr>
        <w:ind w:left="1160" w:hanging="239"/>
        <w:spacing w:after="0"/>
        <w:tabs>
          <w:tab w:leader="none" w:pos="1160" w:val="left"/>
        </w:tabs>
        <w:numPr>
          <w:ilvl w:val="2"/>
          <w:numId w:val="29"/>
        </w:numPr>
        <w:rPr>
          <w:rFonts w:ascii="Arial" w:cs="Arial" w:eastAsia="Arial" w:hAnsi="Arial"/>
          <w:sz w:val="16"/>
          <w:szCs w:val="16"/>
          <w:color w:val="auto"/>
        </w:rPr>
      </w:pPr>
      <w:r>
        <w:rPr>
          <w:rFonts w:ascii="Arial" w:cs="Arial" w:eastAsia="Arial" w:hAnsi="Arial"/>
          <w:sz w:val="16"/>
          <w:szCs w:val="16"/>
          <w:u w:val="single" w:color="auto"/>
          <w:color w:val="auto"/>
        </w:rPr>
        <w:t>Content of Borrowing Requests</w:t>
      </w:r>
      <w:r>
        <w:rPr>
          <w:rFonts w:ascii="Arial" w:cs="Arial" w:eastAsia="Arial" w:hAnsi="Arial"/>
          <w:sz w:val="16"/>
          <w:szCs w:val="16"/>
          <w:color w:val="auto"/>
        </w:rPr>
        <w:t>. Each telephonic and written Borrowing Request shall specify the following information in compliance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120" w:hanging="217"/>
        <w:spacing w:after="0"/>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whether such Borrowing is to be made under the Dollar Commitments or the Multicurrency Commitments;</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aggregate amount and Currency of the requested Borrowing;</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90" w:lineRule="exact"/>
        <w:rPr>
          <w:rFonts w:ascii="Arial" w:cs="Arial" w:eastAsia="Arial" w:hAnsi="Arial"/>
          <w:sz w:val="18"/>
          <w:szCs w:val="18"/>
          <w:color w:val="auto"/>
        </w:rPr>
      </w:pPr>
    </w:p>
    <w:p>
      <w:pPr>
        <w:ind w:left="460" w:right="740" w:firstLine="443"/>
        <w:spacing w:after="0" w:line="268" w:lineRule="auto"/>
        <w:tabs>
          <w:tab w:leader="none" w:pos="11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case of a Syndicated Borrowing denominated in Dollars, whether such Borrowing is to be an ABR Borrowing or a Eurocurrency Borrowing;</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3" w:name="page44"/>
    <w:bookmarkEnd w:id="43"/>
    <w:p>
      <w:pPr>
        <w:ind w:left="-920" w:right="60" w:firstLine="921"/>
        <w:spacing w:after="0" w:line="268" w:lineRule="auto"/>
        <w:tabs>
          <w:tab w:leader="none" w:pos="242"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the case of a Eurocurrency Borrowing, the Interest Period therefor,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300" w:hanging="299"/>
        <w:spacing w:after="0"/>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w:t>
      </w:r>
    </w:p>
    <w:p>
      <w:pPr>
        <w:spacing w:after="0" w:line="171" w:lineRule="exact"/>
        <w:rPr>
          <w:sz w:val="20"/>
          <w:szCs w:val="20"/>
          <w:color w:val="auto"/>
        </w:rPr>
      </w:pPr>
    </w:p>
    <w:p>
      <w:pPr>
        <w:ind w:left="-920" w:right="360" w:firstLine="921"/>
        <w:spacing w:after="0" w:line="259" w:lineRule="auto"/>
        <w:tabs>
          <w:tab w:leader="none" w:pos="23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40" w:lineRule="exact"/>
        <w:rPr>
          <w:rFonts w:ascii="Arial" w:cs="Arial" w:eastAsia="Arial" w:hAnsi="Arial"/>
          <w:sz w:val="18"/>
          <w:szCs w:val="18"/>
          <w:color w:val="auto"/>
        </w:rPr>
      </w:pPr>
    </w:p>
    <w:p>
      <w:pPr>
        <w:ind w:left="-920" w:right="140" w:firstLine="921"/>
        <w:spacing w:after="0" w:line="289" w:lineRule="auto"/>
        <w:tabs>
          <w:tab w:leader="none" w:pos="24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Failure to Elect</w:t>
      </w:r>
      <w:r>
        <w:rPr>
          <w:rFonts w:ascii="Arial" w:cs="Arial" w:eastAsia="Arial" w:hAnsi="Arial"/>
          <w:sz w:val="16"/>
          <w:szCs w:val="16"/>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171" w:lineRule="exact"/>
        <w:rPr>
          <w:sz w:val="20"/>
          <w:szCs w:val="20"/>
          <w:color w:val="auto"/>
        </w:rPr>
      </w:pPr>
    </w:p>
    <w:p>
      <w:pPr>
        <w:ind w:left="-920" w:right="40" w:firstLine="921"/>
        <w:spacing w:after="0" w:line="290" w:lineRule="auto"/>
        <w:tabs>
          <w:tab w:leader="none" w:pos="23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Agreement to Make Swingline Loans</w:t>
      </w:r>
      <w:r>
        <w:rPr>
          <w:rFonts w:ascii="Arial" w:cs="Arial" w:eastAsia="Arial" w:hAnsi="Arial"/>
          <w:sz w:val="16"/>
          <w:szCs w:val="16"/>
          <w:color w:val="auto"/>
        </w:rPr>
        <w:t xml:space="preserve">. Subject to the terms and conditions set forth herein, the Swingline Lender agrees to make Swingline Loans under each Commitment to the Borrower from time to time during the Availability Period in Dollars, in an aggregate principal amount at any time outstanding that will not result in (i) the aggregate principal amount of outstanding Swingline Loans of both Classes exceeding $50,000,000, (ii) the total Revolving Dollar Credit Exposures exceeding the aggregate Dollar Commitments, (iii) the total Revolving Multicurrency Credit Exposures exceeding the aggregate Multicurrency Commitments or (iv) the total Covered Debt Amount exceeding the Borrowing Base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18" w:lineRule="exact"/>
        <w:rPr>
          <w:rFonts w:ascii="Arial" w:cs="Arial" w:eastAsia="Arial" w:hAnsi="Arial"/>
          <w:sz w:val="16"/>
          <w:szCs w:val="16"/>
          <w:color w:val="auto"/>
        </w:rPr>
      </w:pPr>
    </w:p>
    <w:p>
      <w:pPr>
        <w:ind w:left="-920" w:right="60" w:firstLine="921"/>
        <w:spacing w:after="0" w:line="256" w:lineRule="auto"/>
        <w:tabs>
          <w:tab w:leader="none" w:pos="24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Notice of Swingline Loans by the Borrower</w:t>
      </w:r>
      <w:r>
        <w:rPr>
          <w:rFonts w:ascii="Arial" w:cs="Arial" w:eastAsia="Arial" w:hAnsi="Arial"/>
          <w:sz w:val="18"/>
          <w:szCs w:val="18"/>
          <w:color w:val="auto"/>
        </w:rPr>
        <w:t>. To request a Swingline Loan, the Borrower shall notify the Administrative Agent of such request by telephone (confirmed by telecopy) not later than 11:00 a.m., Atlanta, Georgia time, on the day of such proposed Swingline Loan. Each such notice shall be irrevocable and shall specify the requested date (which shall be a Business Day), the amount of the requested Swingline Loan and whether such Swingline Loan is to be made under the Dollar Commitments or the Multicurrency</w:t>
      </w:r>
    </w:p>
    <w:p>
      <w:pPr>
        <w:spacing w:after="0" w:line="130" w:lineRule="exact"/>
        <w:rPr>
          <w:sz w:val="20"/>
          <w:szCs w:val="20"/>
          <w:color w:val="auto"/>
        </w:rPr>
      </w:pPr>
    </w:p>
    <w:p>
      <w:pPr>
        <w:jc w:val="both"/>
        <w:ind w:left="4940"/>
        <w:spacing w:after="0"/>
        <w:tabs>
          <w:tab w:leader="none" w:pos="85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00"/>
          </w:cols>
          <w:pgMar w:left="1160" w:top="280" w:right="239" w:bottom="1440" w:gutter="0" w:footer="0" w:header="0"/>
        </w:sectPr>
      </w:pPr>
    </w:p>
    <w:bookmarkStart w:id="44" w:name="page45"/>
    <w:bookmarkEnd w:id="44"/>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Commitments.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Arial" w:cs="Arial" w:eastAsia="Arial" w:hAnsi="Arial"/>
          <w:sz w:val="16"/>
          <w:szCs w:val="16"/>
          <w:u w:val="single" w:color="auto"/>
          <w:color w:val="auto"/>
        </w:rPr>
        <w:t>Section 2.05(f)</w:t>
      </w:r>
      <w:r>
        <w:rPr>
          <w:rFonts w:ascii="Arial" w:cs="Arial" w:eastAsia="Arial" w:hAnsi="Arial"/>
          <w:sz w:val="16"/>
          <w:szCs w:val="16"/>
          <w:color w:val="auto"/>
        </w:rPr>
        <w:t>, by remittance to the Issuing Bank) by 3:00 p.m., Atlanta, Georgia time, on the requested date of such Swingline Loan.</w:t>
      </w:r>
    </w:p>
    <w:p>
      <w:pPr>
        <w:spacing w:after="0" w:line="113" w:lineRule="exact"/>
        <w:rPr>
          <w:sz w:val="20"/>
          <w:szCs w:val="20"/>
          <w:color w:val="auto"/>
        </w:rPr>
      </w:pPr>
    </w:p>
    <w:p>
      <w:pPr>
        <w:ind w:left="1160" w:hanging="239"/>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Participations by Lenders in Swingline Loans</w:t>
      </w:r>
      <w:r>
        <w:rPr>
          <w:rFonts w:ascii="Arial" w:cs="Arial" w:eastAsia="Arial" w:hAnsi="Arial"/>
          <w:sz w:val="16"/>
          <w:szCs w:val="16"/>
          <w:color w:val="auto"/>
        </w:rPr>
        <w:t>. The Swingline Lender may by written notice given to the Administrative Agent not later than</w:t>
      </w:r>
    </w:p>
    <w:p>
      <w:pPr>
        <w:spacing w:after="0" w:line="38" w:lineRule="exact"/>
        <w:rPr>
          <w:rFonts w:ascii="Arial" w:cs="Arial" w:eastAsia="Arial" w:hAnsi="Arial"/>
          <w:sz w:val="16"/>
          <w:szCs w:val="16"/>
          <w:color w:val="auto"/>
        </w:rPr>
      </w:pPr>
    </w:p>
    <w:p>
      <w:pPr>
        <w:ind w:right="10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10:00 a.m., Atlanta, Georgia time on any Business Day, require the Lenders of the applicable Class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Dollar Percentage or Applicable Multicurrency Percentage of such Swingline Loan or Loans. Each Lender hereby absolutely and unconditionally agrees, upon receipt of notice as provided above in this paragraph, to pay to the Administrative Agent, for account of the Swingline Lender, such Lender’s Applicable Dollar Percentage or Applicable Multicurrency Percentage, as the case may be, of such Swingline Loan 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required to purchase a participation in a Swingline Loan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if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would not be satisfied in respect of a Borrowing at the time such Swingline Loan was made and (y) the Required Lenders of the respective Class shall have so notified the Swingline Lender in writing and shall not have subsequently determined that the circumstances giving rise to such conditions not being satisfied no longer exist.</w:t>
      </w:r>
    </w:p>
    <w:p>
      <w:pPr>
        <w:spacing w:after="0" w:line="12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Subject to the foregoing, each Lender acknowledges and agrees that its obligation to acquire participations in Swingline Loans pursuant to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11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5" w:name="page46"/>
    <w:bookmarkEnd w:id="45"/>
    <w:p>
      <w:pPr>
        <w:ind w:left="-900" w:right="20" w:firstLine="921"/>
        <w:spacing w:after="0" w:line="286" w:lineRule="auto"/>
        <w:tabs>
          <w:tab w:leader="none" w:pos="26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and Replacement of Swingline Lender</w:t>
      </w:r>
      <w:r>
        <w:rPr>
          <w:rFonts w:ascii="Arial" w:cs="Arial" w:eastAsia="Arial" w:hAnsi="Arial"/>
          <w:sz w:val="16"/>
          <w:szCs w:val="16"/>
          <w:color w:val="auto"/>
        </w:rPr>
        <w:t xml:space="preserve">. The Swingline Lender may resign and be replaced at any time by written agreement among the Borrower, the Administrative Agent, the resigning Swingline Lender and the successor Swingline Lender. 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Arial" w:cs="Arial" w:eastAsia="Arial" w:hAnsi="Arial"/>
          <w:sz w:val="16"/>
          <w:szCs w:val="16"/>
          <w:u w:val="single" w:color="auto"/>
          <w:color w:val="auto"/>
        </w:rPr>
        <w:t>Section 2.19(a)</w:t>
      </w:r>
      <w:r>
        <w:rPr>
          <w:rFonts w:ascii="Arial" w:cs="Arial" w:eastAsia="Arial" w:hAnsi="Arial"/>
          <w:sz w:val="16"/>
          <w:szCs w:val="16"/>
          <w:color w:val="auto"/>
        </w:rPr>
        <w:t>, then the Swingline Lender may, upon prior written notice to the Borrower and the Administrative Agent, resign as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 (i) 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have no obligation to make additional Swingline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71" w:lineRule="exact"/>
        <w:rPr>
          <w:sz w:val="20"/>
          <w:szCs w:val="20"/>
          <w:color w:val="auto"/>
        </w:rPr>
      </w:pPr>
    </w:p>
    <w:p>
      <w:pPr>
        <w:ind w:left="-900" w:right="40" w:firstLine="921"/>
        <w:spacing w:after="0" w:line="294" w:lineRule="auto"/>
        <w:tabs>
          <w:tab w:leader="none" w:pos="25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in addition to the Loans provided for in </w:t>
      </w:r>
      <w:r>
        <w:rPr>
          <w:rFonts w:ascii="Arial" w:cs="Arial" w:eastAsia="Arial" w:hAnsi="Arial"/>
          <w:sz w:val="16"/>
          <w:szCs w:val="16"/>
          <w:u w:val="single" w:color="auto"/>
          <w:color w:val="auto"/>
        </w:rPr>
        <w:t>Section 2.01</w:t>
      </w:r>
      <w:r>
        <w:rPr>
          <w:rFonts w:ascii="Arial" w:cs="Arial" w:eastAsia="Arial" w:hAnsi="Arial"/>
          <w:sz w:val="16"/>
          <w:szCs w:val="16"/>
          <w:color w:val="auto"/>
        </w:rPr>
        <w:t>, the Borrower may request the Issuing Bank to issue, at any time and from time to time during the Availability Period and under either the Dollar Commitments or Multicurrency Commitments, Letters of Credit denominated in Dollars or (in the case of Letters of Credit under the Multicurrency Commitments) in any Agreed Foreign Currency for its own account in such form as is acceptable to the Issuing Bank in its reasonable determination. Letters of Credit issued hereunder shall constitute utilization of the Commitments up to the aggregate amount available to be drawn thereunder.</w:t>
      </w:r>
    </w:p>
    <w:p>
      <w:pPr>
        <w:spacing w:after="0" w:line="115" w:lineRule="exact"/>
        <w:rPr>
          <w:rFonts w:ascii="Arial" w:cs="Arial" w:eastAsia="Arial" w:hAnsi="Arial"/>
          <w:sz w:val="16"/>
          <w:szCs w:val="16"/>
          <w:color w:val="auto"/>
        </w:rPr>
      </w:pPr>
    </w:p>
    <w:p>
      <w:pPr>
        <w:ind w:left="-900" w:firstLine="921"/>
        <w:spacing w:after="0" w:line="291" w:lineRule="auto"/>
        <w:tabs>
          <w:tab w:leader="none" w:pos="26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or Extension</w:t>
      </w:r>
      <w:r>
        <w:rPr>
          <w:rFonts w:ascii="Arial" w:cs="Arial" w:eastAsia="Arial" w:hAnsi="Arial"/>
          <w:sz w:val="16"/>
          <w:szCs w:val="16"/>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the amount and Currency of such Letter of Credit, whether such Letter of Credit is to be issued under the Dollar</w:t>
      </w:r>
    </w:p>
    <w:p>
      <w:pPr>
        <w:spacing w:after="0" w:line="107" w:lineRule="exact"/>
        <w:rPr>
          <w:sz w:val="20"/>
          <w:szCs w:val="20"/>
          <w:color w:val="auto"/>
        </w:rPr>
      </w:pPr>
    </w:p>
    <w:p>
      <w:pPr>
        <w:jc w:val="both"/>
        <w:ind w:left="4960"/>
        <w:spacing w:after="0"/>
        <w:tabs>
          <w:tab w:leader="none" w:pos="85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20"/>
          </w:cols>
          <w:pgMar w:left="1140" w:top="280" w:right="239" w:bottom="1440" w:gutter="0" w:footer="0" w:header="0"/>
        </w:sectPr>
      </w:pPr>
    </w:p>
    <w:bookmarkStart w:id="46" w:name="page47"/>
    <w:bookmarkEnd w:id="46"/>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Commitments or the Multicurrency Commitments,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116" w:lineRule="exact"/>
        <w:rPr>
          <w:sz w:val="20"/>
          <w:szCs w:val="20"/>
          <w:color w:val="auto"/>
        </w:rPr>
      </w:pPr>
    </w:p>
    <w:p>
      <w:pPr>
        <w:ind w:right="220" w:firstLine="921"/>
        <w:spacing w:after="0" w:line="291" w:lineRule="auto"/>
        <w:tabs>
          <w:tab w:leader="none" w:pos="1152"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Limitations on Amounts</w:t>
      </w:r>
      <w:r>
        <w:rPr>
          <w:rFonts w:ascii="Arial" w:cs="Arial" w:eastAsia="Arial" w:hAnsi="Arial"/>
          <w:sz w:val="16"/>
          <w:szCs w:val="16"/>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shall not exceed $20,000,0000, (ii) the total Revolving Dollar Credit Exposures shall not exceed the aggregate Dollar Commitments, (iii) the total Revolving Multicurrency Credit Exposures shall not exceed the aggregate Multicurrency Commitments and (iv) the total Covered Debt Amount shall not exceed the Borrowing Base then in effect.</w:t>
      </w:r>
    </w:p>
    <w:p>
      <w:pPr>
        <w:spacing w:after="0" w:line="120" w:lineRule="exact"/>
        <w:rPr>
          <w:rFonts w:ascii="Arial" w:cs="Arial" w:eastAsia="Arial" w:hAnsi="Arial"/>
          <w:sz w:val="16"/>
          <w:szCs w:val="16"/>
          <w:color w:val="auto"/>
        </w:rPr>
      </w:pPr>
    </w:p>
    <w:p>
      <w:pPr>
        <w:ind w:right="140" w:firstLine="921"/>
        <w:spacing w:after="0" w:line="290" w:lineRule="auto"/>
        <w:tabs>
          <w:tab w:leader="none" w:pos="1161"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term may provide for the renewal thereof for additional one-year periods. No Letter of Credit may be renewed following the earlier to occur of the Commitment Termination Date and the Termination Date, except to the extent that the relevant Letter of Credit is Cash Collateralized no later than five (5) Business Days prior to the Commitment Termination Date or Termination Date, as applicable, or supported by another letter of credit, in each case pursuant to arrangements reasonably satisfactory to the Issuing Bank and the Administrative Agent.</w:t>
      </w:r>
    </w:p>
    <w:p>
      <w:pPr>
        <w:spacing w:after="0" w:line="118" w:lineRule="exact"/>
        <w:rPr>
          <w:rFonts w:ascii="Arial" w:cs="Arial" w:eastAsia="Arial" w:hAnsi="Arial"/>
          <w:sz w:val="16"/>
          <w:szCs w:val="16"/>
          <w:color w:val="auto"/>
        </w:rPr>
      </w:pPr>
    </w:p>
    <w:p>
      <w:pPr>
        <w:ind w:right="80" w:firstLine="921"/>
        <w:spacing w:after="0" w:line="301" w:lineRule="auto"/>
        <w:tabs>
          <w:tab w:leader="none" w:pos="1152" w:val="left"/>
        </w:tabs>
        <w:numPr>
          <w:ilvl w:val="1"/>
          <w:numId w:val="36"/>
        </w:numPr>
        <w:rPr>
          <w:rFonts w:ascii="Arial" w:cs="Arial" w:eastAsia="Arial" w:hAnsi="Arial"/>
          <w:sz w:val="15"/>
          <w:szCs w:val="15"/>
          <w:color w:val="auto"/>
        </w:rPr>
      </w:pPr>
      <w:r>
        <w:rPr>
          <w:rFonts w:ascii="Arial" w:cs="Arial" w:eastAsia="Arial" w:hAnsi="Arial"/>
          <w:sz w:val="15"/>
          <w:szCs w:val="15"/>
          <w:u w:val="single" w:color="auto"/>
          <w:color w:val="auto"/>
        </w:rPr>
        <w:t>Participations</w:t>
      </w:r>
      <w:r>
        <w:rPr>
          <w:rFonts w:ascii="Arial" w:cs="Arial" w:eastAsia="Arial" w:hAnsi="Arial"/>
          <w:sz w:val="15"/>
          <w:szCs w:val="15"/>
          <w:color w:val="auto"/>
        </w:rPr>
        <w:t xml:space="preserve">. By the issuance of a Letter of Credit of a Class (or an amendment to a Letter of Credit increasing the amount thereof) by the Issuing Bank, and without any further action on the part of the Issuing Bank or the Lenders, the Issuing Bank hereby grants to each Lender of such Class, and each Lender of such Class hereby acquires from the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Lender shall be required to purchase a participation in a Letter of Credit pursuant to this </w:t>
      </w:r>
      <w:r>
        <w:rPr>
          <w:rFonts w:ascii="Arial" w:cs="Arial" w:eastAsia="Arial" w:hAnsi="Arial"/>
          <w:sz w:val="15"/>
          <w:szCs w:val="15"/>
          <w:u w:val="single" w:color="auto"/>
          <w:color w:val="auto"/>
        </w:rPr>
        <w:t>Section 2.05(e)</w:t>
      </w:r>
      <w:r>
        <w:rPr>
          <w:rFonts w:ascii="Arial" w:cs="Arial" w:eastAsia="Arial" w:hAnsi="Arial"/>
          <w:sz w:val="15"/>
          <w:szCs w:val="15"/>
          <w:color w:val="auto"/>
        </w:rPr>
        <w:t xml:space="preserve"> if (x) the conditions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would not be satisfied in respect of a Borrowing at the time such Letter of Credit was issued and</w:t>
      </w:r>
    </w:p>
    <w:p>
      <w:pPr>
        <w:spacing w:after="0" w:line="4" w:lineRule="exact"/>
        <w:rPr>
          <w:rFonts w:ascii="Arial" w:cs="Arial" w:eastAsia="Arial" w:hAnsi="Arial"/>
          <w:sz w:val="15"/>
          <w:szCs w:val="15"/>
          <w:color w:val="auto"/>
        </w:rPr>
      </w:pPr>
    </w:p>
    <w:p>
      <w:pPr>
        <w:ind w:right="840" w:firstLine="8"/>
        <w:spacing w:after="0" w:line="261" w:lineRule="auto"/>
        <w:tabs>
          <w:tab w:leader="none" w:pos="2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Required Lenders of the respective Class shall have so notified the Issuing Bank in writing and shall not have subsequently determined that the circumstances giving rise to such conditions not being satisfied no longer exist.</w:t>
      </w:r>
    </w:p>
    <w:p>
      <w:pPr>
        <w:spacing w:after="0" w:line="124"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7" w:name="page48"/>
    <w:bookmarkEnd w:id="47"/>
    <w:p>
      <w:pPr>
        <w:ind w:right="8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consideration and in furtherance of the foregoing, each Lender of a Class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 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spacing w:after="0" w:line="127" w:lineRule="exact"/>
        <w:rPr>
          <w:sz w:val="20"/>
          <w:szCs w:val="20"/>
          <w:color w:val="auto"/>
        </w:rPr>
      </w:pPr>
    </w:p>
    <w:p>
      <w:pPr>
        <w:ind w:right="100" w:firstLine="921"/>
        <w:spacing w:after="0" w:line="289" w:lineRule="auto"/>
        <w:tabs>
          <w:tab w:leader="none" w:pos="113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18" w:lineRule="exact"/>
        <w:rPr>
          <w:sz w:val="20"/>
          <w:szCs w:val="20"/>
          <w:color w:val="auto"/>
        </w:rPr>
      </w:pPr>
    </w:p>
    <w:p>
      <w:pPr>
        <w:ind w:right="720" w:firstLine="913"/>
        <w:spacing w:after="0" w:line="259" w:lineRule="auto"/>
        <w:rPr>
          <w:sz w:val="20"/>
          <w:szCs w:val="20"/>
          <w:color w:val="auto"/>
        </w:rPr>
      </w:pPr>
      <w:r>
        <w:rPr>
          <w:rFonts w:ascii="Arial" w:cs="Arial" w:eastAsia="Arial" w:hAnsi="Arial"/>
          <w:sz w:val="18"/>
          <w:szCs w:val="18"/>
          <w:color w:val="auto"/>
        </w:rPr>
        <w:t>If the Borrower fails to make such payment when due, the Administrative Agent shall notify each applicable Lender of the applicable LC Disbursement, the payment then due from the Borrower in respect thereof and such Lender’s Applicable Dollar Percentage or Applicable Multicurrency Percentage, as the case may be, thereof.</w:t>
      </w:r>
    </w:p>
    <w:p>
      <w:pPr>
        <w:spacing w:after="0" w:line="140" w:lineRule="exact"/>
        <w:rPr>
          <w:sz w:val="20"/>
          <w:szCs w:val="20"/>
          <w:color w:val="auto"/>
        </w:rPr>
      </w:pPr>
    </w:p>
    <w:p>
      <w:pPr>
        <w:ind w:right="200" w:firstLine="921"/>
        <w:spacing w:after="0" w:line="306" w:lineRule="auto"/>
        <w:tabs>
          <w:tab w:leader="none" w:pos="116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w:t>
      </w:r>
    </w:p>
    <w:p>
      <w:pPr>
        <w:spacing w:after="0" w:line="93"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presented under a Letter of Credit proving to be forged, fraudulent or invalid in any respect or any statement therein being untrue or inaccurate in any respect,</w:t>
      </w:r>
    </w:p>
    <w:p>
      <w:pPr>
        <w:spacing w:after="0" w:line="38" w:lineRule="exact"/>
        <w:rPr>
          <w:sz w:val="20"/>
          <w:szCs w:val="20"/>
          <w:color w:val="auto"/>
        </w:rPr>
      </w:pPr>
    </w:p>
    <w:p>
      <w:pPr>
        <w:ind w:right="240" w:firstLine="8"/>
        <w:spacing w:after="0" w:line="255" w:lineRule="auto"/>
        <w:tabs>
          <w:tab w:leader="none" w:pos="3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 by the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4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Neither the Administrative Agent, the Lenders nor the Issuing Bank, nor any of their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fraud, gross negligence or willful misconduct when determining whether drafts and other documents presented under a Letter of Credit comply with the terms thereof. The parties hereto expressly agree that:</w:t>
      </w:r>
    </w:p>
    <w:p>
      <w:pPr>
        <w:spacing w:after="0" w:line="39" w:lineRule="exact"/>
        <w:rPr>
          <w:sz w:val="20"/>
          <w:szCs w:val="20"/>
          <w:color w:val="auto"/>
        </w:rPr>
      </w:pPr>
    </w:p>
    <w:p>
      <w:pPr>
        <w:ind w:left="460" w:right="40" w:firstLine="443"/>
        <w:spacing w:after="0" w:line="259" w:lineRule="auto"/>
        <w:tabs>
          <w:tab w:leader="none" w:pos="11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59" w:lineRule="exact"/>
        <w:rPr>
          <w:rFonts w:ascii="Arial" w:cs="Arial" w:eastAsia="Arial" w:hAnsi="Arial"/>
          <w:sz w:val="18"/>
          <w:szCs w:val="18"/>
          <w:color w:val="auto"/>
        </w:rPr>
      </w:pPr>
    </w:p>
    <w:p>
      <w:pPr>
        <w:ind w:left="460" w:right="80" w:firstLine="443"/>
        <w:spacing w:after="0" w:line="268" w:lineRule="auto"/>
        <w:tabs>
          <w:tab w:leader="none" w:pos="11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Issuing Bank shall have the right, in its sole discretion, to decline to accept such documents and to make such payment if such documents are not in strict compliance with the terms of such Letter of Credit; and</w:t>
      </w:r>
    </w:p>
    <w:p>
      <w:pPr>
        <w:spacing w:after="0" w:line="50" w:lineRule="exact"/>
        <w:rPr>
          <w:rFonts w:ascii="Arial" w:cs="Arial" w:eastAsia="Arial" w:hAnsi="Arial"/>
          <w:sz w:val="18"/>
          <w:szCs w:val="18"/>
          <w:color w:val="auto"/>
        </w:rPr>
      </w:pPr>
    </w:p>
    <w:p>
      <w:pPr>
        <w:ind w:left="460" w:right="440" w:firstLine="443"/>
        <w:spacing w:after="0" w:line="259" w:lineRule="auto"/>
        <w:tabs>
          <w:tab w:leader="none" w:pos="12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40" w:lineRule="exact"/>
        <w:rPr>
          <w:rFonts w:ascii="Arial" w:cs="Arial" w:eastAsia="Arial" w:hAnsi="Arial"/>
          <w:sz w:val="18"/>
          <w:szCs w:val="18"/>
          <w:color w:val="auto"/>
        </w:rPr>
      </w:pPr>
    </w:p>
    <w:p>
      <w:pPr>
        <w:ind w:right="180" w:firstLine="921"/>
        <w:spacing w:after="0" w:line="255" w:lineRule="auto"/>
        <w:tabs>
          <w:tab w:leader="none" w:pos="1161"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the Issuing Bank and the applicable Lenders with respect to any such LC Disbursement.</w:t>
      </w:r>
    </w:p>
    <w:p>
      <w:pPr>
        <w:spacing w:after="0" w:line="12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49" w:name="page50"/>
    <w:bookmarkEnd w:id="49"/>
    <w:p>
      <w:pPr>
        <w:ind w:left="-920" w:right="40" w:firstLine="921"/>
        <w:spacing w:after="0" w:line="290" w:lineRule="auto"/>
        <w:tabs>
          <w:tab w:leader="none" w:pos="20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Interim Interest</w:t>
      </w:r>
      <w:r>
        <w:rPr>
          <w:rFonts w:ascii="Arial" w:cs="Arial" w:eastAsia="Arial" w:hAnsi="Arial"/>
          <w:sz w:val="16"/>
          <w:szCs w:val="16"/>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within two Business Days following the date when due pursuant to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then the provisions of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shall apply. Interest accrued pursuant to this paragraph shall be for account of the Issuing Bank, except that interest accrued on and after the date of payment by any Lender pursuant to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to reimburse the Issuing Bank shall be for account of such Lender to the extent of such payment.</w:t>
      </w:r>
    </w:p>
    <w:p>
      <w:pPr>
        <w:spacing w:after="0" w:line="118" w:lineRule="exact"/>
        <w:rPr>
          <w:rFonts w:ascii="Arial" w:cs="Arial" w:eastAsia="Arial" w:hAnsi="Arial"/>
          <w:sz w:val="16"/>
          <w:szCs w:val="16"/>
          <w:color w:val="auto"/>
        </w:rPr>
      </w:pPr>
    </w:p>
    <w:p>
      <w:pPr>
        <w:ind w:left="-920" w:firstLine="921"/>
        <w:spacing w:after="0" w:line="288" w:lineRule="auto"/>
        <w:tabs>
          <w:tab w:leader="none" w:pos="20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Resignation and/or Replacement of Issuing Bank</w:t>
      </w:r>
      <w:r>
        <w:rPr>
          <w:rFonts w:ascii="Arial" w:cs="Arial" w:eastAsia="Arial" w:hAnsi="Arial"/>
          <w:sz w:val="16"/>
          <w:szCs w:val="16"/>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Upon the effectiveness of any resignation of the Issuing Bank, the Borrower shall pay all unpaid fees accrued for account of the resigning Issuing Bank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effective resignation of the Issuing Bank hereunder, the resigning Issuing Bank, as the case may be, shall remain a party hereto and shall continue to have all the rights and obligations of the Issuing Bank under this Agreement with respect to Letters of Credit issued by it prior to such resignation, but shall not be required to issue additional Letters of Credit.</w:t>
      </w:r>
    </w:p>
    <w:p>
      <w:pPr>
        <w:spacing w:after="0" w:line="119" w:lineRule="exact"/>
        <w:rPr>
          <w:rFonts w:ascii="Arial" w:cs="Arial" w:eastAsia="Arial" w:hAnsi="Arial"/>
          <w:sz w:val="16"/>
          <w:szCs w:val="16"/>
          <w:color w:val="auto"/>
        </w:rPr>
      </w:pPr>
    </w:p>
    <w:p>
      <w:pPr>
        <w:ind w:left="-920" w:firstLine="921"/>
        <w:spacing w:after="0" w:line="289" w:lineRule="auto"/>
        <w:tabs>
          <w:tab w:leader="none" w:pos="241"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the Borrower shall be required to provide Cash Collateral for LC Exposure pursuant to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the Borrower shall immediately deposit into a segregated collateral account or accounts (herein, collectively, the “</w:t>
      </w:r>
      <w:r>
        <w:rPr>
          <w:rFonts w:ascii="Arial" w:cs="Arial" w:eastAsia="Arial" w:hAnsi="Arial"/>
          <w:sz w:val="16"/>
          <w:szCs w:val="16"/>
          <w:u w:val="single" w:color="auto"/>
          <w:color w:val="auto"/>
        </w:rPr>
        <w:t>Letter of Credit Collateral Account</w:t>
      </w:r>
      <w:r>
        <w:rPr>
          <w:rFonts w:ascii="Arial" w:cs="Arial" w:eastAsia="Arial" w:hAnsi="Arial"/>
          <w:sz w:val="16"/>
          <w:szCs w:val="16"/>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171" w:lineRule="exact"/>
        <w:rPr>
          <w:sz w:val="20"/>
          <w:szCs w:val="20"/>
          <w:color w:val="auto"/>
        </w:rPr>
      </w:pPr>
    </w:p>
    <w:p>
      <w:pPr>
        <w:ind w:left="-920" w:right="60" w:firstLine="921"/>
        <w:spacing w:after="0" w:line="268" w:lineRule="auto"/>
        <w:tabs>
          <w:tab w:leader="none" w:pos="23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Funding by Lenders</w:t>
      </w:r>
      <w:r>
        <w:rPr>
          <w:rFonts w:ascii="Arial" w:cs="Arial" w:eastAsia="Arial" w:hAnsi="Arial"/>
          <w:sz w:val="18"/>
          <w:szCs w:val="18"/>
          <w:color w:val="auto"/>
        </w:rPr>
        <w:t>. Each Lender shall make each Loan to be made by it hereunder on the proposed date thereof by wire transfer of immediately available funds by 11:00 a.m., Atlanta, Georgia time, to the account of the Administrative Agent most recently</w:t>
      </w:r>
    </w:p>
    <w:p>
      <w:pPr>
        <w:spacing w:after="0" w:line="118" w:lineRule="exact"/>
        <w:rPr>
          <w:sz w:val="20"/>
          <w:szCs w:val="20"/>
          <w:color w:val="auto"/>
        </w:rPr>
      </w:pPr>
    </w:p>
    <w:p>
      <w:pPr>
        <w:jc w:val="both"/>
        <w:ind w:left="4940"/>
        <w:spacing w:after="0"/>
        <w:tabs>
          <w:tab w:leader="none" w:pos="8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00"/>
          </w:cols>
          <w:pgMar w:left="1160" w:top="280" w:right="239" w:bottom="1440" w:gutter="0" w:footer="0" w:header="0"/>
        </w:sectPr>
      </w:pPr>
    </w:p>
    <w:bookmarkStart w:id="50" w:name="page51"/>
    <w:bookmarkEnd w:id="50"/>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designated by it for such purpose by notice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Syndicated ABR Borrowings made to finance the reimbursement of an LC Disbursement as provided in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shall be remitted by the Administrative Agent to the Issuing Bank.</w:t>
      </w:r>
    </w:p>
    <w:p>
      <w:pPr>
        <w:spacing w:after="0" w:line="113" w:lineRule="exact"/>
        <w:rPr>
          <w:sz w:val="20"/>
          <w:szCs w:val="20"/>
          <w:color w:val="auto"/>
        </w:rPr>
      </w:pPr>
    </w:p>
    <w:p>
      <w:pPr>
        <w:ind w:right="40" w:firstLine="921"/>
        <w:spacing w:after="0" w:line="287" w:lineRule="auto"/>
        <w:tabs>
          <w:tab w:leader="none" w:pos="116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Presumption by the Administrative Agent</w:t>
      </w:r>
      <w:r>
        <w:rPr>
          <w:rFonts w:ascii="Arial" w:cs="Arial" w:eastAsia="Arial" w:hAnsi="Arial"/>
          <w:sz w:val="16"/>
          <w:szCs w:val="16"/>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86" w:lineRule="auto"/>
        <w:tabs>
          <w:tab w:leader="none" w:pos="115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Elections by the Borrower for Syndicated Borrowings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2.03(d)</w:t>
      </w:r>
      <w:r>
        <w:rPr>
          <w:rFonts w:ascii="Arial" w:cs="Arial" w:eastAsia="Arial" w:hAnsi="Arial"/>
          <w:sz w:val="16"/>
          <w:szCs w:val="16"/>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14"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1" w:name="page52"/>
    <w:bookmarkEnd w:id="51"/>
    <w:p>
      <w:pPr>
        <w:ind w:left="-460" w:right="320" w:firstLine="921"/>
        <w:spacing w:after="0" w:line="294" w:lineRule="auto"/>
        <w:tabs>
          <w:tab w:leader="none" w:pos="701" w:val="left"/>
        </w:tabs>
        <w:numPr>
          <w:ilvl w:val="2"/>
          <w:numId w:val="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Elections</w:t>
      </w:r>
      <w:r>
        <w:rPr>
          <w:rFonts w:ascii="Arial" w:cs="Arial" w:eastAsia="Arial" w:hAnsi="Arial"/>
          <w:sz w:val="16"/>
          <w:szCs w:val="16"/>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15" w:lineRule="exact"/>
        <w:rPr>
          <w:rFonts w:ascii="Arial" w:cs="Arial" w:eastAsia="Arial" w:hAnsi="Arial"/>
          <w:sz w:val="16"/>
          <w:szCs w:val="16"/>
          <w:color w:val="auto"/>
        </w:rPr>
      </w:pPr>
    </w:p>
    <w:p>
      <w:pPr>
        <w:ind w:left="-460" w:right="820" w:firstLine="921"/>
        <w:spacing w:after="0" w:line="268" w:lineRule="auto"/>
        <w:tabs>
          <w:tab w:leader="none" w:pos="692"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Content of Interest Election Requests</w:t>
      </w:r>
      <w:r>
        <w:rPr>
          <w:rFonts w:ascii="Arial" w:cs="Arial" w:eastAsia="Arial" w:hAnsi="Arial"/>
          <w:sz w:val="18"/>
          <w:szCs w:val="18"/>
          <w:color w:val="auto"/>
        </w:rPr>
        <w:t xml:space="preserve">. 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right="20" w:firstLine="443"/>
        <w:spacing w:after="0" w:line="286" w:lineRule="auto"/>
        <w:tabs>
          <w:tab w:leader="none" w:pos="648"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6"/>
          <w:szCs w:val="16"/>
          <w:u w:val="single" w:color="auto"/>
          <w:color w:val="auto"/>
        </w:rPr>
        <w:t>clauses</w:t>
      </w:r>
    </w:p>
    <w:p>
      <w:pPr>
        <w:ind w:left="320" w:hanging="316"/>
        <w:spacing w:after="0"/>
        <w:tabs>
          <w:tab w:leader="none" w:pos="320" w:val="left"/>
        </w:tabs>
        <w:numPr>
          <w:ilvl w:val="0"/>
          <w:numId w:val="48"/>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paragraph shall be specified for each resulting Borrowing);</w:t>
      </w:r>
    </w:p>
    <w:p>
      <w:pPr>
        <w:spacing w:after="0" w:line="83" w:lineRule="exact"/>
        <w:rPr>
          <w:rFonts w:ascii="Arial" w:cs="Arial" w:eastAsia="Arial" w:hAnsi="Arial"/>
          <w:sz w:val="18"/>
          <w:szCs w:val="18"/>
          <w:u w:val="single" w:color="auto"/>
          <w:color w:val="auto"/>
        </w:rPr>
      </w:pPr>
    </w:p>
    <w:p>
      <w:pPr>
        <w:ind w:left="700" w:hanging="257"/>
        <w:spacing w:after="0"/>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90" w:lineRule="exact"/>
        <w:rPr>
          <w:rFonts w:ascii="Arial" w:cs="Arial" w:eastAsia="Arial" w:hAnsi="Arial"/>
          <w:sz w:val="18"/>
          <w:szCs w:val="18"/>
          <w:color w:val="auto"/>
        </w:rPr>
      </w:pPr>
    </w:p>
    <w:p>
      <w:pPr>
        <w:ind w:left="740" w:hanging="297"/>
        <w:spacing w:after="0"/>
        <w:tabs>
          <w:tab w:leader="none" w:pos="7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whether, in the case of a Borrowing denominated in Dollars, the resulting Borrowing is to be an ABR Borrowing or a Eurocurrency Borrowing;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right="160" w:firstLine="443"/>
        <w:spacing w:after="0" w:line="268" w:lineRule="auto"/>
        <w:tabs>
          <w:tab w:leader="none" w:pos="7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460" w:right="240" w:firstLine="921"/>
        <w:spacing w:after="0" w:line="268" w:lineRule="auto"/>
        <w:tabs>
          <w:tab w:leader="none" w:pos="701" w:val="left"/>
        </w:tabs>
        <w:numPr>
          <w:ilvl w:val="2"/>
          <w:numId w:val="48"/>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an Interest Election Request, the Administrative Agent shall advise each applicable Lender of the details thereof and of such Lender’s portion of each resulting Borrowing.</w:t>
      </w:r>
    </w:p>
    <w:p>
      <w:pPr>
        <w:spacing w:after="0" w:line="131" w:lineRule="exact"/>
        <w:rPr>
          <w:rFonts w:ascii="Arial" w:cs="Arial" w:eastAsia="Arial" w:hAnsi="Arial"/>
          <w:sz w:val="18"/>
          <w:szCs w:val="18"/>
          <w:color w:val="auto"/>
        </w:rPr>
      </w:pPr>
    </w:p>
    <w:p>
      <w:pPr>
        <w:ind w:left="-460" w:firstLine="921"/>
        <w:spacing w:after="0" w:line="289" w:lineRule="auto"/>
        <w:tabs>
          <w:tab w:leader="none" w:pos="692" w:val="left"/>
        </w:tabs>
        <w:numPr>
          <w:ilvl w:val="2"/>
          <w:numId w:val="48"/>
        </w:numPr>
        <w:rPr>
          <w:rFonts w:ascii="Arial" w:cs="Arial" w:eastAsia="Arial" w:hAnsi="Arial"/>
          <w:sz w:val="16"/>
          <w:szCs w:val="16"/>
          <w:color w:val="auto"/>
        </w:rPr>
      </w:pPr>
      <w:r>
        <w:rPr>
          <w:rFonts w:ascii="Arial" w:cs="Arial" w:eastAsia="Arial" w:hAnsi="Arial"/>
          <w:sz w:val="16"/>
          <w:szCs w:val="16"/>
          <w:u w:val="single" w:color="auto"/>
          <w:color w:val="auto"/>
        </w:rPr>
        <w:t>Failure to Elect; Events of Default</w:t>
      </w:r>
      <w:r>
        <w:rPr>
          <w:rFonts w:ascii="Arial" w:cs="Arial" w:eastAsia="Arial" w:hAnsi="Arial"/>
          <w:sz w:val="16"/>
          <w:szCs w:val="16"/>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105" w:lineRule="exact"/>
        <w:rPr>
          <w:sz w:val="20"/>
          <w:szCs w:val="20"/>
          <w:color w:val="auto"/>
        </w:rPr>
      </w:pPr>
    </w:p>
    <w:p>
      <w:pPr>
        <w:jc w:val="both"/>
        <w:ind w:left="5400"/>
        <w:spacing w:after="0"/>
        <w:tabs>
          <w:tab w:leader="none" w:pos="89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52" w:name="page53"/>
    <w:bookmarkEnd w:id="52"/>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2.08. </w:t>
      </w:r>
      <w:r>
        <w:rPr>
          <w:rFonts w:ascii="Arial" w:cs="Arial" w:eastAsia="Arial" w:hAnsi="Arial"/>
          <w:sz w:val="18"/>
          <w:szCs w:val="18"/>
          <w:u w:val="single" w:color="auto"/>
          <w:color w:val="auto"/>
        </w:rPr>
        <w:t>Termination, Reduction or Increase of the Commitments</w:t>
      </w:r>
      <w:r>
        <w:rPr>
          <w:rFonts w:ascii="Arial" w:cs="Arial" w:eastAsia="Arial" w:hAnsi="Arial"/>
          <w:sz w:val="18"/>
          <w:szCs w:val="18"/>
          <w:color w:val="auto"/>
        </w:rPr>
        <w:t>.</w:t>
      </w:r>
    </w:p>
    <w:p>
      <w:pPr>
        <w:spacing w:after="0" w:line="90" w:lineRule="exact"/>
        <w:rPr>
          <w:sz w:val="20"/>
          <w:szCs w:val="20"/>
          <w:color w:val="auto"/>
        </w:rPr>
      </w:pPr>
    </w:p>
    <w:p>
      <w:pPr>
        <w:ind w:left="257" w:hanging="239"/>
        <w:spacing w:after="0"/>
        <w:tabs>
          <w:tab w:leader="none" w:pos="257"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Scheduled Termination</w:t>
      </w:r>
      <w:r>
        <w:rPr>
          <w:rFonts w:ascii="Arial" w:cs="Arial" w:eastAsia="Arial" w:hAnsi="Arial"/>
          <w:sz w:val="16"/>
          <w:szCs w:val="16"/>
          <w:color w:val="auto"/>
        </w:rPr>
        <w:t>. Unless previously terminated, the Commitments of each Class shall terminate on the Commitment Termination Date.</w:t>
      </w:r>
    </w:p>
    <w:p>
      <w:pPr>
        <w:spacing w:after="0" w:line="194" w:lineRule="exact"/>
        <w:rPr>
          <w:rFonts w:ascii="Arial" w:cs="Arial" w:eastAsia="Arial" w:hAnsi="Arial"/>
          <w:sz w:val="16"/>
          <w:szCs w:val="16"/>
          <w:color w:val="auto"/>
        </w:rPr>
      </w:pPr>
    </w:p>
    <w:p>
      <w:pPr>
        <w:ind w:left="-903" w:right="60" w:firstLine="921"/>
        <w:spacing w:after="0" w:line="291" w:lineRule="auto"/>
        <w:tabs>
          <w:tab w:leader="none" w:pos="259"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Voluntary Termination or Reduction</w:t>
      </w:r>
      <w:r>
        <w:rPr>
          <w:rFonts w:ascii="Arial" w:cs="Arial" w:eastAsia="Arial" w:hAnsi="Arial"/>
          <w:sz w:val="16"/>
          <w:szCs w:val="16"/>
          <w:color w:val="auto"/>
        </w:rPr>
        <w:t xml:space="preserve">. The Borrower may at any time terminate, or from time to time reduce, the Commitments of either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 Class shall be in an amount that is $10,000,000 (or, if less, the entire amount of the Commitments of such Class) or a larger multiple of $5,000,000 in excess thereof and (ii) the Borrower shall not terminate or reduce the Commitments of either Class if, after giving effect to any concurrent prepayment of the Syndicated Loans of such Class in accordance with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6"/>
          <w:szCs w:val="16"/>
          <w:u w:val="single" w:color="auto"/>
          <w:color w:val="auto"/>
        </w:rPr>
        <w:t>Section 2.04(a)(i)</w:t>
      </w:r>
      <w:r>
        <w:rPr>
          <w:rFonts w:ascii="Arial" w:cs="Arial" w:eastAsia="Arial" w:hAnsi="Arial"/>
          <w:sz w:val="16"/>
          <w:szCs w:val="16"/>
          <w:color w:val="auto"/>
        </w:rPr>
        <w:t xml:space="preserve"> and the Letters of Credit permitted under </w:t>
      </w:r>
      <w:r>
        <w:rPr>
          <w:rFonts w:ascii="Arial" w:cs="Arial" w:eastAsia="Arial" w:hAnsi="Arial"/>
          <w:sz w:val="16"/>
          <w:szCs w:val="16"/>
          <w:u w:val="single" w:color="auto"/>
          <w:color w:val="auto"/>
        </w:rPr>
        <w:t>Section 2.05(c)(i)</w:t>
      </w:r>
      <w:r>
        <w:rPr>
          <w:rFonts w:ascii="Arial" w:cs="Arial" w:eastAsia="Arial" w:hAnsi="Arial"/>
          <w:sz w:val="16"/>
          <w:szCs w:val="16"/>
          <w:color w:val="auto"/>
        </w:rPr>
        <w:t xml:space="preserve"> shall result in a dollar-for-dollar reduction of such amounts as applicable.</w:t>
      </w:r>
    </w:p>
    <w:p>
      <w:pPr>
        <w:spacing w:after="0" w:line="120" w:lineRule="exact"/>
        <w:rPr>
          <w:rFonts w:ascii="Arial" w:cs="Arial" w:eastAsia="Arial" w:hAnsi="Arial"/>
          <w:sz w:val="16"/>
          <w:szCs w:val="16"/>
          <w:color w:val="auto"/>
        </w:rPr>
      </w:pPr>
    </w:p>
    <w:p>
      <w:pPr>
        <w:ind w:left="-903" w:right="20" w:firstLine="921"/>
        <w:spacing w:after="0" w:line="291" w:lineRule="auto"/>
        <w:tabs>
          <w:tab w:leader="none" w:pos="249"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Notice of Voluntary Termination or Reduction</w:t>
      </w:r>
      <w:r>
        <w:rPr>
          <w:rFonts w:ascii="Arial" w:cs="Arial" w:eastAsia="Arial" w:hAnsi="Arial"/>
          <w:sz w:val="16"/>
          <w:szCs w:val="16"/>
          <w:color w:val="auto"/>
        </w:rPr>
        <w:t xml:space="preserve">. The Borrower shall notify the Administrative Agent of any election to terminate or reduce the Commitments under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20" w:lineRule="exact"/>
        <w:rPr>
          <w:rFonts w:ascii="Arial" w:cs="Arial" w:eastAsia="Arial" w:hAnsi="Arial"/>
          <w:sz w:val="16"/>
          <w:szCs w:val="16"/>
          <w:color w:val="auto"/>
        </w:rPr>
      </w:pPr>
    </w:p>
    <w:p>
      <w:pPr>
        <w:ind w:left="-903" w:right="460" w:firstLine="921"/>
        <w:spacing w:after="0" w:line="332" w:lineRule="auto"/>
        <w:tabs>
          <w:tab w:leader="none" w:pos="259"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Effect of Termination or Reduction</w:t>
      </w:r>
      <w:r>
        <w:rPr>
          <w:rFonts w:ascii="Arial" w:cs="Arial" w:eastAsia="Arial" w:hAnsi="Arial"/>
          <w:sz w:val="16"/>
          <w:szCs w:val="16"/>
          <w:color w:val="auto"/>
        </w:rPr>
        <w:t>. Any termination or reduction of the Commitments of a Class shall be permanent. Each reduction of the Commitments of a Class shall be made ratably among the Lenders of such Class in accordance with their respective Commitments.</w:t>
      </w:r>
    </w:p>
    <w:p>
      <w:pPr>
        <w:spacing w:after="0" w:line="85" w:lineRule="exact"/>
        <w:rPr>
          <w:rFonts w:ascii="Arial" w:cs="Arial" w:eastAsia="Arial" w:hAnsi="Arial"/>
          <w:sz w:val="16"/>
          <w:szCs w:val="16"/>
          <w:color w:val="auto"/>
        </w:rPr>
      </w:pPr>
    </w:p>
    <w:p>
      <w:pPr>
        <w:ind w:left="257" w:hanging="239"/>
        <w:spacing w:after="0"/>
        <w:tabs>
          <w:tab w:leader="none" w:pos="25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Increase of the Commitments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43" w:right="40" w:firstLine="443"/>
        <w:spacing w:after="0" w:line="289" w:lineRule="auto"/>
        <w:tabs>
          <w:tab w:leader="none" w:pos="20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Requests for Increase by Borrower</w:t>
      </w:r>
      <w:r>
        <w:rPr>
          <w:rFonts w:ascii="Arial" w:cs="Arial" w:eastAsia="Arial" w:hAnsi="Arial"/>
          <w:sz w:val="16"/>
          <w:szCs w:val="16"/>
          <w:color w:val="auto"/>
        </w:rPr>
        <w:t>. The Borrower may, at any time, request that the Commitments hereunder of a Class be increased (each such proposed increase being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upon notice to the Administrative Agent (who shall promptly notify the Lenders), which notice shall specify the time period within which each Lender is requested to respond (which shall in no event be less than ten Business Days from the date of delivery of such notice to the Lenders). Any Lender not responding within such time period shall be deemed to have declined to increase its Commitment. The Borrower shall provide notice to the Administrative Agent specifying each existing Lender (each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and/or each additional lender (each an “</w:t>
      </w:r>
      <w:r>
        <w:rPr>
          <w:rFonts w:ascii="Arial" w:cs="Arial" w:eastAsia="Arial" w:hAnsi="Arial"/>
          <w:sz w:val="16"/>
          <w:szCs w:val="16"/>
          <w:u w:val="single" w:color="auto"/>
          <w:color w:val="auto"/>
        </w:rPr>
        <w:t>Assuming Lender</w:t>
      </w:r>
      <w:r>
        <w:rPr>
          <w:rFonts w:ascii="Arial" w:cs="Arial" w:eastAsia="Arial" w:hAnsi="Arial"/>
          <w:sz w:val="16"/>
          <w:szCs w:val="16"/>
          <w:color w:val="auto"/>
        </w:rPr>
        <w:t>”) that shall have agreed to an additional Commitment and the date on which such increase is to be effective (the “</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Increase Date</w:t>
      </w:r>
      <w:r>
        <w:rPr>
          <w:rFonts w:ascii="Arial" w:cs="Arial" w:eastAsia="Arial" w:hAnsi="Arial"/>
          <w:sz w:val="16"/>
          <w:szCs w:val="16"/>
          <w:color w:val="auto"/>
        </w:rPr>
        <w:t xml:space="preserve">”), which shall be a Business Day at least three Business Days after delivery of such notice and 30 days prior to the Commitment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05"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53" w:name="page54"/>
    <w:bookmarkEnd w:id="53"/>
    <w:p>
      <w:pPr>
        <w:ind w:left="17" w:right="220" w:firstLine="421"/>
        <w:spacing w:after="0" w:line="332" w:lineRule="auto"/>
        <w:tabs>
          <w:tab w:leader="none" w:pos="725"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minimum amount of the Commitment of any Assuming Lender, and the minimum amount of the increase of the Commitment of any Increasing Lender, as part of such Commitment Increase shall be $10,000,000 or a larger multiple of $5,000,000 in excess thereof;</w:t>
      </w:r>
    </w:p>
    <w:p>
      <w:pPr>
        <w:spacing w:after="0" w:line="4" w:lineRule="exact"/>
        <w:rPr>
          <w:rFonts w:ascii="Arial" w:cs="Arial" w:eastAsia="Arial" w:hAnsi="Arial"/>
          <w:sz w:val="16"/>
          <w:szCs w:val="16"/>
          <w:color w:val="auto"/>
        </w:rPr>
      </w:pPr>
    </w:p>
    <w:p>
      <w:pPr>
        <w:ind w:left="717" w:hanging="279"/>
        <w:spacing w:after="0"/>
        <w:tabs>
          <w:tab w:leader="none" w:pos="717" w:val="left"/>
        </w:tabs>
        <w:numPr>
          <w:ilvl w:val="0"/>
          <w:numId w:val="51"/>
        </w:numPr>
        <w:rPr>
          <w:rFonts w:ascii="Arial" w:cs="Arial" w:eastAsia="Arial" w:hAnsi="Arial"/>
          <w:sz w:val="16"/>
          <w:szCs w:val="16"/>
          <w:color w:val="auto"/>
        </w:rPr>
      </w:pPr>
      <w:r>
        <w:rPr>
          <w:rFonts w:ascii="Arial" w:cs="Arial" w:eastAsia="Arial" w:hAnsi="Arial"/>
          <w:sz w:val="16"/>
          <w:szCs w:val="16"/>
          <w:color w:val="auto"/>
        </w:rPr>
        <w:t>immediately after giving effect to such Commitment Increase, the total Commitments of all of the Lenders hereunder shall not exceed</w:t>
      </w:r>
    </w:p>
    <w:p>
      <w:pPr>
        <w:spacing w:after="0" w:line="38" w:lineRule="exact"/>
        <w:rPr>
          <w:sz w:val="20"/>
          <w:szCs w:val="20"/>
          <w:color w:val="auto"/>
        </w:rPr>
      </w:pPr>
    </w:p>
    <w:p>
      <w:pPr>
        <w:ind w:left="17"/>
        <w:spacing w:after="0"/>
        <w:rPr>
          <w:sz w:val="20"/>
          <w:szCs w:val="20"/>
          <w:color w:val="auto"/>
        </w:rPr>
      </w:pPr>
      <w:r>
        <w:rPr>
          <w:rFonts w:ascii="Arial" w:cs="Arial" w:eastAsia="Arial" w:hAnsi="Arial"/>
          <w:sz w:val="18"/>
          <w:szCs w:val="18"/>
          <w:color w:val="auto"/>
        </w:rPr>
        <w:t>$550,000,000;</w:t>
      </w:r>
    </w:p>
    <w:p>
      <w:pPr>
        <w:spacing w:after="0" w:line="84" w:lineRule="exact"/>
        <w:rPr>
          <w:sz w:val="20"/>
          <w:szCs w:val="20"/>
          <w:color w:val="auto"/>
        </w:rPr>
      </w:pPr>
    </w:p>
    <w:p>
      <w:pPr>
        <w:ind w:left="17" w:right="460" w:firstLine="421"/>
        <w:spacing w:after="0" w:line="268" w:lineRule="auto"/>
        <w:tabs>
          <w:tab w:leader="none" w:pos="715" w:val="left"/>
        </w:tabs>
        <w:numPr>
          <w:ilvl w:val="1"/>
          <w:numId w:val="52"/>
        </w:numPr>
        <w:rPr>
          <w:rFonts w:ascii="Arial" w:cs="Arial" w:eastAsia="Arial" w:hAnsi="Arial"/>
          <w:sz w:val="18"/>
          <w:szCs w:val="18"/>
          <w:color w:val="auto"/>
        </w:rPr>
      </w:pPr>
      <w:r>
        <w:rPr>
          <w:rFonts w:ascii="Arial" w:cs="Arial" w:eastAsia="Arial" w:hAnsi="Arial"/>
          <w:sz w:val="18"/>
          <w:szCs w:val="18"/>
          <w:color w:val="auto"/>
        </w:rPr>
        <w:t>each Assuming Lender shall be consented to by the Administrative Agent and the Issuing Bank (such consent not to be unreasonably withheld);</w:t>
      </w:r>
    </w:p>
    <w:p>
      <w:pPr>
        <w:spacing w:after="0" w:line="50" w:lineRule="exact"/>
        <w:rPr>
          <w:rFonts w:ascii="Arial" w:cs="Arial" w:eastAsia="Arial" w:hAnsi="Arial"/>
          <w:sz w:val="18"/>
          <w:szCs w:val="18"/>
          <w:color w:val="auto"/>
        </w:rPr>
      </w:pPr>
    </w:p>
    <w:p>
      <w:pPr>
        <w:ind w:left="17" w:right="480" w:firstLine="421"/>
        <w:spacing w:after="0" w:line="268" w:lineRule="auto"/>
        <w:tabs>
          <w:tab w:leader="none" w:pos="725"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such Commitment Increase Date or shall result from the proposed Commitment Increase; and</w:t>
      </w:r>
    </w:p>
    <w:p>
      <w:pPr>
        <w:spacing w:after="0" w:line="50" w:lineRule="exact"/>
        <w:rPr>
          <w:rFonts w:ascii="Arial" w:cs="Arial" w:eastAsia="Arial" w:hAnsi="Arial"/>
          <w:sz w:val="18"/>
          <w:szCs w:val="18"/>
          <w:color w:val="auto"/>
        </w:rPr>
      </w:pPr>
    </w:p>
    <w:p>
      <w:pPr>
        <w:ind w:left="17" w:right="20" w:firstLine="421"/>
        <w:spacing w:after="0" w:line="256" w:lineRule="auto"/>
        <w:tabs>
          <w:tab w:leader="none" w:pos="7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62" w:lineRule="exact"/>
        <w:rPr>
          <w:rFonts w:ascii="Arial" w:cs="Arial" w:eastAsia="Arial" w:hAnsi="Arial"/>
          <w:sz w:val="18"/>
          <w:szCs w:val="18"/>
          <w:color w:val="auto"/>
        </w:rPr>
      </w:pPr>
    </w:p>
    <w:p>
      <w:pPr>
        <w:ind w:left="-443" w:right="60" w:firstLine="443"/>
        <w:spacing w:after="0" w:line="259" w:lineRule="auto"/>
        <w:tabs>
          <w:tab w:leader="none" w:pos="25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Effectiveness of Commitment Increase by Borrower</w:t>
      </w:r>
      <w:r>
        <w:rPr>
          <w:rFonts w:ascii="Arial" w:cs="Arial" w:eastAsia="Arial" w:hAnsi="Arial"/>
          <w:sz w:val="18"/>
          <w:szCs w:val="18"/>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59" w:lineRule="exact"/>
        <w:rPr>
          <w:sz w:val="20"/>
          <w:szCs w:val="20"/>
          <w:color w:val="auto"/>
        </w:rPr>
      </w:pPr>
    </w:p>
    <w:p>
      <w:pPr>
        <w:ind w:left="17" w:right="20" w:firstLine="421"/>
        <w:spacing w:after="0" w:line="306" w:lineRule="auto"/>
        <w:tabs>
          <w:tab w:leader="none" w:pos="686"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6"/>
          <w:szCs w:val="16"/>
          <w:u w:val="single" w:color="auto"/>
          <w:color w:val="auto"/>
        </w:rPr>
        <w:t>paragraph (i)</w:t>
      </w:r>
      <w:r>
        <w:rPr>
          <w:rFonts w:ascii="Arial" w:cs="Arial" w:eastAsia="Arial" w:hAnsi="Arial"/>
          <w:sz w:val="16"/>
          <w:szCs w:val="16"/>
          <w:color w:val="auto"/>
        </w:rPr>
        <w:t xml:space="preserve"> has been satisfied; and</w:t>
      </w:r>
    </w:p>
    <w:p>
      <w:pPr>
        <w:spacing w:after="0" w:line="25" w:lineRule="exact"/>
        <w:rPr>
          <w:rFonts w:ascii="Arial" w:cs="Arial" w:eastAsia="Arial" w:hAnsi="Arial"/>
          <w:sz w:val="16"/>
          <w:szCs w:val="16"/>
          <w:color w:val="auto"/>
        </w:rPr>
      </w:pPr>
    </w:p>
    <w:p>
      <w:pPr>
        <w:ind w:left="17" w:right="20" w:firstLine="421"/>
        <w:spacing w:after="0" w:line="294" w:lineRule="auto"/>
        <w:tabs>
          <w:tab w:leader="none" w:pos="686"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02"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54" w:name="page55"/>
    <w:bookmarkEnd w:id="54"/>
    <w:p>
      <w:pPr>
        <w:ind w:right="10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4" w:lineRule="exact"/>
        <w:rPr>
          <w:sz w:val="20"/>
          <w:szCs w:val="20"/>
          <w:color w:val="auto"/>
        </w:rPr>
      </w:pPr>
    </w:p>
    <w:p>
      <w:pPr>
        <w:ind w:right="260" w:firstLine="443"/>
        <w:spacing w:after="0" w:line="305" w:lineRule="auto"/>
        <w:tabs>
          <w:tab w:leader="none" w:pos="745" w:val="left"/>
        </w:tabs>
        <w:numPr>
          <w:ilvl w:val="1"/>
          <w:numId w:val="55"/>
        </w:numPr>
        <w:rPr>
          <w:rFonts w:ascii="Arial" w:cs="Arial" w:eastAsia="Arial" w:hAnsi="Arial"/>
          <w:sz w:val="15"/>
          <w:szCs w:val="15"/>
          <w:color w:val="auto"/>
        </w:rPr>
      </w:pPr>
      <w:r>
        <w:rPr>
          <w:rFonts w:ascii="Arial" w:cs="Arial" w:eastAsia="Arial" w:hAnsi="Arial"/>
          <w:sz w:val="15"/>
          <w:szCs w:val="15"/>
          <w:u w:val="single" w:color="auto"/>
          <w:color w:val="auto"/>
        </w:rPr>
        <w:t>Recordation into Register</w:t>
      </w:r>
      <w:r>
        <w:rPr>
          <w:rFonts w:ascii="Arial" w:cs="Arial" w:eastAsia="Arial" w:hAnsi="Arial"/>
          <w:sz w:val="15"/>
          <w:szCs w:val="15"/>
          <w:color w:val="auto"/>
        </w:rPr>
        <w:t xml:space="preserve">. Upon its receipt of an agreement referred to in </w:t>
      </w:r>
      <w:r>
        <w:rPr>
          <w:rFonts w:ascii="Arial" w:cs="Arial" w:eastAsia="Arial" w:hAnsi="Arial"/>
          <w:sz w:val="15"/>
          <w:szCs w:val="15"/>
          <w:u w:val="single" w:color="auto"/>
          <w:color w:val="auto"/>
        </w:rPr>
        <w:t>clause (ii)(y)</w:t>
      </w:r>
      <w:r>
        <w:rPr>
          <w:rFonts w:ascii="Arial" w:cs="Arial" w:eastAsia="Arial" w:hAnsi="Arial"/>
          <w:sz w:val="15"/>
          <w:szCs w:val="15"/>
          <w:color w:val="auto"/>
        </w:rPr>
        <w:t xml:space="preserve"> above executed by an Assuming Lender or any Increasing Lender, together with the certificate referred to in </w:t>
      </w:r>
      <w:r>
        <w:rPr>
          <w:rFonts w:ascii="Arial" w:cs="Arial" w:eastAsia="Arial" w:hAnsi="Arial"/>
          <w:sz w:val="15"/>
          <w:szCs w:val="15"/>
          <w:u w:val="single" w:color="auto"/>
          <w:color w:val="auto"/>
        </w:rPr>
        <w:t>clause (ii)(x)</w:t>
      </w:r>
      <w:r>
        <w:rPr>
          <w:rFonts w:ascii="Arial" w:cs="Arial" w:eastAsia="Arial" w:hAnsi="Arial"/>
          <w:sz w:val="15"/>
          <w:szCs w:val="15"/>
          <w:color w:val="auto"/>
        </w:rPr>
        <w:t xml:space="preserve"> above, the Administrative Agent shall, if such agreement has been completed,</w:t>
      </w:r>
    </w:p>
    <w:p>
      <w:pPr>
        <w:ind w:left="260" w:hanging="256"/>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accept such agreement, (y) record the information contained therein in the Register and (z) give prompt notice thereof to the Borrower.</w:t>
      </w:r>
    </w:p>
    <w:p>
      <w:pPr>
        <w:spacing w:after="0" w:line="83" w:lineRule="exact"/>
        <w:rPr>
          <w:rFonts w:ascii="Arial" w:cs="Arial" w:eastAsia="Arial" w:hAnsi="Arial"/>
          <w:sz w:val="18"/>
          <w:szCs w:val="18"/>
          <w:color w:val="auto"/>
        </w:rPr>
      </w:pPr>
    </w:p>
    <w:p>
      <w:pPr>
        <w:ind w:right="60" w:firstLine="443"/>
        <w:spacing w:after="0" w:line="283" w:lineRule="auto"/>
        <w:tabs>
          <w:tab w:leader="none" w:pos="735"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Adjustments of Borrowings upon Effectiveness of Increase</w:t>
      </w:r>
      <w:r>
        <w:rPr>
          <w:rFonts w:ascii="Arial" w:cs="Arial" w:eastAsia="Arial" w:hAnsi="Arial"/>
          <w:sz w:val="16"/>
          <w:szCs w:val="16"/>
          <w:color w:val="auto"/>
        </w:rPr>
        <w:t xml:space="preserve">. On the Commitment Increase Date, the Borrower shall (A) prepay the outstanding Loans (if any) of the affected Class in full, (B) simultaneously borrow new Loans of such Class hereunder in an amount equal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w:t>
      </w:r>
    </w:p>
    <w:p>
      <w:pPr>
        <w:ind w:right="10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90" w:lineRule="exact"/>
        <w:rPr>
          <w:sz w:val="20"/>
          <w:szCs w:val="20"/>
          <w:color w:val="auto"/>
        </w:rPr>
      </w:pPr>
    </w:p>
    <w:p>
      <w:pPr>
        <w:ind w:left="700" w:hanging="239"/>
        <w:spacing w:after="0"/>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The Borrower hereby unconditionally promises to pay the Loans of each Class as follows:</w:t>
      </w:r>
    </w:p>
    <w:p>
      <w:pPr>
        <w:spacing w:after="0" w:line="90" w:lineRule="exact"/>
        <w:rPr>
          <w:rFonts w:ascii="Arial" w:cs="Arial" w:eastAsia="Arial" w:hAnsi="Arial"/>
          <w:sz w:val="18"/>
          <w:szCs w:val="18"/>
          <w:color w:val="auto"/>
        </w:rPr>
      </w:pPr>
    </w:p>
    <w:p>
      <w:pPr>
        <w:ind w:right="160" w:firstLine="443"/>
        <w:spacing w:after="0" w:line="268"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the Administrative Agent for account of the Lenders of such Class the outstanding principal amount of the Syndicated Loans of such Class on the Final Maturity Date; and</w:t>
      </w:r>
    </w:p>
    <w:p>
      <w:pPr>
        <w:spacing w:after="0" w:line="50" w:lineRule="exact"/>
        <w:rPr>
          <w:rFonts w:ascii="Arial" w:cs="Arial" w:eastAsia="Arial" w:hAnsi="Arial"/>
          <w:sz w:val="18"/>
          <w:szCs w:val="18"/>
          <w:color w:val="auto"/>
        </w:rPr>
      </w:pPr>
    </w:p>
    <w:p>
      <w:pPr>
        <w:ind w:right="60" w:firstLine="443"/>
        <w:spacing w:after="0" w:line="256" w:lineRule="auto"/>
        <w:tabs>
          <w:tab w:leader="none" w:pos="697"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to the Swingline Lender the then unpaid principal amount of each Swingline Loan of such Class denominated in Dollars, on the earlier of the Commitment Termination Date and the first date after such Swingline Loan is made that is the 15th or last day of a calendar month and is at least ten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Syndicated Borrowing of such Class is made, the Borrower shall repay all Swingline Loans of such Class then outstanding.</w:t>
      </w:r>
    </w:p>
    <w:p>
      <w:pPr>
        <w:spacing w:after="0" w:line="130" w:lineRule="exact"/>
        <w:rPr>
          <w:sz w:val="20"/>
          <w:szCs w:val="20"/>
          <w:color w:val="auto"/>
        </w:rPr>
      </w:pPr>
    </w:p>
    <w:p>
      <w:pPr>
        <w:jc w:val="both"/>
        <w:ind w:left="5400"/>
        <w:spacing w:after="0"/>
        <w:tabs>
          <w:tab w:leader="none" w:pos="89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55" w:name="page56"/>
    <w:bookmarkEnd w:id="55"/>
    <w:p>
      <w:pPr>
        <w:ind w:right="2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on the Final Maturity Date, the Borrower shall deposit into the Letter of Credit Collateral Account Cash (denominated in the Currency of the Letter of Credit under which such LC Exposure arises) in an amount equal to 100%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spacing w:after="0" w:line="143" w:lineRule="exact"/>
        <w:rPr>
          <w:sz w:val="20"/>
          <w:szCs w:val="20"/>
          <w:color w:val="auto"/>
        </w:rPr>
      </w:pPr>
    </w:p>
    <w:p>
      <w:pPr>
        <w:ind w:right="120" w:firstLine="921"/>
        <w:spacing w:after="0" w:line="290" w:lineRule="auto"/>
        <w:tabs>
          <w:tab w:leader="none" w:pos="116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xml:space="preserve">. Prior to any repayment or prepayment of any Borrowings of any Class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prior to the scheduled date of such 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repayment of Borrowings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shall be applied ratably to the Loans included in such Borrowing.</w:t>
      </w:r>
    </w:p>
    <w:p>
      <w:pPr>
        <w:spacing w:after="0" w:line="118" w:lineRule="exact"/>
        <w:rPr>
          <w:rFonts w:ascii="Arial" w:cs="Arial" w:eastAsia="Arial" w:hAnsi="Arial"/>
          <w:sz w:val="16"/>
          <w:szCs w:val="16"/>
          <w:color w:val="auto"/>
        </w:rPr>
      </w:pPr>
    </w:p>
    <w:p>
      <w:pPr>
        <w:ind w:right="80" w:firstLine="921"/>
        <w:spacing w:after="0" w:line="259"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Maintenance of Records by Lenders</w:t>
      </w:r>
      <w:r>
        <w:rPr>
          <w:rFonts w:ascii="Arial" w:cs="Arial" w:eastAsia="Arial" w:hAnsi="Arial"/>
          <w:sz w:val="18"/>
          <w:szCs w:val="18"/>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40" w:lineRule="exact"/>
        <w:rPr>
          <w:rFonts w:ascii="Arial" w:cs="Arial" w:eastAsia="Arial" w:hAnsi="Arial"/>
          <w:sz w:val="18"/>
          <w:szCs w:val="18"/>
          <w:color w:val="auto"/>
        </w:rPr>
      </w:pPr>
    </w:p>
    <w:p>
      <w:pPr>
        <w:ind w:right="20" w:firstLine="921"/>
        <w:spacing w:after="0" w:line="298" w:lineRule="auto"/>
        <w:tabs>
          <w:tab w:leader="none" w:pos="116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Maintenance of Records by the Administrative Agent</w:t>
      </w:r>
      <w:r>
        <w:rPr>
          <w:rFonts w:ascii="Arial" w:cs="Arial" w:eastAsia="Arial" w:hAnsi="Arial"/>
          <w:sz w:val="16"/>
          <w:szCs w:val="16"/>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112" w:lineRule="exact"/>
        <w:rPr>
          <w:rFonts w:ascii="Arial" w:cs="Arial" w:eastAsia="Arial" w:hAnsi="Arial"/>
          <w:sz w:val="16"/>
          <w:szCs w:val="16"/>
          <w:color w:val="auto"/>
        </w:rPr>
      </w:pPr>
    </w:p>
    <w:p>
      <w:pPr>
        <w:ind w:right="40" w:firstLine="921"/>
        <w:spacing w:after="0" w:line="335" w:lineRule="auto"/>
        <w:tabs>
          <w:tab w:leader="none" w:pos="1152"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Effect of Entries</w:t>
      </w:r>
      <w:r>
        <w:rPr>
          <w:rFonts w:ascii="Arial" w:cs="Arial" w:eastAsia="Arial" w:hAnsi="Arial"/>
          <w:sz w:val="15"/>
          <w:szCs w:val="15"/>
          <w:color w:val="auto"/>
        </w:rPr>
        <w:t xml:space="preserve">. The entries made in the records maintained pursuant to </w:t>
      </w:r>
      <w:r>
        <w:rPr>
          <w:rFonts w:ascii="Arial" w:cs="Arial" w:eastAsia="Arial" w:hAnsi="Arial"/>
          <w:sz w:val="15"/>
          <w:szCs w:val="15"/>
          <w:u w:val="single" w:color="auto"/>
          <w:color w:val="auto"/>
        </w:rPr>
        <w:t>paragraph (c)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(d)</w:t>
      </w:r>
      <w:r>
        <w:rPr>
          <w:rFonts w:ascii="Arial" w:cs="Arial" w:eastAsia="Arial" w:hAnsi="Arial"/>
          <w:sz w:val="15"/>
          <w:szCs w:val="15"/>
          <w:color w:val="auto"/>
        </w:rPr>
        <w:t xml:space="preserve"> of this Section shall be </w:t>
      </w:r>
      <w:r>
        <w:rPr>
          <w:rFonts w:ascii="Arial" w:cs="Arial" w:eastAsia="Arial" w:hAnsi="Arial"/>
          <w:sz w:val="15"/>
          <w:szCs w:val="15"/>
          <w:u w:val="single" w:color="auto"/>
          <w:color w:val="auto"/>
        </w:rPr>
        <w:t>prima facie</w:t>
      </w:r>
      <w:r>
        <w:rPr>
          <w:rFonts w:ascii="Arial" w:cs="Arial" w:eastAsia="Arial" w:hAnsi="Arial"/>
          <w:sz w:val="15"/>
          <w:szCs w:val="15"/>
          <w:color w:val="auto"/>
        </w:rPr>
        <w:t xml:space="preserve"> evidence, absent obvious error, of the existence and amounts of the obligations recorded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88" w:lineRule="exact"/>
        <w:rPr>
          <w:rFonts w:ascii="Arial" w:cs="Arial" w:eastAsia="Arial" w:hAnsi="Arial"/>
          <w:sz w:val="15"/>
          <w:szCs w:val="15"/>
          <w:color w:val="auto"/>
        </w:rPr>
      </w:pPr>
    </w:p>
    <w:p>
      <w:pPr>
        <w:ind w:firstLine="921"/>
        <w:spacing w:after="0" w:line="294" w:lineRule="auto"/>
        <w:tabs>
          <w:tab w:leader="none" w:pos="113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Promissory Notes</w:t>
      </w:r>
      <w:r>
        <w:rPr>
          <w:rFonts w:ascii="Arial" w:cs="Arial" w:eastAsia="Arial" w:hAnsi="Arial"/>
          <w:sz w:val="16"/>
          <w:szCs w:val="16"/>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be represented by one or more promissory notes in such form payable to the payee named therein (or, if such promissory note is a registered note, to such payee and its registered assigns).</w:t>
      </w:r>
    </w:p>
    <w:p>
      <w:pPr>
        <w:spacing w:after="0" w:line="10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6" w:name="page57"/>
    <w:bookmarkEnd w:id="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68" w:lineRule="auto"/>
        <w:tabs>
          <w:tab w:leader="none" w:pos="1152"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8"/>
          <w:szCs w:val="18"/>
          <w:u w:val="single" w:color="auto"/>
          <w:color w:val="auto"/>
        </w:rPr>
        <w:t>Section 2.15</w:t>
      </w:r>
      <w:r>
        <w:rPr>
          <w:rFonts w:ascii="Arial" w:cs="Arial" w:eastAsia="Arial" w:hAnsi="Arial"/>
          <w:sz w:val="18"/>
          <w:szCs w:val="18"/>
          <w:color w:val="auto"/>
        </w:rPr>
        <w:t>, subject to the requirements of this Section.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Mandatory Prepayments due to Changes in Exchange Rates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43"/>
        <w:spacing w:after="0" w:line="290" w:lineRule="auto"/>
        <w:tabs>
          <w:tab w:leader="none" w:pos="110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Determination of Amount Outstanding</w:t>
      </w:r>
      <w:r>
        <w:rPr>
          <w:rFonts w:ascii="Arial" w:cs="Arial" w:eastAsia="Arial" w:hAnsi="Arial"/>
          <w:sz w:val="16"/>
          <w:szCs w:val="16"/>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37" w:lineRule="exact"/>
        <w:rPr>
          <w:rFonts w:ascii="Arial" w:cs="Arial" w:eastAsia="Arial" w:hAnsi="Arial"/>
          <w:sz w:val="16"/>
          <w:szCs w:val="16"/>
          <w:color w:val="auto"/>
        </w:rPr>
      </w:pPr>
    </w:p>
    <w:p>
      <w:pPr>
        <w:ind w:left="460" w:right="80" w:firstLine="443"/>
        <w:spacing w:after="0" w:line="291" w:lineRule="auto"/>
        <w:tabs>
          <w:tab w:leader="none" w:pos="115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Prepayment</w:t>
      </w:r>
      <w:r>
        <w:rPr>
          <w:rFonts w:ascii="Arial" w:cs="Arial" w:eastAsia="Arial" w:hAnsi="Arial"/>
          <w:sz w:val="16"/>
          <w:szCs w:val="16"/>
          <w:color w:val="auto"/>
        </w:rPr>
        <w:t xml:space="preserve">. If on the date of such determination the aggregate Revolving Multicurrency Credit Exposure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16"/>
          <w:szCs w:val="16"/>
          <w:u w:val="single" w:color="auto"/>
          <w:color w:val="auto"/>
        </w:rPr>
        <w:t>Section 2.05(k)</w:t>
      </w:r>
      <w:r>
        <w:rPr>
          <w:rFonts w:ascii="Arial" w:cs="Arial" w:eastAsia="Arial" w:hAnsi="Arial"/>
          <w:sz w:val="16"/>
          <w:szCs w:val="16"/>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Currency Valuation Notice</w:t>
      </w:r>
      <w:r>
        <w:rPr>
          <w:rFonts w:ascii="Arial" w:cs="Arial" w:eastAsia="Arial" w:hAnsi="Arial"/>
          <w:sz w:val="18"/>
          <w:szCs w:val="18"/>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Any prepayment pursuant to this paragraph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Swingline Multicurrency Loans outstanding,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Syndicated Multicurrency Loans outstanding and </w:t>
      </w:r>
      <w:r>
        <w:rPr>
          <w:rFonts w:ascii="Arial" w:cs="Arial" w:eastAsia="Arial" w:hAnsi="Arial"/>
          <w:sz w:val="18"/>
          <w:szCs w:val="18"/>
          <w:u w:val="single" w:color="auto"/>
          <w:color w:val="auto"/>
        </w:rPr>
        <w:t>third</w:t>
      </w:r>
      <w:r>
        <w:rPr>
          <w:rFonts w:ascii="Arial" w:cs="Arial" w:eastAsia="Arial" w:hAnsi="Arial"/>
          <w:sz w:val="18"/>
          <w:szCs w:val="18"/>
          <w:color w:val="auto"/>
        </w:rPr>
        <w:t>, as cover for Multicurrency LC Exposure.</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7" w:name="page58"/>
    <w:bookmarkEnd w:id="57"/>
    <w:p>
      <w:pPr>
        <w:ind w:left="-903" w:right="40" w:firstLine="921"/>
        <w:spacing w:after="0" w:line="287" w:lineRule="auto"/>
        <w:tabs>
          <w:tab w:leader="none" w:pos="249"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Mandatory Prepayments due to Borrowing Base Deficiency</w:t>
      </w:r>
      <w:r>
        <w:rPr>
          <w:rFonts w:ascii="Arial" w:cs="Arial" w:eastAsia="Arial" w:hAnsi="Arial"/>
          <w:sz w:val="16"/>
          <w:szCs w:val="16"/>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or reduce Other Covered Indebtedness in such amounts as shall be necessary so that such Borrowing Base Deficiency is 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22" w:lineRule="exact"/>
        <w:rPr>
          <w:rFonts w:ascii="Arial" w:cs="Arial" w:eastAsia="Arial" w:hAnsi="Arial"/>
          <w:sz w:val="16"/>
          <w:szCs w:val="16"/>
          <w:color w:val="auto"/>
        </w:rPr>
      </w:pPr>
    </w:p>
    <w:p>
      <w:pPr>
        <w:ind w:left="-903" w:right="520" w:firstLine="921"/>
        <w:spacing w:after="0" w:line="268" w:lineRule="auto"/>
        <w:tabs>
          <w:tab w:leader="none" w:pos="259"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Mandatory Prepayments During Amortization Period</w:t>
      </w:r>
      <w:r>
        <w:rPr>
          <w:rFonts w:ascii="Arial" w:cs="Arial" w:eastAsia="Arial" w:hAnsi="Arial"/>
          <w:sz w:val="18"/>
          <w:szCs w:val="18"/>
          <w:color w:val="auto"/>
        </w:rPr>
        <w:t>. During the period commencing on the date immediately following the Commitment Termination Date and ending on the Final Maturity Date:</w:t>
      </w:r>
    </w:p>
    <w:p>
      <w:pPr>
        <w:spacing w:after="0" w:line="50" w:lineRule="exact"/>
        <w:rPr>
          <w:rFonts w:ascii="Arial" w:cs="Arial" w:eastAsia="Arial" w:hAnsi="Arial"/>
          <w:sz w:val="18"/>
          <w:szCs w:val="18"/>
          <w:color w:val="auto"/>
        </w:rPr>
      </w:pPr>
    </w:p>
    <w:p>
      <w:pPr>
        <w:ind w:left="-443" w:firstLine="443"/>
        <w:spacing w:after="0" w:line="288" w:lineRule="auto"/>
        <w:tabs>
          <w:tab w:leader="none" w:pos="20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Asset Disposition</w:t>
      </w:r>
      <w:r>
        <w:rPr>
          <w:rFonts w:ascii="Arial" w:cs="Arial" w:eastAsia="Arial" w:hAnsi="Arial"/>
          <w:sz w:val="16"/>
          <w:szCs w:val="16"/>
          <w:color w:val="auto"/>
        </w:rPr>
        <w:t xml:space="preserve">. If the Borrower or any of its Subsidiaries (other than a Financing Subsidiary) Disposes of any property which results in the receipt by such Person of Net Cash Proceeds in excess of $2,000,000 in the aggregate since the Commitment Termination Date, the Borrower shall prepay an aggregate principal amount of Loans equal to 100% of such Net Cash Proceeds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Loans to be prepaid are Eurocurrency Loans, the Borrower may defer such prepayment until the last day of the Interest Period applicable to such Loans,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Administrative Agent may direct the application of such deposits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at any time and if the Administrative Agent does so, no amounts will be payable by the Borrower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443" w:right="80" w:firstLine="443"/>
        <w:spacing w:after="0" w:line="256" w:lineRule="auto"/>
        <w:tabs>
          <w:tab w:leader="none" w:pos="25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Equity Issuance</w:t>
      </w:r>
      <w:r>
        <w:rPr>
          <w:rFonts w:ascii="Arial" w:cs="Arial" w:eastAsia="Arial" w:hAnsi="Arial"/>
          <w:sz w:val="18"/>
          <w:szCs w:val="18"/>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Loans equal to 75% of all Net Cash Proceeds received therefrom no later than the fifth Business Day following the receipt of such Net Cash Proceeds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3" w:right="160" w:firstLine="443"/>
        <w:spacing w:after="0" w:line="306" w:lineRule="auto"/>
        <w:tabs>
          <w:tab w:leader="none" w:pos="303"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Upon the incurrence or issuance by the Borrower or any of its Subsidiaries (other than a Financing Subsidiary) of any Indebtedness,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93"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58" w:name="page59"/>
    <w:bookmarkEnd w:id="58"/>
    <w:p>
      <w:pPr>
        <w:ind w:left="1200" w:hanging="297"/>
        <w:spacing w:after="0"/>
        <w:tabs>
          <w:tab w:leader="none" w:pos="120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Extraordinary Receipt</w:t>
      </w:r>
      <w:r>
        <w:rPr>
          <w:rFonts w:ascii="Arial" w:cs="Arial" w:eastAsia="Arial" w:hAnsi="Arial"/>
          <w:sz w:val="16"/>
          <w:szCs w:val="16"/>
          <w:color w:val="auto"/>
        </w:rPr>
        <w:t>. Upon any Extraordinary Receipt (which, when taken with all other Extraordinary Receipts received after the</w:t>
      </w:r>
    </w:p>
    <w:p>
      <w:pPr>
        <w:spacing w:after="0" w:line="38" w:lineRule="exact"/>
        <w:rPr>
          <w:rFonts w:ascii="Arial" w:cs="Arial" w:eastAsia="Arial" w:hAnsi="Arial"/>
          <w:sz w:val="16"/>
          <w:szCs w:val="16"/>
          <w:color w:val="auto"/>
        </w:rPr>
      </w:pPr>
    </w:p>
    <w:p>
      <w:pPr>
        <w:jc w:val="both"/>
        <w:ind w:left="460" w:right="24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Commitment Termination Date, exceeds $5,000,000 in the aggregate) received by or paid to or for the account of the Borrower or any of its Subsidiaries (other than a Financing Subsidiary), and not otherwise included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Return of Capital</w:t>
      </w:r>
      <w:r>
        <w:rPr>
          <w:rFonts w:ascii="Arial" w:cs="Arial" w:eastAsia="Arial" w:hAnsi="Arial"/>
          <w:sz w:val="18"/>
          <w:szCs w:val="18"/>
          <w:color w:val="auto"/>
        </w:rPr>
        <w:t xml:space="preserve">. If any Obligor shall receive any Return of Capital, the Borrower shall prepay an aggregate principal amount of Loans equal to 90% of such Return of Capital (excluding amounts payable by the Borrower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no later than the fifth Business Day following the receipt of such Return of Capital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Notwithstanding the foregoing, Net Cash Proceeds required to be applied to the prepayment of the Loans pursuant to this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shall (A) be applied in accordance with the Guarantee and Security Agreement and (B) exclude the amount necessary for the Borrower to make all required distributions (which shall be no less than the amount estimated in good faith by Borrower under </w:t>
      </w:r>
      <w:r>
        <w:rPr>
          <w:rFonts w:ascii="Arial" w:cs="Arial" w:eastAsia="Arial" w:hAnsi="Arial"/>
          <w:sz w:val="16"/>
          <w:szCs w:val="16"/>
          <w:u w:val="single" w:color="auto"/>
          <w:color w:val="auto"/>
        </w:rPr>
        <w:t>Section 6.05(b)</w:t>
      </w:r>
      <w:r>
        <w:rPr>
          <w:rFonts w:ascii="Arial" w:cs="Arial" w:eastAsia="Arial" w:hAnsi="Arial"/>
          <w:sz w:val="16"/>
          <w:szCs w:val="16"/>
          <w:color w:val="auto"/>
        </w:rPr>
        <w:t xml:space="preserve"> herein) to maintain the status of a RIC under the Code and a “business development company” under the Investment Company Act for so long as the Borrower retains such status.</w:t>
      </w:r>
    </w:p>
    <w:p>
      <w:pPr>
        <w:spacing w:after="0" w:line="113" w:lineRule="exact"/>
        <w:rPr>
          <w:sz w:val="20"/>
          <w:szCs w:val="20"/>
          <w:color w:val="auto"/>
        </w:rPr>
      </w:pPr>
    </w:p>
    <w:p>
      <w:pPr>
        <w:ind w:right="20" w:firstLine="921"/>
        <w:spacing w:after="0" w:line="286" w:lineRule="auto"/>
        <w:tabs>
          <w:tab w:leader="none" w:pos="115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The Borrower shall notify the Administrative Agent (and, in the case of prepayment of a Swingline Loan, the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not later than 11:00 a.m., London time, four Business Days before the date of prepayment, (iii) in the case of prepayment of a Syndicated ABR Borrowing (other than in the case of a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not later than 11:00 a.m., Atlanta, Georgia time, one Business Day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a notice of prepayment is given in connection with a conditional notice of termination of the Commitments of a Class as contemplated by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then such notice of prepayment may be revoked if such notice of termination is revoked in accordance with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(ii) any notice given in connection with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may be conditioned on the consummation of the applicable transaction contemplated by such Section and the receipt by</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59" w:name="page60"/>
    <w:bookmarkEnd w:id="59"/>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Swingline Loan,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except as necessary to apply fully the required amount of a mandatory prepayment. Each prepayment of a Syndicated Borrowing of a Class shall be applied ratably to the Loans of such Class included in the prepaid Borrowing. Prepayments shall be accompanied by accrued interest to the extent required by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shall be made in the manner specified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89" w:lineRule="auto"/>
        <w:tabs>
          <w:tab w:leader="none" w:pos="115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the Commitment Termination Date. Accrued commitment fees shall be payable within one Business Day after each Quarterly Date and on the earlier of the date the Commitments of the respective Class terminate and the Commitment Termination Date,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18" w:lineRule="exact"/>
        <w:rPr>
          <w:rFonts w:ascii="Arial" w:cs="Arial" w:eastAsia="Arial" w:hAnsi="Arial"/>
          <w:sz w:val="16"/>
          <w:szCs w:val="16"/>
          <w:color w:val="auto"/>
        </w:rPr>
      </w:pPr>
    </w:p>
    <w:p>
      <w:pPr>
        <w:ind w:firstLine="921"/>
        <w:spacing w:after="0" w:line="286" w:lineRule="auto"/>
        <w:tabs>
          <w:tab w:leader="none" w:pos="1161"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with respect to the Letters of Credit shall be payable on the Termination Date and the Borrower shall pay any such fees that have accrued and that are unpaid on the Termination Date and, in the event any Letters of Credit</w:t>
      </w:r>
    </w:p>
    <w:p>
      <w:pPr>
        <w:spacing w:after="0" w:line="11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0" w:name="page61"/>
    <w:bookmarkEnd w:id="60"/>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18" w:lineRule="exact"/>
        <w:rPr>
          <w:sz w:val="20"/>
          <w:szCs w:val="20"/>
          <w:color w:val="auto"/>
        </w:rPr>
      </w:pPr>
    </w:p>
    <w:p>
      <w:pPr>
        <w:ind w:right="100" w:firstLine="921"/>
        <w:spacing w:after="0" w:line="268" w:lineRule="auto"/>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Administrative Agent Fees</w:t>
      </w:r>
      <w:r>
        <w:rPr>
          <w:rFonts w:ascii="Arial" w:cs="Arial" w:eastAsia="Arial" w:hAnsi="Arial"/>
          <w:sz w:val="18"/>
          <w:szCs w:val="18"/>
          <w:color w:val="auto"/>
        </w:rPr>
        <w:t>. The Borrower agrees to pay to the Administrative Agent, for its own account, fees payable in the amounts and at the times separately agreed upon between the Borrower and the Administrative Agent.</w:t>
      </w:r>
    </w:p>
    <w:p>
      <w:pPr>
        <w:spacing w:after="0" w:line="131" w:lineRule="exact"/>
        <w:rPr>
          <w:rFonts w:ascii="Arial" w:cs="Arial" w:eastAsia="Arial" w:hAnsi="Arial"/>
          <w:sz w:val="18"/>
          <w:szCs w:val="18"/>
          <w:color w:val="auto"/>
        </w:rPr>
      </w:pPr>
    </w:p>
    <w:p>
      <w:pPr>
        <w:ind w:right="20" w:firstLine="921"/>
        <w:spacing w:after="0" w:line="298" w:lineRule="auto"/>
        <w:tabs>
          <w:tab w:leader="none" w:pos="116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Payment of Fees</w:t>
      </w:r>
      <w:r>
        <w:rPr>
          <w:rFonts w:ascii="Arial" w:cs="Arial" w:eastAsia="Arial" w:hAnsi="Arial"/>
          <w:sz w:val="16"/>
          <w:szCs w:val="16"/>
          <w:color w:val="auto"/>
        </w:rPr>
        <w:t>. All fees payable hereunder shall be paid on the dates due, in Dollars (or, at the election of the Borrower with respect to any fees payable to the Issuing Bank on account of Letters of Credit issued in any Foreign Currency, in such Foreign Currency) and immediately available funds, to the Administrative Agent (or to the Issuing Bank, in the case of fees payable to it) for distribution, in the case of commitment fees and participation fees, to the Lenders entitled thereto. Fees paid shall not be refundable under any circumstances absent obvious error.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90" w:lineRule="exact"/>
        <w:rPr>
          <w:sz w:val="20"/>
          <w:szCs w:val="20"/>
          <w:color w:val="auto"/>
        </w:rPr>
      </w:pPr>
    </w:p>
    <w:p>
      <w:pPr>
        <w:ind w:right="260" w:firstLine="921"/>
        <w:spacing w:after="0" w:line="268" w:lineRule="auto"/>
        <w:tabs>
          <w:tab w:leader="none" w:pos="115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ABR Loans</w:t>
      </w:r>
      <w:r>
        <w:rPr>
          <w:rFonts w:ascii="Arial" w:cs="Arial" w:eastAsia="Arial" w:hAnsi="Arial"/>
          <w:sz w:val="18"/>
          <w:szCs w:val="18"/>
          <w:color w:val="auto"/>
        </w:rPr>
        <w:t xml:space="preserve">. The Loans constituting each ABR Borrowing (including each Swingline Loan) shall bear interest at a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31" w:lineRule="exact"/>
        <w:rPr>
          <w:rFonts w:ascii="Arial" w:cs="Arial" w:eastAsia="Arial" w:hAnsi="Arial"/>
          <w:sz w:val="18"/>
          <w:szCs w:val="18"/>
          <w:color w:val="auto"/>
        </w:rPr>
      </w:pPr>
    </w:p>
    <w:p>
      <w:pPr>
        <w:ind w:right="280" w:firstLine="921"/>
        <w:spacing w:after="0" w:line="268" w:lineRule="auto"/>
        <w:tabs>
          <w:tab w:leader="none" w:pos="116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The Loans constituting each Eurocurrency Borrowing shall bear interest at a rate per annum equal to the Adjusted LIBO Rate for the related Interest Period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31" w:lineRule="exact"/>
        <w:rPr>
          <w:rFonts w:ascii="Arial" w:cs="Arial" w:eastAsia="Arial" w:hAnsi="Arial"/>
          <w:sz w:val="18"/>
          <w:szCs w:val="18"/>
          <w:color w:val="auto"/>
        </w:rPr>
      </w:pPr>
    </w:p>
    <w:p>
      <w:pPr>
        <w:ind w:right="80" w:firstLine="921"/>
        <w:spacing w:after="0" w:line="294" w:lineRule="auto"/>
        <w:tabs>
          <w:tab w:leader="none" w:pos="115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Default Interest</w:t>
      </w:r>
      <w:r>
        <w:rPr>
          <w:rFonts w:ascii="Arial" w:cs="Arial" w:eastAsia="Arial" w:hAnsi="Arial"/>
          <w:sz w:val="16"/>
          <w:szCs w:val="16"/>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otherwise applicable to such Loan as provided above, (ii) in the case of any Letter of Credit, 2%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fee otherwise applicable to such Letter of Credit as provided in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in the case of any fee or other amount, 2%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applicable to ABR Loans as provided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w:t>
      </w:r>
    </w:p>
    <w:p>
      <w:pPr>
        <w:spacing w:after="0" w:line="102"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1" w:name="page62"/>
    <w:bookmarkEnd w:id="61"/>
    <w:p>
      <w:pPr>
        <w:ind w:right="60" w:firstLine="921"/>
        <w:spacing w:after="0" w:line="291" w:lineRule="auto"/>
        <w:tabs>
          <w:tab w:leader="none" w:pos="116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Interest</w:t>
      </w:r>
      <w:r>
        <w:rPr>
          <w:rFonts w:ascii="Arial" w:cs="Arial" w:eastAsia="Arial" w:hAnsi="Arial"/>
          <w:sz w:val="16"/>
          <w:szCs w:val="16"/>
          <w:color w:val="auto"/>
        </w:rPr>
        <w:t xml:space="preserve">. Accrued interest on each Loan shall be payable in arrears on each Interest Payment Date for such Loan in the Currency in which such Loan is denominated and, in the case of Syndicated Loans, upon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shall be payable on demand, (ii) in the event of any repayment or prepayment of any Loan (other than a prepayment of a Syndicated ABR Loan prior to the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20" w:lineRule="exact"/>
        <w:rPr>
          <w:rFonts w:ascii="Arial" w:cs="Arial" w:eastAsia="Arial" w:hAnsi="Arial"/>
          <w:sz w:val="16"/>
          <w:szCs w:val="16"/>
          <w:color w:val="auto"/>
        </w:rPr>
      </w:pPr>
    </w:p>
    <w:p>
      <w:pPr>
        <w:ind w:right="300" w:firstLine="921"/>
        <w:spacing w:after="0" w:line="294" w:lineRule="auto"/>
        <w:tabs>
          <w:tab w:leader="none" w:pos="115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Computation</w:t>
      </w:r>
      <w:r>
        <w:rPr>
          <w:rFonts w:ascii="Arial" w:cs="Arial" w:eastAsia="Arial" w:hAnsi="Arial"/>
          <w:sz w:val="16"/>
          <w:szCs w:val="16"/>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Pounds Sterling or Canadian Dollars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 If prior to the commencement of the Interest Period for any Eurocurrency Borrowing of a Class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Currency of such Borrowing herein called the “</w:t>
      </w:r>
      <w:r>
        <w:rPr>
          <w:rFonts w:ascii="Arial" w:cs="Arial" w:eastAsia="Arial" w:hAnsi="Arial"/>
          <w:sz w:val="18"/>
          <w:szCs w:val="18"/>
          <w:u w:val="single" w:color="auto"/>
          <w:color w:val="auto"/>
        </w:rPr>
        <w:t>Affected Currency</w:t>
      </w:r>
      <w:r>
        <w:rPr>
          <w:rFonts w:ascii="Arial" w:cs="Arial" w:eastAsia="Arial" w:hAnsi="Arial"/>
          <w:sz w:val="18"/>
          <w:szCs w:val="18"/>
          <w:color w:val="auto"/>
        </w:rPr>
        <w:t>”):</w:t>
      </w:r>
    </w:p>
    <w:p>
      <w:pPr>
        <w:spacing w:after="0" w:line="84" w:lineRule="exact"/>
        <w:rPr>
          <w:sz w:val="20"/>
          <w:szCs w:val="20"/>
          <w:color w:val="auto"/>
        </w:rPr>
      </w:pPr>
    </w:p>
    <w:p>
      <w:pPr>
        <w:ind w:right="100" w:firstLine="921"/>
        <w:spacing w:after="0" w:line="268"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for the Affected Currency for such Interest Period; or</w:t>
      </w:r>
    </w:p>
    <w:p>
      <w:pPr>
        <w:spacing w:after="0" w:line="131" w:lineRule="exact"/>
        <w:rPr>
          <w:rFonts w:ascii="Arial" w:cs="Arial" w:eastAsia="Arial" w:hAnsi="Arial"/>
          <w:sz w:val="18"/>
          <w:szCs w:val="18"/>
          <w:color w:val="auto"/>
        </w:rPr>
      </w:pPr>
    </w:p>
    <w:p>
      <w:pPr>
        <w:ind w:right="360" w:firstLine="921"/>
        <w:spacing w:after="0" w:line="259" w:lineRule="auto"/>
        <w:tabs>
          <w:tab w:leader="none" w:pos="11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of such Class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4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then the Administrative Agent shall give notice thereof to the Borrower and the affected Lenders by telephone or telecopy as promptly as practicable thereafter and, until the Administrative Agent notifies the Borrower and such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any Borrowing Request that requests a Eurocurrency Borrowing denominated in the Affected Currency shall be ineffective.</w:t>
      </w:r>
    </w:p>
    <w:p>
      <w:pPr>
        <w:spacing w:after="0" w:line="10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2" w:name="page63"/>
    <w:bookmarkEnd w:id="6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account of, or credit extended by, any Lender (except any such reserve requirement reflected in the Adjusted LIBO Rate) or the Issuing Bank; or</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Eurocurrency Loans made by such Lender or any Letter of Credit or participation therein;</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and the result of any of the foregoing shall be to increase the cost to such Lenders of making, converting to, continuing or maintaining any Eurocurrency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116" w:lineRule="exact"/>
        <w:rPr>
          <w:sz w:val="20"/>
          <w:szCs w:val="20"/>
          <w:color w:val="auto"/>
        </w:rPr>
      </w:pPr>
    </w:p>
    <w:p>
      <w:pPr>
        <w:ind w:firstLine="921"/>
        <w:spacing w:after="0" w:line="289" w:lineRule="auto"/>
        <w:tabs>
          <w:tab w:leader="none" w:pos="116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by an amount deemed to be material by such Lender or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spacing w:after="0" w:line="118" w:lineRule="exact"/>
        <w:rPr>
          <w:rFonts w:ascii="Arial" w:cs="Arial" w:eastAsia="Arial" w:hAnsi="Arial"/>
          <w:sz w:val="16"/>
          <w:szCs w:val="16"/>
          <w:color w:val="auto"/>
        </w:rPr>
      </w:pPr>
    </w:p>
    <w:p>
      <w:pPr>
        <w:jc w:val="both"/>
        <w:ind w:right="60" w:firstLine="921"/>
        <w:spacing w:after="0" w:line="256" w:lineRule="auto"/>
        <w:tabs>
          <w:tab w:leader="none" w:pos="11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Certificates from Lenders</w:t>
      </w:r>
      <w:r>
        <w:rPr>
          <w:rFonts w:ascii="Arial" w:cs="Arial" w:eastAsia="Arial" w:hAnsi="Arial"/>
          <w:sz w:val="18"/>
          <w:szCs w:val="18"/>
          <w:color w:val="auto"/>
        </w:rPr>
        <w:t xml:space="preserve">. A certificate of a Lender or the Issuing Bank setting forth the amount or amounts, in Dollars, necessary to compensate such Lender or the Issuing Bank or its holding company, as the case may be,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shall be promptly delivered to the Borrower and shall be conclusive absent manifest error. The Borrower shall pay such Lender or the Issuing Bank, as the case may be, the amount shown as due on any such certificate within 10 days after receipt thereof.</w:t>
      </w:r>
    </w:p>
    <w:p>
      <w:pPr>
        <w:spacing w:after="0" w:line="143" w:lineRule="exact"/>
        <w:rPr>
          <w:rFonts w:ascii="Arial" w:cs="Arial" w:eastAsia="Arial" w:hAnsi="Arial"/>
          <w:sz w:val="18"/>
          <w:szCs w:val="18"/>
          <w:color w:val="auto"/>
        </w:rPr>
      </w:pPr>
    </w:p>
    <w:p>
      <w:pPr>
        <w:ind w:right="400" w:firstLine="921"/>
        <w:spacing w:after="0" w:line="268" w:lineRule="auto"/>
        <w:tabs>
          <w:tab w:leader="none" w:pos="1161"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3" w:name="page64"/>
    <w:bookmarkEnd w:id="6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six-month period referred to above shall be extended to include the period of retroactive effect thereof.</w:t>
      </w:r>
    </w:p>
    <w:p>
      <w:pPr>
        <w:spacing w:after="0" w:line="113"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and is revoked in accordance herewith), or (d) the assignment as a result of a request by the Borrower pursuant to</w:t>
      </w:r>
    </w:p>
    <w:p>
      <w:pPr>
        <w:spacing w:after="0" w:line="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of any Eurocurrency Loan other than on the last day of an Interest Period therefor, then, in any such event, the Borrower shall compensate each Lender for the loss, cost and reasonable expense attributable to such event. In the case of a Eurocurrency Loan, the loss to any Lender attributable to any such event shall be deemed to include an amount determined by such Lender to be equal to the excess, if any, of</w:t>
      </w:r>
    </w:p>
    <w:p>
      <w:pPr>
        <w:spacing w:after="0" w:line="28" w:lineRule="exact"/>
        <w:rPr>
          <w:sz w:val="20"/>
          <w:szCs w:val="20"/>
          <w:color w:val="auto"/>
        </w:rPr>
      </w:pPr>
    </w:p>
    <w:p>
      <w:pPr>
        <w:ind w:left="460" w:right="60" w:firstLine="443"/>
        <w:spacing w:after="0" w:line="298" w:lineRule="auto"/>
        <w:tabs>
          <w:tab w:leader="none" w:pos="1108"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16"/>
          <w:szCs w:val="16"/>
          <w:u w:val="single" w:color="auto"/>
          <w:color w:val="auto"/>
        </w:rPr>
        <w:t>over</w:t>
      </w:r>
    </w:p>
    <w:p>
      <w:pPr>
        <w:spacing w:after="0" w:line="31" w:lineRule="exact"/>
        <w:rPr>
          <w:rFonts w:ascii="Arial" w:cs="Arial" w:eastAsia="Arial" w:hAnsi="Arial"/>
          <w:sz w:val="16"/>
          <w:szCs w:val="16"/>
          <w:color w:val="auto"/>
        </w:rPr>
      </w:pPr>
    </w:p>
    <w:p>
      <w:pPr>
        <w:ind w:left="460" w:right="60" w:firstLine="443"/>
        <w:spacing w:after="0" w:line="259" w:lineRule="auto"/>
        <w:tabs>
          <w:tab w:leader="none" w:pos="115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9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4" w:name="page65"/>
    <w:bookmarkEnd w:id="64"/>
    <w:p>
      <w:pPr>
        <w:ind w:left="8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left="-8" w:right="60" w:firstLine="921"/>
        <w:spacing w:after="0" w:line="302" w:lineRule="auto"/>
        <w:tabs>
          <w:tab w:leader="none" w:pos="1144" w:val="left"/>
        </w:tabs>
        <w:numPr>
          <w:ilvl w:val="1"/>
          <w:numId w:val="75"/>
        </w:numPr>
        <w:rPr>
          <w:rFonts w:ascii="Arial" w:cs="Arial" w:eastAsia="Arial" w:hAnsi="Arial"/>
          <w:sz w:val="15"/>
          <w:szCs w:val="15"/>
          <w:color w:val="auto"/>
        </w:rPr>
      </w:pPr>
      <w:r>
        <w:rPr>
          <w:rFonts w:ascii="Arial" w:cs="Arial" w:eastAsia="Arial" w:hAnsi="Arial"/>
          <w:sz w:val="15"/>
          <w:szCs w:val="15"/>
          <w:u w:val="single" w:color="auto"/>
          <w:color w:val="auto"/>
        </w:rPr>
        <w:t>Payments Free of Taxes</w:t>
      </w:r>
      <w:r>
        <w:rPr>
          <w:rFonts w:ascii="Arial" w:cs="Arial" w:eastAsia="Arial" w:hAnsi="Arial"/>
          <w:sz w:val="15"/>
          <w:szCs w:val="15"/>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the Borrower shall make such deductions and</w:t>
      </w:r>
    </w:p>
    <w:p>
      <w:pPr>
        <w:spacing w:after="0" w:line="1" w:lineRule="exact"/>
        <w:rPr>
          <w:rFonts w:ascii="Arial" w:cs="Arial" w:eastAsia="Arial" w:hAnsi="Arial"/>
          <w:sz w:val="15"/>
          <w:szCs w:val="15"/>
          <w:color w:val="auto"/>
        </w:rPr>
      </w:pPr>
    </w:p>
    <w:p>
      <w:pPr>
        <w:ind w:left="312" w:hanging="312"/>
        <w:spacing w:after="0"/>
        <w:tabs>
          <w:tab w:leader="none" w:pos="3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Borrower shall pay the full amount deducted to the relevant Governmental Authority in accordance with applicable law.</w:t>
      </w:r>
    </w:p>
    <w:p>
      <w:pPr>
        <w:spacing w:after="0" w:line="164" w:lineRule="exact"/>
        <w:rPr>
          <w:rFonts w:ascii="Arial" w:cs="Arial" w:eastAsia="Arial" w:hAnsi="Arial"/>
          <w:sz w:val="18"/>
          <w:szCs w:val="18"/>
          <w:color w:val="auto"/>
        </w:rPr>
      </w:pPr>
    </w:p>
    <w:p>
      <w:pPr>
        <w:ind w:left="-8" w:right="620" w:firstLine="921"/>
        <w:spacing w:after="0" w:line="268" w:lineRule="auto"/>
        <w:tabs>
          <w:tab w:leader="none" w:pos="1153"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In addition, the Borrower shall pay any Other Taxes to the relevant Governmental Authority in accordance with applicable law.</w:t>
      </w:r>
    </w:p>
    <w:p>
      <w:pPr>
        <w:spacing w:after="0" w:line="131" w:lineRule="exact"/>
        <w:rPr>
          <w:rFonts w:ascii="Arial" w:cs="Arial" w:eastAsia="Arial" w:hAnsi="Arial"/>
          <w:sz w:val="18"/>
          <w:szCs w:val="18"/>
          <w:color w:val="auto"/>
        </w:rPr>
      </w:pPr>
    </w:p>
    <w:p>
      <w:pPr>
        <w:ind w:left="-8" w:right="60" w:firstLine="921"/>
        <w:spacing w:after="0" w:line="289" w:lineRule="auto"/>
        <w:tabs>
          <w:tab w:leader="none" w:pos="1144"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each Lender and the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the Issuing Bank. A certificate as to the amount of such payment or liability delivered to the Borrower by a Lender or the Issuing Bank, or by the Administrative Agent on its own behalf or on behalf of a Lender or the Issuing Bank, shall be conclusive absent manifest error.</w:t>
      </w:r>
    </w:p>
    <w:p>
      <w:pPr>
        <w:spacing w:after="0" w:line="118" w:lineRule="exact"/>
        <w:rPr>
          <w:rFonts w:ascii="Arial" w:cs="Arial" w:eastAsia="Arial" w:hAnsi="Arial"/>
          <w:sz w:val="16"/>
          <w:szCs w:val="16"/>
          <w:color w:val="auto"/>
        </w:rPr>
      </w:pPr>
    </w:p>
    <w:p>
      <w:pPr>
        <w:ind w:left="-8" w:firstLine="921"/>
        <w:spacing w:after="0" w:line="288" w:lineRule="auto"/>
        <w:tabs>
          <w:tab w:leader="none" w:pos="1153"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Indemnification by the Lenders</w:t>
      </w:r>
      <w:r>
        <w:rPr>
          <w:rFonts w:ascii="Arial" w:cs="Arial" w:eastAsia="Arial" w:hAnsi="Arial"/>
          <w:sz w:val="16"/>
          <w:szCs w:val="16"/>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6"/>
          <w:szCs w:val="16"/>
          <w:u w:val="single" w:color="auto"/>
          <w:color w:val="auto"/>
        </w:rPr>
        <w:t>Section 9.04(f)</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6"/>
          <w:szCs w:val="16"/>
          <w:u w:val="single" w:color="auto"/>
          <w:color w:val="auto"/>
        </w:rPr>
        <w:t>paragraph (d)</w:t>
      </w:r>
      <w:r>
        <w:rPr>
          <w:rFonts w:ascii="Arial" w:cs="Arial" w:eastAsia="Arial" w:hAnsi="Arial"/>
          <w:sz w:val="16"/>
          <w:szCs w:val="16"/>
          <w:color w:val="auto"/>
        </w:rPr>
        <w:t>.</w:t>
      </w:r>
    </w:p>
    <w:p>
      <w:pPr>
        <w:spacing w:after="0" w:line="106" w:lineRule="exact"/>
        <w:rPr>
          <w:sz w:val="20"/>
          <w:szCs w:val="20"/>
          <w:color w:val="auto"/>
        </w:rPr>
      </w:pPr>
    </w:p>
    <w:p>
      <w:pPr>
        <w:jc w:val="both"/>
        <w:ind w:left="5852"/>
        <w:spacing w:after="0"/>
        <w:tabs>
          <w:tab w:leader="none" w:pos="9412"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12"/>
          </w:cols>
          <w:pgMar w:left="248" w:top="280" w:right="239" w:bottom="1440" w:gutter="0" w:footer="0" w:header="0"/>
        </w:sectPr>
      </w:pPr>
    </w:p>
    <w:bookmarkStart w:id="65" w:name="page66"/>
    <w:bookmarkEnd w:id="65"/>
    <w:p>
      <w:pPr>
        <w:ind w:left="-903" w:right="140" w:firstLine="921"/>
        <w:spacing w:after="0" w:line="306" w:lineRule="auto"/>
        <w:tabs>
          <w:tab w:leader="none" w:pos="24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Evidence of Payments</w:t>
      </w:r>
      <w:r>
        <w:rPr>
          <w:rFonts w:ascii="Arial" w:cs="Arial" w:eastAsia="Arial" w:hAnsi="Arial"/>
          <w:sz w:val="16"/>
          <w:szCs w:val="16"/>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06" w:lineRule="exact"/>
        <w:rPr>
          <w:rFonts w:ascii="Arial" w:cs="Arial" w:eastAsia="Arial" w:hAnsi="Arial"/>
          <w:sz w:val="16"/>
          <w:szCs w:val="16"/>
          <w:color w:val="auto"/>
        </w:rPr>
      </w:pPr>
    </w:p>
    <w:p>
      <w:pPr>
        <w:ind w:left="-903" w:firstLine="921"/>
        <w:spacing w:after="0" w:line="287" w:lineRule="auto"/>
        <w:tabs>
          <w:tab w:leader="none" w:pos="230"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Tax Documentation</w:t>
      </w:r>
      <w:r>
        <w:rPr>
          <w:rFonts w:ascii="Arial" w:cs="Arial" w:eastAsia="Arial" w:hAnsi="Arial"/>
          <w:sz w:val="16"/>
          <w:szCs w:val="16"/>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2.16(f)(ii)</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41" w:lineRule="exact"/>
        <w:rPr>
          <w:rFonts w:ascii="Arial" w:cs="Arial" w:eastAsia="Arial" w:hAnsi="Arial"/>
          <w:sz w:val="16"/>
          <w:szCs w:val="16"/>
          <w:color w:val="auto"/>
        </w:rPr>
      </w:pPr>
    </w:p>
    <w:p>
      <w:pPr>
        <w:ind w:left="257" w:hanging="257"/>
        <w:spacing w:after="0"/>
        <w:tabs>
          <w:tab w:leader="none" w:pos="2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90" w:lineRule="exact"/>
        <w:rPr>
          <w:rFonts w:ascii="Arial" w:cs="Arial" w:eastAsia="Arial" w:hAnsi="Arial"/>
          <w:sz w:val="18"/>
          <w:szCs w:val="18"/>
          <w:color w:val="auto"/>
        </w:rPr>
      </w:pPr>
    </w:p>
    <w:p>
      <w:pPr>
        <w:ind w:left="17" w:right="80" w:firstLine="421"/>
        <w:spacing w:after="0" w:line="255" w:lineRule="auto"/>
        <w:tabs>
          <w:tab w:leader="none" w:pos="725" w:val="left"/>
        </w:tabs>
        <w:numPr>
          <w:ilvl w:val="2"/>
          <w:numId w:val="78"/>
        </w:numPr>
        <w:rPr>
          <w:rFonts w:ascii="Arial" w:cs="Arial" w:eastAsia="Arial" w:hAnsi="Arial"/>
          <w:sz w:val="18"/>
          <w:szCs w:val="18"/>
          <w:color w:val="auto"/>
        </w:rPr>
      </w:pPr>
      <w:r>
        <w:rPr>
          <w:rFonts w:ascii="Arial" w:cs="Arial" w:eastAsia="Arial" w:hAnsi="Arial"/>
          <w:sz w:val="18"/>
          <w:szCs w:val="18"/>
          <w:color w:val="auto"/>
        </w:rPr>
        <w:t>any Lender that is a “United States person” (as defined under Section 7701(a)(30) of the Code) shall deliver to the Borrower and the Administrative Agent (and such additional copies as shall be reasonably requested by the recipient) on or prior to the date on which such Lender become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61" w:lineRule="exact"/>
        <w:rPr>
          <w:rFonts w:ascii="Arial" w:cs="Arial" w:eastAsia="Arial" w:hAnsi="Arial"/>
          <w:sz w:val="18"/>
          <w:szCs w:val="18"/>
          <w:color w:val="auto"/>
        </w:rPr>
      </w:pPr>
    </w:p>
    <w:p>
      <w:pPr>
        <w:ind w:left="17" w:right="180" w:firstLine="421"/>
        <w:spacing w:after="0" w:line="256" w:lineRule="auto"/>
        <w:tabs>
          <w:tab w:leader="none" w:pos="715" w:val="left"/>
        </w:tabs>
        <w:numPr>
          <w:ilvl w:val="2"/>
          <w:numId w:val="78"/>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62" w:lineRule="exact"/>
        <w:rPr>
          <w:rFonts w:ascii="Arial" w:cs="Arial" w:eastAsia="Arial" w:hAnsi="Arial"/>
          <w:sz w:val="18"/>
          <w:szCs w:val="18"/>
          <w:color w:val="auto"/>
        </w:rPr>
      </w:pPr>
    </w:p>
    <w:p>
      <w:pPr>
        <w:ind w:left="597" w:right="340" w:firstLine="389"/>
        <w:spacing w:after="0" w:line="268" w:lineRule="auto"/>
        <w:tabs>
          <w:tab w:leader="none" w:pos="1282" w:val="left"/>
        </w:tabs>
        <w:numPr>
          <w:ilvl w:val="3"/>
          <w:numId w:val="78"/>
        </w:numPr>
        <w:rPr>
          <w:rFonts w:ascii="Arial" w:cs="Arial" w:eastAsia="Arial" w:hAnsi="Arial"/>
          <w:sz w:val="18"/>
          <w:szCs w:val="18"/>
          <w:color w:val="auto"/>
        </w:rPr>
      </w:pPr>
      <w:r>
        <w:rPr>
          <w:rFonts w:ascii="Arial" w:cs="Arial" w:eastAsia="Arial" w:hAnsi="Arial"/>
          <w:sz w:val="18"/>
          <w:szCs w:val="18"/>
          <w:color w:val="auto"/>
        </w:rPr>
        <w:t>duly completed and executed copies of Internal Revenue Service Form W-8BEN or any successor form claiming eligibility for benefits of an income tax treaty to which the United States is a party,</w:t>
      </w:r>
    </w:p>
    <w:p>
      <w:pPr>
        <w:spacing w:after="0" w:line="118"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66" w:name="page67"/>
    <w:bookmarkEnd w:id="66"/>
    <w:p>
      <w:pPr>
        <w:ind w:left="597" w:right="440" w:firstLine="389"/>
        <w:spacing w:after="0" w:line="332" w:lineRule="auto"/>
        <w:tabs>
          <w:tab w:leader="none" w:pos="1243" w:val="left"/>
        </w:tabs>
        <w:numPr>
          <w:ilvl w:val="1"/>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duly completed copies of Internal Revenue Service Form W-8ECI or any successor form certifying that the income receivable pursuant to this Agreement is effectively connected with the conduct of a trade or business in the United States,</w:t>
      </w:r>
    </w:p>
    <w:p>
      <w:pPr>
        <w:spacing w:after="0" w:line="4" w:lineRule="exact"/>
        <w:rPr>
          <w:rFonts w:ascii="Arial" w:cs="Arial" w:eastAsia="Arial" w:hAnsi="Arial"/>
          <w:sz w:val="16"/>
          <w:szCs w:val="16"/>
          <w:color w:val="auto"/>
        </w:rPr>
      </w:pPr>
    </w:p>
    <w:p>
      <w:pPr>
        <w:ind w:left="597" w:right="80" w:firstLine="389"/>
        <w:spacing w:after="0" w:line="294" w:lineRule="auto"/>
        <w:tabs>
          <w:tab w:leader="none" w:pos="1243" w:val="left"/>
        </w:tabs>
        <w:numPr>
          <w:ilvl w:val="1"/>
          <w:numId w:val="79"/>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any successor form) certifying that the Foreign Lender is not a United States Person, or</w:t>
      </w:r>
    </w:p>
    <w:p>
      <w:pPr>
        <w:spacing w:after="0" w:line="34" w:lineRule="exact"/>
        <w:rPr>
          <w:rFonts w:ascii="Arial" w:cs="Arial" w:eastAsia="Arial" w:hAnsi="Arial"/>
          <w:sz w:val="16"/>
          <w:szCs w:val="16"/>
          <w:color w:val="auto"/>
        </w:rPr>
      </w:pPr>
    </w:p>
    <w:p>
      <w:pPr>
        <w:ind w:left="1217" w:hanging="231"/>
        <w:spacing w:after="0"/>
        <w:tabs>
          <w:tab w:leader="none" w:pos="1217"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other form including Internal Revenue Service Form W-8IMY as applicable prescribed by applicable law as a basis for</w:t>
      </w:r>
    </w:p>
    <w:p>
      <w:pPr>
        <w:spacing w:after="0" w:line="38" w:lineRule="exact"/>
        <w:rPr>
          <w:rFonts w:ascii="Arial" w:cs="Arial" w:eastAsia="Arial" w:hAnsi="Arial"/>
          <w:sz w:val="16"/>
          <w:szCs w:val="16"/>
          <w:color w:val="auto"/>
        </w:rPr>
      </w:pPr>
    </w:p>
    <w:p>
      <w:pPr>
        <w:ind w:left="597" w:right="40"/>
        <w:spacing w:after="0" w:line="323" w:lineRule="auto"/>
        <w:rPr>
          <w:rFonts w:ascii="Arial" w:cs="Arial" w:eastAsia="Arial" w:hAnsi="Arial"/>
          <w:sz w:val="16"/>
          <w:szCs w:val="16"/>
          <w:color w:val="auto"/>
        </w:rPr>
      </w:pPr>
      <w:r>
        <w:rPr>
          <w:rFonts w:ascii="Arial" w:cs="Arial" w:eastAsia="Arial" w:hAnsi="Arial"/>
          <w:sz w:val="16"/>
          <w:szCs w:val="16"/>
          <w:color w:val="auto"/>
        </w:rPr>
        <w:t>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1" w:lineRule="exact"/>
        <w:rPr>
          <w:rFonts w:ascii="Arial" w:cs="Arial" w:eastAsia="Arial" w:hAnsi="Arial"/>
          <w:sz w:val="16"/>
          <w:szCs w:val="16"/>
          <w:color w:val="auto"/>
        </w:rPr>
      </w:pPr>
    </w:p>
    <w:p>
      <w:pPr>
        <w:jc w:val="both"/>
        <w:ind w:left="-443" w:right="140" w:firstLine="443"/>
        <w:spacing w:after="0" w:line="298" w:lineRule="auto"/>
        <w:tabs>
          <w:tab w:leader="none" w:pos="303"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In addition, each Lender shall deliver such forms promptly upon the obsolescence, expiration or invalidity of any form previously delivered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13" w:lineRule="exact"/>
        <w:rPr>
          <w:sz w:val="20"/>
          <w:szCs w:val="20"/>
          <w:color w:val="auto"/>
        </w:rPr>
      </w:pPr>
    </w:p>
    <w:p>
      <w:pPr>
        <w:ind w:left="-903" w:right="40" w:firstLine="921"/>
        <w:spacing w:after="0" w:line="312" w:lineRule="auto"/>
        <w:tabs>
          <w:tab w:leader="none" w:pos="259"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Documentation Required by FATCA</w:t>
      </w:r>
      <w:r>
        <w:rPr>
          <w:rFonts w:ascii="Arial" w:cs="Arial" w:eastAsia="Arial" w:hAnsi="Arial"/>
          <w:sz w:val="15"/>
          <w:szCs w:val="15"/>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Arial" w:cs="Arial" w:eastAsia="Arial" w:hAnsi="Arial"/>
          <w:sz w:val="15"/>
          <w:szCs w:val="15"/>
          <w:u w:val="single" w:color="auto"/>
          <w:color w:val="auto"/>
        </w:rPr>
        <w:t>Section 2.16(g)</w:t>
      </w:r>
      <w:r>
        <w:rPr>
          <w:rFonts w:ascii="Arial" w:cs="Arial" w:eastAsia="Arial" w:hAnsi="Arial"/>
          <w:sz w:val="15"/>
          <w:szCs w:val="15"/>
          <w:color w:val="auto"/>
        </w:rPr>
        <w:t>, “FATCA” shall include any amendments made to FATCA after the date of this Agreement.</w:t>
      </w:r>
    </w:p>
    <w:p>
      <w:pPr>
        <w:spacing w:after="0" w:line="105" w:lineRule="exact"/>
        <w:rPr>
          <w:rFonts w:ascii="Arial" w:cs="Arial" w:eastAsia="Arial" w:hAnsi="Arial"/>
          <w:sz w:val="15"/>
          <w:szCs w:val="15"/>
          <w:color w:val="auto"/>
        </w:rPr>
      </w:pPr>
    </w:p>
    <w:p>
      <w:pPr>
        <w:ind w:left="-903" w:right="40" w:firstLine="921"/>
        <w:spacing w:after="0" w:line="268" w:lineRule="auto"/>
        <w:tabs>
          <w:tab w:leader="none" w:pos="25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the Administrative Agent, any Lender or an Issuing Bank determines, in its sole discretion, that it has received a refund or credit (in lieu of such refund) of any Taxes or Other Taxes as to which it has been indemnified by the Borrower or</w:t>
      </w:r>
    </w:p>
    <w:p>
      <w:pPr>
        <w:spacing w:after="0" w:line="118"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67" w:name="page68"/>
    <w:bookmarkEnd w:id="6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in no event will the Administrative Agent, any Lender or an Issuing Bank be required to pay any amount to Borrower pursuant to this </w:t>
      </w:r>
      <w:r>
        <w:rPr>
          <w:rFonts w:ascii="Arial" w:cs="Arial" w:eastAsia="Arial" w:hAnsi="Arial"/>
          <w:sz w:val="16"/>
          <w:szCs w:val="16"/>
          <w:u w:val="single" w:color="auto"/>
          <w:color w:val="auto"/>
        </w:rPr>
        <w:t>clause (h)</w:t>
      </w:r>
      <w:r>
        <w:rPr>
          <w:rFonts w:ascii="Arial" w:cs="Arial" w:eastAsia="Arial" w:hAnsi="Arial"/>
          <w:sz w:val="16"/>
          <w:szCs w:val="16"/>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87" w:lineRule="auto"/>
        <w:tabs>
          <w:tab w:leader="none" w:pos="115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Payments by the Borrower</w:t>
      </w:r>
      <w:r>
        <w:rPr>
          <w:rFonts w:ascii="Arial" w:cs="Arial" w:eastAsia="Arial" w:hAnsi="Arial"/>
          <w:sz w:val="16"/>
          <w:szCs w:val="16"/>
          <w:color w:val="auto"/>
        </w:rPr>
        <w:t xml:space="preserve">. The Borrower shall make each payment required to be made by it hereunder (whether of principal, interest, fees or reimbursement of LC Disbursements, or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the Issuing Bank or the Swingline Lender as expressly provided herein and payments pursuant to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23"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All amounts owing under this Agreement (including commitment fees, payments required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payments required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w:t>
      </w:r>
    </w:p>
    <w:p>
      <w:pPr>
        <w:spacing w:after="0" w:line="12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8" w:name="page69"/>
    <w:bookmarkEnd w:id="6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Currency</w:t>
      </w:r>
      <w:r>
        <w:rPr>
          <w:rFonts w:ascii="Arial" w:cs="Arial" w:eastAsia="Arial" w:hAnsi="Arial"/>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44" w:lineRule="exact"/>
        <w:rPr>
          <w:sz w:val="20"/>
          <w:szCs w:val="20"/>
          <w:color w:val="auto"/>
        </w:rPr>
      </w:pPr>
    </w:p>
    <w:p>
      <w:pPr>
        <w:ind w:right="80" w:firstLine="921"/>
        <w:spacing w:after="0" w:line="294" w:lineRule="auto"/>
        <w:tabs>
          <w:tab w:leader="none" w:pos="1161"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Application of Insufficient Payments</w:t>
      </w:r>
      <w:r>
        <w:rPr>
          <w:rFonts w:ascii="Arial" w:cs="Arial" w:eastAsia="Arial" w:hAnsi="Arial"/>
          <w:sz w:val="16"/>
          <w:szCs w:val="16"/>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15" w:lineRule="exact"/>
        <w:rPr>
          <w:rFonts w:ascii="Arial" w:cs="Arial" w:eastAsia="Arial" w:hAnsi="Arial"/>
          <w:sz w:val="16"/>
          <w:szCs w:val="16"/>
          <w:color w:val="auto"/>
        </w:rPr>
      </w:pPr>
    </w:p>
    <w:p>
      <w:pPr>
        <w:ind w:right="20" w:firstLine="921"/>
        <w:spacing w:after="0" w:line="287" w:lineRule="auto"/>
        <w:tabs>
          <w:tab w:leader="none" w:pos="1152"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Pro Rata Treatment</w:t>
      </w:r>
      <w:r>
        <w:rPr>
          <w:rFonts w:ascii="Arial" w:cs="Arial" w:eastAsia="Arial" w:hAnsi="Arial"/>
          <w:sz w:val="16"/>
          <w:szCs w:val="16"/>
          <w:color w:val="auto"/>
        </w:rPr>
        <w:t xml:space="preserve">. Except to the extent otherwise provided herein: (i) each Syndicated Borrowing of a Class shall be made from the Lenders of such Class, each payment of commitment fee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be made for account of the Lenders of the applicable Class, and each termination or reduction of the amount of the Commitments of a Class under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shall be applied to the respective Commitments of the Lenders of such Class, pro rata according to the amounts of their respective Commitments of such Class; (ii)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by the Borrower shall be made for account of the Lenders of such Class pro rata in accordance with the respective unpaid principal amounts of the Syndicated Loans of such Class held by them; and (iv) each payment of interest on Syndicated Loans of a Class by the Borrower shall be made for account of the Lenders of such Class pro rata in accordance with the amounts of interest on such Loans of such Class then due and payable to the respective Lenders.</w:t>
      </w:r>
    </w:p>
    <w:p>
      <w:pPr>
        <w:spacing w:after="0" w:line="109"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69" w:name="page70"/>
    <w:bookmarkEnd w:id="69"/>
    <w:p>
      <w:pPr>
        <w:ind w:right="20" w:firstLine="921"/>
        <w:spacing w:after="0" w:line="285" w:lineRule="auto"/>
        <w:tabs>
          <w:tab w:leader="none" w:pos="1161"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Sharing of Payments by Lenders</w:t>
      </w:r>
      <w:r>
        <w:rPr>
          <w:rFonts w:ascii="Arial" w:cs="Arial" w:eastAsia="Arial" w:hAnsi="Arial"/>
          <w:sz w:val="16"/>
          <w:szCs w:val="16"/>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26" w:lineRule="exact"/>
        <w:rPr>
          <w:rFonts w:ascii="Arial" w:cs="Arial" w:eastAsia="Arial" w:hAnsi="Arial"/>
          <w:sz w:val="16"/>
          <w:szCs w:val="16"/>
          <w:color w:val="auto"/>
        </w:rPr>
      </w:pPr>
    </w:p>
    <w:p>
      <w:pPr>
        <w:ind w:right="40" w:firstLine="921"/>
        <w:spacing w:after="0" w:line="290" w:lineRule="auto"/>
        <w:tabs>
          <w:tab w:leader="none" w:pos="1152"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Presumptions of Payment</w:t>
      </w:r>
      <w:r>
        <w:rPr>
          <w:rFonts w:ascii="Arial" w:cs="Arial" w:eastAsia="Arial" w:hAnsi="Arial"/>
          <w:sz w:val="16"/>
          <w:szCs w:val="16"/>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118" w:lineRule="exact"/>
        <w:rPr>
          <w:rFonts w:ascii="Arial" w:cs="Arial" w:eastAsia="Arial" w:hAnsi="Arial"/>
          <w:sz w:val="16"/>
          <w:szCs w:val="16"/>
          <w:color w:val="auto"/>
        </w:rPr>
      </w:pPr>
    </w:p>
    <w:p>
      <w:pPr>
        <w:ind w:left="1140" w:hanging="219"/>
        <w:spacing w:after="0"/>
        <w:tabs>
          <w:tab w:leader="none" w:pos="114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Certain Deductions by the Administrative Agent</w:t>
      </w:r>
      <w:r>
        <w:rPr>
          <w:rFonts w:ascii="Arial" w:cs="Arial" w:eastAsia="Arial" w:hAnsi="Arial"/>
          <w:sz w:val="16"/>
          <w:szCs w:val="16"/>
          <w:color w:val="auto"/>
        </w:rPr>
        <w:t>. If any Lender shall fail to make any payment required to be made by it pursuant to</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2.17(e)</w:t>
      </w:r>
      <w:r>
        <w:rPr>
          <w:rFonts w:ascii="Arial" w:cs="Arial" w:eastAsia="Arial" w:hAnsi="Arial"/>
          <w:sz w:val="18"/>
          <w:szCs w:val="18"/>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3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0" w:name="page71"/>
    <w:bookmarkEnd w:id="70"/>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71" w:lineRule="exact"/>
        <w:rPr>
          <w:sz w:val="20"/>
          <w:szCs w:val="20"/>
          <w:color w:val="auto"/>
        </w:rPr>
      </w:pPr>
    </w:p>
    <w:p>
      <w:pPr>
        <w:ind w:left="-903" w:right="120" w:firstLine="921"/>
        <w:spacing w:after="0" w:line="290" w:lineRule="auto"/>
        <w:tabs>
          <w:tab w:leader="none" w:pos="249"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18" w:lineRule="exact"/>
        <w:rPr>
          <w:rFonts w:ascii="Arial" w:cs="Arial" w:eastAsia="Arial" w:hAnsi="Arial"/>
          <w:sz w:val="16"/>
          <w:szCs w:val="16"/>
          <w:color w:val="auto"/>
        </w:rPr>
      </w:pPr>
    </w:p>
    <w:p>
      <w:pPr>
        <w:ind w:left="-903" w:firstLine="921"/>
        <w:spacing w:after="0" w:line="286" w:lineRule="auto"/>
        <w:tabs>
          <w:tab w:leader="none" w:pos="259"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if any Lender becomes a Defaulting Lender or is a Non-Consenting Lender (as provided in </w:t>
      </w:r>
      <w:r>
        <w:rPr>
          <w:rFonts w:ascii="Arial" w:cs="Arial" w:eastAsia="Arial" w:hAnsi="Arial"/>
          <w:sz w:val="16"/>
          <w:szCs w:val="16"/>
          <w:u w:val="single" w:color="auto"/>
          <w:color w:val="auto"/>
        </w:rPr>
        <w:t>Section 9.02(d)</w:t>
      </w:r>
      <w:r>
        <w:rPr>
          <w:rFonts w:ascii="Arial" w:cs="Arial" w:eastAsia="Arial" w:hAnsi="Arial"/>
          <w:sz w:val="16"/>
          <w:szCs w:val="16"/>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Commitment is being assigned,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21" w:lineRule="exact"/>
        <w:rPr>
          <w:sz w:val="20"/>
          <w:szCs w:val="20"/>
          <w:color w:val="auto"/>
        </w:rPr>
      </w:pPr>
    </w:p>
    <w:p>
      <w:pPr>
        <w:ind w:left="17"/>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71" w:lineRule="exact"/>
        <w:rPr>
          <w:sz w:val="20"/>
          <w:szCs w:val="20"/>
          <w:color w:val="auto"/>
        </w:rPr>
      </w:pPr>
    </w:p>
    <w:p>
      <w:pPr>
        <w:ind w:left="-903" w:right="420" w:firstLine="921"/>
        <w:spacing w:after="0" w:line="332" w:lineRule="auto"/>
        <w:tabs>
          <w:tab w:leader="none" w:pos="249"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4" w:lineRule="exact"/>
        <w:rPr>
          <w:rFonts w:ascii="Arial" w:cs="Arial" w:eastAsia="Arial" w:hAnsi="Arial"/>
          <w:sz w:val="16"/>
          <w:szCs w:val="16"/>
          <w:color w:val="auto"/>
        </w:rPr>
      </w:pPr>
    </w:p>
    <w:p>
      <w:pPr>
        <w:ind w:left="-443" w:right="140" w:firstLine="443"/>
        <w:spacing w:after="0" w:line="259" w:lineRule="auto"/>
        <w:tabs>
          <w:tab w:leader="none" w:pos="20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otherwise) or received by Administrative Agent from a Defaulting Lender pursuant to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shall be applied at such time or times as may be determined by</w:t>
      </w:r>
    </w:p>
    <w:p>
      <w:pPr>
        <w:spacing w:after="0" w:line="127" w:lineRule="exact"/>
        <w:rPr>
          <w:sz w:val="20"/>
          <w:szCs w:val="20"/>
          <w:color w:val="auto"/>
        </w:rPr>
      </w:pPr>
    </w:p>
    <w:p>
      <w:pPr>
        <w:jc w:val="both"/>
        <w:ind w:left="4957"/>
        <w:spacing w:after="0"/>
        <w:tabs>
          <w:tab w:leader="none" w:pos="8517"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71" w:name="page72"/>
    <w:bookmarkEnd w:id="71"/>
    <w:p>
      <w:pPr>
        <w:ind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Issuing Bank or Swingline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Issuing Bank’s Fronting Exposure with respect to such Defaulting Lender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Administrative Agent and Borrower, to be held in a deposit account and released pro rata in order to (x) satisfy such Defaulting Lender’s potential future funding obligations with respect to Loans under this Agreement and</w:t>
      </w:r>
    </w:p>
    <w:p>
      <w:pPr>
        <w:spacing w:after="0" w:line="1" w:lineRule="exact"/>
        <w:rPr>
          <w:sz w:val="20"/>
          <w:szCs w:val="20"/>
          <w:color w:val="auto"/>
        </w:rPr>
      </w:pPr>
    </w:p>
    <w:p>
      <w:pPr>
        <w:ind w:right="20" w:firstLine="4"/>
        <w:spacing w:after="0" w:line="284" w:lineRule="auto"/>
        <w:tabs>
          <w:tab w:leader="none" w:pos="249"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Cash Collateralize Issuing Bank’s future Fronting Exposure with respect to such Defaulting Lender with respect to future Letters of Credit issued under this Agreement,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Issuing Bank or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6"/>
          <w:szCs w:val="16"/>
          <w:u w:val="single" w:color="auto"/>
          <w:color w:val="auto"/>
        </w:rPr>
        <w:t>Section 2.19(a)(iii)</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2.19(a)(i)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50" w:lineRule="exact"/>
        <w:rPr>
          <w:rFonts w:ascii="Arial" w:cs="Arial" w:eastAsia="Arial" w:hAnsi="Arial"/>
          <w:sz w:val="16"/>
          <w:szCs w:val="16"/>
          <w:color w:val="auto"/>
        </w:rPr>
      </w:pPr>
    </w:p>
    <w:p>
      <w:pPr>
        <w:ind w:left="700" w:hanging="257"/>
        <w:spacing w:after="0"/>
        <w:tabs>
          <w:tab w:leader="none" w:pos="70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21"/>
        <w:spacing w:after="0" w:line="255" w:lineRule="auto"/>
        <w:tabs>
          <w:tab w:leader="none" w:pos="1167" w:val="left"/>
        </w:tabs>
        <w:numPr>
          <w:ilvl w:val="2"/>
          <w:numId w:val="88"/>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pursuant to </w:t>
      </w:r>
      <w:r>
        <w:rPr>
          <w:rFonts w:ascii="Arial" w:cs="Arial" w:eastAsia="Arial" w:hAnsi="Arial"/>
          <w:sz w:val="18"/>
          <w:szCs w:val="18"/>
          <w:u w:val="single" w:color="auto"/>
          <w:color w:val="auto"/>
        </w:rPr>
        <w:t>Sections 2.11(a)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Defaulting Lender shall be entitled to receive fees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129" w:lineRule="exact"/>
        <w:rPr>
          <w:sz w:val="20"/>
          <w:szCs w:val="20"/>
          <w:color w:val="auto"/>
        </w:rPr>
      </w:pPr>
    </w:p>
    <w:p>
      <w:pPr>
        <w:jc w:val="both"/>
        <w:ind w:left="5400"/>
        <w:spacing w:after="0"/>
        <w:tabs>
          <w:tab w:leader="none" w:pos="89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72" w:name="page73"/>
    <w:bookmarkEnd w:id="72"/>
    <w:p>
      <w:pPr>
        <w:ind w:left="1160" w:hanging="279"/>
        <w:spacing w:after="0"/>
        <w:tabs>
          <w:tab w:leader="none" w:pos="1160" w:val="left"/>
        </w:tabs>
        <w:numPr>
          <w:ilvl w:val="1"/>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any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fees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Borrower shall</w:t>
      </w:r>
    </w:p>
    <w:p>
      <w:pPr>
        <w:spacing w:after="0" w:line="38" w:lineRule="exact"/>
        <w:rPr>
          <w:rFonts w:ascii="Arial" w:cs="Arial" w:eastAsia="Arial" w:hAnsi="Arial"/>
          <w:sz w:val="16"/>
          <w:szCs w:val="16"/>
          <w:color w:val="auto"/>
        </w:rPr>
      </w:pPr>
    </w:p>
    <w:p>
      <w:pPr>
        <w:ind w:left="460" w:firstLine="1"/>
        <w:spacing w:after="0" w:line="281" w:lineRule="auto"/>
        <w:tabs>
          <w:tab w:leader="none" w:pos="709"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w:t>
      </w:r>
    </w:p>
    <w:p>
      <w:pPr>
        <w:spacing w:after="0" w:line="1" w:lineRule="exact"/>
        <w:rPr>
          <w:rFonts w:ascii="Arial" w:cs="Arial" w:eastAsia="Arial" w:hAnsi="Arial"/>
          <w:sz w:val="16"/>
          <w:szCs w:val="16"/>
          <w:color w:val="auto"/>
        </w:rPr>
      </w:pPr>
    </w:p>
    <w:p>
      <w:pPr>
        <w:ind w:left="460" w:right="220" w:firstLine="1"/>
        <w:spacing w:after="0" w:line="261" w:lineRule="auto"/>
        <w:tabs>
          <w:tab w:leader="none" w:pos="709"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 to Issuing Bank the amount of any such fee otherwise payable to such Defaulting Lender to the extent allocable to Issuing Bank’s Fronting Exposure to such Defaulting Lender, and (z) not be required to pay the remaining amount of any such fee.</w:t>
      </w:r>
    </w:p>
    <w:p>
      <w:pPr>
        <w:spacing w:after="0" w:line="57" w:lineRule="exact"/>
        <w:rPr>
          <w:sz w:val="20"/>
          <w:szCs w:val="20"/>
          <w:color w:val="auto"/>
        </w:rPr>
      </w:pPr>
    </w:p>
    <w:p>
      <w:pPr>
        <w:ind w:right="220" w:firstLine="443"/>
        <w:spacing w:after="0" w:line="302" w:lineRule="auto"/>
        <w:tabs>
          <w:tab w:leader="none" w:pos="745" w:val="left"/>
        </w:tabs>
        <w:numPr>
          <w:ilvl w:val="1"/>
          <w:numId w:val="91"/>
        </w:numPr>
        <w:rPr>
          <w:rFonts w:ascii="Arial" w:cs="Arial" w:eastAsia="Arial" w:hAnsi="Arial"/>
          <w:sz w:val="15"/>
          <w:szCs w:val="15"/>
          <w:color w:val="auto"/>
        </w:rPr>
      </w:pPr>
      <w:r>
        <w:rPr>
          <w:rFonts w:ascii="Arial" w:cs="Arial" w:eastAsia="Arial" w:hAnsi="Arial"/>
          <w:sz w:val="15"/>
          <w:szCs w:val="15"/>
          <w:u w:val="single" w:color="auto"/>
          <w:color w:val="auto"/>
        </w:rPr>
        <w:t>Reallocation of Participations to Reduce Fronting Exposure</w:t>
      </w:r>
      <w:r>
        <w:rPr>
          <w:rFonts w:ascii="Arial" w:cs="Arial" w:eastAsia="Arial" w:hAnsi="Arial"/>
          <w:sz w:val="15"/>
          <w:szCs w:val="15"/>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w:t>
      </w:r>
    </w:p>
    <w:p>
      <w:pPr>
        <w:ind w:left="260" w:hanging="256"/>
        <w:spacing w:after="0"/>
        <w:tabs>
          <w:tab w:leader="none" w:pos="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such reallocation does not cause the aggregate Revolving Credit Exposure of any Non-Defaulting Lender to exceed such Non-Defaulting Lender’s</w:t>
      </w:r>
    </w:p>
    <w:p>
      <w:pPr>
        <w:spacing w:after="0" w:line="32" w:lineRule="exact"/>
        <w:rPr>
          <w:rFonts w:ascii="Arial" w:cs="Arial" w:eastAsia="Arial" w:hAnsi="Arial"/>
          <w:sz w:val="16"/>
          <w:szCs w:val="16"/>
          <w:color w:val="auto"/>
        </w:rPr>
      </w:pPr>
    </w:p>
    <w:p>
      <w:pPr>
        <w:ind w:right="180"/>
        <w:spacing w:after="0" w:line="255" w:lineRule="auto"/>
        <w:rPr>
          <w:rFonts w:ascii="Arial" w:cs="Arial" w:eastAsia="Arial" w:hAnsi="Arial"/>
          <w:sz w:val="16"/>
          <w:szCs w:val="16"/>
          <w:color w:val="auto"/>
        </w:rPr>
      </w:pPr>
      <w:r>
        <w:rPr>
          <w:rFonts w:ascii="Arial" w:cs="Arial" w:eastAsia="Arial" w:hAnsi="Arial"/>
          <w:sz w:val="18"/>
          <w:szCs w:val="18"/>
          <w:color w:val="auto"/>
        </w:rPr>
        <w:t>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63" w:lineRule="exact"/>
        <w:rPr>
          <w:sz w:val="20"/>
          <w:szCs w:val="20"/>
          <w:color w:val="auto"/>
        </w:rPr>
      </w:pPr>
    </w:p>
    <w:p>
      <w:pPr>
        <w:ind w:right="40" w:firstLine="443"/>
        <w:spacing w:after="0" w:line="289" w:lineRule="auto"/>
        <w:tabs>
          <w:tab w:leader="none" w:pos="73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Cash Collateral; Repayment of Swingline Loans</w:t>
      </w:r>
      <w:r>
        <w:rPr>
          <w:rFonts w:ascii="Arial" w:cs="Arial" w:eastAsia="Arial" w:hAnsi="Arial"/>
          <w:sz w:val="16"/>
          <w:szCs w:val="16"/>
          <w:color w:val="auto"/>
        </w:rPr>
        <w:t xml:space="preserve">. If the reallocation described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cannot, or can only partially, be effected, the Borrower shall not later than two (2) Business Days after demand by the Administrative Agent (at the direction of the Issuing Bank and/or the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the Issuing Bank’s Fronting Exposure in accordance with the procedures set forth in </w:t>
      </w:r>
      <w:r>
        <w:rPr>
          <w:rFonts w:ascii="Arial" w:cs="Arial" w:eastAsia="Arial" w:hAnsi="Arial"/>
          <w:sz w:val="16"/>
          <w:szCs w:val="16"/>
          <w:u w:val="single" w:color="auto"/>
          <w:color w:val="auto"/>
        </w:rPr>
        <w:t>Section 2.19(d)</w:t>
      </w:r>
      <w:r>
        <w:rPr>
          <w:rFonts w:ascii="Arial" w:cs="Arial" w:eastAsia="Arial" w:hAnsi="Arial"/>
          <w:sz w:val="16"/>
          <w:szCs w:val="16"/>
          <w:color w:val="auto"/>
        </w:rPr>
        <w:t xml:space="preserve"> or (z) make other arrangements reasonably satisfactory to the Administrative Agent, the Issuing Bank and the Swingline Lender in their sole discretion to protect them against the risk of non-payment by such Defaulting Lender.</w:t>
      </w:r>
    </w:p>
    <w:p>
      <w:pPr>
        <w:spacing w:after="0" w:line="105" w:lineRule="exact"/>
        <w:rPr>
          <w:sz w:val="20"/>
          <w:szCs w:val="20"/>
          <w:color w:val="auto"/>
        </w:rPr>
      </w:pPr>
    </w:p>
    <w:p>
      <w:pPr>
        <w:jc w:val="both"/>
        <w:ind w:left="5400"/>
        <w:spacing w:after="0"/>
        <w:tabs>
          <w:tab w:leader="none" w:pos="89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73" w:name="page74"/>
    <w:bookmarkEnd w:id="73"/>
    <w:p>
      <w:pPr>
        <w:ind w:left="-8" w:right="120" w:firstLine="921"/>
        <w:spacing w:after="0" w:line="308" w:lineRule="auto"/>
        <w:tabs>
          <w:tab w:leader="none" w:pos="1153" w:val="left"/>
        </w:tabs>
        <w:numPr>
          <w:ilvl w:val="2"/>
          <w:numId w:val="9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Lender Cure</w:t>
      </w:r>
      <w:r>
        <w:rPr>
          <w:rFonts w:ascii="Arial" w:cs="Arial" w:eastAsia="Arial" w:hAnsi="Arial"/>
          <w:sz w:val="15"/>
          <w:szCs w:val="15"/>
          <w:color w:val="auto"/>
        </w:rPr>
        <w:t xml:space="preserve">. If the Borrower, the Administrative Agent, the Swingline Lender and the Issuing Bank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5"/>
          <w:szCs w:val="15"/>
          <w:u w:val="single" w:color="auto"/>
          <w:color w:val="auto"/>
        </w:rPr>
        <w:t>Section 2.19(a)(iii)</w:t>
      </w:r>
      <w:r>
        <w:rPr>
          <w:rFonts w:ascii="Arial" w:cs="Arial" w:eastAsia="Arial" w:hAnsi="Arial"/>
          <w:sz w:val="15"/>
          <w:szCs w:val="15"/>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09" w:lineRule="exact"/>
        <w:rPr>
          <w:rFonts w:ascii="Arial" w:cs="Arial" w:eastAsia="Arial" w:hAnsi="Arial"/>
          <w:sz w:val="15"/>
          <w:szCs w:val="15"/>
          <w:color w:val="auto"/>
        </w:rPr>
      </w:pPr>
    </w:p>
    <w:p>
      <w:pPr>
        <w:ind w:left="-8" w:right="80" w:firstLine="921"/>
        <w:spacing w:after="0" w:line="286" w:lineRule="auto"/>
        <w:tabs>
          <w:tab w:leader="none" w:pos="1144" w:val="left"/>
        </w:tabs>
        <w:numPr>
          <w:ilvl w:val="2"/>
          <w:numId w:val="94"/>
        </w:numPr>
        <w:rPr>
          <w:rFonts w:ascii="Arial" w:cs="Arial" w:eastAsia="Arial" w:hAnsi="Arial"/>
          <w:sz w:val="16"/>
          <w:szCs w:val="16"/>
          <w:color w:val="auto"/>
        </w:rPr>
      </w:pPr>
      <w:r>
        <w:rPr>
          <w:rFonts w:ascii="Arial" w:cs="Arial" w:eastAsia="Arial" w:hAnsi="Arial"/>
          <w:sz w:val="16"/>
          <w:szCs w:val="16"/>
          <w:u w:val="single" w:color="auto"/>
          <w:color w:val="auto"/>
        </w:rPr>
        <w:t>New Swingline Loans/Letters of Credit</w:t>
      </w:r>
      <w:r>
        <w:rPr>
          <w:rFonts w:ascii="Arial" w:cs="Arial" w:eastAsia="Arial" w:hAnsi="Arial"/>
          <w:sz w:val="16"/>
          <w:szCs w:val="16"/>
          <w:color w:val="auto"/>
        </w:rPr>
        <w:t xml:space="preserve">. So long as any Lender is a Defaulting Lender, (i) the Swingline Lender shall not be required to fund any Swingline Loans unless it is satisfied that the participations therein will be fully allocated among Non-Defaulting Lenders in a manner consistent with </w:t>
      </w:r>
      <w:r>
        <w:rPr>
          <w:rFonts w:ascii="Arial" w:cs="Arial" w:eastAsia="Arial" w:hAnsi="Arial"/>
          <w:sz w:val="16"/>
          <w:szCs w:val="16"/>
          <w:u w:val="single" w:color="auto"/>
          <w:color w:val="auto"/>
        </w:rPr>
        <w:t>clause (a)</w:t>
      </w:r>
    </w:p>
    <w:p>
      <w:pPr>
        <w:jc w:val="both"/>
        <w:ind w:left="-8" w:right="120" w:firstLine="8"/>
        <w:spacing w:after="0" w:line="295" w:lineRule="auto"/>
        <w:tabs>
          <w:tab w:leader="none" w:pos="299" w:val="left"/>
        </w:tabs>
        <w:numPr>
          <w:ilvl w:val="0"/>
          <w:numId w:val="95"/>
        </w:numPr>
        <w:rPr>
          <w:rFonts w:ascii="Arial" w:cs="Arial" w:eastAsia="Arial" w:hAnsi="Arial"/>
          <w:sz w:val="16"/>
          <w:szCs w:val="16"/>
          <w:u w:val="single" w:color="auto"/>
          <w:color w:val="auto"/>
        </w:rPr>
      </w:pPr>
      <w:r>
        <w:rPr>
          <w:rFonts w:ascii="Arial" w:cs="Arial" w:eastAsia="Arial" w:hAnsi="Arial"/>
          <w:sz w:val="16"/>
          <w:szCs w:val="16"/>
          <w:color w:val="auto"/>
        </w:rPr>
        <w:t xml:space="preserve">above and the Defaulting Lender shall not participate therein and (ii) the Issuing Bank shall not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16"/>
          <w:szCs w:val="16"/>
          <w:u w:val="single" w:color="auto"/>
          <w:color w:val="auto"/>
        </w:rPr>
        <w:t>clause (a)(iii)</w:t>
      </w:r>
      <w:r>
        <w:rPr>
          <w:rFonts w:ascii="Arial" w:cs="Arial" w:eastAsia="Arial" w:hAnsi="Arial"/>
          <w:sz w:val="16"/>
          <w:szCs w:val="16"/>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16"/>
          <w:szCs w:val="16"/>
          <w:u w:val="single" w:color="auto"/>
          <w:color w:val="auto"/>
        </w:rPr>
        <w:t>Section 2.19(d)</w:t>
      </w:r>
      <w:r>
        <w:rPr>
          <w:rFonts w:ascii="Arial" w:cs="Arial" w:eastAsia="Arial" w:hAnsi="Arial"/>
          <w:sz w:val="16"/>
          <w:szCs w:val="16"/>
          <w:color w:val="auto"/>
        </w:rPr>
        <w:t>.</w:t>
      </w:r>
    </w:p>
    <w:p>
      <w:pPr>
        <w:spacing w:after="0" w:line="115" w:lineRule="exact"/>
        <w:rPr>
          <w:rFonts w:ascii="Arial" w:cs="Arial" w:eastAsia="Arial" w:hAnsi="Arial"/>
          <w:sz w:val="16"/>
          <w:szCs w:val="16"/>
          <w:u w:val="single" w:color="auto"/>
          <w:color w:val="auto"/>
        </w:rPr>
      </w:pPr>
    </w:p>
    <w:p>
      <w:pPr>
        <w:ind w:left="-8" w:right="40" w:firstLine="921"/>
        <w:spacing w:after="0" w:line="256" w:lineRule="auto"/>
        <w:tabs>
          <w:tab w:leader="none" w:pos="1153" w:val="left"/>
        </w:tabs>
        <w:numPr>
          <w:ilvl w:val="2"/>
          <w:numId w:val="95"/>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promptly following the written request of Administrative Agent or Issuing Bank (with a copy to Administrative Agent) Borrower shall Cash Collateralize Issuing Bank’s Fronting Exposure with respect to such Defaulting Lender (determined after giving effect to </w:t>
      </w:r>
      <w:r>
        <w:rPr>
          <w:rFonts w:ascii="Arial" w:cs="Arial" w:eastAsia="Arial" w:hAnsi="Arial"/>
          <w:sz w:val="18"/>
          <w:szCs w:val="18"/>
          <w:u w:val="single" w:color="auto"/>
          <w:color w:val="auto"/>
        </w:rPr>
        <w:t>Section 2.19(a)(iii)</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62" w:lineRule="exact"/>
        <w:rPr>
          <w:rFonts w:ascii="Arial" w:cs="Arial" w:eastAsia="Arial" w:hAnsi="Arial"/>
          <w:sz w:val="18"/>
          <w:szCs w:val="18"/>
          <w:color w:val="auto"/>
        </w:rPr>
      </w:pPr>
    </w:p>
    <w:p>
      <w:pPr>
        <w:ind w:left="452" w:right="40" w:firstLine="443"/>
        <w:spacing w:after="0" w:line="291" w:lineRule="auto"/>
        <w:tabs>
          <w:tab w:leader="none" w:pos="1100"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Borrower, and to the extent provided by any Defaulting Lender, such Defaulting Lender, hereby grants to (and subjects to the control of) Administrative Agent, for the benefit of Issuing Bank,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If at any time Administrative Agent determines that Cash Collateral is subject to any right or claim of any Person other than Administrative Agent and Issuing Bank as herein provided, or that the total amount of such Cash Collateral is less than the Minimum Collateral Amount, Borrower will, promptly upon demand by Administrative Agent, pay or provide to Administrative Agent additional Cash Collateral</w:t>
      </w:r>
    </w:p>
    <w:p>
      <w:pPr>
        <w:spacing w:after="0" w:line="107" w:lineRule="exact"/>
        <w:rPr>
          <w:sz w:val="20"/>
          <w:szCs w:val="20"/>
          <w:color w:val="auto"/>
        </w:rPr>
      </w:pPr>
    </w:p>
    <w:p>
      <w:pPr>
        <w:jc w:val="both"/>
        <w:ind w:left="5852"/>
        <w:spacing w:after="0"/>
        <w:tabs>
          <w:tab w:leader="none" w:pos="941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12"/>
          </w:cols>
          <w:pgMar w:left="248" w:top="280" w:right="239" w:bottom="1440" w:gutter="0" w:footer="0" w:header="0"/>
        </w:sectPr>
      </w:pPr>
    </w:p>
    <w:bookmarkStart w:id="74" w:name="page75"/>
    <w:bookmarkEnd w:id="74"/>
    <w:p>
      <w:pPr>
        <w:ind w:left="4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62" w:lineRule="exact"/>
        <w:rPr>
          <w:sz w:val="20"/>
          <w:szCs w:val="20"/>
          <w:color w:val="auto"/>
        </w:rPr>
      </w:pPr>
    </w:p>
    <w:p>
      <w:pPr>
        <w:jc w:val="both"/>
        <w:ind w:left="460" w:firstLine="443"/>
        <w:spacing w:after="0" w:line="256" w:lineRule="auto"/>
        <w:tabs>
          <w:tab w:leader="none" w:pos="115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62" w:lineRule="exact"/>
        <w:rPr>
          <w:rFonts w:ascii="Arial" w:cs="Arial" w:eastAsia="Arial" w:hAnsi="Arial"/>
          <w:sz w:val="18"/>
          <w:szCs w:val="18"/>
          <w:color w:val="auto"/>
        </w:rPr>
      </w:pPr>
    </w:p>
    <w:p>
      <w:pPr>
        <w:ind w:left="460" w:right="120" w:firstLine="443"/>
        <w:spacing w:after="0" w:line="291" w:lineRule="auto"/>
        <w:tabs>
          <w:tab w:leader="none" w:pos="120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Termination of Requirement</w:t>
      </w:r>
      <w:r>
        <w:rPr>
          <w:rFonts w:ascii="Arial" w:cs="Arial" w:eastAsia="Arial" w:hAnsi="Arial"/>
          <w:sz w:val="16"/>
          <w:szCs w:val="16"/>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following (i) the elimination of the applicable Fronting Exposure (including by the termination of Defaulting Lender status of the applicable Lender) or (ii) the determination by Administrative Agent and Issuing Bank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other provisions of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the Person providing Cash Collateral and Issuing Bank may agree that Cash Collateral shall be held to support future anticipated Fronting Exposure;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that such Cash Collateral was provided by Borrower, such Cash Collateral shall remain subject to the security interest granted pursuant to the Loan Documents.</w:t>
      </w: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90" w:lineRule="exact"/>
        <w:rPr>
          <w:sz w:val="20"/>
          <w:szCs w:val="20"/>
          <w:color w:val="auto"/>
        </w:rPr>
      </w:pPr>
    </w:p>
    <w:p>
      <w:pPr>
        <w:jc w:val="both"/>
        <w:ind w:right="100" w:firstLine="913"/>
        <w:spacing w:after="0" w:line="298"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13" w:lineRule="exact"/>
        <w:rPr>
          <w:sz w:val="20"/>
          <w:szCs w:val="20"/>
          <w:color w:val="auto"/>
        </w:rPr>
      </w:pPr>
    </w:p>
    <w:p>
      <w:pPr>
        <w:jc w:val="both"/>
        <w:ind w:right="120" w:firstLine="913"/>
        <w:spacing w:after="0" w:line="335"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u w:val="single" w:color="auto"/>
          <w:color w:val="auto"/>
        </w:rPr>
        <w:t>Authorization; Enforceability</w:t>
      </w:r>
      <w:r>
        <w:rPr>
          <w:rFonts w:ascii="Arial" w:cs="Arial" w:eastAsia="Arial" w:hAnsi="Arial"/>
          <w:sz w:val="15"/>
          <w:szCs w:val="15"/>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w:t>
      </w:r>
    </w:p>
    <w:p>
      <w:pPr>
        <w:spacing w:after="0" w:line="7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5" w:name="page76"/>
    <w:bookmarkEnd w:id="75"/>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40"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171" w:lineRule="exact"/>
        <w:rPr>
          <w:sz w:val="20"/>
          <w:szCs w:val="20"/>
          <w:color w:val="auto"/>
        </w:rPr>
      </w:pPr>
    </w:p>
    <w:p>
      <w:pPr>
        <w:jc w:val="both"/>
        <w:ind w:right="160" w:firstLine="921"/>
        <w:spacing w:after="0" w:line="298" w:lineRule="auto"/>
        <w:tabs>
          <w:tab w:leader="none" w:pos="115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12" w:lineRule="exact"/>
        <w:rPr>
          <w:rFonts w:ascii="Arial" w:cs="Arial" w:eastAsia="Arial" w:hAnsi="Arial"/>
          <w:sz w:val="16"/>
          <w:szCs w:val="16"/>
          <w:color w:val="auto"/>
        </w:rPr>
      </w:pPr>
    </w:p>
    <w:p>
      <w:pPr>
        <w:ind w:firstLine="921"/>
        <w:spacing w:after="0" w:line="294" w:lineRule="auto"/>
        <w:tabs>
          <w:tab w:leader="none" w:pos="1161"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the date of the most recent Applicable Financial Statements, there has not been any event, development or circumstance (herein, a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16"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6" w:name="page77"/>
    <w:bookmarkEnd w:id="76"/>
    <w:p>
      <w:pPr>
        <w:jc w:val="both"/>
        <w:ind w:right="8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3.06.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43" w:lineRule="exact"/>
        <w:rPr>
          <w:sz w:val="20"/>
          <w:szCs w:val="20"/>
          <w:color w:val="auto"/>
        </w:rPr>
      </w:pPr>
    </w:p>
    <w:p>
      <w:pPr>
        <w:jc w:val="both"/>
        <w:ind w:right="140" w:firstLine="913"/>
        <w:spacing w:after="0" w:line="25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43"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ERISA</w:t>
      </w:r>
      <w:r>
        <w:rPr>
          <w:rFonts w:ascii="Arial" w:cs="Arial" w:eastAsia="Arial" w:hAnsi="Arial"/>
          <w:sz w:val="16"/>
          <w:szCs w:val="16"/>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8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As of the date hereof,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date hereof,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Borrower represents only that such information was prepared in good faith based upon assumptions believed to be reasonable at the time.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Investment Company Act; Margin Regulations</w:t>
      </w:r>
      <w:r>
        <w:rPr>
          <w:rFonts w:ascii="Arial" w:cs="Arial" w:eastAsia="Arial" w:hAnsi="Arial"/>
          <w:sz w:val="18"/>
          <w:szCs w:val="18"/>
          <w:color w:val="auto"/>
        </w:rPr>
        <w:t>.</w:t>
      </w:r>
    </w:p>
    <w:p>
      <w:pPr>
        <w:spacing w:after="0" w:line="171" w:lineRule="exact"/>
        <w:rPr>
          <w:sz w:val="20"/>
          <w:szCs w:val="20"/>
          <w:color w:val="auto"/>
        </w:rPr>
      </w:pPr>
    </w:p>
    <w:p>
      <w:pPr>
        <w:ind w:right="120" w:firstLine="921"/>
        <w:spacing w:after="0" w:line="268" w:lineRule="auto"/>
        <w:tabs>
          <w:tab w:leader="none" w:pos="115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Status as Business Development Company</w:t>
      </w:r>
      <w:r>
        <w:rPr>
          <w:rFonts w:ascii="Arial" w:cs="Arial" w:eastAsia="Arial" w:hAnsi="Arial"/>
          <w:sz w:val="18"/>
          <w:szCs w:val="18"/>
          <w:color w:val="auto"/>
        </w:rPr>
        <w:t>. The Borrower has elected to be regulated as a “business development company” within the meaning of the Investment Company Act and qualifies as a RIC.</w:t>
      </w:r>
    </w:p>
    <w:p>
      <w:pPr>
        <w:spacing w:after="0" w:line="131" w:lineRule="exact"/>
        <w:rPr>
          <w:rFonts w:ascii="Arial" w:cs="Arial" w:eastAsia="Arial" w:hAnsi="Arial"/>
          <w:sz w:val="18"/>
          <w:szCs w:val="18"/>
          <w:color w:val="auto"/>
        </w:rPr>
      </w:pPr>
    </w:p>
    <w:p>
      <w:pPr>
        <w:ind w:right="220" w:firstLine="921"/>
        <w:spacing w:after="0" w:line="259" w:lineRule="auto"/>
        <w:tabs>
          <w:tab w:leader="none" w:pos="116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Compliance with Investment Company Act</w:t>
      </w:r>
      <w:r>
        <w:rPr>
          <w:rFonts w:ascii="Arial" w:cs="Arial" w:eastAsia="Arial" w:hAnsi="Arial"/>
          <w:sz w:val="18"/>
          <w:szCs w:val="18"/>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7" w:name="page78"/>
    <w:bookmarkEnd w:id="77"/>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respect of the provisions of the Investment Company Act or any rules, regulations or orders issued by the Securities and Exchange Commission thereunder, in each case that are applicable to the Borrower and its Subsidiaries.</w:t>
      </w:r>
    </w:p>
    <w:p>
      <w:pPr>
        <w:spacing w:after="0" w:line="132" w:lineRule="exact"/>
        <w:rPr>
          <w:sz w:val="20"/>
          <w:szCs w:val="20"/>
          <w:color w:val="auto"/>
        </w:rPr>
      </w:pPr>
    </w:p>
    <w:p>
      <w:pPr>
        <w:ind w:right="500" w:firstLine="921"/>
        <w:spacing w:after="0" w:line="332" w:lineRule="auto"/>
        <w:tabs>
          <w:tab w:leader="none" w:pos="115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Investment Policies</w:t>
      </w:r>
      <w:r>
        <w:rPr>
          <w:rFonts w:ascii="Arial" w:cs="Arial" w:eastAsia="Arial" w:hAnsi="Arial"/>
          <w:sz w:val="16"/>
          <w:szCs w:val="16"/>
          <w:color w:val="auto"/>
        </w:rPr>
        <w:t>. The Borrower is in compliance in all respects with the Investment Policies (after giving effect to any Permitted Policy Amendments), except to the extent that the failure to so comply could not reasonably be expected to have a Material Adverse Effect.</w:t>
      </w:r>
    </w:p>
    <w:p>
      <w:pPr>
        <w:spacing w:after="0" w:line="85" w:lineRule="exact"/>
        <w:rPr>
          <w:rFonts w:ascii="Arial" w:cs="Arial" w:eastAsia="Arial" w:hAnsi="Arial"/>
          <w:sz w:val="16"/>
          <w:szCs w:val="16"/>
          <w:color w:val="auto"/>
        </w:rPr>
      </w:pPr>
    </w:p>
    <w:p>
      <w:pPr>
        <w:ind w:right="160" w:firstLine="921"/>
        <w:spacing w:after="0" w:line="259" w:lineRule="auto"/>
        <w:tabs>
          <w:tab w:leader="none" w:pos="116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Use of Credit</w:t>
      </w:r>
      <w:r>
        <w:rPr>
          <w:rFonts w:ascii="Arial" w:cs="Arial" w:eastAsia="Arial" w:hAnsi="Arial"/>
          <w:sz w:val="18"/>
          <w:szCs w:val="18"/>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Material Agreements and Liens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98" w:lineRule="auto"/>
        <w:tabs>
          <w:tab w:leader="none" w:pos="115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Material Agreements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is a complete and correct list, as of the date hereof,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on the date hereof, and the aggregate principal or face amount outstanding or that is, or may become, outstanding under each such arrangement is correctly described in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right="100" w:firstLine="921"/>
        <w:spacing w:after="0" w:line="306" w:lineRule="auto"/>
        <w:tabs>
          <w:tab w:leader="none" w:pos="1161"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is a complete and correct list, as of the date hereof, of each Lien securing Indebtedness of any Person outstanding on the date hereof covering any property of the Borrower or any of the Subsidiary Guarantors, and the aggregate Indebtedness secured (or that may be secured) by each such Lien and the property covered by each such Lien is correctly described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 and Investments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3.12(a)</w:t>
      </w:r>
      <w:r>
        <w:rPr>
          <w:rFonts w:ascii="Arial" w:cs="Arial" w:eastAsia="Arial" w:hAnsi="Arial"/>
          <w:sz w:val="18"/>
          <w:szCs w:val="18"/>
          <w:color w:val="auto"/>
        </w:rPr>
        <w:t xml:space="preserve"> is a list of the Borrower’s Subsidiaries as of the date hereof.</w:t>
      </w:r>
    </w:p>
    <w:p>
      <w:pPr>
        <w:spacing w:after="0" w:line="171" w:lineRule="exact"/>
        <w:rPr>
          <w:rFonts w:ascii="Arial" w:cs="Arial" w:eastAsia="Arial" w:hAnsi="Arial"/>
          <w:sz w:val="18"/>
          <w:szCs w:val="18"/>
          <w:color w:val="auto"/>
        </w:rPr>
      </w:pPr>
    </w:p>
    <w:p>
      <w:pPr>
        <w:ind w:right="180" w:firstLine="921"/>
        <w:spacing w:after="0" w:line="255" w:lineRule="auto"/>
        <w:tabs>
          <w:tab w:leader="none" w:pos="116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3.12(b)</w:t>
      </w:r>
      <w:r>
        <w:rPr>
          <w:rFonts w:ascii="Arial" w:cs="Arial" w:eastAsia="Arial" w:hAnsi="Arial"/>
          <w:sz w:val="18"/>
          <w:szCs w:val="18"/>
          <w:color w:val="auto"/>
        </w:rPr>
        <w:t xml:space="preserve"> is a complete and correct list, as of the date hereof, of all Investments (other than Investments of the types referred to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held by the Borrower or any of the Subsidiary Guarantors in any Person on the date hereof and, for each such Investment, (x) the identity of the Person or Persons holding such Investment and (y) the nature of such Investment. Except as disclosed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3.12</w:t>
      </w:r>
      <w:r>
        <w:rPr>
          <w:rFonts w:ascii="Arial" w:cs="Arial" w:eastAsia="Arial" w:hAnsi="Arial"/>
          <w:sz w:val="18"/>
          <w:szCs w:val="18"/>
          <w:color w:val="auto"/>
        </w:rPr>
        <w:t>, each of the Borrower and any of the Subsidiary Guarantors owns, free and clear of all Liens (other than Liens created pursuant to this Agreement or the Security Documents and Permitted Liens), all such Investments.</w:t>
      </w:r>
    </w:p>
    <w:p>
      <w:pPr>
        <w:spacing w:after="0" w:line="129" w:lineRule="exact"/>
        <w:rPr>
          <w:sz w:val="20"/>
          <w:szCs w:val="20"/>
          <w:color w:val="auto"/>
        </w:rPr>
      </w:pPr>
    </w:p>
    <w:p>
      <w:pPr>
        <w:ind w:left="5860"/>
        <w:spacing w:after="0"/>
        <w:tabs>
          <w:tab w:leader="none" w:pos="9420" w:val="left"/>
        </w:tabs>
        <w:rPr>
          <w:sz w:val="20"/>
          <w:szCs w:val="20"/>
          <w:color w:val="auto"/>
        </w:rPr>
      </w:pPr>
      <w:r>
        <w:rPr>
          <w:rFonts w:ascii="Arial" w:cs="Arial" w:eastAsia="Arial" w:hAnsi="Arial"/>
          <w:sz w:val="15"/>
          <w:szCs w:val="15"/>
          <w:color w:val="auto"/>
        </w:rPr>
        <w:t>69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8" w:name="page79"/>
    <w:bookmarkEnd w:id="7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3.13.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71" w:lineRule="exact"/>
        <w:rPr>
          <w:sz w:val="20"/>
          <w:szCs w:val="20"/>
          <w:color w:val="auto"/>
        </w:rPr>
      </w:pPr>
    </w:p>
    <w:p>
      <w:pPr>
        <w:ind w:right="260" w:firstLine="921"/>
        <w:spacing w:after="0" w:line="259" w:lineRule="auto"/>
        <w:tabs>
          <w:tab w:leader="none" w:pos="115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Title Generally</w:t>
      </w:r>
      <w:r>
        <w:rPr>
          <w:rFonts w:ascii="Arial" w:cs="Arial" w:eastAsia="Arial" w:hAnsi="Arial"/>
          <w:sz w:val="18"/>
          <w:szCs w:val="18"/>
          <w:color w:val="auto"/>
        </w:rPr>
        <w:t>. Each of the Borrower and the Subsidiary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40" w:lineRule="exact"/>
        <w:rPr>
          <w:rFonts w:ascii="Arial" w:cs="Arial" w:eastAsia="Arial" w:hAnsi="Arial"/>
          <w:sz w:val="18"/>
          <w:szCs w:val="18"/>
          <w:color w:val="auto"/>
        </w:rPr>
      </w:pPr>
    </w:p>
    <w:p>
      <w:pPr>
        <w:ind w:right="80" w:firstLine="921"/>
        <w:spacing w:after="0" w:line="256" w:lineRule="auto"/>
        <w:tabs>
          <w:tab w:leader="none" w:pos="116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43" w:lineRule="exact"/>
        <w:rPr>
          <w:sz w:val="20"/>
          <w:szCs w:val="20"/>
          <w:color w:val="auto"/>
        </w:rPr>
      </w:pPr>
    </w:p>
    <w:p>
      <w:pPr>
        <w:jc w:val="both"/>
        <w:ind w:right="200" w:firstLine="913"/>
        <w:spacing w:after="0" w:line="306"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Affiliate Agreements</w:t>
      </w:r>
      <w:r>
        <w:rPr>
          <w:rFonts w:ascii="Arial" w:cs="Arial" w:eastAsia="Arial" w:hAnsi="Arial"/>
          <w:sz w:val="16"/>
          <w:szCs w:val="16"/>
          <w:color w:val="auto"/>
        </w:rPr>
        <w:t>. As of the date hereof, the Borrower has heretofore delivered to the Administrative Agent true and complete copies of each of the Affiliate Agreements (including and schedules and exhibits thereto, and any amendments, supplements or waivers executed and delivered thereunder). As of the date of hereof, each of the Affiliate Agreements is in full force and effect.</w:t>
      </w:r>
    </w:p>
    <w:p>
      <w:pPr>
        <w:spacing w:after="0" w:line="107" w:lineRule="exact"/>
        <w:rPr>
          <w:sz w:val="20"/>
          <w:szCs w:val="20"/>
          <w:color w:val="auto"/>
        </w:rPr>
      </w:pPr>
    </w:p>
    <w:p>
      <w:pPr>
        <w:ind w:right="140" w:firstLine="913"/>
        <w:spacing w:after="0" w:line="254"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OFAC</w:t>
      </w:r>
      <w:r>
        <w:rPr>
          <w:rFonts w:ascii="Arial" w:cs="Arial" w:eastAsia="Arial" w:hAnsi="Arial"/>
          <w:sz w:val="18"/>
          <w:szCs w:val="18"/>
          <w:color w:val="auto"/>
        </w:rPr>
        <w:t>. Neither the Borrower nor any of its Subsidiaries (a)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(b) engages in any dealings or transactions prohibited by Section 2 of such executive order, or is otherwise associated with any such person in any manner violative of Section 2 of such executive order, or (c) is a person on the list of Specially Designated Nationals and Blocked Persons or subject to the limitations or prohibitions under any other U.S. Department of Treasury’s Office of Foreign Assets Control regulation or executive order.</w:t>
      </w:r>
    </w:p>
    <w:p>
      <w:pPr>
        <w:spacing w:after="0" w:line="14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Patriot Act</w:t>
      </w:r>
      <w:r>
        <w:rPr>
          <w:rFonts w:ascii="Arial" w:cs="Arial" w:eastAsia="Arial" w:hAnsi="Arial"/>
          <w:sz w:val="16"/>
          <w:szCs w:val="16"/>
          <w:color w:val="auto"/>
        </w:rPr>
        <w:t>. Each of the Borrower and its Subsidiaries is in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20"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79" w:name="page80"/>
    <w:bookmarkEnd w:id="79"/>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CONDITIONS</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effectiveness of this Agreement and of the obligations of the Lenders to make Loans and of the Issuing Bank to issue Letters of Credit hereunder shall not become effective until completion of each of the following conditions precedent (unless a condition shall have been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59" w:lineRule="exact"/>
        <w:rPr>
          <w:sz w:val="20"/>
          <w:szCs w:val="20"/>
          <w:color w:val="auto"/>
        </w:rPr>
      </w:pPr>
    </w:p>
    <w:p>
      <w:pPr>
        <w:ind w:right="60" w:firstLine="921"/>
        <w:spacing w:after="0" w:line="268" w:lineRule="auto"/>
        <w:tabs>
          <w:tab w:leader="none" w:pos="11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Administrative Agent shall have received each of the following documents, each of which shall be satisfactory to the Administrative Agent (and to the extent specified below to each Lender) in form and substance:</w:t>
      </w:r>
    </w:p>
    <w:p>
      <w:pPr>
        <w:spacing w:after="0" w:line="51" w:lineRule="exact"/>
        <w:rPr>
          <w:sz w:val="20"/>
          <w:szCs w:val="20"/>
          <w:color w:val="auto"/>
        </w:rPr>
      </w:pPr>
    </w:p>
    <w:p>
      <w:pPr>
        <w:ind w:right="220" w:firstLine="921"/>
        <w:spacing w:after="0" w:line="259" w:lineRule="auto"/>
        <w:tabs>
          <w:tab w:leader="none" w:pos="112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Executed Counterparts</w:t>
      </w:r>
      <w:r>
        <w:rPr>
          <w:rFonts w:ascii="Arial" w:cs="Arial" w:eastAsia="Arial" w:hAnsi="Arial"/>
          <w:sz w:val="18"/>
          <w:szCs w:val="18"/>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59" w:lineRule="exact"/>
        <w:rPr>
          <w:rFonts w:ascii="Arial" w:cs="Arial" w:eastAsia="Arial" w:hAnsi="Arial"/>
          <w:sz w:val="18"/>
          <w:szCs w:val="18"/>
          <w:color w:val="auto"/>
        </w:rPr>
      </w:pPr>
    </w:p>
    <w:p>
      <w:pPr>
        <w:jc w:val="both"/>
        <w:ind w:right="20" w:firstLine="921"/>
        <w:spacing w:after="0" w:line="306" w:lineRule="auto"/>
        <w:tabs>
          <w:tab w:leader="none" w:pos="1171"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Opinion of Counsel to the Borrower</w:t>
      </w:r>
      <w:r>
        <w:rPr>
          <w:rFonts w:ascii="Arial" w:cs="Arial" w:eastAsia="Arial" w:hAnsi="Arial"/>
          <w:sz w:val="16"/>
          <w:szCs w:val="16"/>
          <w:color w:val="auto"/>
        </w:rPr>
        <w:t>. A favorable written opinion (addressed to the Administrative Agent and the Lenders and dated the Effective Date) of Cleary Gottlieb Steen &amp; Hamilton LLP, New York counsel for the Borrower and the Subsidiary Guarantors, in form and substance reasonably acceptable to the Administrative Agent (and the Borrower hereby instructs such counsel to deliver such opinion to the Lenders and the Administrative Agent).</w:t>
      </w:r>
    </w:p>
    <w:p>
      <w:pPr>
        <w:spacing w:after="0" w:line="25" w:lineRule="exact"/>
        <w:rPr>
          <w:rFonts w:ascii="Arial" w:cs="Arial" w:eastAsia="Arial" w:hAnsi="Arial"/>
          <w:sz w:val="16"/>
          <w:szCs w:val="16"/>
          <w:color w:val="auto"/>
        </w:rPr>
      </w:pPr>
    </w:p>
    <w:p>
      <w:pPr>
        <w:ind w:right="580" w:firstLine="921"/>
        <w:spacing w:after="0" w:line="306" w:lineRule="auto"/>
        <w:tabs>
          <w:tab w:leader="none" w:pos="122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Corporate Documents</w:t>
      </w:r>
      <w:r>
        <w:rPr>
          <w:rFonts w:ascii="Arial" w:cs="Arial" w:eastAsia="Arial" w:hAnsi="Arial"/>
          <w:sz w:val="16"/>
          <w:szCs w:val="16"/>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25" w:lineRule="exact"/>
        <w:rPr>
          <w:rFonts w:ascii="Arial" w:cs="Arial" w:eastAsia="Arial" w:hAnsi="Arial"/>
          <w:sz w:val="16"/>
          <w:szCs w:val="16"/>
          <w:color w:val="auto"/>
        </w:rPr>
      </w:pPr>
    </w:p>
    <w:p>
      <w:pPr>
        <w:ind w:right="500" w:firstLine="921"/>
        <w:spacing w:after="0" w:line="332" w:lineRule="auto"/>
        <w:tabs>
          <w:tab w:leader="none" w:pos="121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right="100" w:firstLine="921"/>
        <w:spacing w:after="0" w:line="268" w:lineRule="auto"/>
        <w:tabs>
          <w:tab w:leader="none" w:pos="116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The Guarantee and Security Agreement, duly executed and delivered by each of the parties to the Guarantee and Security Agreement.</w:t>
      </w:r>
    </w:p>
    <w:p>
      <w:pPr>
        <w:spacing w:after="0" w:line="50" w:lineRule="exact"/>
        <w:rPr>
          <w:rFonts w:ascii="Arial" w:cs="Arial" w:eastAsia="Arial" w:hAnsi="Arial"/>
          <w:sz w:val="18"/>
          <w:szCs w:val="18"/>
          <w:color w:val="auto"/>
        </w:rPr>
      </w:pPr>
    </w:p>
    <w:p>
      <w:pPr>
        <w:ind w:right="40" w:firstLine="921"/>
        <w:spacing w:after="0" w:line="268" w:lineRule="auto"/>
        <w:tabs>
          <w:tab w:leader="none" w:pos="121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Control Agreement</w:t>
      </w:r>
      <w:r>
        <w:rPr>
          <w:rFonts w:ascii="Arial" w:cs="Arial" w:eastAsia="Arial" w:hAnsi="Arial"/>
          <w:sz w:val="18"/>
          <w:szCs w:val="18"/>
          <w:color w:val="auto"/>
        </w:rPr>
        <w:t>. A Collateral Account Control Agreement, duly executed and delivered by the Borrower, the Administrative Agent and State Street Bank and Trust Company.</w:t>
      </w:r>
    </w:p>
    <w:p>
      <w:pPr>
        <w:spacing w:after="0" w:line="50" w:lineRule="exact"/>
        <w:rPr>
          <w:rFonts w:ascii="Arial" w:cs="Arial" w:eastAsia="Arial" w:hAnsi="Arial"/>
          <w:sz w:val="18"/>
          <w:szCs w:val="18"/>
          <w:color w:val="auto"/>
        </w:rPr>
      </w:pPr>
    </w:p>
    <w:p>
      <w:pPr>
        <w:ind w:left="1260" w:hanging="339"/>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A Borrowing Base Certificate showing a calculation of the Borrowing Base as of May 31, 2013.</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0" w:name="page81"/>
    <w:bookmarkEnd w:id="80"/>
    <w:p>
      <w:pPr>
        <w:ind w:right="60" w:firstLine="921"/>
        <w:spacing w:after="0" w:line="288" w:lineRule="auto"/>
        <w:tabs>
          <w:tab w:leader="none" w:pos="116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w:t>
      </w:r>
      <w:r>
        <w:rPr>
          <w:rFonts w:ascii="Arial" w:cs="Arial" w:eastAsia="Arial" w:hAnsi="Arial"/>
          <w:sz w:val="16"/>
          <w:szCs w:val="16"/>
          <w:color w:val="auto"/>
        </w:rPr>
        <w:t xml:space="preserve">. The Administrative Agent shall have received results of a recent lien search in each relevant jurisdiction with respect to the Borrower and the Subsidiary Guarantors, confirming that each financing statement in respect of the Liens in favor of the Collateral Agent created pursuant to the Security Documents is otherwise prior to all other financing statements or other interests reflected therein (other than any financing statement or interest in respect of liens permitted under Section 6.02 or liens to be discharged on or prior to the Effective Date pursuant to documentation satisfactory to the Administrative Agent and revealing no liens on any of the assets of the Borrower or the Subsidiary Guarantors except for liens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liens to be discharged on or prior to the Effective Date pursuant to documentation satisfactory to the Administrative Agent. All UCC financing statements and similar documents required to be filed in order to create in favor of the Administrative Agent, for the benefit of the Lenders, a first priority perfected security interest in the Collateral (to the extent that such a security interest may be perfected by a filing under the Uniform Commercial Code) shall have been properly filed in each jurisdiction required (or arrangements for such filings acceptable to the Administrative Agent shall have been made).</w:t>
      </w:r>
    </w:p>
    <w:p>
      <w:pPr>
        <w:spacing w:after="0" w:line="119" w:lineRule="exact"/>
        <w:rPr>
          <w:rFonts w:ascii="Arial" w:cs="Arial" w:eastAsia="Arial" w:hAnsi="Arial"/>
          <w:sz w:val="16"/>
          <w:szCs w:val="16"/>
          <w:color w:val="auto"/>
        </w:rPr>
      </w:pPr>
    </w:p>
    <w:p>
      <w:pPr>
        <w:ind w:right="60" w:firstLine="921"/>
        <w:spacing w:after="0" w:line="294" w:lineRule="auto"/>
        <w:tabs>
          <w:tab w:leader="none" w:pos="1152"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The Borrower shall have obtained and delivered to the Administrative Agent certified copies of all consents, approvals, authorizations, registrations, or filings required to be made or obtained by the Borrower and all Subsidiary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115" w:lineRule="exact"/>
        <w:rPr>
          <w:rFonts w:ascii="Arial" w:cs="Arial" w:eastAsia="Arial" w:hAnsi="Arial"/>
          <w:sz w:val="16"/>
          <w:szCs w:val="16"/>
          <w:color w:val="auto"/>
        </w:rPr>
      </w:pPr>
    </w:p>
    <w:p>
      <w:pPr>
        <w:ind w:right="220" w:firstLine="921"/>
        <w:spacing w:after="0" w:line="268" w:lineRule="auto"/>
        <w:tabs>
          <w:tab w:leader="none" w:pos="116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Borrower shall have paid in full to the Administrative Agent all fees and expenses related to this Agreement owing on the Effective Date.</w:t>
      </w:r>
    </w:p>
    <w:p>
      <w:pPr>
        <w:spacing w:after="0" w:line="131" w:lineRule="exact"/>
        <w:rPr>
          <w:rFonts w:ascii="Arial" w:cs="Arial" w:eastAsia="Arial" w:hAnsi="Arial"/>
          <w:sz w:val="18"/>
          <w:szCs w:val="18"/>
          <w:color w:val="auto"/>
        </w:rPr>
      </w:pPr>
    </w:p>
    <w:p>
      <w:pPr>
        <w:ind w:right="80" w:firstLine="921"/>
        <w:spacing w:after="0" w:line="259" w:lineRule="auto"/>
        <w:tabs>
          <w:tab w:leader="none" w:pos="115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The Administrative Agent and the Lenders shall have received, sufficiently in advance of the Effective Date, all documentation and other information required by bank regulatory authorities under applicable “know your customer” and anti-money laundering rules and regulations, including the USA PATRIOT Act (Title III of Pub. L. 107-56 (signed into law October 26, 2001)).</w:t>
      </w:r>
    </w:p>
    <w:p>
      <w:pPr>
        <w:spacing w:after="0" w:line="140" w:lineRule="exact"/>
        <w:rPr>
          <w:rFonts w:ascii="Arial" w:cs="Arial" w:eastAsia="Arial" w:hAnsi="Arial"/>
          <w:sz w:val="18"/>
          <w:szCs w:val="18"/>
          <w:color w:val="auto"/>
        </w:rPr>
      </w:pPr>
    </w:p>
    <w:p>
      <w:pPr>
        <w:ind w:right="760" w:firstLine="921"/>
        <w:spacing w:after="0" w:line="268" w:lineRule="auto"/>
        <w:tabs>
          <w:tab w:leader="none" w:pos="113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Administrative Agent shall have received such other documents as the Administrative Agent or any Lender may reasonably request in form and substance satisfactory to the Administrative Agent.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Each Credit Event</w:t>
      </w:r>
      <w:r>
        <w:rPr>
          <w:rFonts w:ascii="Arial" w:cs="Arial" w:eastAsia="Arial" w:hAnsi="Arial"/>
          <w:sz w:val="16"/>
          <w:szCs w:val="16"/>
          <w:color w:val="auto"/>
        </w:rPr>
        <w:t>. The obligation of each Lender to make any Loan, and of the Issuing Bank to issue, amend, renew or extend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is additionally subject to the satisfaction of the following conditions:</w:t>
      </w:r>
    </w:p>
    <w:p>
      <w:pPr>
        <w:spacing w:after="0" w:line="165" w:lineRule="exact"/>
        <w:rPr>
          <w:sz w:val="20"/>
          <w:szCs w:val="20"/>
          <w:color w:val="auto"/>
        </w:rPr>
      </w:pPr>
    </w:p>
    <w:p>
      <w:pPr>
        <w:ind w:right="120" w:firstLine="921"/>
        <w:spacing w:after="0" w:line="256" w:lineRule="auto"/>
        <w:tabs>
          <w:tab w:leader="none" w:pos="11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1" w:name="page82"/>
    <w:bookmarkEnd w:id="81"/>
    <w:p>
      <w:pPr>
        <w:ind w:right="380" w:firstLine="921"/>
        <w:spacing w:after="0" w:line="268" w:lineRule="auto"/>
        <w:tabs>
          <w:tab w:leader="none" w:pos="1162"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time of and immediately after giving effect to such Loan or the issuance, amendment, renewal or extension of such Letter of Credit, as applicable, no Default shall have occurred and be continuing; and</w:t>
      </w:r>
    </w:p>
    <w:p>
      <w:pPr>
        <w:spacing w:after="0" w:line="131" w:lineRule="exact"/>
        <w:rPr>
          <w:rFonts w:ascii="Arial" w:cs="Arial" w:eastAsia="Arial" w:hAnsi="Arial"/>
          <w:sz w:val="18"/>
          <w:szCs w:val="18"/>
          <w:color w:val="auto"/>
        </w:rPr>
      </w:pPr>
    </w:p>
    <w:p>
      <w:pPr>
        <w:ind w:firstLine="921"/>
        <w:spacing w:after="0" w:line="298" w:lineRule="auto"/>
        <w:tabs>
          <w:tab w:leader="none" w:pos="115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113"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171" w:lineRule="exact"/>
        <w:rPr>
          <w:sz w:val="20"/>
          <w:szCs w:val="20"/>
          <w:color w:val="auto"/>
        </w:rPr>
      </w:pPr>
    </w:p>
    <w:p>
      <w:pPr>
        <w:jc w:val="both"/>
        <w:ind w:right="340" w:firstLine="913"/>
        <w:spacing w:after="0" w:line="259"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The Borrower will furnish to the Administrative Agent and each Lender:</w:t>
      </w:r>
    </w:p>
    <w:p>
      <w:pPr>
        <w:spacing w:after="0" w:line="113" w:lineRule="exact"/>
        <w:rPr>
          <w:sz w:val="20"/>
          <w:szCs w:val="20"/>
          <w:color w:val="auto"/>
        </w:rPr>
      </w:pPr>
    </w:p>
    <w:p>
      <w:pPr>
        <w:ind w:right="20" w:firstLine="921"/>
        <w:spacing w:after="0" w:line="291" w:lineRule="auto"/>
        <w:tabs>
          <w:tab w:leader="none" w:pos="115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within 90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may be fulfilled by providing to the Administrative Agent and the Lenders the report of the Borrower to the SEC on Form 10-K for the applicable fiscal year;</w:t>
      </w:r>
    </w:p>
    <w:p>
      <w:pPr>
        <w:spacing w:after="0" w:line="120" w:lineRule="exact"/>
        <w:rPr>
          <w:rFonts w:ascii="Arial" w:cs="Arial" w:eastAsia="Arial" w:hAnsi="Arial"/>
          <w:sz w:val="16"/>
          <w:szCs w:val="16"/>
          <w:color w:val="auto"/>
        </w:rPr>
      </w:pPr>
    </w:p>
    <w:p>
      <w:pPr>
        <w:ind w:right="100" w:firstLine="921"/>
        <w:spacing w:after="0" w:line="306" w:lineRule="auto"/>
        <w:tabs>
          <w:tab w:leader="none" w:pos="116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within 45 days after the end of each of the first three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w:t>
      </w:r>
    </w:p>
    <w:p>
      <w:pPr>
        <w:spacing w:after="0" w:line="93"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2" w:name="page83"/>
    <w:bookmarkEnd w:id="82"/>
    <w:p>
      <w:pPr>
        <w:ind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set forth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may be fulfilled by providing to the Lenders the report of the Borrower to the SEC on Form 10-Q for the applicable quarterly period;</w:t>
      </w:r>
    </w:p>
    <w:p>
      <w:pPr>
        <w:spacing w:after="0" w:line="143" w:lineRule="exact"/>
        <w:rPr>
          <w:sz w:val="20"/>
          <w:szCs w:val="20"/>
          <w:color w:val="auto"/>
        </w:rPr>
      </w:pPr>
    </w:p>
    <w:p>
      <w:pPr>
        <w:ind w:left="1160" w:hanging="239"/>
        <w:spacing w:after="0"/>
        <w:tabs>
          <w:tab w:leader="none" w:pos="11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concurrently with any delivery of financial statements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 certificate of a Financial Officer of the Borrower</w:t>
      </w:r>
    </w:p>
    <w:p>
      <w:pPr>
        <w:spacing w:after="0" w:line="38" w:lineRule="exact"/>
        <w:rPr>
          <w:rFonts w:ascii="Arial" w:cs="Arial" w:eastAsia="Arial" w:hAnsi="Arial"/>
          <w:sz w:val="16"/>
          <w:szCs w:val="16"/>
          <w:color w:val="auto"/>
        </w:rPr>
      </w:pPr>
    </w:p>
    <w:p>
      <w:pPr>
        <w:ind w:right="20" w:firstLine="8"/>
        <w:spacing w:after="0" w:line="292" w:lineRule="auto"/>
        <w:tabs>
          <w:tab w:leader="none" w:pos="21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6.07</w:t>
      </w:r>
      <w:r>
        <w:rPr>
          <w:rFonts w:ascii="Arial" w:cs="Arial" w:eastAsia="Arial" w:hAnsi="Arial"/>
          <w:sz w:val="16"/>
          <w:szCs w:val="16"/>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16" w:lineRule="exact"/>
        <w:rPr>
          <w:rFonts w:ascii="Arial" w:cs="Arial" w:eastAsia="Arial" w:hAnsi="Arial"/>
          <w:sz w:val="16"/>
          <w:szCs w:val="16"/>
          <w:color w:val="auto"/>
        </w:rPr>
      </w:pPr>
    </w:p>
    <w:p>
      <w:pPr>
        <w:ind w:right="500" w:firstLine="921"/>
        <w:spacing w:after="0" w:line="332" w:lineRule="auto"/>
        <w:tabs>
          <w:tab w:leader="none" w:pos="116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85" w:lineRule="exact"/>
        <w:rPr>
          <w:rFonts w:ascii="Arial" w:cs="Arial" w:eastAsia="Arial" w:hAnsi="Arial"/>
          <w:sz w:val="16"/>
          <w:szCs w:val="16"/>
          <w:color w:val="auto"/>
        </w:rPr>
      </w:pPr>
    </w:p>
    <w:p>
      <w:pPr>
        <w:ind w:right="160" w:firstLine="921"/>
        <w:spacing w:after="0" w:line="298" w:lineRule="auto"/>
        <w:tabs>
          <w:tab w:leader="none" w:pos="115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promptly but no later than five Business Days after the Borrower shall at any time have knowledge that there is a Borrowing Base Deficiency, a Borrowing Base Certificate as at the date the Borrower has knowledge of such Borrowing Base Deficiency indicating the amount of the Borrowing Base Deficiency as at the date the Borrower obtained knowledge of such deficiency and the amount of the Borrowing Base Deficiency as of the date not earlier than one Business Day prior to the date the Borrowing Base Certificate is delivered pursuant to this paragraph;</w:t>
      </w:r>
    </w:p>
    <w:p>
      <w:pPr>
        <w:spacing w:after="0" w:line="112" w:lineRule="exact"/>
        <w:rPr>
          <w:rFonts w:ascii="Arial" w:cs="Arial" w:eastAsia="Arial" w:hAnsi="Arial"/>
          <w:sz w:val="16"/>
          <w:szCs w:val="16"/>
          <w:color w:val="auto"/>
        </w:rPr>
      </w:pPr>
    </w:p>
    <w:p>
      <w:pPr>
        <w:ind w:right="40" w:firstLine="921"/>
        <w:spacing w:after="0" w:line="259" w:lineRule="auto"/>
        <w:tabs>
          <w:tab w:leader="none" w:pos="113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40" w:lineRule="exact"/>
        <w:rPr>
          <w:rFonts w:ascii="Arial" w:cs="Arial" w:eastAsia="Arial" w:hAnsi="Arial"/>
          <w:sz w:val="18"/>
          <w:szCs w:val="18"/>
          <w:color w:val="auto"/>
        </w:rPr>
      </w:pPr>
    </w:p>
    <w:p>
      <w:pPr>
        <w:jc w:val="both"/>
        <w:ind w:right="380" w:firstLine="921"/>
        <w:spacing w:after="0" w:line="259" w:lineRule="auto"/>
        <w:tabs>
          <w:tab w:leader="none" w:pos="116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40" w:lineRule="exact"/>
        <w:rPr>
          <w:rFonts w:ascii="Arial" w:cs="Arial" w:eastAsia="Arial" w:hAnsi="Arial"/>
          <w:sz w:val="18"/>
          <w:szCs w:val="18"/>
          <w:color w:val="auto"/>
        </w:rPr>
      </w:pPr>
    </w:p>
    <w:p>
      <w:pPr>
        <w:ind w:firstLine="921"/>
        <w:spacing w:after="0" w:line="259" w:lineRule="auto"/>
        <w:tabs>
          <w:tab w:leader="none" w:pos="116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3" w:name="page84"/>
    <w:bookmarkEnd w:id="83"/>
    <w:p>
      <w:pPr>
        <w:ind w:right="160" w:firstLine="921"/>
        <w:spacing w:after="0" w:line="289" w:lineRule="auto"/>
        <w:tabs>
          <w:tab w:leader="none" w:pos="1123" w:val="left"/>
        </w:tabs>
        <w:numPr>
          <w:ilvl w:val="0"/>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Borrower and each Lender acknowledge that certain of the Lenders may be Public Lenders and, if documents or notices required to be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otherwise are being distributed through IntraLinks/IntraAgency, SyndTrak or another relevant website or other information platform (the “</w:t>
      </w:r>
      <w:r>
        <w:rPr>
          <w:rFonts w:ascii="Arial" w:cs="Arial" w:eastAsia="Arial" w:hAnsi="Arial"/>
          <w:sz w:val="16"/>
          <w:szCs w:val="16"/>
          <w:u w:val="single" w:color="auto"/>
          <w:color w:val="auto"/>
        </w:rPr>
        <w:t>Platform</w:t>
      </w:r>
      <w:r>
        <w:rPr>
          <w:rFonts w:ascii="Arial" w:cs="Arial" w:eastAsia="Arial" w:hAnsi="Arial"/>
          <w:sz w:val="16"/>
          <w:szCs w:val="16"/>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this Agreement).</w:t>
      </w:r>
    </w:p>
    <w:p>
      <w:pPr>
        <w:spacing w:after="0" w:line="118" w:lineRule="exact"/>
        <w:rPr>
          <w:rFonts w:ascii="Arial" w:cs="Arial" w:eastAsia="Arial" w:hAnsi="Arial"/>
          <w:sz w:val="16"/>
          <w:szCs w:val="16"/>
          <w:color w:val="auto"/>
        </w:rPr>
      </w:pPr>
    </w:p>
    <w:p>
      <w:pPr>
        <w:ind w:right="20" w:firstLine="921"/>
        <w:spacing w:after="0" w:line="306" w:lineRule="auto"/>
        <w:tabs>
          <w:tab w:leader="none" w:pos="112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the requirements to deliver documents set forth in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will be fulfilled by filing by the Borrower of the applicable documents for public availability on the SEC’s Electronic Data Gathering and Retrieval system;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notify the Administrative Agent (by telecopier or electronic mail) of the posting of any such documents.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and each Lender prompt written notice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1160" w:hanging="239"/>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71" w:lineRule="exact"/>
        <w:rPr>
          <w:rFonts w:ascii="Arial" w:cs="Arial" w:eastAsia="Arial" w:hAnsi="Arial"/>
          <w:sz w:val="18"/>
          <w:szCs w:val="18"/>
          <w:color w:val="auto"/>
        </w:rPr>
      </w:pPr>
    </w:p>
    <w:p>
      <w:pPr>
        <w:ind w:right="440" w:firstLine="921"/>
        <w:spacing w:after="0" w:line="332" w:lineRule="auto"/>
        <w:tabs>
          <w:tab w:leader="none" w:pos="116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85" w:lineRule="exact"/>
        <w:rPr>
          <w:rFonts w:ascii="Arial" w:cs="Arial" w:eastAsia="Arial" w:hAnsi="Arial"/>
          <w:sz w:val="16"/>
          <w:szCs w:val="16"/>
          <w:color w:val="auto"/>
        </w:rPr>
      </w:pPr>
    </w:p>
    <w:p>
      <w:pPr>
        <w:ind w:right="340" w:firstLine="921"/>
        <w:spacing w:after="0" w:line="268" w:lineRule="auto"/>
        <w:tabs>
          <w:tab w:leader="none" w:pos="11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Borrower and its Subsidiaries in an aggregate amount exceeding $15,000,000;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8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The Borrower will, and will cause each of its Subsidiaries (other than Immaterial Subsidiaries) to, do or cause to be done all things necessary to preserve, renew and keep in full force and effect its legal existence and the</w:t>
      </w:r>
    </w:p>
    <w:p>
      <w:pPr>
        <w:spacing w:after="0" w:line="118" w:lineRule="exact"/>
        <w:rPr>
          <w:sz w:val="20"/>
          <w:szCs w:val="20"/>
          <w:color w:val="auto"/>
        </w:rPr>
      </w:pPr>
    </w:p>
    <w:p>
      <w:pPr>
        <w:ind w:left="5860"/>
        <w:spacing w:after="0"/>
        <w:tabs>
          <w:tab w:leader="none" w:pos="9420"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4" w:name="page85"/>
    <w:bookmarkEnd w:id="8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rights, licenses, permits, privileges and franchises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32"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16"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Maintenance of Properties; Insurance</w:t>
      </w:r>
      <w:r>
        <w:rPr>
          <w:rFonts w:ascii="Arial" w:cs="Arial" w:eastAsia="Arial" w:hAnsi="Arial"/>
          <w:sz w:val="16"/>
          <w:szCs w:val="16"/>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13"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Books and Records; Inspection and Audit Rights</w:t>
      </w:r>
      <w:r>
        <w:rPr>
          <w:rFonts w:ascii="Arial" w:cs="Arial" w:eastAsia="Arial" w:hAnsi="Arial"/>
          <w:sz w:val="16"/>
          <w:szCs w:val="16"/>
          <w:color w:val="auto"/>
        </w:rPr>
        <w:t xml:space="preserve">. The Borrower will, and will cause each of its Subsidiaries to, keep books of record and account in accordance with GAAP. 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 flaw, rule, regulation or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such Obligor shall be entitled to have its representatives and advisors present during any inspection of its books and records.</w:t>
      </w:r>
    </w:p>
    <w:p>
      <w:pPr>
        <w:spacing w:after="0" w:line="118"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Certain Obligations Respecting Subsidiaries; Further Assurances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Subsidiary Guarantors</w:t>
      </w:r>
      <w:r>
        <w:rPr>
          <w:rFonts w:ascii="Arial" w:cs="Arial" w:eastAsia="Arial" w:hAnsi="Arial"/>
          <w:sz w:val="16"/>
          <w:szCs w:val="16"/>
          <w:color w:val="auto"/>
        </w:rPr>
        <w:t>. In the event that the Borrower or any the Subsidiary Guarantors shall form or acquire any new Subsidiary (other than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Financing</w:t>
      </w:r>
    </w:p>
    <w:p>
      <w:pPr>
        <w:spacing w:after="0" w:line="15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5" w:name="page86"/>
    <w:bookmarkEnd w:id="85"/>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upon the Effective Date or as the Administrative Agent shall have requested.</w:t>
      </w:r>
    </w:p>
    <w:p>
      <w:pPr>
        <w:spacing w:after="0" w:line="113" w:lineRule="exact"/>
        <w:rPr>
          <w:sz w:val="20"/>
          <w:szCs w:val="20"/>
          <w:color w:val="auto"/>
        </w:rPr>
      </w:pPr>
    </w:p>
    <w:p>
      <w:pPr>
        <w:ind w:right="60" w:firstLine="921"/>
        <w:spacing w:after="0" w:line="268" w:lineRule="auto"/>
        <w:tabs>
          <w:tab w:leader="none" w:pos="116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Ownership of Subsidiaries</w:t>
      </w:r>
      <w:r>
        <w:rPr>
          <w:rFonts w:ascii="Arial" w:cs="Arial" w:eastAsia="Arial" w:hAnsi="Arial"/>
          <w:sz w:val="18"/>
          <w:szCs w:val="18"/>
          <w:color w:val="auto"/>
        </w:rPr>
        <w:t>. The Borrower will, and will cause each of its Subsidiaries to, take such action from time to time as shall be necessary to ensure that each of its Subsidiaries is a wholly owned Subsidiary.</w:t>
      </w:r>
    </w:p>
    <w:p>
      <w:pPr>
        <w:spacing w:after="0" w:line="131" w:lineRule="exact"/>
        <w:rPr>
          <w:rFonts w:ascii="Arial" w:cs="Arial" w:eastAsia="Arial" w:hAnsi="Arial"/>
          <w:sz w:val="18"/>
          <w:szCs w:val="18"/>
          <w:color w:val="auto"/>
        </w:rPr>
      </w:pPr>
    </w:p>
    <w:p>
      <w:pPr>
        <w:ind w:right="40" w:firstLine="921"/>
        <w:spacing w:after="0" w:line="304" w:lineRule="auto"/>
        <w:tabs>
          <w:tab w:leader="none" w:pos="1152" w:val="left"/>
        </w:tabs>
        <w:numPr>
          <w:ilvl w:val="0"/>
          <w:numId w:val="113"/>
        </w:numPr>
        <w:rPr>
          <w:rFonts w:ascii="Arial" w:cs="Arial" w:eastAsia="Arial" w:hAnsi="Arial"/>
          <w:sz w:val="15"/>
          <w:szCs w:val="15"/>
          <w:color w:val="auto"/>
        </w:rPr>
      </w:pPr>
      <w:r>
        <w:rPr>
          <w:rFonts w:ascii="Arial" w:cs="Arial" w:eastAsia="Arial" w:hAnsi="Arial"/>
          <w:sz w:val="15"/>
          <w:szCs w:val="15"/>
          <w:u w:val="single" w:color="auto"/>
          <w:color w:val="auto"/>
        </w:rPr>
        <w:t>Further Assurances</w:t>
      </w:r>
      <w:r>
        <w:rPr>
          <w:rFonts w:ascii="Arial" w:cs="Arial" w:eastAsia="Arial" w:hAnsi="Arial"/>
          <w:sz w:val="15"/>
          <w:szCs w:val="15"/>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security interest or Lien shall be subject to the relevant requirements of the Security Documents, (ii) in the case of any Portfolio Investment consisting of a Bank Loan (as defined in </w:t>
      </w:r>
      <w:r>
        <w:rPr>
          <w:rFonts w:ascii="Arial" w:cs="Arial" w:eastAsia="Arial" w:hAnsi="Arial"/>
          <w:sz w:val="15"/>
          <w:szCs w:val="15"/>
          <w:u w:val="single" w:color="auto"/>
          <w:color w:val="auto"/>
        </w:rPr>
        <w:t>Section 5.13</w:t>
      </w:r>
      <w:r>
        <w:rPr>
          <w:rFonts w:ascii="Arial" w:cs="Arial" w:eastAsia="Arial" w:hAnsi="Arial"/>
          <w:sz w:val="15"/>
          <w:szCs w:val="15"/>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337"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will use the proceeds of the Loans only for general corporate purposes of the Borrower in the ordinary course of business, including the acquisition and funding (either directly or through one or more wholly-owned</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6" w:name="page87"/>
    <w:bookmarkEnd w:id="86"/>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Subsidiaries) of leveraged loans, mezzanine loans, high-yield securities, convertible securities, preferred stock, common stock and other Portfolio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Administrative Agent nor any Lender shall have any responsibility as to the use of any of such proceeds. No part of the proceeds of any Loan will be used in violation of applicable law or, directly or indirectly, for the purpose, whether immediate, incidental or ultimate, of buying or carrying any Margin Stock. Margin Stock shall be purchased by the Obligors only with the proceeds of Indebtedness not directly or indirectly secured by Margin Stock, or with the proceeds of equity capital of the Borrower.</w:t>
      </w:r>
    </w:p>
    <w:p>
      <w:pPr>
        <w:spacing w:after="0" w:line="143" w:lineRule="exact"/>
        <w:rPr>
          <w:sz w:val="20"/>
          <w:szCs w:val="20"/>
          <w:color w:val="auto"/>
        </w:rPr>
      </w:pPr>
    </w:p>
    <w:p>
      <w:pPr>
        <w:ind w:right="940" w:firstLine="913"/>
        <w:spacing w:after="0" w:line="268"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Status of RIC and BDC</w:t>
      </w:r>
      <w:r>
        <w:rPr>
          <w:rFonts w:ascii="Arial" w:cs="Arial" w:eastAsia="Arial" w:hAnsi="Arial"/>
          <w:sz w:val="18"/>
          <w:szCs w:val="18"/>
          <w:color w:val="auto"/>
        </w:rPr>
        <w:t>. The Borrower shall at all times maintain its status as a RIC under the Code, and as a “business development company” under the Investment Company Act.</w:t>
      </w:r>
    </w:p>
    <w:p>
      <w:pPr>
        <w:spacing w:after="0" w:line="132"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Investment Policies</w:t>
      </w:r>
      <w:r>
        <w:rPr>
          <w:rFonts w:ascii="Arial" w:cs="Arial" w:eastAsia="Arial" w:hAnsi="Arial"/>
          <w:sz w:val="18"/>
          <w:szCs w:val="18"/>
          <w:color w:val="auto"/>
        </w:rPr>
        <w:t>. The Borrower shall at all times be in compliance in all material respects with its Investment Policies (after giving effect to any Permitted Policy Amendments).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Portfolio Valuation and Diversification Etc</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55" w:lineRule="auto"/>
        <w:tabs>
          <w:tab w:leader="none" w:pos="1152"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Industry Classification Groups</w:t>
      </w:r>
      <w:r>
        <w:rPr>
          <w:rFonts w:ascii="Arial" w:cs="Arial" w:eastAsia="Arial" w:hAnsi="Arial"/>
          <w:sz w:val="18"/>
          <w:szCs w:val="18"/>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61" w:lineRule="exact"/>
        <w:rPr>
          <w:rFonts w:ascii="Arial" w:cs="Arial" w:eastAsia="Arial" w:hAnsi="Arial"/>
          <w:sz w:val="18"/>
          <w:szCs w:val="18"/>
          <w:color w:val="auto"/>
        </w:rPr>
      </w:pPr>
    </w:p>
    <w:p>
      <w:pPr>
        <w:ind w:left="1160" w:hanging="239"/>
        <w:spacing w:after="0"/>
        <w:tabs>
          <w:tab w:leader="none" w:pos="116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Portfolio Valuation Etc</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98" w:lineRule="auto"/>
        <w:tabs>
          <w:tab w:leader="none" w:pos="1108"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Settlement Date Basis</w:t>
      </w:r>
      <w:r>
        <w:rPr>
          <w:rFonts w:ascii="Arial" w:cs="Arial" w:eastAsia="Arial" w:hAnsi="Arial"/>
          <w:sz w:val="16"/>
          <w:szCs w:val="16"/>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investment shall be included as a Portfolio Investment to the extent it has not been paid for in full.</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Determination of Values</w:t>
      </w:r>
      <w:r>
        <w:rPr>
          <w:rFonts w:ascii="Arial" w:cs="Arial" w:eastAsia="Arial" w:hAnsi="Arial"/>
          <w:sz w:val="16"/>
          <w:szCs w:val="16"/>
          <w:color w:val="auto"/>
        </w:rPr>
        <w:t>. The Borrower will conduct reviews of the value to be assigned to each of its Portfolio Investments as follows:</w:t>
      </w:r>
    </w:p>
    <w:p>
      <w:pPr>
        <w:spacing w:after="0" w:line="113" w:lineRule="exact"/>
        <w:rPr>
          <w:rFonts w:ascii="Arial" w:cs="Arial" w:eastAsia="Arial" w:hAnsi="Arial"/>
          <w:sz w:val="16"/>
          <w:szCs w:val="16"/>
          <w:color w:val="auto"/>
        </w:rPr>
      </w:pPr>
    </w:p>
    <w:p>
      <w:pPr>
        <w:ind w:left="920" w:right="40" w:firstLine="421"/>
        <w:spacing w:after="0" w:line="306" w:lineRule="auto"/>
        <w:tabs>
          <w:tab w:leader="none" w:pos="1627" w:val="left"/>
        </w:tabs>
        <w:numPr>
          <w:ilvl w:val="2"/>
          <w:numId w:val="115"/>
        </w:numPr>
        <w:rPr>
          <w:rFonts w:ascii="Arial" w:cs="Arial" w:eastAsia="Arial" w:hAnsi="Arial"/>
          <w:sz w:val="16"/>
          <w:szCs w:val="16"/>
          <w:color w:val="auto"/>
        </w:rPr>
      </w:pPr>
      <w:r>
        <w:rPr>
          <w:rFonts w:ascii="Arial" w:cs="Arial" w:eastAsia="Arial" w:hAnsi="Arial"/>
          <w:sz w:val="16"/>
          <w:szCs w:val="16"/>
          <w:u w:val="single" w:color="auto"/>
          <w:color w:val="auto"/>
        </w:rPr>
        <w:t>Quoted Investments - External Review</w:t>
      </w:r>
      <w:r>
        <w:rPr>
          <w:rFonts w:ascii="Arial" w:cs="Arial" w:eastAsia="Arial" w:hAnsi="Arial"/>
          <w:sz w:val="16"/>
          <w:szCs w:val="16"/>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93"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87" w:name="page88"/>
    <w:bookmarkEnd w:id="87"/>
    <w:p>
      <w:pPr>
        <w:ind w:left="300" w:right="360" w:firstLine="389"/>
        <w:spacing w:after="0" w:line="268" w:lineRule="auto"/>
        <w:tabs>
          <w:tab w:leader="none" w:pos="985" w:val="left"/>
        </w:tabs>
        <w:numPr>
          <w:ilvl w:val="1"/>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public and 144A securities, the average of the bid prices as determined by two Approved Dealers selected by the Borrower,</w:t>
      </w:r>
    </w:p>
    <w:p>
      <w:pPr>
        <w:spacing w:after="0" w:line="50" w:lineRule="exact"/>
        <w:rPr>
          <w:rFonts w:ascii="Arial" w:cs="Arial" w:eastAsia="Arial" w:hAnsi="Arial"/>
          <w:sz w:val="18"/>
          <w:szCs w:val="18"/>
          <w:color w:val="auto"/>
        </w:rPr>
      </w:pPr>
    </w:p>
    <w:p>
      <w:pPr>
        <w:ind w:left="940" w:hanging="251"/>
        <w:spacing w:after="0"/>
        <w:tabs>
          <w:tab w:leader="none" w:pos="9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the case of bank loans, the bid price as determined by one Approved Dealer selected by the Borrower,</w:t>
      </w:r>
    </w:p>
    <w:p>
      <w:pPr>
        <w:spacing w:after="0" w:line="90" w:lineRule="exact"/>
        <w:rPr>
          <w:rFonts w:ascii="Arial" w:cs="Arial" w:eastAsia="Arial" w:hAnsi="Arial"/>
          <w:sz w:val="18"/>
          <w:szCs w:val="18"/>
          <w:color w:val="auto"/>
        </w:rPr>
      </w:pPr>
    </w:p>
    <w:p>
      <w:pPr>
        <w:ind w:left="300" w:right="100" w:firstLine="389"/>
        <w:spacing w:after="0" w:line="268" w:lineRule="auto"/>
        <w:tabs>
          <w:tab w:leader="none" w:pos="94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the case of any Portfolio Investment traded on an exchange, the closing price for such Portfolio Investment most recently posted on such exchange, and</w:t>
      </w:r>
    </w:p>
    <w:p>
      <w:pPr>
        <w:spacing w:after="0" w:line="50" w:lineRule="exact"/>
        <w:rPr>
          <w:rFonts w:ascii="Arial" w:cs="Arial" w:eastAsia="Arial" w:hAnsi="Arial"/>
          <w:sz w:val="18"/>
          <w:szCs w:val="18"/>
          <w:color w:val="auto"/>
        </w:rPr>
      </w:pPr>
    </w:p>
    <w:p>
      <w:pPr>
        <w:ind w:left="920" w:hanging="231"/>
        <w:spacing w:after="0"/>
        <w:tabs>
          <w:tab w:leader="none" w:pos="92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in the case of any other Portfolio Investment, the fair market value thereof as determined by an Approved Pricing Service; and</w:t>
      </w:r>
    </w:p>
    <w:p>
      <w:pPr>
        <w:spacing w:after="0" w:line="113" w:lineRule="exact"/>
        <w:rPr>
          <w:rFonts w:ascii="Arial" w:cs="Arial" w:eastAsia="Arial" w:hAnsi="Arial"/>
          <w:sz w:val="16"/>
          <w:szCs w:val="16"/>
          <w:color w:val="auto"/>
        </w:rPr>
      </w:pPr>
    </w:p>
    <w:p>
      <w:pPr>
        <w:jc w:val="both"/>
        <w:ind w:left="-280" w:right="160" w:firstLine="421"/>
        <w:spacing w:after="0" w:line="259" w:lineRule="auto"/>
        <w:tabs>
          <w:tab w:leader="none" w:pos="41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Unquoted Investments- External Review</w:t>
      </w:r>
      <w:r>
        <w:rPr>
          <w:rFonts w:ascii="Arial" w:cs="Arial" w:eastAsia="Arial" w:hAnsi="Arial"/>
          <w:sz w:val="18"/>
          <w:szCs w:val="18"/>
          <w:color w:val="auto"/>
        </w:rPr>
        <w:t xml:space="preserve">. With respect to Portfolio Investments for which market quotations are not readily available, the Borrower shall request an Approved Third-Party Appraiser to assist the Board of Directors of the Borrower in determining the fair market value of such Portfolio Investments, as at the last day of each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59" w:lineRule="exact"/>
        <w:rPr>
          <w:rFonts w:ascii="Arial" w:cs="Arial" w:eastAsia="Arial" w:hAnsi="Arial"/>
          <w:sz w:val="18"/>
          <w:szCs w:val="18"/>
          <w:color w:val="auto"/>
        </w:rPr>
      </w:pPr>
    </w:p>
    <w:p>
      <w:pPr>
        <w:ind w:left="940" w:hanging="251"/>
        <w:spacing w:after="0"/>
        <w:tabs>
          <w:tab w:leader="none" w:pos="9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Value of any such Portfolio Investment (i.e., a Portfolio Investment for which market quotations are not readily</w:t>
      </w:r>
    </w:p>
    <w:p>
      <w:pPr>
        <w:spacing w:after="0" w:line="15" w:lineRule="exact"/>
        <w:rPr>
          <w:sz w:val="20"/>
          <w:szCs w:val="20"/>
          <w:color w:val="auto"/>
        </w:rPr>
      </w:pPr>
    </w:p>
    <w:p>
      <w:pPr>
        <w:ind w:left="300" w:right="80"/>
        <w:spacing w:after="0" w:line="255" w:lineRule="auto"/>
        <w:rPr>
          <w:sz w:val="20"/>
          <w:szCs w:val="20"/>
          <w:color w:val="auto"/>
        </w:rPr>
      </w:pPr>
      <w:r>
        <w:rPr>
          <w:rFonts w:ascii="Arial" w:cs="Arial" w:eastAsia="Arial" w:hAnsi="Arial"/>
          <w:sz w:val="18"/>
          <w:szCs w:val="18"/>
          <w:color w:val="auto"/>
        </w:rPr>
        <w:t xml:space="preserve">available) acquired during a fiscal quarter 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as at the last day of such fiscal quarter; and</w:t>
      </w:r>
    </w:p>
    <w:p>
      <w:pPr>
        <w:spacing w:after="0" w:line="63" w:lineRule="exact"/>
        <w:rPr>
          <w:sz w:val="20"/>
          <w:szCs w:val="20"/>
          <w:color w:val="auto"/>
        </w:rPr>
      </w:pPr>
    </w:p>
    <w:p>
      <w:pPr>
        <w:ind w:left="300" w:right="20" w:firstLine="389"/>
        <w:spacing w:after="0" w:line="290" w:lineRule="auto"/>
        <w:tabs>
          <w:tab w:leader="none" w:pos="94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notwithstanding the foregoing, the Board of Directors of the Borrower may, without the assistance of an Approved Third-Party Appraiser, determine the fair market value of such unquoted Portfolio Investments so long as the aggregate Value thereof so determined does not at any time exceed 10% of the aggregate Borrowing Base, except that the fair market value of any Portfolio Investment that has been determined without the assistance of an Approved Third-Party Appraiser as at the last day of any fiscal quarter shall be deemed to be zero as at the last day of the immediately succeeding fiscal quarter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w:t>
      </w:r>
    </w:p>
    <w:p>
      <w:pPr>
        <w:spacing w:after="0" w:line="37" w:lineRule="exact"/>
        <w:rPr>
          <w:rFonts w:ascii="Arial" w:cs="Arial" w:eastAsia="Arial" w:hAnsi="Arial"/>
          <w:sz w:val="16"/>
          <w:szCs w:val="16"/>
          <w:color w:val="auto"/>
        </w:rPr>
      </w:pPr>
    </w:p>
    <w:p>
      <w:pPr>
        <w:jc w:val="both"/>
        <w:ind w:left="-280" w:right="240" w:firstLine="421"/>
        <w:spacing w:after="0" w:line="306" w:lineRule="auto"/>
        <w:tabs>
          <w:tab w:leader="none" w:pos="418"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Internal Review</w:t>
      </w:r>
      <w:r>
        <w:rPr>
          <w:rFonts w:ascii="Arial" w:cs="Arial" w:eastAsia="Arial" w:hAnsi="Arial"/>
          <w:sz w:val="16"/>
          <w:szCs w:val="16"/>
          <w:color w:val="auto"/>
        </w:rPr>
        <w:t xml:space="preserve">. The Borrower shall conduct internal reviews of all Portfolio Investments at least once each calendar week which shall take into account any events of which the Borrower has knowledge that adversely affect the value of the Portfolio Investments. If the value of any Portfolio Investment as most recently determined by the Borrower pursuant to this </w:t>
      </w:r>
      <w:r>
        <w:rPr>
          <w:rFonts w:ascii="Arial" w:cs="Arial" w:eastAsia="Arial" w:hAnsi="Arial"/>
          <w:sz w:val="16"/>
          <w:szCs w:val="16"/>
          <w:u w:val="single" w:color="auto"/>
          <w:color w:val="auto"/>
        </w:rPr>
        <w:t>Section 5.12(b)(ii)(C)</w:t>
      </w:r>
    </w:p>
    <w:p>
      <w:pPr>
        <w:spacing w:after="0" w:line="93" w:lineRule="exact"/>
        <w:rPr>
          <w:sz w:val="20"/>
          <w:szCs w:val="20"/>
          <w:color w:val="auto"/>
        </w:rPr>
      </w:pPr>
    </w:p>
    <w:p>
      <w:pPr>
        <w:jc w:val="both"/>
        <w:ind w:left="4660"/>
        <w:spacing w:after="0"/>
        <w:tabs>
          <w:tab w:leader="none" w:pos="822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80" w:right="239" w:bottom="1440" w:gutter="0" w:footer="0" w:header="0"/>
        </w:sectPr>
      </w:pPr>
    </w:p>
    <w:bookmarkStart w:id="88" w:name="page89"/>
    <w:bookmarkEnd w:id="88"/>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is lower than the value of such Portfolio Investment as most recently determined pursuant to </w:t>
      </w:r>
      <w:r>
        <w:rPr>
          <w:rFonts w:ascii="Arial" w:cs="Arial" w:eastAsia="Arial" w:hAnsi="Arial"/>
          <w:sz w:val="16"/>
          <w:szCs w:val="16"/>
          <w:u w:val="single" w:color="auto"/>
          <w:color w:val="auto"/>
        </w:rPr>
        <w:t>Section 5.12(b)(ii)(A)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such lower value shall be deemed to be the “Value” of such Portfolio Investment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39" w:lineRule="exact"/>
        <w:rPr>
          <w:sz w:val="20"/>
          <w:szCs w:val="20"/>
          <w:color w:val="auto"/>
        </w:rPr>
      </w:pPr>
    </w:p>
    <w:p>
      <w:pPr>
        <w:ind w:right="160" w:firstLine="421"/>
        <w:spacing w:after="0" w:line="357" w:lineRule="auto"/>
        <w:tabs>
          <w:tab w:leader="none" w:pos="707"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Failure to Determine Values</w:t>
      </w:r>
      <w:r>
        <w:rPr>
          <w:rFonts w:ascii="Arial" w:cs="Arial" w:eastAsia="Arial" w:hAnsi="Arial"/>
          <w:sz w:val="15"/>
          <w:szCs w:val="15"/>
          <w:color w:val="auto"/>
        </w:rPr>
        <w:t xml:space="preserve">. If the Borrower shall fail to determine the value of any Portfolio Investment as at any date pursuant to the requirements of the foregoing </w:t>
      </w:r>
      <w:r>
        <w:rPr>
          <w:rFonts w:ascii="Arial" w:cs="Arial" w:eastAsia="Arial" w:hAnsi="Arial"/>
          <w:sz w:val="15"/>
          <w:szCs w:val="15"/>
          <w:u w:val="single" w:color="auto"/>
          <w:color w:val="auto"/>
        </w:rPr>
        <w:t>sub-clauses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(C)</w:t>
      </w:r>
      <w:r>
        <w:rPr>
          <w:rFonts w:ascii="Arial" w:cs="Arial" w:eastAsia="Arial" w:hAnsi="Arial"/>
          <w:sz w:val="15"/>
          <w:szCs w:val="15"/>
          <w:color w:val="auto"/>
        </w:rPr>
        <w:t>, then the “Value” of such Portfolio Investment as at such date shall be deemed to be zero.</w:t>
      </w:r>
    </w:p>
    <w:p>
      <w:pPr>
        <w:ind w:left="680" w:hanging="259"/>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Testing of Values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580" w:right="20" w:firstLine="389"/>
        <w:spacing w:after="0" w:line="254" w:lineRule="auto"/>
        <w:tabs>
          <w:tab w:leader="none" w:pos="122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For the second calendar month immediately following the end of each fiscal quarter (the last such fiscal quarter is referred to herein as, the “</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If there is a difference between the Borrower’s valuation and the Approved Third-Party Appraiser’s valuation of any Unquoted Investment, the Value of such Unquoted Investment for Borrowing Base purposes shall be established as set forth in </w:t>
      </w:r>
      <w:r>
        <w:rPr>
          <w:rFonts w:ascii="Arial" w:cs="Arial" w:eastAsia="Arial" w:hAnsi="Arial"/>
          <w:sz w:val="18"/>
          <w:szCs w:val="18"/>
          <w:u w:val="single" w:color="auto"/>
          <w:color w:val="auto"/>
        </w:rPr>
        <w:t>sub-clause (F)</w:t>
      </w:r>
      <w:r>
        <w:rPr>
          <w:rFonts w:ascii="Arial" w:cs="Arial" w:eastAsia="Arial" w:hAnsi="Arial"/>
          <w:sz w:val="18"/>
          <w:szCs w:val="18"/>
          <w:color w:val="auto"/>
        </w:rPr>
        <w:t xml:space="preserve"> below.</w:t>
      </w:r>
    </w:p>
    <w:p>
      <w:pPr>
        <w:spacing w:after="0" w:line="63" w:lineRule="exact"/>
        <w:rPr>
          <w:rFonts w:ascii="Arial" w:cs="Arial" w:eastAsia="Arial" w:hAnsi="Arial"/>
          <w:sz w:val="18"/>
          <w:szCs w:val="18"/>
          <w:color w:val="auto"/>
        </w:rPr>
      </w:pPr>
    </w:p>
    <w:p>
      <w:pPr>
        <w:ind w:left="580" w:right="40" w:firstLine="389"/>
        <w:spacing w:after="0" w:line="288" w:lineRule="auto"/>
        <w:tabs>
          <w:tab w:leader="none" w:pos="1226" w:val="left"/>
        </w:tabs>
        <w:numPr>
          <w:ilvl w:val="1"/>
          <w:numId w:val="120"/>
        </w:numPr>
        <w:rPr>
          <w:rFonts w:ascii="Arial" w:cs="Arial" w:eastAsia="Arial" w:hAnsi="Arial"/>
          <w:sz w:val="16"/>
          <w:szCs w:val="16"/>
          <w:color w:val="auto"/>
        </w:rPr>
      </w:pPr>
      <w:r>
        <w:rPr>
          <w:rFonts w:ascii="Arial" w:cs="Arial" w:eastAsia="Arial" w:hAnsi="Arial"/>
          <w:sz w:val="16"/>
          <w:szCs w:val="16"/>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6"/>
          <w:szCs w:val="16"/>
          <w:u w:val="single" w:color="auto"/>
          <w:color w:val="auto"/>
        </w:rPr>
        <w:t>Administrative Agent Appraisal Testing Month</w:t>
      </w:r>
      <w:r>
        <w:rPr>
          <w:rFonts w:ascii="Arial" w:cs="Arial" w:eastAsia="Arial" w:hAnsi="Arial"/>
          <w:sz w:val="16"/>
          <w:szCs w:val="16"/>
          <w:color w:val="auto"/>
        </w:rPr>
        <w:t>”) and would be reflected in the Borrowing Base Certificate for such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Approved Third-Party Appraiser delivers such valuation at least seven (7) Business Days before the 20</w:t>
      </w:r>
      <w:r>
        <w:rPr>
          <w:rFonts w:ascii="Arial" w:cs="Arial" w:eastAsia="Arial" w:hAnsi="Arial"/>
          <w:sz w:val="10"/>
          <w:szCs w:val="10"/>
          <w:color w:val="auto"/>
        </w:rPr>
        <w:t>th</w:t>
      </w:r>
      <w:r>
        <w:rPr>
          <w:rFonts w:ascii="Arial" w:cs="Arial" w:eastAsia="Arial" w:hAnsi="Arial"/>
          <w:sz w:val="16"/>
          <w:szCs w:val="16"/>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w:t>
      </w:r>
      <w:r>
        <w:rPr>
          <w:rFonts w:ascii="Arial" w:cs="Arial" w:eastAsia="Arial" w:hAnsi="Arial"/>
          <w:sz w:val="16"/>
          <w:szCs w:val="16"/>
          <w:u w:val="single" w:color="auto"/>
          <w:color w:val="auto"/>
        </w:rPr>
        <w:t>clauses (E)(x)</w:t>
      </w:r>
      <w:r>
        <w:rPr>
          <w:rFonts w:ascii="Arial" w:cs="Arial" w:eastAsia="Arial" w:hAnsi="Arial"/>
          <w:sz w:val="16"/>
          <w:szCs w:val="16"/>
          <w:color w:val="auto"/>
        </w:rPr>
        <w:t xml:space="preserve"> during the month of February with the anticipation of receiving the</w:t>
      </w:r>
    </w:p>
    <w:p>
      <w:pPr>
        <w:spacing w:after="0" w:line="106" w:lineRule="exact"/>
        <w:rPr>
          <w:sz w:val="20"/>
          <w:szCs w:val="20"/>
          <w:color w:val="auto"/>
        </w:rPr>
      </w:pPr>
    </w:p>
    <w:p>
      <w:pPr>
        <w:jc w:val="both"/>
        <w:ind w:left="4940"/>
        <w:spacing w:after="0"/>
        <w:tabs>
          <w:tab w:leader="none" w:pos="850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00"/>
          </w:cols>
          <w:pgMar w:left="1160" w:top="280" w:right="239" w:bottom="1440" w:gutter="0" w:footer="0" w:header="0"/>
        </w:sectPr>
      </w:pPr>
    </w:p>
    <w:bookmarkStart w:id="89" w:name="page90"/>
    <w:bookmarkEnd w:id="89"/>
    <w:p>
      <w:pPr>
        <w:ind w:left="1500"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valuations from the applicable Approved Third-Party Appraiser(s) on or after February 28, 2013 and (B)(xx) if such valuations were received before the 7</w:t>
      </w:r>
      <w:r>
        <w:rPr>
          <w:rFonts w:ascii="Arial" w:cs="Arial" w:eastAsia="Arial" w:hAnsi="Arial"/>
          <w:sz w:val="11"/>
          <w:szCs w:val="11"/>
          <w:color w:val="auto"/>
        </w:rPr>
        <w:t>th</w:t>
      </w:r>
      <w:r>
        <w:rPr>
          <w:rFonts w:ascii="Arial" w:cs="Arial" w:eastAsia="Arial" w:hAnsi="Arial"/>
          <w:sz w:val="18"/>
          <w:szCs w:val="18"/>
          <w:color w:val="auto"/>
        </w:rPr>
        <w:t xml:space="preserve">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62" w:lineRule="exact"/>
        <w:rPr>
          <w:sz w:val="20"/>
          <w:szCs w:val="20"/>
          <w:color w:val="auto"/>
        </w:rPr>
      </w:pPr>
    </w:p>
    <w:p>
      <w:pPr>
        <w:ind w:left="1500" w:right="320"/>
        <w:spacing w:after="0" w:line="268" w:lineRule="auto"/>
        <w:rPr>
          <w:sz w:val="20"/>
          <w:szCs w:val="20"/>
          <w:color w:val="auto"/>
        </w:rPr>
      </w:pPr>
      <w:r>
        <w:rPr>
          <w:rFonts w:ascii="Arial" w:cs="Arial" w:eastAsia="Arial" w:hAnsi="Arial"/>
          <w:sz w:val="18"/>
          <w:szCs w:val="18"/>
          <w:color w:val="auto"/>
        </w:rPr>
        <w:t xml:space="preserve">For the avoidance of doubt, all calculations of value pursuant to this </w:t>
      </w:r>
      <w:r>
        <w:rPr>
          <w:rFonts w:ascii="Arial" w:cs="Arial" w:eastAsia="Arial" w:hAnsi="Arial"/>
          <w:sz w:val="18"/>
          <w:szCs w:val="18"/>
          <w:u w:val="single" w:color="auto"/>
          <w:color w:val="auto"/>
        </w:rPr>
        <w:t>Section 5.12(b)(ii)(E)</w:t>
      </w:r>
      <w:r>
        <w:rPr>
          <w:rFonts w:ascii="Arial" w:cs="Arial" w:eastAsia="Arial" w:hAnsi="Arial"/>
          <w:sz w:val="18"/>
          <w:szCs w:val="18"/>
          <w:color w:val="auto"/>
        </w:rPr>
        <w:t xml:space="preserve"> shall be determined without application of the Advance Rates.</w:t>
      </w:r>
    </w:p>
    <w:p>
      <w:pPr>
        <w:spacing w:after="0" w:line="51" w:lineRule="exact"/>
        <w:rPr>
          <w:sz w:val="20"/>
          <w:szCs w:val="20"/>
          <w:color w:val="auto"/>
        </w:rPr>
      </w:pPr>
    </w:p>
    <w:p>
      <w:pPr>
        <w:ind w:left="920" w:right="100" w:firstLine="421"/>
        <w:spacing w:after="0" w:line="287" w:lineRule="auto"/>
        <w:tabs>
          <w:tab w:leader="none" w:pos="1598"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Valuation Dispute Resolution</w:t>
      </w:r>
      <w:r>
        <w:rPr>
          <w:rFonts w:ascii="Arial" w:cs="Arial" w:eastAsia="Arial" w:hAnsi="Arial"/>
          <w:sz w:val="16"/>
          <w:szCs w:val="16"/>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Arial" w:cs="Arial" w:eastAsia="Arial" w:hAnsi="Arial"/>
          <w:sz w:val="16"/>
          <w:szCs w:val="16"/>
          <w:u w:val="single" w:color="auto"/>
          <w:color w:val="auto"/>
        </w:rPr>
        <w:t>Section 5.12(b)(ii)(B)</w:t>
      </w:r>
      <w:r>
        <w:rPr>
          <w:rFonts w:ascii="Arial" w:cs="Arial" w:eastAsia="Arial" w:hAnsi="Arial"/>
          <w:sz w:val="16"/>
          <w:szCs w:val="16"/>
          <w:color w:val="auto"/>
        </w:rPr>
        <w:t xml:space="preserve"> and the valuation of any Approved Third-Party Appraiser selected by the Administrative Agent pursuant to </w:t>
      </w:r>
      <w:r>
        <w:rPr>
          <w:rFonts w:ascii="Arial" w:cs="Arial" w:eastAsia="Arial" w:hAnsi="Arial"/>
          <w:sz w:val="16"/>
          <w:szCs w:val="16"/>
          <w:u w:val="single" w:color="auto"/>
          <w:color w:val="auto"/>
        </w:rPr>
        <w:t>Section 5.12(b)(ii)(E)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41" w:lineRule="exact"/>
        <w:rPr>
          <w:rFonts w:ascii="Arial" w:cs="Arial" w:eastAsia="Arial" w:hAnsi="Arial"/>
          <w:sz w:val="16"/>
          <w:szCs w:val="16"/>
          <w:color w:val="auto"/>
        </w:rPr>
      </w:pPr>
    </w:p>
    <w:p>
      <w:pPr>
        <w:jc w:val="both"/>
        <w:ind w:right="20" w:firstLine="921"/>
        <w:spacing w:after="0" w:line="259" w:lineRule="auto"/>
        <w:tabs>
          <w:tab w:leader="none" w:pos="115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RIC Diversification Requirements</w:t>
      </w:r>
      <w:r>
        <w:rPr>
          <w:rFonts w:ascii="Arial" w:cs="Arial" w:eastAsia="Arial" w:hAnsi="Arial"/>
          <w:sz w:val="18"/>
          <w:szCs w:val="18"/>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40" w:lineRule="exact"/>
        <w:rPr>
          <w:sz w:val="20"/>
          <w:szCs w:val="20"/>
          <w:color w:val="auto"/>
        </w:rPr>
      </w:pPr>
    </w:p>
    <w:p>
      <w:pPr>
        <w:jc w:val="both"/>
        <w:ind w:right="500" w:firstLine="913"/>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Calculation of Borrowing Base</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or the last paragraph of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59" w:lineRule="exact"/>
        <w:rPr>
          <w:sz w:val="20"/>
          <w:szCs w:val="20"/>
          <w:color w:val="auto"/>
        </w:rPr>
      </w:pPr>
    </w:p>
    <w:p>
      <w:pPr>
        <w:ind w:right="60" w:firstLine="921"/>
        <w:spacing w:after="0" w:line="259" w:lineRule="auto"/>
        <w:tabs>
          <w:tab w:leader="none" w:pos="11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in a consolidated group of corporations or other entities (collectively, a “</w:t>
      </w:r>
      <w:r>
        <w:rPr>
          <w:rFonts w:ascii="Arial" w:cs="Arial" w:eastAsia="Arial" w:hAnsi="Arial"/>
          <w:sz w:val="18"/>
          <w:szCs w:val="18"/>
          <w:u w:val="single" w:color="auto"/>
          <w:color w:val="auto"/>
        </w:rPr>
        <w:t>Consolidated Group</w:t>
      </w:r>
      <w:r>
        <w:rPr>
          <w:rFonts w:ascii="Arial" w:cs="Arial" w:eastAsia="Arial" w:hAnsi="Arial"/>
          <w:sz w:val="18"/>
          <w:szCs w:val="18"/>
          <w:color w:val="auto"/>
        </w:rPr>
        <w:t>”), in accordance with GAAP, that exceeds 10% of Shareholders’ Equity of the Borrower (which, for purposes of this calculation shall exclude the aggregate amount of</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0" w:name="page91"/>
    <w:bookmarkEnd w:id="90"/>
    <w:p>
      <w:pPr>
        <w:ind w:right="4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investments in, and advances to, Financing Subsidiaries) shall be 50% of the Advance Rate otherwise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Portfolio Investments in a single Consolidated Group designated by the Borrower to the Administrative Agent such 10% figure shall be increased to 12.5%;</w:t>
      </w:r>
    </w:p>
    <w:p>
      <w:pPr>
        <w:spacing w:after="0" w:line="85" w:lineRule="exact"/>
        <w:rPr>
          <w:sz w:val="20"/>
          <w:szCs w:val="20"/>
          <w:color w:val="auto"/>
        </w:rPr>
      </w:pPr>
    </w:p>
    <w:p>
      <w:pPr>
        <w:ind w:right="120" w:firstLine="921"/>
        <w:spacing w:after="0" w:line="259" w:lineRule="auto"/>
        <w:tabs>
          <w:tab w:leader="none" w:pos="116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of all issuers in a Consolidated Group exceeding 20% of Shareholders’ Equity of the Borrower (which, for purposes of this calculation shall exclude the aggregate amount of investments in, and advances to, Financing Subsidiaries) shall be 0%;</w:t>
      </w:r>
    </w:p>
    <w:p>
      <w:pPr>
        <w:spacing w:after="0" w:line="140" w:lineRule="exact"/>
        <w:rPr>
          <w:rFonts w:ascii="Arial" w:cs="Arial" w:eastAsia="Arial" w:hAnsi="Arial"/>
          <w:sz w:val="18"/>
          <w:szCs w:val="18"/>
          <w:color w:val="auto"/>
        </w:rPr>
      </w:pPr>
    </w:p>
    <w:p>
      <w:pPr>
        <w:ind w:right="60" w:firstLine="921"/>
        <w:spacing w:after="0" w:line="294" w:lineRule="auto"/>
        <w:tabs>
          <w:tab w:leader="none" w:pos="115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Advance Rate applicable to that portion of the aggregate Value of the Portfolio Investments in any single Industry Classification Group that exceeds 20% of Shareholders’ Equity of the Borrower (which for purposes of this calculation shall exclude the aggregate amount of investments in, and advances to, Financing Subsidiaries) shall be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Portfolio Investments in a single Industry Classification Group from time to time designated by the Borrower to the Administrative Agent such 20% figure shall be increased to 30% and, accordingly, only to the extent that the Value for such single Industry Classification Group exceeds 30% of the Shareholders’ Equity shall the Advance Rate applicable to such excess Value be 0%;</w:t>
      </w:r>
    </w:p>
    <w:p>
      <w:pPr>
        <w:spacing w:after="0" w:line="115" w:lineRule="exact"/>
        <w:rPr>
          <w:rFonts w:ascii="Arial" w:cs="Arial" w:eastAsia="Arial" w:hAnsi="Arial"/>
          <w:sz w:val="16"/>
          <w:szCs w:val="16"/>
          <w:color w:val="auto"/>
        </w:rPr>
      </w:pPr>
    </w:p>
    <w:p>
      <w:pPr>
        <w:ind w:right="180" w:firstLine="921"/>
        <w:spacing w:after="0" w:line="306" w:lineRule="auto"/>
        <w:tabs>
          <w:tab w:leader="none" w:pos="11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06" w:lineRule="exact"/>
        <w:rPr>
          <w:rFonts w:ascii="Arial" w:cs="Arial" w:eastAsia="Arial" w:hAnsi="Arial"/>
          <w:sz w:val="16"/>
          <w:szCs w:val="16"/>
          <w:color w:val="auto"/>
        </w:rPr>
      </w:pPr>
    </w:p>
    <w:p>
      <w:pPr>
        <w:ind w:right="600" w:firstLine="921"/>
        <w:spacing w:after="0" w:line="268" w:lineRule="auto"/>
        <w:tabs>
          <w:tab w:leader="none" w:pos="11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31" w:lineRule="exact"/>
        <w:rPr>
          <w:rFonts w:ascii="Arial" w:cs="Arial" w:eastAsia="Arial" w:hAnsi="Arial"/>
          <w:sz w:val="18"/>
          <w:szCs w:val="18"/>
          <w:color w:val="auto"/>
        </w:rPr>
      </w:pPr>
    </w:p>
    <w:p>
      <w:pPr>
        <w:ind w:right="40" w:firstLine="921"/>
        <w:spacing w:after="0" w:line="268" w:lineRule="auto"/>
        <w:tabs>
          <w:tab w:leader="none" w:pos="113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Equity Interests shall not exceed 10% (it being understood that in no event shall Equity Interests of Financing Subsidiaries be included in the Borrowing Base);</w:t>
      </w:r>
    </w:p>
    <w:p>
      <w:pPr>
        <w:spacing w:after="0" w:line="131" w:lineRule="exact"/>
        <w:rPr>
          <w:rFonts w:ascii="Arial" w:cs="Arial" w:eastAsia="Arial" w:hAnsi="Arial"/>
          <w:sz w:val="18"/>
          <w:szCs w:val="18"/>
          <w:color w:val="auto"/>
        </w:rPr>
      </w:pPr>
    </w:p>
    <w:p>
      <w:pPr>
        <w:jc w:val="both"/>
        <w:ind w:right="100" w:firstLine="921"/>
        <w:spacing w:after="0" w:line="259" w:lineRule="auto"/>
        <w:tabs>
          <w:tab w:leader="none" w:pos="116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 and</w:t>
      </w:r>
    </w:p>
    <w:p>
      <w:pPr>
        <w:spacing w:after="0" w:line="140" w:lineRule="exact"/>
        <w:rPr>
          <w:rFonts w:ascii="Arial" w:cs="Arial" w:eastAsia="Arial" w:hAnsi="Arial"/>
          <w:sz w:val="18"/>
          <w:szCs w:val="18"/>
          <w:color w:val="auto"/>
        </w:rPr>
      </w:pPr>
    </w:p>
    <w:p>
      <w:pPr>
        <w:ind w:right="460" w:firstLine="921"/>
        <w:spacing w:after="0" w:line="259" w:lineRule="auto"/>
        <w:tabs>
          <w:tab w:leader="none" w:pos="116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following meanings:</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1" w:name="page92"/>
    <w:bookmarkEnd w:id="91"/>
    <w:p>
      <w:pPr>
        <w:ind w:right="8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means, as to any Portfolio Investment and subject to adjustment as provided in </w:t>
      </w: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the following percentages with respect to such Portfolio Investment: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Portfolio Investment</w:t>
            </w:r>
          </w:p>
        </w:tc>
        <w:tc>
          <w:tcPr>
            <w:tcW w:w="5180" w:type="dxa"/>
            <w:vAlign w:val="bottom"/>
          </w:tcPr>
          <w:p>
            <w:pPr>
              <w:spacing w:after="0"/>
              <w:rPr>
                <w:sz w:val="14"/>
                <w:szCs w:val="14"/>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4"/>
                <w:szCs w:val="14"/>
                <w:color w:val="auto"/>
              </w:rPr>
              <w:t>Quoted</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Unquoted</w:t>
            </w:r>
          </w:p>
        </w:tc>
        <w:tc>
          <w:tcPr>
            <w:tcW w:w="0" w:type="dxa"/>
            <w:vAlign w:val="bottom"/>
          </w:tcPr>
          <w:p>
            <w:pPr>
              <w:spacing w:after="0"/>
              <w:rPr>
                <w:sz w:val="1"/>
                <w:szCs w:val="1"/>
                <w:color w:val="auto"/>
              </w:rPr>
            </w:pPr>
          </w:p>
        </w:tc>
      </w:tr>
      <w:tr>
        <w:trPr>
          <w:trHeight w:val="20"/>
        </w:trPr>
        <w:tc>
          <w:tcPr>
            <w:tcW w:w="6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Cash, Cash Equivalents and Short-Term U.S. Government Securities</w:t>
            </w:r>
          </w:p>
        </w:tc>
        <w:tc>
          <w:tcPr>
            <w:tcW w:w="4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gridSpan w:val="2"/>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100%</w:t>
            </w:r>
          </w:p>
        </w:tc>
        <w:tc>
          <w:tcPr>
            <w:tcW w:w="3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Long-Term U.S. Government Securities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95%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First Lien Bank Loans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Performing Unitranche Loans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Second Lien Bank Loans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Performing Cash Pay High Yield Securities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Cash Pay Mezzanine Investments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Performing Non-Cash Pay High Yield Securities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60%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Non-Cash Pay Mezzanine Investments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Non-Performing First Lien Bank Loans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45%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Unitranche Loans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Non-Performing Second Lien Bank Loans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40%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High Yield Securities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Non-Performing Cash Pay Mezzanine Investments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30%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Performing Common Equity (and zero cost or penny warrants with performing debt)</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Non-Performing Common Equity</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Finance Obligations and Finance Leases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Loans</w:t>
      </w:r>
      <w:r>
        <w:rPr>
          <w:rFonts w:ascii="Arial" w:cs="Arial" w:eastAsia="Arial" w:hAnsi="Arial"/>
          <w:sz w:val="18"/>
          <w:szCs w:val="18"/>
          <w:color w:val="auto"/>
        </w:rPr>
        <w:t>” means debt obligations (including term loans,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w:t>
      </w:r>
    </w:p>
    <w:p>
      <w:pPr>
        <w:spacing w:after="0" w:line="140" w:lineRule="exact"/>
        <w:rPr>
          <w:sz w:val="20"/>
          <w:szCs w:val="20"/>
          <w:color w:val="auto"/>
        </w:rPr>
      </w:pPr>
    </w:p>
    <w:p>
      <w:pPr>
        <w:ind w:right="5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Lease</w:t>
      </w:r>
      <w:r>
        <w:rPr>
          <w:rFonts w:ascii="Arial" w:cs="Arial" w:eastAsia="Arial" w:hAnsi="Arial"/>
          <w:sz w:val="18"/>
          <w:szCs w:val="18"/>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2" w:name="page93"/>
    <w:bookmarkEnd w:id="92"/>
    <w:p>
      <w:pPr>
        <w:jc w:val="both"/>
        <w:ind w:right="180" w:firstLine="913"/>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5"/>
          <w:szCs w:val="15"/>
          <w:u w:val="single" w:color="auto"/>
          <w:color w:val="auto"/>
        </w:rPr>
        <w:t>First Lien Bank Loan</w:t>
      </w:r>
      <w:r>
        <w:rPr>
          <w:rFonts w:ascii="Arial" w:cs="Arial" w:eastAsia="Arial" w:hAnsi="Arial"/>
          <w:sz w:val="15"/>
          <w:szCs w:val="15"/>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6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Yield Securities</w:t>
      </w:r>
      <w:r>
        <w:rPr>
          <w:rFonts w:ascii="Arial" w:cs="Arial" w:eastAsia="Arial" w:hAnsi="Arial"/>
          <w:sz w:val="18"/>
          <w:szCs w:val="18"/>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40" w:lineRule="exact"/>
        <w:rPr>
          <w:sz w:val="20"/>
          <w:szCs w:val="20"/>
          <w:color w:val="auto"/>
        </w:rPr>
      </w:pPr>
    </w:p>
    <w:p>
      <w:pPr>
        <w:ind w:right="10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U.S. Government Securities</w:t>
      </w:r>
      <w:r>
        <w:rPr>
          <w:rFonts w:ascii="Arial" w:cs="Arial" w:eastAsia="Arial" w:hAnsi="Arial"/>
          <w:sz w:val="18"/>
          <w:szCs w:val="18"/>
          <w:color w:val="auto"/>
        </w:rPr>
        <w:t>” means U.S. Government Securities maturing more than one year from the applicable date of determination.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Mezzanine Investments</w:t>
      </w:r>
      <w:r>
        <w:rPr>
          <w:rFonts w:ascii="Arial" w:cs="Arial" w:eastAsia="Arial" w:hAnsi="Arial"/>
          <w:sz w:val="18"/>
          <w:szCs w:val="18"/>
          <w:color w:val="auto"/>
        </w:rPr>
        <w:t>” means debt Securities (including convertible debt Securities (other than the “in-the-money” equity component</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44"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Common Equity</w:t>
      </w:r>
      <w:r>
        <w:rPr>
          <w:rFonts w:ascii="Arial" w:cs="Arial" w:eastAsia="Arial" w:hAnsi="Arial"/>
          <w:sz w:val="18"/>
          <w:szCs w:val="18"/>
          <w:color w:val="auto"/>
        </w:rPr>
        <w:t>” means Capital Stock (other than Preferred Stock) and warrants of an issuer having any debt outstanding that is non-Performing.</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First Lien Bank Loans</w:t>
      </w:r>
      <w:r>
        <w:rPr>
          <w:rFonts w:ascii="Arial" w:cs="Arial" w:eastAsia="Arial" w:hAnsi="Arial"/>
          <w:sz w:val="18"/>
          <w:szCs w:val="18"/>
          <w:color w:val="auto"/>
        </w:rPr>
        <w:t>” means First Lien Bank Loans other than Performing First Lien Bank Loans.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High Yield Securities</w:t>
      </w:r>
      <w:r>
        <w:rPr>
          <w:rFonts w:ascii="Arial" w:cs="Arial" w:eastAsia="Arial" w:hAnsi="Arial"/>
          <w:sz w:val="18"/>
          <w:szCs w:val="18"/>
          <w:color w:val="auto"/>
        </w:rPr>
        <w:t>” means High Yield Securities other than Performing High Yield Securities.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Mezzanine Investments</w:t>
      </w:r>
      <w:r>
        <w:rPr>
          <w:rFonts w:ascii="Arial" w:cs="Arial" w:eastAsia="Arial" w:hAnsi="Arial"/>
          <w:sz w:val="18"/>
          <w:szCs w:val="18"/>
          <w:color w:val="auto"/>
        </w:rPr>
        <w:t>” means Mezzanine Investments other than Performing Mezzanine Investments.</w:t>
      </w:r>
    </w:p>
    <w:p>
      <w:pPr>
        <w:spacing w:after="0" w:line="17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Portfolio Investment</w:t>
      </w:r>
      <w:r>
        <w:rPr>
          <w:rFonts w:ascii="Arial" w:cs="Arial" w:eastAsia="Arial" w:hAnsi="Arial"/>
          <w:sz w:val="18"/>
          <w:szCs w:val="18"/>
          <w:color w:val="auto"/>
        </w:rPr>
        <w:t>” means Portfolio Investments for which the issuer is in default of any payment obligations of principal or interest in respect thereof after the expiration of any applicable grace period.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Second Lien Bank Loans</w:t>
      </w:r>
      <w:r>
        <w:rPr>
          <w:rFonts w:ascii="Arial" w:cs="Arial" w:eastAsia="Arial" w:hAnsi="Arial"/>
          <w:sz w:val="18"/>
          <w:szCs w:val="18"/>
          <w:color w:val="auto"/>
        </w:rPr>
        <w:t>” means Second Lien Bank Loans other than Performing Second Lien Bank Loans.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Unitranche Loans</w:t>
      </w:r>
      <w:r>
        <w:rPr>
          <w:rFonts w:ascii="Arial" w:cs="Arial" w:eastAsia="Arial" w:hAnsi="Arial"/>
          <w:sz w:val="18"/>
          <w:szCs w:val="18"/>
          <w:color w:val="auto"/>
        </w:rPr>
        <w:t>” means Unitranche Loans other than Performing Unitranche Loans.</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w:t>
      </w:r>
      <w:r>
        <w:rPr>
          <w:rFonts w:ascii="Arial" w:cs="Arial" w:eastAsia="Arial" w:hAnsi="Arial"/>
          <w:sz w:val="18"/>
          <w:szCs w:val="18"/>
          <w:color w:val="auto"/>
        </w:rPr>
        <w:t>”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30"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3" w:name="page94"/>
    <w:bookmarkEnd w:id="93"/>
    <w:p>
      <w:pPr>
        <w:ind w:right="2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Performing Cash Pay High Yield Securities</w:t>
      </w:r>
      <w:r>
        <w:rPr>
          <w:rFonts w:ascii="Arial" w:cs="Arial" w:eastAsia="Arial" w:hAnsi="Arial"/>
          <w:sz w:val="18"/>
          <w:szCs w:val="18"/>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Mezzanine Investments</w:t>
      </w:r>
      <w:r>
        <w:rPr>
          <w:rFonts w:ascii="Arial" w:cs="Arial" w:eastAsia="Arial" w:hAnsi="Arial"/>
          <w:sz w:val="18"/>
          <w:szCs w:val="18"/>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Common Equity</w:t>
      </w:r>
      <w:r>
        <w:rPr>
          <w:rFonts w:ascii="Arial" w:cs="Arial" w:eastAsia="Arial" w:hAnsi="Arial"/>
          <w:sz w:val="16"/>
          <w:szCs w:val="16"/>
          <w:color w:val="auto"/>
        </w:rPr>
        <w:t>” means Capital Stock (other than Preferred Stock) and warrants of an issuer all of whose outstanding debt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Performing.</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First Lien Bank Loans</w:t>
      </w:r>
      <w:r>
        <w:rPr>
          <w:rFonts w:ascii="Arial" w:cs="Arial" w:eastAsia="Arial" w:hAnsi="Arial"/>
          <w:sz w:val="18"/>
          <w:szCs w:val="18"/>
          <w:color w:val="auto"/>
        </w:rPr>
        <w:t>” means First Lien Bank Loans which are Performing.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Non-Cash Pay High Yield Securities</w:t>
      </w:r>
      <w:r>
        <w:rPr>
          <w:rFonts w:ascii="Arial" w:cs="Arial" w:eastAsia="Arial" w:hAnsi="Arial"/>
          <w:sz w:val="16"/>
          <w:szCs w:val="16"/>
          <w:color w:val="auto"/>
        </w:rPr>
        <w:t>” means Performing High Yield Securities other than Performing Cash Pay High Yield Securities.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Non-Cash Pay Mezzanine Investments</w:t>
      </w:r>
      <w:r>
        <w:rPr>
          <w:rFonts w:ascii="Arial" w:cs="Arial" w:eastAsia="Arial" w:hAnsi="Arial"/>
          <w:sz w:val="16"/>
          <w:szCs w:val="16"/>
          <w:color w:val="auto"/>
        </w:rPr>
        <w:t>” means Performing Mezzanine Investments other than Performing Cash Pay Mezzanine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Second Lien Bank Loans</w:t>
      </w:r>
      <w:r>
        <w:rPr>
          <w:rFonts w:ascii="Arial" w:cs="Arial" w:eastAsia="Arial" w:hAnsi="Arial"/>
          <w:sz w:val="18"/>
          <w:szCs w:val="18"/>
          <w:color w:val="auto"/>
        </w:rPr>
        <w:t>” means Second Lien Bank Loans which are Performing.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as applied to the Capital Stock of any Person, means Capital Stock of such Person of any class or classes (however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designated) that ranks prior, as to the payment of dividends or as to the distribution of assets upon any voluntary or involuntary liquidation, dissolution or winding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of such Person, to any shares (or other interests) of other Capital Stock of such Person, and shall include, without limitation, cumulative preferred,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cumulative preferred, participating preferred and convertible preferred Capital Stock.</w:t>
      </w:r>
    </w:p>
    <w:p>
      <w:pPr>
        <w:spacing w:after="0" w:line="16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Bank Loan</w:t>
      </w:r>
      <w:r>
        <w:rPr>
          <w:rFonts w:ascii="Arial" w:cs="Arial" w:eastAsia="Arial" w:hAnsi="Arial"/>
          <w:sz w:val="18"/>
          <w:szCs w:val="18"/>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32" w:lineRule="exact"/>
        <w:rPr>
          <w:sz w:val="20"/>
          <w:szCs w:val="20"/>
          <w:color w:val="auto"/>
        </w:rPr>
      </w:pPr>
    </w:p>
    <w:p>
      <w:pPr>
        <w:ind w:right="2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15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4" w:name="page95"/>
    <w:bookmarkEnd w:id="9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Short-Term U.S. Government Securities</w:t>
      </w:r>
      <w:r>
        <w:rPr>
          <w:rFonts w:ascii="Arial" w:cs="Arial" w:eastAsia="Arial" w:hAnsi="Arial"/>
          <w:sz w:val="16"/>
          <w:szCs w:val="16"/>
          <w:color w:val="auto"/>
        </w:rPr>
        <w:t>” means U.S. Government Securities maturing within one year of the applicable date of determination.</w:t>
      </w:r>
    </w:p>
    <w:p>
      <w:pPr>
        <w:spacing w:after="0" w:line="194" w:lineRule="exact"/>
        <w:rPr>
          <w:sz w:val="20"/>
          <w:szCs w:val="20"/>
          <w:color w:val="auto"/>
        </w:rPr>
      </w:pPr>
    </w:p>
    <w:p>
      <w:pPr>
        <w:ind w:right="3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Unitranche Loan</w:t>
      </w:r>
      <w:r>
        <w:rPr>
          <w:rFonts w:ascii="Arial" w:cs="Arial" w:eastAsia="Arial" w:hAnsi="Arial"/>
          <w:sz w:val="18"/>
          <w:szCs w:val="18"/>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Portfolio Investment, the lower of:</w:t>
      </w:r>
    </w:p>
    <w:p>
      <w:pPr>
        <w:spacing w:after="0" w:line="90" w:lineRule="exact"/>
        <w:rPr>
          <w:sz w:val="20"/>
          <w:szCs w:val="20"/>
          <w:color w:val="auto"/>
        </w:rPr>
      </w:pPr>
    </w:p>
    <w:p>
      <w:pPr>
        <w:ind w:left="1120" w:hanging="217"/>
        <w:spacing w:after="0"/>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most recent internal market value as determined pursuant to </w:t>
      </w:r>
      <w:r>
        <w:rPr>
          <w:rFonts w:ascii="Arial" w:cs="Arial" w:eastAsia="Arial" w:hAnsi="Arial"/>
          <w:sz w:val="18"/>
          <w:szCs w:val="18"/>
          <w:u w:val="single" w:color="auto"/>
          <w:color w:val="auto"/>
        </w:rPr>
        <w:t>Section 5.12(b)(ii)(C)</w:t>
      </w:r>
      <w:r>
        <w:rPr>
          <w:rFonts w:ascii="Arial" w:cs="Arial" w:eastAsia="Arial" w:hAnsi="Arial"/>
          <w:sz w:val="18"/>
          <w:szCs w:val="18"/>
          <w:color w:val="auto"/>
        </w:rPr>
        <w:t xml:space="preserv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most recent external market value as determined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17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59"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Subject to the last sentence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the Borrower will not, nor will it permit any of the Subsidiary Guarantors to, create, incur, assume or permit to exist any Indebtedness, except:</w:t>
      </w:r>
    </w:p>
    <w:p>
      <w:pPr>
        <w:spacing w:after="0" w:line="51" w:lineRule="exact"/>
        <w:rPr>
          <w:sz w:val="20"/>
          <w:szCs w:val="20"/>
          <w:color w:val="auto"/>
        </w:rPr>
      </w:pPr>
    </w:p>
    <w:p>
      <w:pPr>
        <w:ind w:left="1160" w:hanging="239"/>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Indebtedness created hereunder;</w:t>
      </w:r>
    </w:p>
    <w:p>
      <w:pPr>
        <w:spacing w:after="0" w:line="171" w:lineRule="exact"/>
        <w:rPr>
          <w:rFonts w:ascii="Arial" w:cs="Arial" w:eastAsia="Arial" w:hAnsi="Arial"/>
          <w:sz w:val="18"/>
          <w:szCs w:val="18"/>
          <w:color w:val="auto"/>
        </w:rPr>
      </w:pPr>
    </w:p>
    <w:p>
      <w:pPr>
        <w:ind w:right="220" w:firstLine="921"/>
        <w:spacing w:after="0" w:line="323" w:lineRule="auto"/>
        <w:tabs>
          <w:tab w:leader="none" w:pos="1162" w:val="left"/>
        </w:tabs>
        <w:numPr>
          <w:ilvl w:val="0"/>
          <w:numId w:val="126"/>
        </w:numPr>
        <w:rPr>
          <w:rFonts w:ascii="Arial" w:cs="Arial" w:eastAsia="Arial" w:hAnsi="Arial"/>
          <w:sz w:val="15"/>
          <w:szCs w:val="15"/>
          <w:color w:val="auto"/>
        </w:rPr>
      </w:pPr>
      <w:r>
        <w:rPr>
          <w:rFonts w:ascii="Arial" w:cs="Arial" w:eastAsia="Arial" w:hAnsi="Arial"/>
          <w:sz w:val="15"/>
          <w:szCs w:val="15"/>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Arial" w:cs="Arial" w:eastAsia="Arial" w:hAnsi="Arial"/>
          <w:sz w:val="15"/>
          <w:szCs w:val="15"/>
          <w:u w:val="single" w:color="auto"/>
          <w:color w:val="auto"/>
        </w:rPr>
        <w:t>Section 6.07(b)</w:t>
      </w:r>
      <w:r>
        <w:rPr>
          <w:rFonts w:ascii="Arial" w:cs="Arial" w:eastAsia="Arial" w:hAnsi="Arial"/>
          <w:sz w:val="15"/>
          <w:szCs w:val="15"/>
          <w:color w:val="auto"/>
        </w:rPr>
        <w:t>, and (iii) prior to and immediately after giving effect to the incurrence of any Secured Longer-Term Indebtedness, the Covered Debt Amount does not or would not exceed the Borrowing Base then in effect;</w:t>
      </w:r>
    </w:p>
    <w:p>
      <w:pPr>
        <w:spacing w:after="0" w:line="84"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5" w:name="page96"/>
    <w:bookmarkEnd w:id="95"/>
    <w:p>
      <w:pPr>
        <w:ind w:left="1160" w:hanging="239"/>
        <w:spacing w:after="0"/>
        <w:tabs>
          <w:tab w:leader="none" w:pos="11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Permitted Indebtedness;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Guarantees of Indebtedness otherwise permitted hereunder;</w:t>
      </w:r>
    </w:p>
    <w:p>
      <w:pPr>
        <w:spacing w:after="0" w:line="171" w:lineRule="exact"/>
        <w:rPr>
          <w:rFonts w:ascii="Arial" w:cs="Arial" w:eastAsia="Arial" w:hAnsi="Arial"/>
          <w:sz w:val="18"/>
          <w:szCs w:val="18"/>
          <w:color w:val="auto"/>
        </w:rPr>
      </w:pPr>
    </w:p>
    <w:p>
      <w:pPr>
        <w:ind w:right="640" w:firstLine="921"/>
        <w:spacing w:after="0" w:line="268" w:lineRule="auto"/>
        <w:tabs>
          <w:tab w:leader="none" w:pos="115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Indebtedness of any Obligor owing to any other Obligor or, if such Indebtedness is subject to subordination terms and conditions that are satisfactory to the Administrative Agent, any other Subsidiary of the Borrower;</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Indebtedness of Financing Subsidiaries;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repurchase obligations arising in the ordinary course of business with respect to U.S. Government Securities;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obligations payable to clearing agencies, brokers or dealers in connection with the purchase or sale of securities in the ordinary course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64" w:lineRule="exact"/>
        <w:rPr>
          <w:rFonts w:ascii="Arial" w:cs="Arial" w:eastAsia="Arial" w:hAnsi="Arial"/>
          <w:sz w:val="16"/>
          <w:szCs w:val="16"/>
          <w:color w:val="auto"/>
        </w:rPr>
      </w:pPr>
    </w:p>
    <w:p>
      <w:pPr>
        <w:ind w:right="540" w:firstLine="921"/>
        <w:spacing w:after="0" w:line="305" w:lineRule="auto"/>
        <w:tabs>
          <w:tab w:leader="none" w:pos="1123" w:val="left"/>
        </w:tabs>
        <w:numPr>
          <w:ilvl w:val="1"/>
          <w:numId w:val="127"/>
        </w:numPr>
        <w:rPr>
          <w:rFonts w:ascii="Arial" w:cs="Arial" w:eastAsia="Arial" w:hAnsi="Arial"/>
          <w:sz w:val="15"/>
          <w:szCs w:val="15"/>
          <w:color w:val="auto"/>
        </w:rPr>
      </w:pPr>
      <w:r>
        <w:rPr>
          <w:rFonts w:ascii="Arial" w:cs="Arial" w:eastAsia="Arial" w:hAnsi="Arial"/>
          <w:sz w:val="15"/>
          <w:szCs w:val="15"/>
          <w:color w:val="auto"/>
        </w:rPr>
        <w:t>Secured Shorter-Term Indebtedness and Unsecured Shorter-Term Indebtedness so long as (i) no Default exists at the time of the incurrence thereof, (ii) the aggregate amount (determined at the time of the incurrence of such Indebtedness) of such Indebtedness does not exceed the greater of</w:t>
      </w:r>
    </w:p>
    <w:p>
      <w:pPr>
        <w:ind w:right="180" w:firstLine="8"/>
        <w:spacing w:after="0" w:line="302" w:lineRule="auto"/>
        <w:tabs>
          <w:tab w:leader="none" w:pos="28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$20,000,000 and (B) 5% of Shareholders’ Equity, (iii) the aggregate amount of such Indebtedness, taken together with other then-outstanding Indebtedness, does not exceed the amount required to comply with the provisions of </w:t>
      </w:r>
      <w:r>
        <w:rPr>
          <w:rFonts w:ascii="Arial" w:cs="Arial" w:eastAsia="Arial" w:hAnsi="Arial"/>
          <w:sz w:val="16"/>
          <w:szCs w:val="16"/>
          <w:u w:val="single" w:color="auto"/>
          <w:color w:val="auto"/>
        </w:rPr>
        <w:t>Sections 6.07(b)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and (iv) prior to and immediately after giving effect to the incurrence of any such Indebtedness, the Covered Debt Amount does not or would not exceed the Borrowing Base then in effect;</w:t>
      </w:r>
    </w:p>
    <w:p>
      <w:pPr>
        <w:spacing w:after="0" w:line="109" w:lineRule="exact"/>
        <w:rPr>
          <w:rFonts w:ascii="Arial" w:cs="Arial" w:eastAsia="Arial" w:hAnsi="Arial"/>
          <w:sz w:val="16"/>
          <w:szCs w:val="16"/>
          <w:color w:val="auto"/>
        </w:rPr>
      </w:pPr>
    </w:p>
    <w:p>
      <w:pPr>
        <w:ind w:left="1140" w:hanging="219"/>
        <w:spacing w:after="0"/>
        <w:tabs>
          <w:tab w:leader="none" w:pos="11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obligations (including Guarantees) in respect of Standard Securitization Undertakings;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Permitted SBIC Guarantees;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Indebtedness under any Capital Call Facility not to exceed $300,000,000 in the aggregate; and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other Indebtedness not to exceed $2,000,000 at any time.</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59" w:lineRule="exact"/>
        <w:rPr>
          <w:sz w:val="20"/>
          <w:szCs w:val="20"/>
          <w:color w:val="auto"/>
        </w:rPr>
      </w:pPr>
    </w:p>
    <w:p>
      <w:pPr>
        <w:ind w:right="200" w:firstLine="921"/>
        <w:spacing w:after="0" w:line="335" w:lineRule="auto"/>
        <w:tabs>
          <w:tab w:leader="none" w:pos="1152"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any Lien on any property or asset of the Borrower existing on the date hereof and set forth in </w:t>
      </w:r>
      <w:r>
        <w:rPr>
          <w:rFonts w:ascii="Arial" w:cs="Arial" w:eastAsia="Arial" w:hAnsi="Arial"/>
          <w:sz w:val="15"/>
          <w:szCs w:val="15"/>
          <w:u w:val="single" w:color="auto"/>
          <w:color w:val="auto"/>
        </w:rPr>
        <w:t>Part B</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3.11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no such Lien shall extend to any other property or asset of the Borrower or any of the Subsidiary Guarantors, and (ii) any such Lien shall secure only those obligations which it secures on the date hereof and extensions, renewals and replacements thereof that do not increase the outstanding principal amount thereof;</w:t>
      </w:r>
    </w:p>
    <w:p>
      <w:pPr>
        <w:spacing w:after="0" w:line="7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6" w:name="page97"/>
    <w:bookmarkEnd w:id="96"/>
    <w:p>
      <w:pPr>
        <w:ind w:right="120" w:firstLine="921"/>
        <w:spacing w:after="0" w:line="268" w:lineRule="auto"/>
        <w:tabs>
          <w:tab w:leader="none" w:pos="1162"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created pursuant to this Agreement (including </w:t>
      </w:r>
      <w:r>
        <w:rPr>
          <w:rFonts w:ascii="Arial" w:cs="Arial" w:eastAsia="Arial" w:hAnsi="Arial"/>
          <w:sz w:val="18"/>
          <w:szCs w:val="18"/>
          <w:u w:val="single" w:color="auto"/>
          <w:color w:val="auto"/>
        </w:rPr>
        <w:t>Section 2.19</w:t>
      </w:r>
      <w:r>
        <w:rPr>
          <w:rFonts w:ascii="Arial" w:cs="Arial" w:eastAsia="Arial" w:hAnsi="Arial"/>
          <w:sz w:val="18"/>
          <w:szCs w:val="18"/>
          <w:color w:val="auto"/>
        </w:rPr>
        <w:t>) or any of the Security Documents (including Liens in favor of the Designated Indebtedness Holders (as defined in the Guarantee and Security Agreement));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on the assets of a Financing Subsidiary securing obligations of such Financing Subsidiary;</w:t>
      </w:r>
    </w:p>
    <w:p>
      <w:pPr>
        <w:spacing w:after="0" w:line="171"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on Special Equity Interests included in the Portfolio Investments of the Borrower but only to the extent securing obligations in the manner provided in the definition of “</w:t>
      </w:r>
      <w:r>
        <w:rPr>
          <w:rFonts w:ascii="Arial" w:cs="Arial" w:eastAsia="Arial" w:hAnsi="Arial"/>
          <w:sz w:val="18"/>
          <w:szCs w:val="18"/>
          <w:u w:val="single" w:color="auto"/>
          <w:color w:val="auto"/>
        </w:rPr>
        <w:t>Special Equity Interests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40" w:firstLine="921"/>
        <w:spacing w:after="0" w:line="255" w:lineRule="auto"/>
        <w:tabs>
          <w:tab w:leader="none" w:pos="115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in an aggregate principal amount not exceeding $10,000,000 at any one time outstanding (which may cover Portfolio Investments, but only to the extent released from the Lien in favor of the Collateral Agent pursuant to Section 10.03 of the Guarantee and Security Agreement), so long as at the time of incurrence of such Indebtedness or other obligations, the aggregate amount of Indebtedness permitted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does not exceed the lesser of (i) the Borrowing Base and (ii) the amount required to comply with the provisions of </w:t>
      </w:r>
      <w:r>
        <w:rPr>
          <w:rFonts w:ascii="Arial" w:cs="Arial" w:eastAsia="Arial" w:hAnsi="Arial"/>
          <w:sz w:val="18"/>
          <w:szCs w:val="18"/>
          <w:u w:val="single" w:color="auto"/>
          <w:color w:val="auto"/>
        </w:rPr>
        <w:t>Section 6.07(b)</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left="1140" w:hanging="219"/>
        <w:spacing w:after="0"/>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on Equity Interests in any SBIC Subsidiary created in favor of the SBA;</w:t>
      </w:r>
    </w:p>
    <w:p>
      <w:pPr>
        <w:spacing w:after="0" w:line="171" w:lineRule="exact"/>
        <w:rPr>
          <w:rFonts w:ascii="Arial" w:cs="Arial" w:eastAsia="Arial" w:hAnsi="Arial"/>
          <w:sz w:val="18"/>
          <w:szCs w:val="18"/>
          <w:color w:val="auto"/>
        </w:rPr>
      </w:pPr>
    </w:p>
    <w:p>
      <w:pPr>
        <w:ind w:right="600" w:firstLine="921"/>
        <w:spacing w:after="0" w:line="332" w:lineRule="auto"/>
        <w:tabs>
          <w:tab w:leader="none" w:pos="116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Liens created pursuant to any Capital Call Facility permitted hereunder; provided that such Liens do not constitute Liens on any Portfolio Investments, Cash or other property, in each case that constitute Collateral hereunder or are included in the Borrowing Base hereunder;</w:t>
      </w:r>
    </w:p>
    <w:p>
      <w:pPr>
        <w:spacing w:after="0" w:line="85" w:lineRule="exact"/>
        <w:rPr>
          <w:rFonts w:ascii="Arial" w:cs="Arial" w:eastAsia="Arial" w:hAnsi="Arial"/>
          <w:sz w:val="16"/>
          <w:szCs w:val="16"/>
          <w:color w:val="auto"/>
        </w:rPr>
      </w:pPr>
    </w:p>
    <w:p>
      <w:pPr>
        <w:ind w:right="100" w:firstLine="921"/>
        <w:spacing w:after="0" w:line="268" w:lineRule="auto"/>
        <w:tabs>
          <w:tab w:leader="none" w:pos="112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Liens securing Hedging Agreements permitted under </w:t>
      </w:r>
      <w:r>
        <w:rPr>
          <w:rFonts w:ascii="Arial" w:cs="Arial" w:eastAsia="Arial" w:hAnsi="Arial"/>
          <w:sz w:val="18"/>
          <w:szCs w:val="18"/>
          <w:u w:val="single" w:color="auto"/>
          <w:color w:val="auto"/>
        </w:rPr>
        <w:t>Section 6.04(c)</w:t>
      </w:r>
      <w:r>
        <w:rPr>
          <w:rFonts w:ascii="Arial" w:cs="Arial" w:eastAsia="Arial" w:hAnsi="Arial"/>
          <w:sz w:val="18"/>
          <w:szCs w:val="18"/>
          <w:color w:val="auto"/>
        </w:rPr>
        <w:t xml:space="preserve"> and not otherwise permitted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in an aggregate amount not to exceed $5,000,000 at any time; and</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securing repurchase obligations arising in the ordinary course of business with respect to U.S. Government Securities.</w:t>
      </w:r>
    </w:p>
    <w:p>
      <w:pPr>
        <w:spacing w:after="0" w:line="171"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w:t>
      </w:r>
    </w:p>
    <w:p>
      <w:pPr>
        <w:spacing w:after="0" w:line="13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or otherwise dispose of, in one transaction or a series of transactions, any part of its assets, whether now owned or hereafter acquired, but excluding</w:t>
      </w:r>
    </w:p>
    <w:p>
      <w:pPr>
        <w:spacing w:after="0" w:line="38" w:lineRule="exact"/>
        <w:rPr>
          <w:sz w:val="20"/>
          <w:szCs w:val="20"/>
          <w:color w:val="auto"/>
        </w:rPr>
      </w:pPr>
    </w:p>
    <w:p>
      <w:pPr>
        <w:ind w:right="20" w:firstLine="8"/>
        <w:spacing w:after="0" w:line="323" w:lineRule="auto"/>
        <w:tabs>
          <w:tab w:leader="none" w:pos="24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6"/>
          <w:szCs w:val="16"/>
          <w:u w:val="single" w:color="auto"/>
          <w:color w:val="auto"/>
        </w:rPr>
        <w:t>clauses (d)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below, Portfolio Investments.</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foregoing provisions of this Section:</w:t>
      </w:r>
    </w:p>
    <w:p>
      <w:pPr>
        <w:spacing w:after="0" w:line="171" w:lineRule="exact"/>
        <w:rPr>
          <w:sz w:val="20"/>
          <w:szCs w:val="20"/>
          <w:color w:val="auto"/>
        </w:rPr>
      </w:pPr>
    </w:p>
    <w:p>
      <w:pPr>
        <w:ind w:right="40" w:firstLine="921"/>
        <w:spacing w:after="0" w:line="259" w:lineRule="auto"/>
        <w:tabs>
          <w:tab w:leader="none" w:pos="11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any Subsidiary Guarantor of the Borrower may be merged or consolidated with or into the Borrower or any 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transaction shall be between a Subsidiary Guarantor and a wholly owned Subsidiary Guarantor, the wholly owned Subsidiary Guarantor shall be the continuing or surviving corporation;</w:t>
      </w:r>
    </w:p>
    <w:p>
      <w:pPr>
        <w:spacing w:after="0" w:line="140"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Subsidiary Guarantor of the Borrower may sell, lease, transfer or otherwise dispose of any or all of its assets (upon voluntary liquidation or otherwise) to the Borrower or any wholly owned Subsidiary Guarantor of the Borrower;</w:t>
      </w:r>
    </w:p>
    <w:p>
      <w:pPr>
        <w:spacing w:after="0" w:line="131" w:lineRule="exact"/>
        <w:rPr>
          <w:rFonts w:ascii="Arial" w:cs="Arial" w:eastAsia="Arial" w:hAnsi="Arial"/>
          <w:sz w:val="18"/>
          <w:szCs w:val="18"/>
          <w:color w:val="auto"/>
        </w:rPr>
      </w:pPr>
    </w:p>
    <w:p>
      <w:pPr>
        <w:ind w:right="480" w:firstLine="921"/>
        <w:spacing w:after="0" w:line="268" w:lineRule="auto"/>
        <w:tabs>
          <w:tab w:leader="none" w:pos="11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capital stock of any Subsidiary of the Borrower may be sold, transferred or otherwise disposed of to the Borrower or any wholly owned Subsidiary Guarantor of the Borrower;</w:t>
      </w:r>
    </w:p>
    <w:p>
      <w:pPr>
        <w:spacing w:after="0" w:line="131" w:lineRule="exact"/>
        <w:rPr>
          <w:rFonts w:ascii="Arial" w:cs="Arial" w:eastAsia="Arial" w:hAnsi="Arial"/>
          <w:sz w:val="18"/>
          <w:szCs w:val="18"/>
          <w:color w:val="auto"/>
        </w:rPr>
      </w:pPr>
    </w:p>
    <w:p>
      <w:pPr>
        <w:ind w:right="120" w:firstLine="921"/>
        <w:spacing w:after="0" w:line="259" w:lineRule="auto"/>
        <w:tabs>
          <w:tab w:leader="none" w:pos="11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the Covered Debt Amount does not exceed the Borrowing Base;</w:t>
      </w:r>
    </w:p>
    <w:p>
      <w:pPr>
        <w:spacing w:after="0" w:line="140" w:lineRule="exact"/>
        <w:rPr>
          <w:rFonts w:ascii="Arial" w:cs="Arial" w:eastAsia="Arial" w:hAnsi="Arial"/>
          <w:sz w:val="18"/>
          <w:szCs w:val="18"/>
          <w:color w:val="auto"/>
        </w:rPr>
      </w:pPr>
    </w:p>
    <w:p>
      <w:pPr>
        <w:ind w:right="100" w:firstLine="921"/>
        <w:spacing w:after="0" w:line="294" w:lineRule="auto"/>
        <w:tabs>
          <w:tab w:leader="none" w:pos="115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15" w:lineRule="exact"/>
        <w:rPr>
          <w:rFonts w:ascii="Arial" w:cs="Arial" w:eastAsia="Arial" w:hAnsi="Arial"/>
          <w:sz w:val="16"/>
          <w:szCs w:val="16"/>
          <w:color w:val="auto"/>
        </w:rPr>
      </w:pPr>
    </w:p>
    <w:p>
      <w:pPr>
        <w:ind w:right="60" w:firstLine="921"/>
        <w:spacing w:after="0" w:line="268" w:lineRule="auto"/>
        <w:tabs>
          <w:tab w:leader="none" w:pos="11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Borrower may merge or consolidate with any other Person so long as (i) the Borrower is the continuing or surviving entity in such transaction and (ii) at the time thereof and after giving effect thereto, no Default shall have occurred or be continuing; and</w:t>
      </w:r>
    </w:p>
    <w:p>
      <w:pPr>
        <w:spacing w:after="0" w:line="131" w:lineRule="exact"/>
        <w:rPr>
          <w:rFonts w:ascii="Arial" w:cs="Arial" w:eastAsia="Arial" w:hAnsi="Arial"/>
          <w:sz w:val="18"/>
          <w:szCs w:val="18"/>
          <w:color w:val="auto"/>
        </w:rPr>
      </w:pPr>
    </w:p>
    <w:p>
      <w:pPr>
        <w:ind w:right="20" w:firstLine="921"/>
        <w:spacing w:after="0" w:line="259" w:lineRule="auto"/>
        <w:tabs>
          <w:tab w:leader="none" w:pos="11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2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8" w:name="page99"/>
    <w:bookmarkEnd w:id="9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6.04. </w:t>
      </w:r>
      <w:r>
        <w:rPr>
          <w:rFonts w:ascii="Arial" w:cs="Arial" w:eastAsia="Arial" w:hAnsi="Arial"/>
          <w:sz w:val="16"/>
          <w:szCs w:val="16"/>
          <w:u w:val="single" w:color="auto"/>
          <w:color w:val="auto"/>
        </w:rPr>
        <w:t>Investments</w:t>
      </w:r>
      <w:r>
        <w:rPr>
          <w:rFonts w:ascii="Arial" w:cs="Arial" w:eastAsia="Arial" w:hAnsi="Arial"/>
          <w:sz w:val="16"/>
          <w:szCs w:val="16"/>
          <w:color w:val="auto"/>
        </w:rPr>
        <w:t>. The Borrower will not, nor will it permit any of the Subsidiary Guarantors to, acquire, make or enter into, or hold,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Investments except:</w:t>
      </w:r>
    </w:p>
    <w:p>
      <w:pPr>
        <w:spacing w:after="0" w:line="84" w:lineRule="exact"/>
        <w:rPr>
          <w:sz w:val="20"/>
          <w:szCs w:val="20"/>
          <w:color w:val="auto"/>
        </w:rPr>
      </w:pPr>
    </w:p>
    <w:p>
      <w:pPr>
        <w:ind w:left="1160" w:hanging="239"/>
        <w:spacing w:after="0"/>
        <w:tabs>
          <w:tab w:leader="none" w:pos="1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operating deposit accounts with banks;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Investments by the Borrower and the Subsidiary Guarantors in the Borrower and the Subsidiary Guarantors;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Hedging Agreements entered into in the ordinary course of the Borrower’s financial planning and not for speculative purposes;</w:t>
      </w:r>
    </w:p>
    <w:p>
      <w:pPr>
        <w:spacing w:after="0" w:line="171" w:lineRule="exact"/>
        <w:rPr>
          <w:rFonts w:ascii="Arial" w:cs="Arial" w:eastAsia="Arial" w:hAnsi="Arial"/>
          <w:sz w:val="18"/>
          <w:szCs w:val="18"/>
          <w:color w:val="auto"/>
        </w:rPr>
      </w:pPr>
    </w:p>
    <w:p>
      <w:pPr>
        <w:ind w:right="60" w:firstLine="921"/>
        <w:spacing w:after="0" w:line="268" w:lineRule="auto"/>
        <w:tabs>
          <w:tab w:leader="none" w:pos="116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31" w:lineRule="exact"/>
        <w:rPr>
          <w:rFonts w:ascii="Arial" w:cs="Arial" w:eastAsia="Arial" w:hAnsi="Arial"/>
          <w:sz w:val="18"/>
          <w:szCs w:val="18"/>
          <w:color w:val="auto"/>
        </w:rPr>
      </w:pPr>
    </w:p>
    <w:p>
      <w:pPr>
        <w:ind w:right="400" w:firstLine="921"/>
        <w:spacing w:after="0" w:line="306" w:lineRule="auto"/>
        <w:tabs>
          <w:tab w:leader="none" w:pos="115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that occur after the Commitment Termination Date and (y) all Investments under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below that occur after the Commitment Termination Date, shall not exceed $10,000,000 in the aggregate;</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additional Investments up to but not exceeding $15,000,000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sum of (x) all Investments under this </w:t>
      </w:r>
      <w:r>
        <w:rPr>
          <w:rFonts w:ascii="Arial" w:cs="Arial" w:eastAsia="Arial" w:hAnsi="Arial"/>
          <w:sz w:val="16"/>
          <w:szCs w:val="16"/>
          <w:u w:val="single" w:color="auto"/>
          <w:color w:val="auto"/>
        </w:rPr>
        <w:t>clause</w:t>
      </w:r>
    </w:p>
    <w:p>
      <w:pPr>
        <w:spacing w:after="0" w:line="38" w:lineRule="exact"/>
        <w:rPr>
          <w:rFonts w:ascii="Arial" w:cs="Arial" w:eastAsia="Arial" w:hAnsi="Arial"/>
          <w:sz w:val="16"/>
          <w:szCs w:val="16"/>
          <w:color w:val="auto"/>
        </w:rPr>
      </w:pPr>
    </w:p>
    <w:p>
      <w:pPr>
        <w:ind w:right="40" w:firstLine="8"/>
        <w:spacing w:after="0" w:line="261" w:lineRule="auto"/>
        <w:tabs>
          <w:tab w:leader="none" w:pos="219" w:val="left"/>
        </w:tabs>
        <w:numPr>
          <w:ilvl w:val="0"/>
          <w:numId w:val="134"/>
        </w:numPr>
        <w:rPr>
          <w:rFonts w:ascii="Arial" w:cs="Arial" w:eastAsia="Arial" w:hAnsi="Arial"/>
          <w:sz w:val="18"/>
          <w:szCs w:val="18"/>
          <w:u w:val="single" w:color="auto"/>
          <w:color w:val="auto"/>
        </w:rPr>
      </w:pPr>
      <w:r>
        <w:rPr>
          <w:rFonts w:ascii="Arial" w:cs="Arial" w:eastAsia="Arial" w:hAnsi="Arial"/>
          <w:sz w:val="18"/>
          <w:szCs w:val="18"/>
          <w:color w:val="auto"/>
        </w:rPr>
        <w:t xml:space="preserve">that occur after the Commitment Termination Date and (y) all Investments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that occur after the Commitment Termination Date, shall not exceed $10,000,000 in the aggregate;</w:t>
      </w:r>
    </w:p>
    <w:p>
      <w:pPr>
        <w:spacing w:after="0" w:line="137" w:lineRule="exact"/>
        <w:rPr>
          <w:rFonts w:ascii="Arial" w:cs="Arial" w:eastAsia="Arial" w:hAnsi="Arial"/>
          <w:sz w:val="18"/>
          <w:szCs w:val="18"/>
          <w:u w:val="single" w:color="auto"/>
          <w:color w:val="auto"/>
        </w:rPr>
      </w:pPr>
    </w:p>
    <w:p>
      <w:pPr>
        <w:ind w:left="1160" w:hanging="239"/>
        <w:spacing w:after="0"/>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Investments described on </w:t>
      </w:r>
      <w:r>
        <w:rPr>
          <w:rFonts w:ascii="Arial" w:cs="Arial" w:eastAsia="Arial" w:hAnsi="Arial"/>
          <w:sz w:val="18"/>
          <w:szCs w:val="18"/>
          <w:u w:val="single" w:color="auto"/>
          <w:color w:val="auto"/>
        </w:rPr>
        <w:t>Schedule 3.12(b)</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Investments by a Financing Subsidiary; and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Investments in the form of Guarantees permitted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amount of dividends, distributions or other payments received in cash in respect of such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44"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nor will it permit any of the Subsidiary Guarantors to, declare or make, or agree to pay or make, directly or indirectly, any Restricted Payment, except that the Borrower may declare and pay:</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99" w:name="page100"/>
    <w:bookmarkEnd w:id="99"/>
    <w:p>
      <w:pPr>
        <w:ind w:left="1160" w:hanging="239"/>
        <w:spacing w:after="0"/>
        <w:tabs>
          <w:tab w:leader="none" w:pos="11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dividends with respect to the capital stock of the Borrower payable solely in additional shares of the Borrower’s common stock;</w:t>
      </w:r>
    </w:p>
    <w:p>
      <w:pPr>
        <w:spacing w:after="0" w:line="171" w:lineRule="exact"/>
        <w:rPr>
          <w:rFonts w:ascii="Arial" w:cs="Arial" w:eastAsia="Arial" w:hAnsi="Arial"/>
          <w:sz w:val="18"/>
          <w:szCs w:val="18"/>
          <w:color w:val="auto"/>
        </w:rPr>
      </w:pPr>
    </w:p>
    <w:p>
      <w:pPr>
        <w:jc w:val="both"/>
        <w:ind w:right="60" w:firstLine="921"/>
        <w:spacing w:after="0" w:line="259" w:lineRule="auto"/>
        <w:tabs>
          <w:tab w:leader="none" w:pos="1162" w:val="left"/>
        </w:tabs>
        <w:numPr>
          <w:ilvl w:val="2"/>
          <w:numId w:val="135"/>
        </w:numPr>
        <w:rPr>
          <w:rFonts w:ascii="Arial" w:cs="Arial" w:eastAsia="Arial" w:hAnsi="Arial"/>
          <w:sz w:val="18"/>
          <w:szCs w:val="18"/>
          <w:color w:val="auto"/>
        </w:rPr>
      </w:pPr>
      <w:r>
        <w:rPr>
          <w:rFonts w:ascii="Arial" w:cs="Arial" w:eastAsia="Arial" w:hAnsi="Arial"/>
          <w:sz w:val="18"/>
          <w:szCs w:val="18"/>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40" w:lineRule="exact"/>
        <w:rPr>
          <w:rFonts w:ascii="Arial" w:cs="Arial" w:eastAsia="Arial" w:hAnsi="Arial"/>
          <w:sz w:val="18"/>
          <w:szCs w:val="18"/>
          <w:color w:val="auto"/>
        </w:rPr>
      </w:pPr>
    </w:p>
    <w:p>
      <w:pPr>
        <w:jc w:val="both"/>
        <w:ind w:right="280" w:firstLine="921"/>
        <w:spacing w:after="0" w:line="357" w:lineRule="auto"/>
        <w:tabs>
          <w:tab w:leader="none" w:pos="1152" w:val="left"/>
        </w:tabs>
        <w:numPr>
          <w:ilvl w:val="2"/>
          <w:numId w:val="135"/>
        </w:numPr>
        <w:rPr>
          <w:rFonts w:ascii="Arial" w:cs="Arial" w:eastAsia="Arial" w:hAnsi="Arial"/>
          <w:sz w:val="15"/>
          <w:szCs w:val="15"/>
          <w:color w:val="auto"/>
        </w:rPr>
      </w:pPr>
      <w:r>
        <w:rPr>
          <w:rFonts w:ascii="Arial" w:cs="Arial" w:eastAsia="Arial" w:hAnsi="Arial"/>
          <w:sz w:val="15"/>
          <w:szCs w:val="15"/>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so long as on the date of such Restricted Payment and after giving effect thereto:</w:t>
      </w:r>
    </w:p>
    <w:p>
      <w:pPr>
        <w:ind w:left="1120" w:hanging="217"/>
        <w:spacing w:after="0"/>
        <w:tabs>
          <w:tab w:leader="none" w:pos="11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result therefrom; and</w:t>
      </w:r>
    </w:p>
    <w:p>
      <w:pPr>
        <w:spacing w:after="0" w:line="90" w:lineRule="exact"/>
        <w:rPr>
          <w:rFonts w:ascii="Arial" w:cs="Arial" w:eastAsia="Arial" w:hAnsi="Arial"/>
          <w:sz w:val="18"/>
          <w:szCs w:val="18"/>
          <w:color w:val="auto"/>
        </w:rPr>
      </w:pPr>
    </w:p>
    <w:p>
      <w:pPr>
        <w:ind w:left="460" w:right="40" w:firstLine="443"/>
        <w:spacing w:after="0" w:line="294" w:lineRule="auto"/>
        <w:tabs>
          <w:tab w:leader="none" w:pos="115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the aggregate amount of Restricted Payments made during any taxable year of the Borrower after the date hereof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not exceed the difference of (x) an amount equal to 10% of the taxable income of the Borrower for such taxable year determined under section 852(b)(2) of the Code, but without regard to </w:t>
      </w:r>
      <w:r>
        <w:rPr>
          <w:rFonts w:ascii="Arial" w:cs="Arial" w:eastAsia="Arial" w:hAnsi="Arial"/>
          <w:sz w:val="16"/>
          <w:szCs w:val="16"/>
          <w:u w:val="single" w:color="auto"/>
          <w:color w:val="auto"/>
        </w:rPr>
        <w:t>subparagraphs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thereof,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the amount, if any, by which dividends and distributions made during such taxable year pursuant to the foregoing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such foregoing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for such taxable year.</w:t>
      </w:r>
    </w:p>
    <w:p>
      <w:pPr>
        <w:spacing w:after="0" w:line="115" w:lineRule="exact"/>
        <w:rPr>
          <w:rFonts w:ascii="Arial" w:cs="Arial" w:eastAsia="Arial" w:hAnsi="Arial"/>
          <w:sz w:val="16"/>
          <w:szCs w:val="16"/>
          <w:color w:val="auto"/>
        </w:rPr>
      </w:pPr>
    </w:p>
    <w:p>
      <w:pPr>
        <w:ind w:right="220" w:firstLine="921"/>
        <w:spacing w:after="0" w:line="302" w:lineRule="auto"/>
        <w:tabs>
          <w:tab w:leader="none" w:pos="1162" w:val="left"/>
        </w:tabs>
        <w:numPr>
          <w:ilvl w:val="2"/>
          <w:numId w:val="136"/>
        </w:numPr>
        <w:rPr>
          <w:rFonts w:ascii="Arial" w:cs="Arial" w:eastAsia="Arial" w:hAnsi="Arial"/>
          <w:sz w:val="15"/>
          <w:szCs w:val="15"/>
          <w:color w:val="auto"/>
        </w:rPr>
      </w:pPr>
      <w:r>
        <w:rPr>
          <w:rFonts w:ascii="Arial" w:cs="Arial" w:eastAsia="Arial" w:hAnsi="Arial"/>
          <w:sz w:val="15"/>
          <w:szCs w:val="15"/>
          <w:color w:val="auto"/>
        </w:rPr>
        <w:t xml:space="preserve">other Restricted Payments so long as (i) on the date of such other Restricted Payment and after giving effect thereto (x) the Covered Debt Amount does not exceed 90% of the Borrowing Base and (y) no Default shall have occurred and be continuing or would result therefrom and (ii) on the date of such other Restricted Payment the Borrower delivers to the Administrative Agent and each Lender a Borrowing Base Certificate as at such date demonstrating compliance with </w:t>
      </w:r>
      <w:r>
        <w:rPr>
          <w:rFonts w:ascii="Arial" w:cs="Arial" w:eastAsia="Arial" w:hAnsi="Arial"/>
          <w:sz w:val="15"/>
          <w:szCs w:val="15"/>
          <w:u w:val="single" w:color="auto"/>
          <w:color w:val="auto"/>
        </w:rPr>
        <w:t>subclause (x)</w:t>
      </w:r>
      <w:r>
        <w:rPr>
          <w:rFonts w:ascii="Arial" w:cs="Arial" w:eastAsia="Arial" w:hAnsi="Arial"/>
          <w:sz w:val="15"/>
          <w:szCs w:val="15"/>
          <w:color w:val="auto"/>
        </w:rPr>
        <w:t xml:space="preserve"> after giving effect to such Restricted Payment. For purposes of preparing such Borrowing Base Certificate, (A) the fair market value of Portfolio Investments for which market quotations are readily available shall be the most recent quotation available for such Portfolio Investment and</w:t>
      </w:r>
    </w:p>
    <w:p>
      <w:pPr>
        <w:spacing w:after="0" w:line="1" w:lineRule="exact"/>
        <w:rPr>
          <w:rFonts w:ascii="Arial" w:cs="Arial" w:eastAsia="Arial" w:hAnsi="Arial"/>
          <w:sz w:val="15"/>
          <w:szCs w:val="15"/>
          <w:color w:val="auto"/>
        </w:rPr>
      </w:pPr>
    </w:p>
    <w:p>
      <w:pPr>
        <w:ind w:right="180" w:firstLine="8"/>
        <w:spacing w:after="0" w:line="254" w:lineRule="auto"/>
        <w:tabs>
          <w:tab w:leader="none" w:pos="27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fair market value of Portfolio Investments for which market quotations are not readily available shall be the Value set forth in the Borrowing Base Certificate most recently delivered by the Borrower to the Administrative Agent and the Lenders pursuant to </w:t>
      </w:r>
      <w:r>
        <w:rPr>
          <w:rFonts w:ascii="Arial" w:cs="Arial" w:eastAsia="Arial" w:hAnsi="Arial"/>
          <w:sz w:val="18"/>
          <w:szCs w:val="18"/>
          <w:u w:val="single" w:color="auto"/>
          <w:color w:val="auto"/>
        </w:rPr>
        <w:t>Section 5.01(d)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reduce the Value of any Portfolio Investment referred to in this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to the extent necessary to take into account any events of which the Borrower has knowledge that adversely affect the value of such Portfolio Investment.</w:t>
      </w:r>
    </w:p>
    <w:p>
      <w:pPr>
        <w:spacing w:after="0" w:line="144"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Nothing herein shall be deemed to prohibit the payment of Restricted Payments by any Subsidiary of the Borrower to the Borrower or to any other Subsidiary Guarantor.</w:t>
      </w:r>
    </w:p>
    <w:p>
      <w:pPr>
        <w:spacing w:after="0" w:line="118"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0" w:name="page101"/>
    <w:bookmarkEnd w:id="100"/>
    <w:p>
      <w:pPr>
        <w:ind w:right="8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6.06. </w:t>
      </w:r>
      <w:r>
        <w:rPr>
          <w:rFonts w:ascii="Arial" w:cs="Arial" w:eastAsia="Arial" w:hAnsi="Arial"/>
          <w:sz w:val="16"/>
          <w:szCs w:val="16"/>
          <w:u w:val="single" w:color="auto"/>
          <w:color w:val="auto"/>
        </w:rPr>
        <w:t>Certain Restrictions on Subsidiaries</w:t>
      </w:r>
      <w:r>
        <w:rPr>
          <w:rFonts w:ascii="Arial" w:cs="Arial" w:eastAsia="Arial" w:hAnsi="Arial"/>
          <w:sz w:val="16"/>
          <w:szCs w:val="16"/>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Certain Financial Covenants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56" w:lineRule="auto"/>
        <w:tabs>
          <w:tab w:leader="none" w:pos="115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Minimum Shareholders’ Equity</w:t>
      </w:r>
      <w:r>
        <w:rPr>
          <w:rFonts w:ascii="Arial" w:cs="Arial" w:eastAsia="Arial" w:hAnsi="Arial"/>
          <w:sz w:val="18"/>
          <w:szCs w:val="18"/>
          <w:color w:val="auto"/>
        </w:rPr>
        <w:t xml:space="preserve">. The Borrower will not permit Shareholders’ Equity at the last day of any fiscal quarter of the Borrower to be less than $205,000,000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25% of the net proceeds of the sale of Equity Interests by the Borrower and its Subsidiaries after August 23, 2012 (including, without limitation, any drawings on the capital commitments of its equity holders) (other than proceeds of sales of Equity Interests by and among the Borrower and its Subsidiaries).</w:t>
      </w:r>
    </w:p>
    <w:p>
      <w:pPr>
        <w:spacing w:after="0" w:line="143" w:lineRule="exact"/>
        <w:rPr>
          <w:rFonts w:ascii="Arial" w:cs="Arial" w:eastAsia="Arial" w:hAnsi="Arial"/>
          <w:sz w:val="18"/>
          <w:szCs w:val="18"/>
          <w:color w:val="auto"/>
        </w:rPr>
      </w:pPr>
    </w:p>
    <w:p>
      <w:pPr>
        <w:ind w:right="40" w:firstLine="921"/>
        <w:spacing w:after="0" w:line="268" w:lineRule="auto"/>
        <w:tabs>
          <w:tab w:leader="none" w:pos="116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Asset Coverage Ratio</w:t>
      </w:r>
      <w:r>
        <w:rPr>
          <w:rFonts w:ascii="Arial" w:cs="Arial" w:eastAsia="Arial" w:hAnsi="Arial"/>
          <w:sz w:val="18"/>
          <w:szCs w:val="18"/>
          <w:color w:val="auto"/>
        </w:rPr>
        <w:t>. The Borrower will not permit the Asset Coverage Ratio at the last day of any fiscal quarter of the Borrower to be less than 2.00 to 1 at any time.</w:t>
      </w:r>
    </w:p>
    <w:p>
      <w:pPr>
        <w:spacing w:after="0" w:line="131" w:lineRule="exact"/>
        <w:rPr>
          <w:rFonts w:ascii="Arial" w:cs="Arial" w:eastAsia="Arial" w:hAnsi="Arial"/>
          <w:sz w:val="18"/>
          <w:szCs w:val="18"/>
          <w:color w:val="auto"/>
        </w:rPr>
      </w:pPr>
    </w:p>
    <w:p>
      <w:pPr>
        <w:ind w:right="20" w:firstLine="921"/>
        <w:spacing w:after="0" w:line="255" w:lineRule="auto"/>
        <w:tabs>
          <w:tab w:leader="none" w:pos="115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Liquidity Test</w:t>
      </w:r>
      <w:r>
        <w:rPr>
          <w:rFonts w:ascii="Arial" w:cs="Arial" w:eastAsia="Arial" w:hAnsi="Arial"/>
          <w:sz w:val="18"/>
          <w:szCs w:val="18"/>
          <w:color w:val="auto"/>
        </w:rPr>
        <w:t xml:space="preserve">. The Borrower will not permit (a) the sum of (i) the aggregate Value of the Portfolio Investments that are Cash (excluding Cash Collateral for outstanding Letters of Credit) or that can be converted to Cash in fewer than 10 Business Days without more than a 5% change in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aggregate amount of Relevant Available Funds that can be converted to Cash in fewer than 10 Business Days, to be less than (b) 10% of the Covered Debt Amount, for more than 30 consecutive Business Days during any period when the Adjusted Covered Debt Balance is greater than 90% of the Adjusted Borrowing Base.</w:t>
      </w:r>
    </w:p>
    <w:p>
      <w:pPr>
        <w:spacing w:after="0" w:line="143"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(d) the transactions provided in the Affiliate Agreements, (e) transactions described on </w:t>
      </w:r>
      <w:r>
        <w:rPr>
          <w:rFonts w:ascii="Arial" w:cs="Arial" w:eastAsia="Arial" w:hAnsi="Arial"/>
          <w:sz w:val="16"/>
          <w:szCs w:val="16"/>
          <w:u w:val="single" w:color="auto"/>
          <w:color w:val="auto"/>
        </w:rPr>
        <w:t>Schedule 6.08</w:t>
      </w:r>
      <w:r>
        <w:rPr>
          <w:rFonts w:ascii="Arial" w:cs="Arial" w:eastAsia="Arial" w:hAnsi="Arial"/>
          <w:sz w:val="16"/>
          <w:szCs w:val="16"/>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not less favorable to the Obligors than could be obtained at the time on an arm’s-length basis from unrelated third parties.</w:t>
      </w:r>
    </w:p>
    <w:p>
      <w:pPr>
        <w:spacing w:after="0" w:line="10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1" w:name="page102"/>
    <w:bookmarkEnd w:id="101"/>
    <w:p>
      <w:pPr>
        <w:ind w:right="1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6.09.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40" w:lineRule="exact"/>
        <w:rPr>
          <w:sz w:val="20"/>
          <w:szCs w:val="20"/>
          <w:color w:val="auto"/>
        </w:rPr>
      </w:pPr>
    </w:p>
    <w:p>
      <w:pPr>
        <w:ind w:right="320" w:firstLine="913"/>
        <w:spacing w:after="0" w:line="286"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No Further Negative Pledge</w:t>
      </w:r>
      <w:r>
        <w:rPr>
          <w:rFonts w:ascii="Arial" w:cs="Arial" w:eastAsia="Arial" w:hAnsi="Arial"/>
          <w:sz w:val="16"/>
          <w:szCs w:val="16"/>
          <w:color w:val="auto"/>
        </w:rPr>
        <w:t xml:space="preserve">. The Borrower will not, and will not permit any of the Subsidiary Guarantors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6"/>
          <w:szCs w:val="16"/>
          <w:u w:val="single" w:color="auto"/>
          <w:color w:val="auto"/>
        </w:rPr>
        <w:t>Section 6.01(b) or (i)</w:t>
      </w:r>
      <w:r>
        <w:rPr>
          <w:rFonts w:ascii="Arial" w:cs="Arial" w:eastAsia="Arial" w:hAnsi="Arial"/>
          <w:sz w:val="16"/>
          <w:szCs w:val="16"/>
          <w:color w:val="auto"/>
        </w:rPr>
        <w:t xml:space="preserve">; (b) covenants in documents creating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Modifications of Longer-Term Indebtedness Documents</w:t>
      </w:r>
      <w:r>
        <w:rPr>
          <w:rFonts w:ascii="Arial" w:cs="Arial" w:eastAsia="Arial" w:hAnsi="Arial"/>
          <w:sz w:val="16"/>
          <w:szCs w:val="16"/>
          <w:color w:val="auto"/>
        </w:rPr>
        <w:t>. The Borrower will not consent to any modification, supplement or waiver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ind w:right="40" w:firstLine="921"/>
        <w:spacing w:after="0" w:line="288" w:lineRule="auto"/>
        <w:tabs>
          <w:tab w:leader="none" w:pos="11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Agreement, unless (i) in the case of Secured Longer 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06"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2" w:name="page103"/>
    <w:bookmarkEnd w:id="102"/>
    <w:p>
      <w:pPr>
        <w:ind w:right="240" w:firstLine="921"/>
        <w:spacing w:after="0" w:line="259" w:lineRule="auto"/>
        <w:tabs>
          <w:tab w:leader="none" w:pos="11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40" w:lineRule="exact"/>
        <w:rPr>
          <w:sz w:val="20"/>
          <w:szCs w:val="20"/>
          <w:color w:val="auto"/>
        </w:rPr>
      </w:pPr>
    </w:p>
    <w:p>
      <w:pPr>
        <w:ind w:right="40" w:firstLine="913"/>
        <w:spacing w:after="0" w:line="301" w:lineRule="auto"/>
        <w:rPr>
          <w:sz w:val="20"/>
          <w:szCs w:val="20"/>
          <w:color w:val="auto"/>
        </w:rPr>
      </w:pPr>
      <w:r>
        <w:rPr>
          <w:rFonts w:ascii="Arial" w:cs="Arial" w:eastAsia="Arial" w:hAnsi="Arial"/>
          <w:sz w:val="15"/>
          <w:szCs w:val="15"/>
          <w:color w:val="auto"/>
        </w:rPr>
        <w:t xml:space="preserve">SECTION 6.12. </w:t>
      </w:r>
      <w:r>
        <w:rPr>
          <w:rFonts w:ascii="Arial" w:cs="Arial" w:eastAsia="Arial" w:hAnsi="Arial"/>
          <w:sz w:val="15"/>
          <w:szCs w:val="15"/>
          <w:u w:val="single" w:color="auto"/>
          <w:color w:val="auto"/>
        </w:rPr>
        <w:t>Payments of Longer-Term Indebtedness</w:t>
      </w:r>
      <w:r>
        <w:rPr>
          <w:rFonts w:ascii="Arial" w:cs="Arial" w:eastAsia="Arial" w:hAnsi="Arial"/>
          <w:sz w:val="15"/>
          <w:szCs w:val="15"/>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or Unsecured Longer-Term Indebtedness (other than the refinancing of Secured Longer-Term Indebtedness or Unsecured Longer-Term Indebtedness with Indebtedness permitted under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except for (a) regularly scheduled payments, prepayments or redemptions of principal and interest in respect thereof required pursuant to the instruments evidencing such Indebtedness, (it being understood that none of: (w) the conversion features under convertible notes; (x) the triggering and/or settlement thereof; or (y) any cash payment made in respect thereof, shall constitute a “regularly scheduled payment, prepayment or redemption of principal and interest” within the meaning of this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(b) so long as no Default shall exist or be continuing, any payment that, if treated as a Restricted Payment for purposes of </w:t>
      </w:r>
      <w:r>
        <w:rPr>
          <w:rFonts w:ascii="Arial" w:cs="Arial" w:eastAsia="Arial" w:hAnsi="Arial"/>
          <w:sz w:val="15"/>
          <w:szCs w:val="15"/>
          <w:u w:val="single" w:color="auto"/>
          <w:color w:val="auto"/>
        </w:rPr>
        <w:t>Section 6.05(d)</w:t>
      </w:r>
      <w:r>
        <w:rPr>
          <w:rFonts w:ascii="Arial" w:cs="Arial" w:eastAsia="Arial" w:hAnsi="Arial"/>
          <w:sz w:val="15"/>
          <w:szCs w:val="15"/>
          <w:color w:val="auto"/>
        </w:rPr>
        <w:t xml:space="preserve">, would be permitted to be made pursuant to the provisions set forth in </w:t>
      </w:r>
      <w:r>
        <w:rPr>
          <w:rFonts w:ascii="Arial" w:cs="Arial" w:eastAsia="Arial" w:hAnsi="Arial"/>
          <w:sz w:val="15"/>
          <w:szCs w:val="15"/>
          <w:u w:val="single" w:color="auto"/>
          <w:color w:val="auto"/>
        </w:rPr>
        <w:t>Section 6.05(d)</w:t>
      </w:r>
      <w:r>
        <w:rPr>
          <w:rFonts w:ascii="Arial" w:cs="Arial" w:eastAsia="Arial" w:hAnsi="Arial"/>
          <w:sz w:val="15"/>
          <w:szCs w:val="15"/>
          <w:color w:val="auto"/>
        </w:rPr>
        <w:t>; and</w:t>
      </w:r>
    </w:p>
    <w:p>
      <w:pPr>
        <w:spacing w:after="0" w:line="4" w:lineRule="exact"/>
        <w:rPr>
          <w:sz w:val="20"/>
          <w:szCs w:val="20"/>
          <w:color w:val="auto"/>
        </w:rPr>
      </w:pPr>
    </w:p>
    <w:p>
      <w:pPr>
        <w:ind w:right="380" w:firstLine="8"/>
        <w:spacing w:after="0" w:line="323" w:lineRule="auto"/>
        <w:tabs>
          <w:tab w:leader="none" w:pos="23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and (ii) no Default shall exist or be continuing.</w:t>
      </w:r>
    </w:p>
    <w:p>
      <w:pPr>
        <w:spacing w:after="0" w:line="93"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Accounting Changes</w:t>
      </w:r>
      <w:r>
        <w:rPr>
          <w:rFonts w:ascii="Arial" w:cs="Arial" w:eastAsia="Arial" w:hAnsi="Arial"/>
          <w:sz w:val="16"/>
          <w:szCs w:val="16"/>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85"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SBIC Guarantee</w:t>
      </w:r>
      <w:r>
        <w:rPr>
          <w:rFonts w:ascii="Arial" w:cs="Arial" w:eastAsia="Arial" w:hAnsi="Arial"/>
          <w:sz w:val="18"/>
          <w:szCs w:val="18"/>
          <w:color w:val="auto"/>
        </w:rPr>
        <w:t>. The Borrower will not, nor will it permit any of its Subsidiaries to, cause or permit the occurrence of any event or condition that would result in any recourse to any Obligor under any Permitted SBIC Guarantee.</w:t>
      </w:r>
    </w:p>
    <w:p>
      <w:pPr>
        <w:spacing w:after="0" w:line="29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u w:val="single" w:color="auto"/>
          <w:color w:val="auto"/>
        </w:rPr>
        <w:t>EVENTS OF DEFAULT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90" w:lineRule="exact"/>
        <w:rPr>
          <w:sz w:val="20"/>
          <w:szCs w:val="20"/>
          <w:color w:val="auto"/>
        </w:rPr>
      </w:pPr>
    </w:p>
    <w:p>
      <w:pPr>
        <w:ind w:right="120" w:firstLine="921"/>
        <w:spacing w:after="0" w:line="306" w:lineRule="auto"/>
        <w:tabs>
          <w:tab w:leader="none" w:pos="115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on the Commitment Termination Date;</w:t>
      </w:r>
    </w:p>
    <w:p>
      <w:pPr>
        <w:spacing w:after="0" w:line="93"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3" w:name="page104"/>
    <w:bookmarkEnd w:id="103"/>
    <w:p>
      <w:pPr>
        <w:ind w:left="-921" w:right="200" w:firstLine="921"/>
        <w:spacing w:after="0" w:line="259" w:lineRule="auto"/>
        <w:tabs>
          <w:tab w:leader="none" w:pos="241"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Borrower shall fail to pay any interest on any Loan or any fee or any other amount (other than an amount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40" w:lineRule="exact"/>
        <w:rPr>
          <w:rFonts w:ascii="Arial" w:cs="Arial" w:eastAsia="Arial" w:hAnsi="Arial"/>
          <w:sz w:val="18"/>
          <w:szCs w:val="18"/>
          <w:color w:val="auto"/>
        </w:rPr>
      </w:pPr>
    </w:p>
    <w:p>
      <w:pPr>
        <w:ind w:left="-921" w:right="60" w:firstLine="921"/>
        <w:spacing w:after="0" w:line="256" w:lineRule="auto"/>
        <w:tabs>
          <w:tab w:leader="none" w:pos="23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43" w:lineRule="exact"/>
        <w:rPr>
          <w:rFonts w:ascii="Arial" w:cs="Arial" w:eastAsia="Arial" w:hAnsi="Arial"/>
          <w:sz w:val="18"/>
          <w:szCs w:val="18"/>
          <w:color w:val="auto"/>
        </w:rPr>
      </w:pPr>
    </w:p>
    <w:p>
      <w:pPr>
        <w:ind w:left="-921" w:right="20" w:firstLine="921"/>
        <w:spacing w:after="0" w:line="298" w:lineRule="auto"/>
        <w:tabs>
          <w:tab w:leader="none" w:pos="24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the Borrower shall fail to observe or perform any covenant, condition or agreement contained in (i)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(with respect to the Borrower’s existence) or </w:t>
      </w:r>
      <w:r>
        <w:rPr>
          <w:rFonts w:ascii="Arial" w:cs="Arial" w:eastAsia="Arial" w:hAnsi="Arial"/>
          <w:sz w:val="16"/>
          <w:szCs w:val="16"/>
          <w:u w:val="single" w:color="auto"/>
          <w:color w:val="auto"/>
        </w:rPr>
        <w:t>Sections 5.08(a)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any Obligor shall default in the performance of any of its obligations contained in Sections 3 and 7 of the Guarantee and Security Agreement or (ii) </w:t>
      </w:r>
      <w:r>
        <w:rPr>
          <w:rFonts w:ascii="Arial" w:cs="Arial" w:eastAsia="Arial" w:hAnsi="Arial"/>
          <w:sz w:val="16"/>
          <w:szCs w:val="16"/>
          <w:u w:val="single" w:color="auto"/>
          <w:color w:val="auto"/>
        </w:rPr>
        <w:t>Sections 5.01(e)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and such failure shall continue unremedied for a period of five or more days after notice thereof by the Administrative Agent (given at the request of any Lender) to the Borrower;</w:t>
      </w:r>
    </w:p>
    <w:p>
      <w:pPr>
        <w:spacing w:after="0" w:line="112" w:lineRule="exact"/>
        <w:rPr>
          <w:rFonts w:ascii="Arial" w:cs="Arial" w:eastAsia="Arial" w:hAnsi="Arial"/>
          <w:sz w:val="16"/>
          <w:szCs w:val="16"/>
          <w:color w:val="auto"/>
        </w:rPr>
      </w:pPr>
    </w:p>
    <w:p>
      <w:pPr>
        <w:ind w:left="-921" w:right="20" w:firstLine="921"/>
        <w:spacing w:after="0" w:line="294" w:lineRule="auto"/>
        <w:tabs>
          <w:tab w:leader="none" w:pos="23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6"/>
          <w:szCs w:val="16"/>
          <w:u w:val="single" w:color="auto"/>
          <w:color w:val="auto"/>
        </w:rPr>
        <w:t>Section 5.01(e)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15" w:lineRule="exact"/>
        <w:rPr>
          <w:rFonts w:ascii="Arial" w:cs="Arial" w:eastAsia="Arial" w:hAnsi="Arial"/>
          <w:sz w:val="16"/>
          <w:szCs w:val="16"/>
          <w:color w:val="auto"/>
        </w:rPr>
      </w:pPr>
    </w:p>
    <w:p>
      <w:pPr>
        <w:ind w:left="-921" w:right="100" w:firstLine="921"/>
        <w:spacing w:after="0" w:line="306" w:lineRule="auto"/>
        <w:tabs>
          <w:tab w:leader="none" w:pos="21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w:t>
      </w:r>
      <w:r>
        <w:rPr>
          <w:rFonts w:ascii="Arial" w:cs="Arial" w:eastAsia="Arial" w:hAnsi="Arial"/>
          <w:sz w:val="16"/>
          <w:szCs w:val="16"/>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06" w:lineRule="exact"/>
        <w:rPr>
          <w:rFonts w:ascii="Arial" w:cs="Arial" w:eastAsia="Arial" w:hAnsi="Arial"/>
          <w:sz w:val="16"/>
          <w:szCs w:val="16"/>
          <w:color w:val="auto"/>
        </w:rPr>
      </w:pPr>
    </w:p>
    <w:p>
      <w:pPr>
        <w:ind w:left="-921" w:right="260" w:firstLine="921"/>
        <w:spacing w:after="0" w:line="332" w:lineRule="auto"/>
        <w:tabs>
          <w:tab w:leader="none" w:pos="24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85" w:lineRule="exact"/>
        <w:rPr>
          <w:rFonts w:ascii="Arial" w:cs="Arial" w:eastAsia="Arial" w:hAnsi="Arial"/>
          <w:sz w:val="16"/>
          <w:szCs w:val="16"/>
          <w:color w:val="auto"/>
        </w:rPr>
      </w:pPr>
    </w:p>
    <w:p>
      <w:pPr>
        <w:ind w:left="-921" w:firstLine="921"/>
        <w:spacing w:after="0" w:line="291" w:lineRule="auto"/>
        <w:tabs>
          <w:tab w:leader="none" w:pos="24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07" w:lineRule="exact"/>
        <w:rPr>
          <w:sz w:val="20"/>
          <w:szCs w:val="20"/>
          <w:color w:val="auto"/>
        </w:rPr>
      </w:pPr>
    </w:p>
    <w:p>
      <w:pPr>
        <w:jc w:val="both"/>
        <w:ind w:left="4939"/>
        <w:spacing w:after="0"/>
        <w:tabs>
          <w:tab w:leader="none" w:pos="8499"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499"/>
          </w:cols>
          <w:pgMar w:left="1161" w:top="280" w:right="239" w:bottom="1440" w:gutter="0" w:footer="0" w:header="0"/>
        </w:sectPr>
      </w:pPr>
    </w:p>
    <w:bookmarkStart w:id="104" w:name="page105"/>
    <w:bookmarkEnd w:id="104"/>
    <w:p>
      <w:pPr>
        <w:ind w:left="-8" w:right="20" w:firstLine="921"/>
        <w:spacing w:after="0" w:line="254" w:lineRule="auto"/>
        <w:tabs>
          <w:tab w:leader="none" w:pos="1115" w:val="left"/>
        </w:tabs>
        <w:numPr>
          <w:ilvl w:val="1"/>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44" w:lineRule="exact"/>
        <w:rPr>
          <w:rFonts w:ascii="Arial" w:cs="Arial" w:eastAsia="Arial" w:hAnsi="Arial"/>
          <w:sz w:val="18"/>
          <w:szCs w:val="18"/>
          <w:color w:val="auto"/>
        </w:rPr>
      </w:pPr>
    </w:p>
    <w:p>
      <w:pPr>
        <w:ind w:left="-8" w:firstLine="921"/>
        <w:spacing w:after="0" w:line="286" w:lineRule="auto"/>
        <w:tabs>
          <w:tab w:leader="none" w:pos="111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w:t>
      </w:r>
    </w:p>
    <w:p>
      <w:pPr>
        <w:ind w:left="-8" w:right="180" w:firstLine="8"/>
        <w:spacing w:after="0" w:line="295" w:lineRule="auto"/>
        <w:tabs>
          <w:tab w:leader="none" w:pos="25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consent to the institution of, or fail to contest in a timely and appropriate manner, any proceeding or petition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15" w:lineRule="exact"/>
        <w:rPr>
          <w:rFonts w:ascii="Arial" w:cs="Arial" w:eastAsia="Arial" w:hAnsi="Arial"/>
          <w:sz w:val="16"/>
          <w:szCs w:val="16"/>
          <w:color w:val="auto"/>
        </w:rPr>
      </w:pPr>
    </w:p>
    <w:p>
      <w:pPr>
        <w:ind w:left="-8" w:right="60" w:firstLine="921"/>
        <w:spacing w:after="0" w:line="268" w:lineRule="auto"/>
        <w:tabs>
          <w:tab w:leader="none" w:pos="115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Borrower or any of its Subsidiaries (other than Immaterial Subsidiaries) shall become unable, admit in writing its inability or fail generally to pay its debts as they become due;</w:t>
      </w:r>
    </w:p>
    <w:p>
      <w:pPr>
        <w:spacing w:after="0" w:line="131" w:lineRule="exact"/>
        <w:rPr>
          <w:rFonts w:ascii="Arial" w:cs="Arial" w:eastAsia="Arial" w:hAnsi="Arial"/>
          <w:sz w:val="18"/>
          <w:szCs w:val="18"/>
          <w:color w:val="auto"/>
        </w:rPr>
      </w:pPr>
    </w:p>
    <w:p>
      <w:pPr>
        <w:ind w:left="-8" w:right="60" w:firstLine="921"/>
        <w:spacing w:after="0" w:line="256" w:lineRule="auto"/>
        <w:tabs>
          <w:tab w:leader="none" w:pos="111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$25,000,000 shall be rendered against the Borrower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43" w:lineRule="exact"/>
        <w:rPr>
          <w:rFonts w:ascii="Arial" w:cs="Arial" w:eastAsia="Arial" w:hAnsi="Arial"/>
          <w:sz w:val="18"/>
          <w:szCs w:val="18"/>
          <w:color w:val="auto"/>
        </w:rPr>
      </w:pPr>
    </w:p>
    <w:p>
      <w:pPr>
        <w:ind w:left="-8" w:right="260" w:firstLine="921"/>
        <w:spacing w:after="0" w:line="268" w:lineRule="auto"/>
        <w:tabs>
          <w:tab w:leader="none" w:pos="120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Borrower shall cease to be managed by the External Manager or an Affiliate thereof;</w:t>
      </w:r>
    </w:p>
    <w:p>
      <w:pPr>
        <w:spacing w:after="0" w:line="158" w:lineRule="exact"/>
        <w:rPr>
          <w:sz w:val="20"/>
          <w:szCs w:val="20"/>
          <w:color w:val="auto"/>
        </w:rPr>
      </w:pPr>
    </w:p>
    <w:p>
      <w:pPr>
        <w:jc w:val="both"/>
        <w:ind w:left="5852"/>
        <w:spacing w:after="0"/>
        <w:tabs>
          <w:tab w:leader="none" w:pos="9412"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12"/>
          </w:cols>
          <w:pgMar w:left="248" w:top="280" w:right="239" w:bottom="1440" w:gutter="0" w:footer="0" w:header="0"/>
        </w:sectPr>
      </w:pPr>
    </w:p>
    <w:bookmarkStart w:id="105" w:name="page106"/>
    <w:bookmarkEnd w:id="105"/>
    <w:p>
      <w:pPr>
        <w:ind w:right="160" w:firstLine="921"/>
        <w:spacing w:after="0" w:line="298" w:lineRule="auto"/>
        <w:tabs>
          <w:tab w:leader="none" w:pos="1162" w:val="left"/>
        </w:tabs>
        <w:numPr>
          <w:ilvl w:val="0"/>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prior to the Final Maturity Date, both of the principals of the External Manager (who initially will be Alan Waxman and Joshua Easterly) fail to remain actively involved in the investment activities of the Borrower and the other investment vehicles managed by TPG Capital,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12" w:lineRule="exact"/>
        <w:rPr>
          <w:rFonts w:ascii="Arial" w:cs="Arial" w:eastAsia="Arial" w:hAnsi="Arial"/>
          <w:sz w:val="16"/>
          <w:szCs w:val="16"/>
          <w:color w:val="auto"/>
        </w:rPr>
      </w:pPr>
    </w:p>
    <w:p>
      <w:pPr>
        <w:ind w:right="80" w:firstLine="921"/>
        <w:spacing w:after="0" w:line="294" w:lineRule="auto"/>
        <w:tabs>
          <w:tab w:leader="none" w:pos="116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15" w:lineRule="exact"/>
        <w:rPr>
          <w:rFonts w:ascii="Arial" w:cs="Arial" w:eastAsia="Arial" w:hAnsi="Arial"/>
          <w:sz w:val="16"/>
          <w:szCs w:val="16"/>
          <w:color w:val="auto"/>
        </w:rPr>
      </w:pPr>
    </w:p>
    <w:p>
      <w:pPr>
        <w:ind w:right="80" w:firstLine="921"/>
        <w:spacing w:after="0" w:line="268" w:lineRule="auto"/>
        <w:tabs>
          <w:tab w:leader="none" w:pos="11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31" w:lineRule="exact"/>
        <w:rPr>
          <w:rFonts w:ascii="Arial" w:cs="Arial" w:eastAsia="Arial" w:hAnsi="Arial"/>
          <w:sz w:val="18"/>
          <w:szCs w:val="18"/>
          <w:color w:val="auto"/>
        </w:rPr>
      </w:pPr>
    </w:p>
    <w:p>
      <w:pPr>
        <w:ind w:right="140" w:firstLine="921"/>
        <w:spacing w:after="0" w:line="259" w:lineRule="auto"/>
        <w:tabs>
          <w:tab w:leader="none" w:pos="114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the Obligors shall at any time, without the consent of the Required Lenders fail to comply with the covenant contained in </w:t>
      </w:r>
      <w:r>
        <w:rPr>
          <w:rFonts w:ascii="Arial" w:cs="Arial" w:eastAsia="Arial" w:hAnsi="Arial"/>
          <w:sz w:val="18"/>
          <w:szCs w:val="18"/>
          <w:u w:val="single" w:color="auto"/>
          <w:color w:val="auto"/>
        </w:rPr>
        <w:t>Section 5.11</w:t>
      </w:r>
      <w:r>
        <w:rPr>
          <w:rFonts w:ascii="Arial" w:cs="Arial" w:eastAsia="Arial" w:hAnsi="Arial"/>
          <w:sz w:val="18"/>
          <w:szCs w:val="18"/>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40" w:lineRule="exact"/>
        <w:rPr>
          <w:rFonts w:ascii="Arial" w:cs="Arial" w:eastAsia="Arial" w:hAnsi="Arial"/>
          <w:sz w:val="18"/>
          <w:szCs w:val="18"/>
          <w:color w:val="auto"/>
        </w:rPr>
      </w:pPr>
    </w:p>
    <w:p>
      <w:pPr>
        <w:ind w:right="360" w:firstLine="921"/>
        <w:spacing w:after="0" w:line="268" w:lineRule="auto"/>
        <w:tabs>
          <w:tab w:leader="none" w:pos="112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Borrower or any of its Subsidiaries shall cause or permit the occurrence of any condition or event that would result in any recourse to any Obligor under any Permitted SBIC Guarantee;</w:t>
      </w:r>
    </w:p>
    <w:p>
      <w:pPr>
        <w:spacing w:after="0" w:line="132"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 xml:space="preserve">then, and in every such event (other than an event with respect to the Borrower described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(j)</w:t>
      </w:r>
      <w:r>
        <w:rPr>
          <w:rFonts w:ascii="Arial" w:cs="Arial" w:eastAsia="Arial" w:hAnsi="Arial"/>
          <w:sz w:val="15"/>
          <w:szCs w:val="15"/>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5"/>
          <w:szCs w:val="15"/>
          <w:u w:val="single" w:color="auto"/>
          <w:color w:val="auto"/>
        </w:rPr>
        <w:t>clause</w:t>
      </w:r>
    </w:p>
    <w:p>
      <w:pPr>
        <w:spacing w:after="0" w:line="5" w:lineRule="exact"/>
        <w:rPr>
          <w:sz w:val="20"/>
          <w:szCs w:val="20"/>
          <w:color w:val="auto"/>
        </w:rPr>
      </w:pPr>
    </w:p>
    <w:p>
      <w:pPr>
        <w:ind w:right="20" w:firstLine="8"/>
        <w:spacing w:after="0" w:line="255" w:lineRule="auto"/>
        <w:tabs>
          <w:tab w:leader="none" w:pos="210" w:val="left"/>
        </w:tabs>
        <w:numPr>
          <w:ilvl w:val="0"/>
          <w:numId w:val="147"/>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31"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6" w:name="page107"/>
    <w:bookmarkEnd w:id="106"/>
    <w:p>
      <w:pPr>
        <w:ind w:right="10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this Article.</w:t>
      </w:r>
    </w:p>
    <w:p>
      <w:pPr>
        <w:spacing w:after="0" w:line="12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171" w:lineRule="exact"/>
        <w:rPr>
          <w:sz w:val="20"/>
          <w:szCs w:val="20"/>
          <w:color w:val="auto"/>
        </w:rPr>
      </w:pPr>
    </w:p>
    <w:p>
      <w:pPr>
        <w:ind w:right="140" w:firstLine="913"/>
        <w:spacing w:after="0" w:line="335"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u w:val="single" w:color="auto"/>
          <w:color w:val="auto"/>
        </w:rPr>
        <w:t>Appointment of the Administrative Agent</w:t>
      </w:r>
      <w:r>
        <w:rPr>
          <w:rFonts w:ascii="Arial" w:cs="Arial" w:eastAsia="Arial" w:hAnsi="Arial"/>
          <w:sz w:val="15"/>
          <w:szCs w:val="15"/>
          <w:color w:val="auto"/>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w:t>
      </w:r>
    </w:p>
    <w:p>
      <w:pPr>
        <w:spacing w:after="0" w:line="75"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7" w:name="page108"/>
    <w:bookmarkEnd w:id="10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incidental thereto. Each of the Lenders and the Issuing Bank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Capacity as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43"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Limitation of Duties; Exculpation</w:t>
      </w:r>
      <w:r>
        <w:rPr>
          <w:rFonts w:ascii="Arial" w:cs="Arial" w:eastAsia="Arial" w:hAnsi="Arial"/>
          <w:sz w:val="16"/>
          <w:szCs w:val="16"/>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or therein, other than to confirm receipt of items expressly required to be delivered to the Administrative Agent.</w:t>
      </w:r>
    </w:p>
    <w:p>
      <w:pPr>
        <w:spacing w:after="0" w:line="126"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Reliance</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07" w:lineRule="exact"/>
        <w:rPr>
          <w:sz w:val="20"/>
          <w:szCs w:val="20"/>
          <w:color w:val="auto"/>
        </w:rPr>
      </w:pPr>
    </w:p>
    <w:p>
      <w:pPr>
        <w:jc w:val="both"/>
        <w:ind w:left="5860"/>
        <w:spacing w:after="0"/>
        <w:tabs>
          <w:tab w:leader="none" w:pos="94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8" w:name="page109"/>
    <w:bookmarkEnd w:id="108"/>
    <w:p>
      <w:pPr>
        <w:ind w:right="6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8.05. </w:t>
      </w:r>
      <w:r>
        <w:rPr>
          <w:rFonts w:ascii="Arial" w:cs="Arial" w:eastAsia="Arial" w:hAnsi="Arial"/>
          <w:sz w:val="16"/>
          <w:szCs w:val="16"/>
          <w:u w:val="single" w:color="auto"/>
          <w:color w:val="auto"/>
        </w:rPr>
        <w:t>Sub-Agents</w:t>
      </w:r>
      <w:r>
        <w:rPr>
          <w:rFonts w:ascii="Arial" w:cs="Arial" w:eastAsia="Arial" w:hAnsi="Arial"/>
          <w:sz w:val="16"/>
          <w:szCs w:val="16"/>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fraud, gross negligence or willful misconduct in the selection of such sub-agents.</w:t>
      </w:r>
    </w:p>
    <w:p>
      <w:pPr>
        <w:spacing w:after="0" w:line="118"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Resignation; Successor Administrative Agent</w:t>
      </w:r>
      <w:r>
        <w:rPr>
          <w:rFonts w:ascii="Arial" w:cs="Arial" w:eastAsia="Arial" w:hAnsi="Arial"/>
          <w:sz w:val="16"/>
          <w:szCs w:val="16"/>
          <w:color w:val="auto"/>
        </w:rPr>
        <w:t xml:space="preserve">. The Administrative Agent may resign at any 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its benefit in respect of any actions taken or omitted to be taken by it while it was acting as Administrative Agent.</w:t>
      </w:r>
    </w:p>
    <w:p>
      <w:pPr>
        <w:spacing w:after="0" w:line="12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Any resignation by SunTrust as Administrative Agent pursuant to this Section shall also constitute its resignation as Issuing Bank and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07"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09" w:name="page110"/>
    <w:bookmarkEnd w:id="109"/>
    <w:p>
      <w:pPr>
        <w:ind w:right="12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8.07. </w:t>
      </w:r>
      <w:r>
        <w:rPr>
          <w:rFonts w:ascii="Arial" w:cs="Arial" w:eastAsia="Arial" w:hAnsi="Arial"/>
          <w:sz w:val="16"/>
          <w:szCs w:val="16"/>
          <w:u w:val="single" w:color="auto"/>
          <w:color w:val="auto"/>
        </w:rPr>
        <w:t>Reliance by Lenders</w:t>
      </w:r>
      <w:r>
        <w:rPr>
          <w:rFonts w:ascii="Arial" w:cs="Arial" w:eastAsia="Arial" w:hAnsi="Arial"/>
          <w:sz w:val="16"/>
          <w:szCs w:val="16"/>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18"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40" w:lineRule="exact"/>
        <w:rPr>
          <w:sz w:val="20"/>
          <w:szCs w:val="20"/>
          <w:color w:val="auto"/>
        </w:rPr>
      </w:pPr>
    </w:p>
    <w:p>
      <w:pPr>
        <w:ind w:right="180" w:firstLine="913"/>
        <w:spacing w:after="0" w:line="289"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Modifications to Loan Documents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 Electronic Communications</w:t>
      </w:r>
      <w:r>
        <w:rPr>
          <w:rFonts w:ascii="Arial" w:cs="Arial" w:eastAsia="Arial" w:hAnsi="Arial"/>
          <w:sz w:val="18"/>
          <w:szCs w:val="18"/>
          <w:color w:val="auto"/>
        </w:rPr>
        <w:t>.</w:t>
      </w:r>
    </w:p>
    <w:p>
      <w:pPr>
        <w:spacing w:after="0" w:line="90" w:lineRule="exact"/>
        <w:rPr>
          <w:sz w:val="20"/>
          <w:szCs w:val="20"/>
          <w:color w:val="auto"/>
        </w:rPr>
      </w:pPr>
    </w:p>
    <w:p>
      <w:pPr>
        <w:ind w:right="140" w:firstLine="921"/>
        <w:spacing w:after="0" w:line="259" w:lineRule="auto"/>
        <w:tabs>
          <w:tab w:leader="none" w:pos="115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27"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0" w:name="page111"/>
    <w:bookmarkEnd w:id="11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if to the Borrower, to it at: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888 Seventh Avenue, 4</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Josh Easterly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Number: (415) 486-5901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 (415) 486-5908</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 if to the Administrative Agent or Swingline Lender, to it at: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3333 Peachtree Road, 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Doug Kennedy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Number: (404) 739-7390</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Agency Services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Number: (404) 658-4906</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(iii) if to the Issuing Bank, to it at: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Telecopy Number: (404) 658-4906</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(iv) if to any other Lender, to it at its address (or telecopy number) set forth in its Administrative Questionnaire.</w:t>
      </w:r>
    </w:p>
    <w:p>
      <w:pPr>
        <w:spacing w:after="0" w:line="90"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30"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1" w:name="page112"/>
    <w:bookmarkEnd w:id="111"/>
    <w:p>
      <w:pPr>
        <w:ind w:right="40" w:firstLine="921"/>
        <w:spacing w:after="0" w:line="291" w:lineRule="auto"/>
        <w:tabs>
          <w:tab w:leader="none" w:pos="1161"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Communications</w:t>
      </w:r>
      <w:r>
        <w:rPr>
          <w:rFonts w:ascii="Arial" w:cs="Arial" w:eastAsia="Arial" w:hAnsi="Arial"/>
          <w:sz w:val="16"/>
          <w:szCs w:val="16"/>
          <w:color w:val="auto"/>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Issuing Bank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20" w:lineRule="exact"/>
        <w:rPr>
          <w:sz w:val="20"/>
          <w:szCs w:val="20"/>
          <w:color w:val="auto"/>
        </w:rPr>
      </w:pPr>
    </w:p>
    <w:p>
      <w:pPr>
        <w:ind w:right="80" w:firstLine="921"/>
        <w:spacing w:after="0" w:line="291" w:lineRule="auto"/>
        <w:tabs>
          <w:tab w:leader="none" w:pos="112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120"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20" w:lineRule="exact"/>
        <w:rPr>
          <w:sz w:val="20"/>
          <w:szCs w:val="20"/>
          <w:color w:val="auto"/>
        </w:rPr>
      </w:pPr>
    </w:p>
    <w:p>
      <w:pPr>
        <w:ind w:right="60" w:firstLine="921"/>
        <w:spacing w:after="0" w:line="291" w:lineRule="auto"/>
        <w:tabs>
          <w:tab w:leader="none" w:pos="1152"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Private Side Information Contacts</w:t>
      </w:r>
      <w:r>
        <w:rPr>
          <w:rFonts w:ascii="Arial" w:cs="Arial" w:eastAsia="Arial" w:hAnsi="Arial"/>
          <w:sz w:val="16"/>
          <w:szCs w:val="16"/>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w:t>
      </w:r>
    </w:p>
    <w:p>
      <w:pPr>
        <w:spacing w:after="0" w:line="107"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2" w:name="page113"/>
    <w:bookmarkEnd w:id="112"/>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40" w:lineRule="exact"/>
        <w:rPr>
          <w:sz w:val="20"/>
          <w:szCs w:val="20"/>
          <w:color w:val="auto"/>
        </w:rPr>
      </w:pPr>
    </w:p>
    <w:p>
      <w:pPr>
        <w:ind w:right="180" w:firstLine="921"/>
        <w:spacing w:after="0" w:line="255" w:lineRule="auto"/>
        <w:tabs>
          <w:tab w:leader="none" w:pos="1161"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Documents to be Delivered under Sections 5.01 and 5.12(a)</w:t>
      </w:r>
      <w:r>
        <w:rPr>
          <w:rFonts w:ascii="Arial" w:cs="Arial" w:eastAsia="Arial" w:hAnsi="Arial"/>
          <w:sz w:val="18"/>
          <w:szCs w:val="18"/>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5.12(a)</w:t>
      </w:r>
      <w:r>
        <w:rPr>
          <w:rFonts w:ascii="Arial" w:cs="Arial" w:eastAsia="Arial" w:hAnsi="Arial"/>
          <w:sz w:val="18"/>
          <w:szCs w:val="18"/>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no responsibility to maintain access to Intralinks™ or an equivalent website.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8" w:lineRule="auto"/>
        <w:tabs>
          <w:tab w:leader="none" w:pos="1152"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No Deemed Waivers Remedies Cumulative</w:t>
      </w:r>
      <w:r>
        <w:rPr>
          <w:rFonts w:ascii="Arial" w:cs="Arial" w:eastAsia="Arial" w:hAnsi="Arial"/>
          <w:sz w:val="16"/>
          <w:szCs w:val="16"/>
          <w:color w:val="auto"/>
        </w:rPr>
        <w:t xml:space="preserve">. No failure or delay by the Administrative Agent the Issuing Bank, the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the Swingline Lender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the Swingline Lender, any Lender or the Issuing Bank may have had notice or knowledge of such Default at the time.</w:t>
      </w:r>
    </w:p>
    <w:p>
      <w:pPr>
        <w:spacing w:after="0" w:line="119" w:lineRule="exact"/>
        <w:rPr>
          <w:rFonts w:ascii="Arial" w:cs="Arial" w:eastAsia="Arial" w:hAnsi="Arial"/>
          <w:sz w:val="16"/>
          <w:szCs w:val="16"/>
          <w:color w:val="auto"/>
        </w:rPr>
      </w:pPr>
    </w:p>
    <w:p>
      <w:pPr>
        <w:ind w:right="100" w:firstLine="921"/>
        <w:spacing w:after="0" w:line="259" w:lineRule="auto"/>
        <w:tabs>
          <w:tab w:leader="none" w:pos="1161"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Amendments to this Agreement</w:t>
      </w:r>
      <w:r>
        <w:rPr>
          <w:rFonts w:ascii="Arial" w:cs="Arial" w:eastAsia="Arial" w:hAnsi="Arial"/>
          <w:sz w:val="18"/>
          <w:szCs w:val="18"/>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written consent of such Lender,</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5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reduce the principal amount of any Loan or LC Disbursement or reduce the rate of interest thereon, or reduce any fees payable hereunder, without the written consent of each Lender affected thereby,</w:t>
      </w:r>
    </w:p>
    <w:p>
      <w:pPr>
        <w:spacing w:after="0" w:line="118"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3" w:name="page114"/>
    <w:bookmarkEnd w:id="113"/>
    <w:p>
      <w:pPr>
        <w:ind w:left="460" w:right="220" w:firstLine="443"/>
        <w:spacing w:after="0" w:line="259" w:lineRule="auto"/>
        <w:tabs>
          <w:tab w:leader="none" w:pos="12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9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a manner that would alter the pro rata sharing of payments required thereby without the written consent of each Lender affected thereby, or</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40"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(x)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and</w:t>
      </w:r>
    </w:p>
    <w:p>
      <w:pPr>
        <w:ind w:right="80" w:firstLine="8"/>
        <w:spacing w:after="0" w:line="281" w:lineRule="auto"/>
        <w:tabs>
          <w:tab w:leader="none" w:pos="24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Arial" w:cs="Arial" w:eastAsia="Arial" w:hAnsi="Arial"/>
          <w:sz w:val="16"/>
          <w:szCs w:val="16"/>
          <w:u w:val="single" w:color="auto"/>
          <w:color w:val="auto"/>
        </w:rPr>
        <w:t>Section 5.12(b)(ii)</w:t>
      </w:r>
    </w:p>
    <w:p>
      <w:pPr>
        <w:spacing w:after="0" w:line="1" w:lineRule="exact"/>
        <w:rPr>
          <w:rFonts w:ascii="Arial" w:cs="Arial" w:eastAsia="Arial" w:hAnsi="Arial"/>
          <w:sz w:val="16"/>
          <w:szCs w:val="16"/>
          <w:color w:val="auto"/>
        </w:rPr>
      </w:pPr>
    </w:p>
    <w:p>
      <w:pPr>
        <w:ind w:right="32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but including changes to the provisions of </w:t>
      </w:r>
      <w:r>
        <w:rPr>
          <w:rFonts w:ascii="Arial" w:cs="Arial" w:eastAsia="Arial" w:hAnsi="Arial"/>
          <w:sz w:val="16"/>
          <w:szCs w:val="16"/>
          <w:u w:val="single" w:color="auto"/>
          <w:color w:val="auto"/>
        </w:rPr>
        <w:t>Section 5.12(c)(ii)</w:t>
      </w:r>
      <w:r>
        <w:rPr>
          <w:rFonts w:ascii="Arial" w:cs="Arial" w:eastAsia="Arial" w:hAnsi="Arial"/>
          <w:sz w:val="16"/>
          <w:szCs w:val="16"/>
          <w:color w:val="auto"/>
        </w:rPr>
        <w:t xml:space="preserve"> and the definitions set forth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any release of any material portion of the Collateral other than for fair value or as otherwise permitted hereunder or under the other Loan Documents.</w:t>
      </w:r>
    </w:p>
    <w:p>
      <w:pPr>
        <w:spacing w:after="0" w:line="93"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w:t>
      </w:r>
    </w:p>
    <w:p>
      <w:pPr>
        <w:spacing w:after="0" w:line="107" w:lineRule="exact"/>
        <w:rPr>
          <w:sz w:val="20"/>
          <w:szCs w:val="20"/>
          <w:color w:val="auto"/>
        </w:rPr>
      </w:pPr>
    </w:p>
    <w:p>
      <w:pPr>
        <w:ind w:right="20" w:firstLine="921"/>
        <w:spacing w:after="0" w:line="288" w:lineRule="auto"/>
        <w:tabs>
          <w:tab w:leader="none" w:pos="1152"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Amendments to Security Documents</w:t>
      </w:r>
      <w:r>
        <w:rPr>
          <w:rFonts w:ascii="Arial" w:cs="Arial" w:eastAsia="Arial" w:hAnsi="Arial"/>
          <w:sz w:val="16"/>
          <w:szCs w:val="16"/>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6"/>
          <w:szCs w:val="16"/>
          <w:u w:val="single" w:color="auto"/>
          <w:color w:val="auto"/>
        </w:rPr>
        <w:t>Section 2.08(e)</w:t>
      </w:r>
      <w:r>
        <w:rPr>
          <w:rFonts w:ascii="Arial" w:cs="Arial" w:eastAsia="Arial" w:hAnsi="Arial"/>
          <w:sz w:val="16"/>
          <w:szCs w:val="16"/>
          <w:color w:val="auto"/>
        </w:rPr>
        <w:t xml:space="preserve"> to an amount not greater than $550,000,000) except pursuant to an agreement or agreements in writing entered into by the Borrower, and by the Collateral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w:t>
      </w:r>
    </w:p>
    <w:p>
      <w:pPr>
        <w:spacing w:after="0" w:line="106"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4" w:name="page115"/>
    <w:bookmarkEnd w:id="11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to release any Lien covering property (and to release any such guarantor) that is the subject of either a disposition of property permitted hereunder or a disposition to which the Required Lenders have consented.</w:t>
      </w:r>
    </w:p>
    <w:p>
      <w:pPr>
        <w:spacing w:after="0" w:line="143" w:lineRule="exact"/>
        <w:rPr>
          <w:sz w:val="20"/>
          <w:szCs w:val="20"/>
          <w:color w:val="auto"/>
        </w:rPr>
      </w:pPr>
    </w:p>
    <w:p>
      <w:pPr>
        <w:ind w:right="20" w:firstLine="921"/>
        <w:spacing w:after="0" w:line="254" w:lineRule="auto"/>
        <w:tabs>
          <w:tab w:leader="none" w:pos="1161"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Replacement of Non-Consenting Lender</w:t>
      </w:r>
      <w:r>
        <w:rPr>
          <w:rFonts w:ascii="Arial" w:cs="Arial" w:eastAsia="Arial" w:hAnsi="Arial"/>
          <w:sz w:val="18"/>
          <w:szCs w:val="18"/>
          <w:color w:val="auto"/>
        </w:rPr>
        <w:t xml:space="preserve">. If, in connection with any proposed change, waiver, discharge or termination to any of the provisions of this Agreement as contemplated by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so long as at the time of such replacement, each such replacement Lender consents to the proposed change, waiver, discharge or termination.</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6" w:lineRule="auto"/>
        <w:tabs>
          <w:tab w:leader="none" w:pos="1152"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(iii) all documented out-of-pocket expenses incurred by the Administrative Agent, the Issuing Bank, the Swingline Lender or any Lender, including the reasonable and documented fees, charges and disbursements of one outside counsel for the Administrative Agent, the Issuing Bank and the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20" w:lineRule="exact"/>
        <w:rPr>
          <w:rFonts w:ascii="Arial" w:cs="Arial" w:eastAsia="Arial" w:hAnsi="Arial"/>
          <w:sz w:val="16"/>
          <w:szCs w:val="16"/>
          <w:color w:val="auto"/>
        </w:rPr>
      </w:pPr>
    </w:p>
    <w:p>
      <w:pPr>
        <w:jc w:val="both"/>
        <w:ind w:right="360" w:firstLine="921"/>
        <w:spacing w:after="0" w:line="259" w:lineRule="auto"/>
        <w:tabs>
          <w:tab w:leader="none" w:pos="116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the Issuing Bank, the Swingline Lender and each Lender, and each Related Party of any of the foregoing Persons (each such Person being called an “Indemnitee”) against, and hold each Indemnitee harmless from, any and all losses, claims,</w:t>
      </w:r>
    </w:p>
    <w:p>
      <w:pPr>
        <w:spacing w:after="0" w:line="127"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5" w:name="page116"/>
    <w:bookmarkEnd w:id="115"/>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willful misconduct or gross negligence of such Indemnitee. Notwithstanding the foregoing, it is understood and agreed that indemnification for Taxes is subject to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33"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shall not be deemed to impair or affect the Obligations of the Borrower under the preceding provisions of this subsection.</w:t>
      </w:r>
    </w:p>
    <w:p>
      <w:pPr>
        <w:spacing w:after="0" w:line="140" w:lineRule="exact"/>
        <w:rPr>
          <w:sz w:val="20"/>
          <w:szCs w:val="20"/>
          <w:color w:val="auto"/>
        </w:rPr>
      </w:pPr>
    </w:p>
    <w:p>
      <w:pPr>
        <w:ind w:right="80" w:firstLine="921"/>
        <w:spacing w:after="0" w:line="294" w:lineRule="auto"/>
        <w:tabs>
          <w:tab w:leader="none" w:pos="1152"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fails to pay any amount required to be paid by it to the Administrative Agent, the Issuing Bank or the Swingline Lender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102"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16" w:name="page117"/>
    <w:bookmarkEnd w:id="116"/>
    <w:p>
      <w:pPr>
        <w:ind w:left="-903" w:right="100" w:firstLine="921"/>
        <w:spacing w:after="0" w:line="290" w:lineRule="auto"/>
        <w:tabs>
          <w:tab w:leader="none" w:pos="259"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Consequential Damages, Etc</w:t>
      </w:r>
      <w:r>
        <w:rPr>
          <w:rFonts w:ascii="Arial" w:cs="Arial" w:eastAsia="Arial" w:hAnsi="Arial"/>
          <w:sz w:val="16"/>
          <w:szCs w:val="16"/>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18" w:lineRule="exact"/>
        <w:rPr>
          <w:rFonts w:ascii="Arial" w:cs="Arial" w:eastAsia="Arial" w:hAnsi="Arial"/>
          <w:sz w:val="16"/>
          <w:szCs w:val="16"/>
          <w:color w:val="auto"/>
        </w:rPr>
      </w:pPr>
    </w:p>
    <w:p>
      <w:pPr>
        <w:ind w:left="257" w:hanging="239"/>
        <w:spacing w:after="0"/>
        <w:tabs>
          <w:tab w:leader="none" w:pos="257"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written demand therefor.</w:t>
      </w:r>
    </w:p>
    <w:p>
      <w:pPr>
        <w:spacing w:after="0" w:line="171" w:lineRule="exact"/>
        <w:rPr>
          <w:sz w:val="20"/>
          <w:szCs w:val="20"/>
          <w:color w:val="auto"/>
        </w:rPr>
      </w:pPr>
    </w:p>
    <w:p>
      <w:pPr>
        <w:ind w:left="17"/>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71" w:lineRule="exact"/>
        <w:rPr>
          <w:sz w:val="20"/>
          <w:szCs w:val="20"/>
          <w:color w:val="auto"/>
        </w:rPr>
      </w:pPr>
    </w:p>
    <w:p>
      <w:pPr>
        <w:ind w:left="-903" w:right="20" w:firstLine="921"/>
        <w:spacing w:after="0" w:line="289" w:lineRule="auto"/>
        <w:tabs>
          <w:tab w:leader="none" w:pos="249"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Assignments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118" w:lineRule="exact"/>
        <w:rPr>
          <w:rFonts w:ascii="Arial" w:cs="Arial" w:eastAsia="Arial" w:hAnsi="Arial"/>
          <w:sz w:val="16"/>
          <w:szCs w:val="16"/>
          <w:color w:val="auto"/>
        </w:rPr>
      </w:pPr>
    </w:p>
    <w:p>
      <w:pPr>
        <w:ind w:left="257" w:hanging="239"/>
        <w:spacing w:after="0"/>
        <w:tabs>
          <w:tab w:leader="none" w:pos="257"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3" w:right="100" w:firstLine="443"/>
        <w:spacing w:after="0" w:line="306" w:lineRule="auto"/>
        <w:tabs>
          <w:tab w:leader="none" w:pos="205"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Assignments Generally</w:t>
      </w:r>
      <w:r>
        <w:rPr>
          <w:rFonts w:ascii="Arial" w:cs="Arial" w:eastAsia="Arial" w:hAnsi="Arial"/>
          <w:sz w:val="16"/>
          <w:szCs w:val="16"/>
          <w:color w:val="auto"/>
        </w:rPr>
        <w:t xml:space="preserve">. Subject to the conditions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any Lender may assign to one or more assignees (other than natural persons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25" w:lineRule="exact"/>
        <w:rPr>
          <w:rFonts w:ascii="Arial" w:cs="Arial" w:eastAsia="Arial" w:hAnsi="Arial"/>
          <w:sz w:val="16"/>
          <w:szCs w:val="16"/>
          <w:color w:val="auto"/>
        </w:rPr>
      </w:pPr>
    </w:p>
    <w:p>
      <w:pPr>
        <w:jc w:val="both"/>
        <w:ind w:left="17" w:right="160" w:firstLine="421"/>
        <w:spacing w:after="0" w:line="256" w:lineRule="auto"/>
        <w:tabs>
          <w:tab w:leader="none" w:pos="725" w:val="left"/>
        </w:tabs>
        <w:numPr>
          <w:ilvl w:val="2"/>
          <w:numId w:val="163"/>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130" w:lineRule="exact"/>
        <w:rPr>
          <w:sz w:val="20"/>
          <w:szCs w:val="20"/>
          <w:color w:val="auto"/>
        </w:rPr>
      </w:pPr>
    </w:p>
    <w:p>
      <w:pPr>
        <w:jc w:val="both"/>
        <w:ind w:left="4917"/>
        <w:spacing w:after="0"/>
        <w:tabs>
          <w:tab w:leader="none" w:pos="8517"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117" w:name="page118"/>
    <w:bookmarkEnd w:id="117"/>
    <w:p>
      <w:pPr>
        <w:ind w:left="17" w:right="40" w:firstLine="421"/>
        <w:spacing w:after="0" w:line="268" w:lineRule="auto"/>
        <w:tabs>
          <w:tab w:leader="none" w:pos="715" w:val="left"/>
        </w:tabs>
        <w:numPr>
          <w:ilvl w:val="1"/>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Administrative Agent and the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or Issuing Bank shall be required for an assignment by a Lender to an Affiliate of such Lender.</w:t>
      </w:r>
    </w:p>
    <w:p>
      <w:pPr>
        <w:spacing w:after="0" w:line="50" w:lineRule="exact"/>
        <w:rPr>
          <w:rFonts w:ascii="Arial" w:cs="Arial" w:eastAsia="Arial" w:hAnsi="Arial"/>
          <w:sz w:val="18"/>
          <w:szCs w:val="18"/>
          <w:color w:val="auto"/>
        </w:rPr>
      </w:pPr>
    </w:p>
    <w:p>
      <w:pPr>
        <w:ind w:left="257" w:hanging="257"/>
        <w:spacing w:after="0"/>
        <w:tabs>
          <w:tab w:leader="none" w:pos="257"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Certain Conditions to Assignments</w:t>
      </w:r>
      <w:r>
        <w:rPr>
          <w:rFonts w:ascii="Arial" w:cs="Arial" w:eastAsia="Arial" w:hAnsi="Arial"/>
          <w:sz w:val="18"/>
          <w:szCs w:val="18"/>
          <w:color w:val="auto"/>
        </w:rPr>
        <w:t>. Assignments shall be subject to the following additional conditions:</w:t>
      </w:r>
    </w:p>
    <w:p>
      <w:pPr>
        <w:spacing w:after="0" w:line="90" w:lineRule="exact"/>
        <w:rPr>
          <w:rFonts w:ascii="Arial" w:cs="Arial" w:eastAsia="Arial" w:hAnsi="Arial"/>
          <w:sz w:val="18"/>
          <w:szCs w:val="18"/>
          <w:color w:val="auto"/>
        </w:rPr>
      </w:pPr>
    </w:p>
    <w:p>
      <w:pPr>
        <w:ind w:left="17" w:right="60" w:firstLine="421"/>
        <w:spacing w:after="0" w:line="294" w:lineRule="auto"/>
        <w:tabs>
          <w:tab w:leader="none" w:pos="72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has occurred and is continuing;</w:t>
      </w:r>
    </w:p>
    <w:p>
      <w:pPr>
        <w:spacing w:after="0" w:line="34" w:lineRule="exact"/>
        <w:rPr>
          <w:rFonts w:ascii="Arial" w:cs="Arial" w:eastAsia="Arial" w:hAnsi="Arial"/>
          <w:sz w:val="16"/>
          <w:szCs w:val="16"/>
          <w:color w:val="auto"/>
        </w:rPr>
      </w:pPr>
    </w:p>
    <w:p>
      <w:pPr>
        <w:ind w:left="17" w:right="20" w:firstLine="421"/>
        <w:spacing w:after="0" w:line="332" w:lineRule="auto"/>
        <w:tabs>
          <w:tab w:leader="none" w:pos="71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4" w:lineRule="exact"/>
        <w:rPr>
          <w:rFonts w:ascii="Arial" w:cs="Arial" w:eastAsia="Arial" w:hAnsi="Arial"/>
          <w:sz w:val="16"/>
          <w:szCs w:val="16"/>
          <w:color w:val="auto"/>
        </w:rPr>
      </w:pPr>
    </w:p>
    <w:p>
      <w:pPr>
        <w:ind w:left="17" w:right="240" w:firstLine="421"/>
        <w:spacing w:after="0" w:line="306" w:lineRule="auto"/>
        <w:tabs>
          <w:tab w:leader="none" w:pos="71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the parties to each assignment shall execute and deliver to the Administrative Agent an Assignment and Assumption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together with a processing and recordation fee of U.S. $3,500 (which fee shall not be payable in connection with an assignment to a Lender or to an Affiliate of a Lender), for which the Borrower and the Guarantors shall not be obligated; and</w:t>
      </w:r>
    </w:p>
    <w:p>
      <w:pPr>
        <w:spacing w:after="0" w:line="25" w:lineRule="exact"/>
        <w:rPr>
          <w:rFonts w:ascii="Arial" w:cs="Arial" w:eastAsia="Arial" w:hAnsi="Arial"/>
          <w:sz w:val="16"/>
          <w:szCs w:val="16"/>
          <w:color w:val="auto"/>
        </w:rPr>
      </w:pPr>
    </w:p>
    <w:p>
      <w:pPr>
        <w:ind w:left="17" w:right="620" w:firstLine="421"/>
        <w:spacing w:after="0" w:line="268" w:lineRule="auto"/>
        <w:tabs>
          <w:tab w:leader="none" w:pos="72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assignee, if it shall not already be a Lender of the applicable Class, shall deliver to the Administrative Agent an Administrative Questionnaire.</w:t>
      </w:r>
    </w:p>
    <w:p>
      <w:pPr>
        <w:spacing w:after="0" w:line="50" w:lineRule="exact"/>
        <w:rPr>
          <w:rFonts w:ascii="Arial" w:cs="Arial" w:eastAsia="Arial" w:hAnsi="Arial"/>
          <w:sz w:val="18"/>
          <w:szCs w:val="18"/>
          <w:color w:val="auto"/>
        </w:rPr>
      </w:pPr>
    </w:p>
    <w:p>
      <w:pPr>
        <w:ind w:left="-443" w:right="80" w:firstLine="443"/>
        <w:spacing w:after="0" w:line="288" w:lineRule="auto"/>
        <w:tabs>
          <w:tab w:leader="none" w:pos="303"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Effectiveness of Assignments</w:t>
      </w:r>
      <w:r>
        <w:rPr>
          <w:rFonts w:ascii="Arial" w:cs="Arial" w:eastAsia="Arial" w:hAnsi="Arial"/>
          <w:sz w:val="16"/>
          <w:szCs w:val="16"/>
          <w:color w:val="auto"/>
        </w:rPr>
        <w:t xml:space="preserve">. Subject to acceptance and recording thereof pursuant to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Notwithstanding anything to the contrary herein, in</w:t>
      </w:r>
    </w:p>
    <w:p>
      <w:pPr>
        <w:spacing w:after="0" w:line="106" w:lineRule="exact"/>
        <w:rPr>
          <w:sz w:val="20"/>
          <w:szCs w:val="20"/>
          <w:color w:val="auto"/>
        </w:rPr>
      </w:pPr>
    </w:p>
    <w:p>
      <w:pPr>
        <w:jc w:val="both"/>
        <w:ind w:left="4917"/>
        <w:spacing w:after="0"/>
        <w:tabs>
          <w:tab w:leader="none" w:pos="8517"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80" w:right="239" w:bottom="1440" w:gutter="0" w:footer="0" w:header="0"/>
        </w:sectPr>
      </w:pPr>
    </w:p>
    <w:bookmarkStart w:id="118" w:name="page119"/>
    <w:bookmarkEnd w:id="118"/>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connection with any assignment of rights and obligations of any Defaulting Lender hereunder, no such assignment shall be effective unless and until, in addition to the other conditions set forth in </w:t>
      </w:r>
      <w:r>
        <w:rPr>
          <w:rFonts w:ascii="Arial" w:cs="Arial" w:eastAsia="Arial" w:hAnsi="Arial"/>
          <w:sz w:val="16"/>
          <w:szCs w:val="16"/>
          <w:u w:val="single" w:color="auto"/>
          <w:color w:val="auto"/>
        </w:rPr>
        <w:t>Section 9.04(b)(ii)</w:t>
      </w:r>
      <w:r>
        <w:rPr>
          <w:rFonts w:ascii="Arial" w:cs="Arial" w:eastAsia="Arial" w:hAnsi="Arial"/>
          <w:sz w:val="16"/>
          <w:szCs w:val="16"/>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Issuing Bank,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3" w:lineRule="exact"/>
        <w:rPr>
          <w:sz w:val="20"/>
          <w:szCs w:val="20"/>
          <w:color w:val="auto"/>
        </w:rPr>
      </w:pPr>
    </w:p>
    <w:p>
      <w:pPr>
        <w:ind w:left="-460" w:right="40" w:firstLine="921"/>
        <w:spacing w:after="0" w:line="290" w:lineRule="auto"/>
        <w:tabs>
          <w:tab w:leader="none" w:pos="692"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Maintenance of Registers by Administrative Agent</w:t>
      </w:r>
      <w:r>
        <w:rPr>
          <w:rFonts w:ascii="Arial" w:cs="Arial" w:eastAsia="Arial" w:hAnsi="Arial"/>
          <w:sz w:val="16"/>
          <w:szCs w:val="16"/>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6"/>
          <w:szCs w:val="16"/>
          <w:u w:val="single" w:color="auto"/>
          <w:color w:val="auto"/>
        </w:rPr>
        <w:t>Registers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Registers shall be conclusive absent manifest error, and the 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118" w:lineRule="exact"/>
        <w:rPr>
          <w:rFonts w:ascii="Arial" w:cs="Arial" w:eastAsia="Arial" w:hAnsi="Arial"/>
          <w:sz w:val="16"/>
          <w:szCs w:val="16"/>
          <w:color w:val="auto"/>
        </w:rPr>
      </w:pPr>
    </w:p>
    <w:p>
      <w:pPr>
        <w:ind w:left="-460" w:right="200" w:firstLine="921"/>
        <w:spacing w:after="0" w:line="294" w:lineRule="auto"/>
        <w:tabs>
          <w:tab w:leader="none" w:pos="701"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Acceptance of Assignments by Administrative Agent</w:t>
      </w:r>
      <w:r>
        <w:rPr>
          <w:rFonts w:ascii="Arial" w:cs="Arial" w:eastAsia="Arial" w:hAnsi="Arial"/>
          <w:sz w:val="16"/>
          <w:szCs w:val="16"/>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any written consent to such assignment required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15" w:lineRule="exact"/>
        <w:rPr>
          <w:rFonts w:ascii="Arial" w:cs="Arial" w:eastAsia="Arial" w:hAnsi="Arial"/>
          <w:sz w:val="16"/>
          <w:szCs w:val="16"/>
          <w:color w:val="auto"/>
        </w:rPr>
      </w:pPr>
    </w:p>
    <w:p>
      <w:pPr>
        <w:ind w:left="-460" w:right="160" w:firstLine="921"/>
        <w:spacing w:after="0" w:line="256" w:lineRule="auto"/>
        <w:tabs>
          <w:tab w:leader="none" w:pos="69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Special Purposes Vehicles</w:t>
      </w:r>
      <w:r>
        <w:rPr>
          <w:rFonts w:ascii="Arial" w:cs="Arial" w:eastAsia="Arial" w:hAnsi="Arial"/>
          <w:sz w:val="18"/>
          <w:szCs w:val="18"/>
          <w:color w:val="auto"/>
        </w:rPr>
        <w:t>. Notwithstanding anything to the contrary contained herein, any Lender (a “</w:t>
      </w:r>
      <w:r>
        <w:rPr>
          <w:rFonts w:ascii="Arial" w:cs="Arial" w:eastAsia="Arial" w:hAnsi="Arial"/>
          <w:sz w:val="18"/>
          <w:szCs w:val="18"/>
          <w:u w:val="single" w:color="auto"/>
          <w:color w:val="auto"/>
        </w:rPr>
        <w:t>Granting Lender</w:t>
      </w:r>
      <w:r>
        <w:rPr>
          <w:rFonts w:ascii="Arial" w:cs="Arial" w:eastAsia="Arial" w:hAnsi="Arial"/>
          <w:sz w:val="18"/>
          <w:szCs w:val="18"/>
          <w:color w:val="auto"/>
        </w:rPr>
        <w:t>”) may grant to a special purpose funding vehicle (an “</w:t>
      </w:r>
      <w:r>
        <w:rPr>
          <w:rFonts w:ascii="Arial" w:cs="Arial" w:eastAsia="Arial" w:hAnsi="Arial"/>
          <w:sz w:val="18"/>
          <w:szCs w:val="18"/>
          <w:u w:val="single" w:color="auto"/>
          <w:color w:val="auto"/>
        </w:rPr>
        <w:t>SPC</w:t>
      </w:r>
      <w:r>
        <w:rPr>
          <w:rFonts w:ascii="Arial" w:cs="Arial" w:eastAsia="Arial" w:hAnsi="Arial"/>
          <w:sz w:val="18"/>
          <w:szCs w:val="18"/>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nothing herein shall constitute a commitment to make any</w:t>
      </w:r>
    </w:p>
    <w:p>
      <w:pPr>
        <w:spacing w:after="0" w:line="130" w:lineRule="exact"/>
        <w:rPr>
          <w:sz w:val="20"/>
          <w:szCs w:val="20"/>
          <w:color w:val="auto"/>
        </w:rPr>
      </w:pPr>
    </w:p>
    <w:p>
      <w:pPr>
        <w:jc w:val="both"/>
        <w:ind w:left="5360"/>
        <w:spacing w:after="0"/>
        <w:tabs>
          <w:tab w:leader="none" w:pos="89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80" w:right="239" w:bottom="1440" w:gutter="0" w:footer="0" w:header="0"/>
        </w:sectPr>
      </w:pPr>
    </w:p>
    <w:bookmarkStart w:id="119" w:name="page120"/>
    <w:bookmarkEnd w:id="11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6"/>
          <w:szCs w:val="16"/>
          <w:u w:val="single" w:color="auto"/>
          <w:color w:val="auto"/>
        </w:rPr>
        <w:t>paragraph (1)</w:t>
      </w:r>
      <w:r>
        <w:rPr>
          <w:rFonts w:ascii="Arial" w:cs="Arial" w:eastAsia="Arial" w:hAnsi="Arial"/>
          <w:sz w:val="16"/>
          <w:szCs w:val="16"/>
          <w:color w:val="auto"/>
        </w:rPr>
        <w:t xml:space="preserve"> below, and (ii) disclose on a confidential basis (in the same manner described in </w:t>
      </w:r>
      <w:r>
        <w:rPr>
          <w:rFonts w:ascii="Arial" w:cs="Arial" w:eastAsia="Arial" w:hAnsi="Arial"/>
          <w:sz w:val="16"/>
          <w:szCs w:val="16"/>
          <w:u w:val="single" w:color="auto"/>
          <w:color w:val="auto"/>
        </w:rPr>
        <w:t>Section 9.13(b)</w:t>
      </w:r>
      <w:r>
        <w:rPr>
          <w:rFonts w:ascii="Arial" w:cs="Arial" w:eastAsia="Arial" w:hAnsi="Arial"/>
          <w:sz w:val="16"/>
          <w:szCs w:val="16"/>
          <w:color w:val="auto"/>
        </w:rPr>
        <w:t>) any non-public information relating to its Loans to any rating agency, commercial paper dealer or provider of a surety, guarantee or credit or liquidity enhancement to such SPC.</w:t>
      </w:r>
    </w:p>
    <w:p>
      <w:pPr>
        <w:spacing w:after="0" w:line="121" w:lineRule="exact"/>
        <w:rPr>
          <w:sz w:val="20"/>
          <w:szCs w:val="20"/>
          <w:color w:val="auto"/>
        </w:rPr>
      </w:pPr>
    </w:p>
    <w:p>
      <w:pPr>
        <w:ind w:right="40" w:firstLine="921"/>
        <w:spacing w:after="0" w:line="290" w:lineRule="auto"/>
        <w:tabs>
          <w:tab w:leader="none" w:pos="1132"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with the consent of the Borrower (such consent not to be unreasonably withheld or delayed),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w:t>
      </w:r>
    </w:p>
    <w:p>
      <w:pPr>
        <w:spacing w:after="0" w:line="105" w:lineRule="exact"/>
        <w:rPr>
          <w:sz w:val="20"/>
          <w:szCs w:val="20"/>
          <w:color w:val="auto"/>
        </w:rPr>
      </w:pPr>
    </w:p>
    <w:p>
      <w:pPr>
        <w:jc w:val="both"/>
        <w:ind w:left="5840"/>
        <w:spacing w:after="0"/>
        <w:tabs>
          <w:tab w:leader="none" w:pos="94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0" w:name="page121"/>
    <w:bookmarkEnd w:id="120"/>
    <w:p>
      <w:pPr>
        <w:ind w:right="240" w:firstLine="8"/>
        <w:spacing w:after="0" w:line="283" w:lineRule="auto"/>
        <w:tabs>
          <w:tab w:leader="none" w:pos="297"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Borrower, the Administrative Agent, the Issuing Bank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w:t>
      </w:r>
    </w:p>
    <w:p>
      <w:pPr>
        <w:spacing w:after="0" w:line="2"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not be entitled to receive any greater payment under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Participant shall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 notified of the participation granted to such Participant and such Participant shall have complied with the requirements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if such Participant is a Lender.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provided such Participant agrees to be subject to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9" w:lineRule="exact"/>
        <w:rPr>
          <w:rFonts w:ascii="Arial" w:cs="Arial" w:eastAsia="Arial" w:hAnsi="Arial"/>
          <w:sz w:val="16"/>
          <w:szCs w:val="16"/>
          <w:color w:val="auto"/>
        </w:rPr>
      </w:pPr>
    </w:p>
    <w:p>
      <w:pPr>
        <w:ind w:right="20" w:firstLine="921"/>
        <w:spacing w:after="0" w:line="283" w:lineRule="auto"/>
        <w:tabs>
          <w:tab w:leader="none" w:pos="1161"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Limitations on Rights of Participants</w:t>
      </w:r>
      <w:r>
        <w:rPr>
          <w:rFonts w:ascii="Arial" w:cs="Arial" w:eastAsia="Arial" w:hAnsi="Arial"/>
          <w:sz w:val="16"/>
          <w:szCs w:val="16"/>
          <w:color w:val="auto"/>
        </w:rPr>
        <w:t xml:space="preserve">. A Participant shall not be entitled to receive any greater payment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 notified of the participation sold to such Participant and such Participant agrees, for the benefit of the Borrower, to comply with </w:t>
      </w:r>
      <w:r>
        <w:rPr>
          <w:rFonts w:ascii="Arial" w:cs="Arial" w:eastAsia="Arial" w:hAnsi="Arial"/>
          <w:sz w:val="16"/>
          <w:szCs w:val="16"/>
          <w:u w:val="single" w:color="auto"/>
          <w:color w:val="auto"/>
        </w:rPr>
        <w:t>paragraphs (e)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though it were a Lender and in the case of a Participant claiming exemption for portfolio interest under</w:t>
      </w:r>
    </w:p>
    <w:p>
      <w:pPr>
        <w:spacing w:after="0" w:line="2" w:lineRule="exact"/>
        <w:rPr>
          <w:rFonts w:ascii="Arial" w:cs="Arial" w:eastAsia="Arial" w:hAnsi="Arial"/>
          <w:sz w:val="16"/>
          <w:szCs w:val="16"/>
          <w:color w:val="auto"/>
        </w:rPr>
      </w:pPr>
    </w:p>
    <w:p>
      <w:pPr>
        <w:ind w:right="140"/>
        <w:spacing w:after="0" w:line="323" w:lineRule="auto"/>
        <w:rPr>
          <w:rFonts w:ascii="Arial" w:cs="Arial" w:eastAsia="Arial" w:hAnsi="Arial"/>
          <w:sz w:val="16"/>
          <w:szCs w:val="16"/>
          <w:color w:val="auto"/>
        </w:rPr>
      </w:pPr>
      <w:r>
        <w:rPr>
          <w:rFonts w:ascii="Arial" w:cs="Arial" w:eastAsia="Arial" w:hAnsi="Arial"/>
          <w:sz w:val="16"/>
          <w:szCs w:val="16"/>
          <w:color w:val="auto"/>
        </w:rPr>
        <w:t>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79"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1" w:name="page122"/>
    <w:bookmarkEnd w:id="121"/>
    <w:p>
      <w:pPr>
        <w:ind w:right="60" w:firstLine="921"/>
        <w:spacing w:after="0" w:line="298" w:lineRule="auto"/>
        <w:tabs>
          <w:tab w:leader="none" w:pos="1161"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Pledges</w:t>
      </w:r>
      <w:r>
        <w:rPr>
          <w:rFonts w:ascii="Arial" w:cs="Arial" w:eastAsia="Arial" w:hAnsi="Arial"/>
          <w:sz w:val="16"/>
          <w:szCs w:val="16"/>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assignee for such Lender as a party hereto.</w:t>
      </w:r>
    </w:p>
    <w:p>
      <w:pPr>
        <w:spacing w:after="0" w:line="112" w:lineRule="exact"/>
        <w:rPr>
          <w:rFonts w:ascii="Arial" w:cs="Arial" w:eastAsia="Arial" w:hAnsi="Arial"/>
          <w:sz w:val="16"/>
          <w:szCs w:val="16"/>
          <w:color w:val="auto"/>
        </w:rPr>
      </w:pPr>
    </w:p>
    <w:p>
      <w:pPr>
        <w:ind w:right="120" w:firstLine="921"/>
        <w:spacing w:after="0" w:line="332" w:lineRule="auto"/>
        <w:tabs>
          <w:tab w:leader="none" w:pos="1122"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No Assignments to the Borrower or Affiliates</w:t>
      </w:r>
      <w:r>
        <w:rPr>
          <w:rFonts w:ascii="Arial" w:cs="Arial" w:eastAsia="Arial" w:hAnsi="Arial"/>
          <w:sz w:val="16"/>
          <w:szCs w:val="16"/>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8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9" w:lineRule="auto"/>
        <w:tabs>
          <w:tab w:leader="none" w:pos="1152"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05"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2" w:name="page123"/>
    <w:bookmarkEnd w:id="122"/>
    <w:p>
      <w:pPr>
        <w:ind w:right="60" w:firstLine="921"/>
        <w:spacing w:after="0" w:line="294" w:lineRule="auto"/>
        <w:tabs>
          <w:tab w:leader="none" w:pos="1161"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Execution of Assignments</w:t>
      </w:r>
      <w:r>
        <w:rPr>
          <w:rFonts w:ascii="Arial" w:cs="Arial" w:eastAsia="Arial" w:hAnsi="Arial"/>
          <w:sz w:val="16"/>
          <w:szCs w:val="16"/>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6"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07"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6"/>
          <w:szCs w:val="16"/>
          <w:u w:val="single" w:color="auto"/>
          <w:color w:val="auto"/>
        </w:rPr>
        <w:t>Sections 2.17(d)</w:t>
      </w:r>
      <w:r>
        <w:rPr>
          <w:rFonts w:ascii="Arial" w:cs="Arial" w:eastAsia="Arial" w:hAnsi="Arial"/>
          <w:sz w:val="16"/>
          <w:szCs w:val="16"/>
          <w:color w:val="auto"/>
        </w:rPr>
        <w:t xml:space="preserve"> and, pending such payment, shall be segregated by such Defaulting Lender from its other funds and deemed held in trust for the benefit of Administrative Agent, the Issuing Bank,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 of the State of New York.</w:t>
      </w:r>
    </w:p>
    <w:p>
      <w:pPr>
        <w:spacing w:after="0" w:line="171" w:lineRule="exact"/>
        <w:rPr>
          <w:rFonts w:ascii="Arial" w:cs="Arial" w:eastAsia="Arial" w:hAnsi="Arial"/>
          <w:sz w:val="18"/>
          <w:szCs w:val="18"/>
          <w:color w:val="auto"/>
        </w:rPr>
      </w:pPr>
    </w:p>
    <w:p>
      <w:pPr>
        <w:ind w:right="60" w:firstLine="921"/>
        <w:spacing w:after="0" w:line="255" w:lineRule="auto"/>
        <w:tabs>
          <w:tab w:leader="none" w:pos="1161"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w:t>
      </w:r>
    </w:p>
    <w:p>
      <w:pPr>
        <w:spacing w:after="0" w:line="129"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3" w:name="page124"/>
    <w:bookmarkEnd w:id="123"/>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spacing w:after="0" w:line="113" w:lineRule="exact"/>
        <w:rPr>
          <w:sz w:val="20"/>
          <w:szCs w:val="20"/>
          <w:color w:val="auto"/>
        </w:rPr>
      </w:pPr>
    </w:p>
    <w:p>
      <w:pPr>
        <w:jc w:val="both"/>
        <w:ind w:right="380" w:firstLine="921"/>
        <w:spacing w:after="0" w:line="298" w:lineRule="auto"/>
        <w:tabs>
          <w:tab w:leader="none" w:pos="1152"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Waiver of Venue</w:t>
      </w:r>
      <w:r>
        <w:rPr>
          <w:rFonts w:ascii="Arial" w:cs="Arial" w:eastAsia="Arial" w:hAnsi="Arial"/>
          <w:sz w:val="16"/>
          <w:szCs w:val="16"/>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12" w:lineRule="exact"/>
        <w:rPr>
          <w:rFonts w:ascii="Arial" w:cs="Arial" w:eastAsia="Arial" w:hAnsi="Arial"/>
          <w:sz w:val="16"/>
          <w:szCs w:val="16"/>
          <w:color w:val="auto"/>
        </w:rPr>
      </w:pPr>
    </w:p>
    <w:p>
      <w:pPr>
        <w:ind w:right="60" w:firstLine="921"/>
        <w:spacing w:after="0" w:line="256" w:lineRule="auto"/>
        <w:tabs>
          <w:tab w:leader="none" w:pos="1161"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to this Agreement (i) irrevocably consents to service of process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and (ii) agrees that service as provided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43"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45"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This is an international loan transaction in which the specification of Dollars or any Foreign Currency, as the case may be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and payment in New York City or the country of the Specified Currency, as the case may be (the “</w:t>
      </w:r>
      <w:r>
        <w:rPr>
          <w:rFonts w:ascii="Arial" w:cs="Arial" w:eastAsia="Arial" w:hAnsi="Arial"/>
          <w:sz w:val="16"/>
          <w:szCs w:val="16"/>
          <w:u w:val="single" w:color="auto"/>
          <w:color w:val="auto"/>
        </w:rPr>
        <w:t>Specified Place</w:t>
      </w:r>
      <w:r>
        <w:rPr>
          <w:rFonts w:ascii="Arial" w:cs="Arial" w:eastAsia="Arial" w:hAnsi="Arial"/>
          <w:sz w:val="16"/>
          <w:szCs w:val="16"/>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w:t>
      </w:r>
    </w:p>
    <w:p>
      <w:pPr>
        <w:spacing w:after="0" w:line="105"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4" w:name="page125"/>
    <w:bookmarkEnd w:id="124"/>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into another currency (the “</w:t>
      </w:r>
      <w:r>
        <w:rPr>
          <w:rFonts w:ascii="Arial" w:cs="Arial" w:eastAsia="Arial" w:hAnsi="Arial"/>
          <w:sz w:val="16"/>
          <w:szCs w:val="16"/>
          <w:u w:val="single" w:color="auto"/>
          <w:color w:val="auto"/>
        </w:rPr>
        <w:t>Second Currency</w:t>
      </w:r>
      <w:r>
        <w:rPr>
          <w:rFonts w:ascii="Arial" w:cs="Arial" w:eastAsia="Arial" w:hAnsi="Arial"/>
          <w:sz w:val="16"/>
          <w:szCs w:val="16"/>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6"/>
          <w:szCs w:val="16"/>
          <w:u w:val="single" w:color="auto"/>
          <w:color w:val="auto"/>
        </w:rPr>
        <w:t>Entitled Person</w:t>
      </w:r>
      <w:r>
        <w:rPr>
          <w:rFonts w:ascii="Arial" w:cs="Arial" w:eastAsia="Arial" w:hAnsi="Arial"/>
          <w:sz w:val="16"/>
          <w:szCs w:val="16"/>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2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Treatment of Certain Information; No Fiduciary Duty; Confidentiality</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5" w:lineRule="auto"/>
        <w:tabs>
          <w:tab w:leader="none" w:pos="1152"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Treatment of Certain Information</w:t>
      </w:r>
      <w:r>
        <w:rPr>
          <w:rFonts w:ascii="Arial" w:cs="Arial" w:eastAsia="Arial" w:hAnsi="Arial"/>
          <w:sz w:val="16"/>
          <w:szCs w:val="16"/>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w:t>
      </w:r>
    </w:p>
    <w:p>
      <w:pPr>
        <w:spacing w:after="0" w:line="113"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5" w:name="page126"/>
    <w:bookmarkEnd w:id="125"/>
    <w:p>
      <w:pPr>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08" w:lineRule="exact"/>
        <w:rPr>
          <w:sz w:val="20"/>
          <w:szCs w:val="20"/>
          <w:color w:val="auto"/>
        </w:rPr>
      </w:pPr>
    </w:p>
    <w:p>
      <w:pPr>
        <w:ind w:right="60" w:firstLine="464"/>
        <w:spacing w:after="0" w:line="285" w:lineRule="auto"/>
        <w:tabs>
          <w:tab w:leader="none" w:pos="705"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Lenders, the Swingline Lender and the Issuing Bank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128"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 by the Borrower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 or any of its Subsidiaries after the date hereof; such Information is</w:t>
      </w:r>
    </w:p>
    <w:p>
      <w:pPr>
        <w:spacing w:after="0" w:line="130"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6" w:name="page127"/>
    <w:bookmarkEnd w:id="126"/>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Borrower that pursuant to the requirements of the USA PATRIOT Act (Title</w:t>
      </w:r>
    </w:p>
    <w:p>
      <w:pPr>
        <w:spacing w:after="0" w:line="38" w:lineRule="exact"/>
        <w:rPr>
          <w:sz w:val="20"/>
          <w:szCs w:val="20"/>
          <w:color w:val="auto"/>
        </w:rPr>
      </w:pPr>
    </w:p>
    <w:p>
      <w:pPr>
        <w:ind w:right="160" w:firstLine="8"/>
        <w:spacing w:after="0" w:line="255" w:lineRule="auto"/>
        <w:tabs>
          <w:tab w:leader="none" w:pos="21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of Pub. L. 107-56 (signed into law October 26, 2001)), it is required to obtain, verify and record information that identifies the Borrower and each other Obligor, which information includes the name and address of the Borrower and each other Obligor and other information that will allow such Lender to identify the Borrower and each other Obligor in accordance with said Act.</w:t>
      </w:r>
    </w:p>
    <w:p>
      <w:pPr>
        <w:spacing w:after="0" w:line="144"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Effect of Amendment and Restatement of the Existing Credit Agreement</w:t>
      </w:r>
      <w:r>
        <w:rPr>
          <w:rFonts w:ascii="Arial" w:cs="Arial" w:eastAsia="Arial" w:hAnsi="Arial"/>
          <w:sz w:val="16"/>
          <w:szCs w:val="16"/>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05" w:lineRule="exact"/>
        <w:rPr>
          <w:sz w:val="20"/>
          <w:szCs w:val="20"/>
          <w:color w:val="auto"/>
        </w:rPr>
      </w:pPr>
    </w:p>
    <w:p>
      <w:pPr>
        <w:jc w:val="both"/>
        <w:ind w:left="5820"/>
        <w:spacing w:after="0"/>
        <w:tabs>
          <w:tab w:leader="none" w:pos="94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80" w:right="239" w:bottom="1440" w:gutter="0" w:footer="0" w:header="0"/>
        </w:sectPr>
      </w:pPr>
    </w:p>
    <w:bookmarkStart w:id="127" w:name="page128"/>
    <w:bookmarkEnd w:id="12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40"/>
          </w:cols>
          <w:pgMar w:left="240" w:top="280" w:right="319" w:bottom="1440" w:gutter="0" w:footer="0" w:header="0"/>
        </w:sectPr>
      </w:pPr>
    </w:p>
    <w:bookmarkStart w:id="128" w:name="page129"/>
    <w:bookmarkEnd w:id="12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 as Administrative Agent, Swingline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Issuing Bank and a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700"/>
          </w:cols>
          <w:pgMar w:left="1440" w:top="847" w:right="759" w:bottom="1440" w:gutter="0" w:footer="0" w:header="0"/>
        </w:sectPr>
      </w:pPr>
    </w:p>
    <w:bookmarkStart w:id="129" w:name="page130"/>
    <w:bookmarkEnd w:id="12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80"/>
          </w:cols>
          <w:pgMar w:left="1440" w:top="280" w:right="1379" w:bottom="1440" w:gutter="0" w:footer="0" w:header="0"/>
        </w:sectPr>
      </w:pPr>
    </w:p>
    <w:bookmarkStart w:id="130" w:name="page131"/>
    <w:bookmarkEnd w:id="130"/>
    <w:p>
      <w:pPr>
        <w:jc w:val="right"/>
        <w:ind w:right="20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1.01(a)</w:t>
      </w:r>
      <w:r>
        <w:rPr>
          <w:rFonts w:ascii="Arial" w:cs="Arial" w:eastAsia="Arial" w:hAnsi="Arial"/>
          <w:sz w:val="18"/>
          <w:szCs w:val="18"/>
          <w:color w:val="auto"/>
        </w:rPr>
        <w:t xml:space="preserve"> – </w:t>
      </w:r>
      <w:r>
        <w:rPr>
          <w:rFonts w:ascii="Arial" w:cs="Arial" w:eastAsia="Arial" w:hAnsi="Arial"/>
          <w:sz w:val="18"/>
          <w:szCs w:val="18"/>
          <w:u w:val="single" w:color="auto"/>
          <w:color w:val="auto"/>
        </w:rPr>
        <w:t>Approved Dealers and Approved Pricing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Approved Dealers</w:t>
      </w:r>
    </w:p>
    <w:p>
      <w:pPr>
        <w:spacing w:after="0" w:line="90" w:lineRule="exact"/>
        <w:rPr>
          <w:sz w:val="20"/>
          <w:szCs w:val="20"/>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Interactive Data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Markit Group Limited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Bank of America Merrill Lynch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Gleacher and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Deutsche Bank Group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Goldman Sachs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Knight Capital Group,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Barclays Capital,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Jefferies &amp; Company,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Approved Pricing Services</w:t>
      </w:r>
    </w:p>
    <w:p>
      <w:pPr>
        <w:spacing w:after="0" w:line="90"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Markit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International Data 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LoanEx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Bloomberg</w:t>
      </w:r>
    </w:p>
    <w:p>
      <w:pPr>
        <w:sectPr>
          <w:pgSz w:w="11900" w:h="16838" w:orient="portrait"/>
          <w:cols w:equalWidth="0" w:num="1">
            <w:col w:w="10219"/>
          </w:cols>
          <w:pgMar w:left="240" w:top="280"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1.01(b)</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Commitments</w:t>
      </w:r>
    </w:p>
    <w:p>
      <w:pPr>
        <w:spacing w:after="0" w:line="19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Applicable</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8"/>
              </w:rPr>
              <w:t>Lenders</w:t>
            </w:r>
          </w:p>
        </w:tc>
        <w:tc>
          <w:tcPr>
            <w:tcW w:w="3560" w:type="dxa"/>
            <w:vAlign w:val="bottom"/>
            <w:vMerge w:val="restart"/>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Multicurrency</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Multicurrency</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8"/>
              </w:rPr>
              <w:t>Commitment</w:t>
            </w:r>
          </w:p>
        </w:tc>
        <w:tc>
          <w:tcPr>
            <w:tcW w:w="14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SunTrust Bank</w:t>
            </w: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75,000,000.00</w:t>
            </w:r>
          </w:p>
        </w:tc>
        <w:tc>
          <w:tcPr>
            <w:tcW w:w="5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21.428571429%</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65,000,000.00</w:t>
            </w:r>
          </w:p>
        </w:tc>
        <w:tc>
          <w:tcPr>
            <w:tcW w:w="5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18.571428571%</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Bank &amp; Trust Company</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65,000,000.00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18.571428571%</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36,250,000.00</w:t>
            </w:r>
          </w:p>
        </w:tc>
        <w:tc>
          <w:tcPr>
            <w:tcW w:w="5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10.357142857%</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36,250,000.00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10.357142857%</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Goldman Sachs Bank USA</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36,250,000.00</w:t>
            </w:r>
          </w:p>
        </w:tc>
        <w:tc>
          <w:tcPr>
            <w:tcW w:w="5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10.357142857%</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36,250,000.00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10.357142857%</w:t>
            </w:r>
          </w:p>
        </w:tc>
        <w:tc>
          <w:tcPr>
            <w:tcW w:w="0" w:type="dxa"/>
            <w:vAlign w:val="bottom"/>
          </w:tcPr>
          <w:p>
            <w:pPr>
              <w:spacing w:after="0"/>
              <w:rPr>
                <w:sz w:val="1"/>
                <w:szCs w:val="1"/>
                <w:color w:val="auto"/>
              </w:rPr>
            </w:pPr>
          </w:p>
        </w:tc>
      </w:tr>
      <w:tr>
        <w:trPr>
          <w:trHeight w:val="228"/>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6"/>
              </w:rPr>
              <w:t>350,000,000.00</w:t>
            </w:r>
          </w:p>
        </w:tc>
        <w:tc>
          <w:tcPr>
            <w:tcW w:w="5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100.000000000%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280" w:right="1440" w:bottom="1440" w:gutter="0" w:footer="0" w:header="0"/>
        </w:sectPr>
      </w:pPr>
    </w:p>
    <w:bookmarkStart w:id="132" w:name="page133"/>
    <w:bookmarkEnd w:id="1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Schedule 1.01(c) – Industry Classification Group List</w:t>
            </w:r>
          </w:p>
        </w:tc>
      </w:tr>
      <w:tr>
        <w:trPr>
          <w:trHeight w:val="431"/>
        </w:trPr>
        <w:tc>
          <w:tcPr>
            <w:tcW w:w="3820" w:type="dxa"/>
            <w:vAlign w:val="bottom"/>
          </w:tcPr>
          <w:p>
            <w:pPr>
              <w:spacing w:after="0"/>
              <w:rPr>
                <w:sz w:val="20"/>
                <w:szCs w:val="20"/>
                <w:color w:val="auto"/>
              </w:rPr>
            </w:pPr>
            <w:r>
              <w:rPr>
                <w:rFonts w:ascii="Arial" w:cs="Arial" w:eastAsia="Arial" w:hAnsi="Arial"/>
                <w:sz w:val="18"/>
                <w:szCs w:val="18"/>
                <w:color w:val="auto"/>
              </w:rPr>
              <w:t>Energy Equipment &amp; Services</w:t>
            </w:r>
          </w:p>
        </w:tc>
        <w:tc>
          <w:tcPr>
            <w:tcW w:w="1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Food Products</w:t>
            </w:r>
          </w:p>
        </w:tc>
        <w:tc>
          <w:tcPr>
            <w:tcW w:w="2020" w:type="dxa"/>
            <w:vAlign w:val="bottom"/>
          </w:tcPr>
          <w:p>
            <w:pPr>
              <w:spacing w:after="0"/>
              <w:rPr>
                <w:sz w:val="24"/>
                <w:szCs w:val="24"/>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Oil, Gas &amp; Consumable Fuels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Tobacco</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Chemicals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Household Products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Construction Materials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Personal Products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Containers &amp; Packaging</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Health Care Equipment &amp; Supplies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Metals &amp; Mining</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Health Care Providers &amp;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Paper &amp; Forest Products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Health Care Technology</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Aerospace &amp; Defense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Biotechnology</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Building Products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Pharmaceuticals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Construction &amp; Engineering</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Life Sciences Tools &amp;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Electrical Equipment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Commercial Banks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Industrial Conglomerates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Thrifts &amp; Mortgage Finance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Machinery</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Diversified Financial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Trading Companies &amp; Distributors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Consumer Finance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Commercial Services &amp; Supplies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Capital Markets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Insurance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Air Freight &amp; Logistics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Real Estate Investment Trusts (REITs)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Airlines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Real Estate Management &amp; Development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Marine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Internet Software &amp;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Road &amp; Rail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IT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Transportation Infrastructure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Communications Equipment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Auto Components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Computers &amp; Peripherals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Automobiles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w w:val="88"/>
              </w:rPr>
              <w:t>Electronic Equipment, Instruments &amp; Components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Household Durables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Office Electronics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Leisure Equipment &amp; Products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w w:val="97"/>
              </w:rPr>
              <w:t>Semiconductors &amp; Semiconductor Equipment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Textiles, Apparel &amp; Luxury Goods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Diversified Telecommunication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Hotels, Restaurants &amp; Leisure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Wireless Telecommunication Services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Diversified Consumer Services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Electric Utilities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Media</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Gas Utilities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Distributors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Multi-Utilities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Internet &amp; Catalog Retail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rPr>
              <w:t>Water Utilities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Multiline Retail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2"/>
          </w:tcPr>
          <w:p>
            <w:pPr>
              <w:ind w:left="860"/>
              <w:spacing w:after="0"/>
              <w:rPr>
                <w:sz w:val="20"/>
                <w:szCs w:val="20"/>
                <w:color w:val="auto"/>
              </w:rPr>
            </w:pPr>
            <w:r>
              <w:rPr>
                <w:rFonts w:ascii="Arial" w:cs="Arial" w:eastAsia="Arial" w:hAnsi="Arial"/>
                <w:sz w:val="18"/>
                <w:szCs w:val="18"/>
                <w:color w:val="auto"/>
                <w:w w:val="90"/>
              </w:rPr>
              <w:t>Independent Power Producers &amp; Energy Traders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Specialty Retail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Food &amp; Staples Retailing</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Beverages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ectPr>
          <w:pgSz w:w="11900" w:h="16838" w:orient="portrait"/>
          <w:cols w:equalWidth="0" w:num="1">
            <w:col w:w="10219"/>
          </w:cols>
          <w:pgMar w:left="240" w:top="257" w:right="1440" w:bottom="1440" w:gutter="0" w:footer="0" w:header="0"/>
        </w:sectPr>
      </w:pPr>
    </w:p>
    <w:bookmarkStart w:id="133" w:name="page134"/>
    <w:bookmarkEnd w:id="133"/>
    <w:p>
      <w:pPr>
        <w:jc w:val="center"/>
        <w:ind w:right="-2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3.11</w:t>
      </w:r>
      <w:r>
        <w:rPr>
          <w:rFonts w:ascii="Arial" w:cs="Arial" w:eastAsia="Arial" w:hAnsi="Arial"/>
          <w:sz w:val="18"/>
          <w:szCs w:val="18"/>
          <w:color w:val="auto"/>
        </w:rPr>
        <w:t xml:space="preserve"> – </w:t>
      </w:r>
      <w:r>
        <w:rPr>
          <w:rFonts w:ascii="Arial" w:cs="Arial" w:eastAsia="Arial" w:hAnsi="Arial"/>
          <w:sz w:val="18"/>
          <w:szCs w:val="18"/>
          <w:u w:val="single" w:color="auto"/>
          <w:color w:val="auto"/>
        </w:rPr>
        <w:t>Material Agreements and Liens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A: Material Agreements</w:t>
      </w:r>
    </w:p>
    <w:p>
      <w:pPr>
        <w:spacing w:after="0" w:line="90" w:lineRule="exact"/>
        <w:rPr>
          <w:sz w:val="20"/>
          <w:szCs w:val="20"/>
          <w:color w:val="auto"/>
        </w:rPr>
      </w:pPr>
    </w:p>
    <w:p>
      <w:pPr>
        <w:ind w:left="900" w:hanging="446"/>
        <w:spacing w:after="0" w:line="259"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Amended and Restated Revolving Credit Agreement dated as of December 22, 2011 by and among TPG Specialty Lending, Inc., as borrower, the lenders party thereto from time to time, and Deutsche Bank Trust Company Americas, as administrative agent, as amended from time to time, with a principal amount of up to $250,000,000.</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Revolving Credit and Security Agreement dated as of May 4, 2012, by and among TPG TSL SPV, LLC, as borrower, the lenders party thereto from time to time, Natixis, New York Branch, as facility agent, and The Bank of New York Mellon Trust Company, N.A., as collateral agent, as amended from time to time, with a principal amount of up to $100,000,000.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B: Liens</w:t>
      </w:r>
    </w:p>
    <w:p>
      <w:pPr>
        <w:spacing w:after="0" w:line="90" w:lineRule="exact"/>
        <w:rPr>
          <w:sz w:val="20"/>
          <w:szCs w:val="20"/>
          <w:color w:val="auto"/>
        </w:rPr>
      </w:pPr>
    </w:p>
    <w:p>
      <w:pPr>
        <w:ind w:left="900" w:right="420" w:hanging="446"/>
        <w:spacing w:after="0" w:line="268"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loan to TPG Specialty Lending, Inc., with a principal amount of up to $250,000,000, described in Part A is secured by the rights of TPG Specialty Lending, Inc. in capital commitments of its investors and all proceeds thereof.</w:t>
      </w:r>
    </w:p>
    <w:p>
      <w:pPr>
        <w:sectPr>
          <w:pgSz w:w="11900" w:h="16838" w:orient="portrait"/>
          <w:cols w:equalWidth="0" w:num="1">
            <w:col w:w="11200"/>
          </w:cols>
          <w:pgMar w:left="240" w:top="280" w:right="459" w:bottom="1440" w:gutter="0" w:footer="0" w:header="0"/>
        </w:sectPr>
      </w:pPr>
    </w:p>
    <w:bookmarkStart w:id="134" w:name="page135"/>
    <w:bookmarkEnd w:id="134"/>
    <w:p>
      <w:pPr>
        <w:jc w:val="right"/>
        <w:ind w:right="33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3.12(a)</w:t>
      </w:r>
      <w:r>
        <w:rPr>
          <w:rFonts w:ascii="Arial" w:cs="Arial" w:eastAsia="Arial" w:hAnsi="Arial"/>
          <w:sz w:val="18"/>
          <w:szCs w:val="18"/>
          <w:color w:val="auto"/>
        </w:rPr>
        <w:t xml:space="preserve"> – </w:t>
      </w:r>
      <w:r>
        <w:rPr>
          <w:rFonts w:ascii="Arial" w:cs="Arial" w:eastAsia="Arial" w:hAnsi="Arial"/>
          <w:sz w:val="18"/>
          <w:szCs w:val="18"/>
          <w:u w:val="single" w:color="auto"/>
          <w:color w:val="auto"/>
        </w:rPr>
        <w:t>Subsidiaries</w:t>
      </w:r>
    </w:p>
    <w:p>
      <w:pPr>
        <w:spacing w:after="0" w:line="90" w:lineRule="exact"/>
        <w:rPr>
          <w:sz w:val="20"/>
          <w:szCs w:val="20"/>
          <w:color w:val="auto"/>
        </w:rPr>
      </w:pPr>
    </w:p>
    <w:p>
      <w:pPr>
        <w:ind w:left="446" w:hanging="446"/>
        <w:spacing w:after="0"/>
        <w:tabs>
          <w:tab w:leader="none" w:pos="4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TC Lending, LLC</w:t>
      </w:r>
    </w:p>
    <w:p>
      <w:pPr>
        <w:sectPr>
          <w:pgSz w:w="11900" w:h="16838" w:orient="portrait"/>
          <w:cols w:equalWidth="0" w:num="1">
            <w:col w:w="9765"/>
          </w:cols>
          <w:pgMar w:left="694" w:top="280" w:right="1440" w:bottom="1440" w:gutter="0" w:footer="0" w:header="0"/>
        </w:sectPr>
      </w:pPr>
    </w:p>
    <w:bookmarkStart w:id="135" w:name="page136"/>
    <w:bookmarkEnd w:id="135"/>
    <w:p>
      <w:pPr>
        <w:jc w:val="center"/>
        <w:ind w:right="-13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3.12(b)</w:t>
      </w:r>
      <w:r>
        <w:rPr>
          <w:rFonts w:ascii="Arial" w:cs="Arial" w:eastAsia="Arial" w:hAnsi="Arial"/>
          <w:sz w:val="18"/>
          <w:szCs w:val="18"/>
          <w:color w:val="auto"/>
        </w:rPr>
        <w:t xml:space="preserve"> – </w:t>
      </w:r>
      <w:r>
        <w:rPr>
          <w:rFonts w:ascii="Arial" w:cs="Arial" w:eastAsia="Arial" w:hAnsi="Arial"/>
          <w:sz w:val="18"/>
          <w:szCs w:val="18"/>
          <w:u w:val="single" w:color="auto"/>
          <w:color w:val="auto"/>
        </w:rPr>
        <w:t>Investments</w:t>
      </w:r>
    </w:p>
    <w:p>
      <w:pPr>
        <w:spacing w:after="0" w:line="90" w:lineRule="exact"/>
        <w:rPr>
          <w:sz w:val="20"/>
          <w:szCs w:val="20"/>
          <w:color w:val="auto"/>
        </w:rPr>
      </w:pPr>
    </w:p>
    <w:p>
      <w:pPr>
        <w:ind w:left="452" w:hanging="452"/>
        <w:spacing w:after="0"/>
        <w:tabs>
          <w:tab w:leader="none" w:pos="4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TPG Specialty Lending, Inc. owns all of the membership interests in TPG SL SPV, LLC, its Financing Subsidiary.</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TPG Specialty Lending, Inc. owns a deposit account with State Street Bank and Trust Company, which is subject to an account control agreement in favor of SunTrust Bank as Collateral Agent.</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TPG Specialty Lending, Inc. owns three deposit accounts with JPMorgan Chase Bank, N.A.</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TPG Specialty Lending, Inc. owns two deposit accounts with Deutsche Bank Trust Co. Americas.</w:t>
      </w:r>
    </w:p>
    <w:p>
      <w:pPr>
        <w:sectPr>
          <w:pgSz w:w="11900" w:h="16838" w:orient="portrait"/>
          <w:cols w:equalWidth="0" w:num="1">
            <w:col w:w="11292"/>
          </w:cols>
          <w:pgMar w:left="248" w:top="280" w:right="359" w:bottom="1440" w:gutter="0" w:footer="0" w:header="0"/>
        </w:sectPr>
      </w:pPr>
    </w:p>
    <w:bookmarkStart w:id="136" w:name="page137"/>
    <w:bookmarkEnd w:id="136"/>
    <w:p>
      <w:pPr>
        <w:jc w:val="right"/>
        <w:ind w:right="29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6.08</w:t>
      </w:r>
      <w:r>
        <w:rPr>
          <w:rFonts w:ascii="Arial" w:cs="Arial" w:eastAsia="Arial" w:hAnsi="Arial"/>
          <w:sz w:val="18"/>
          <w:szCs w:val="18"/>
          <w:color w:val="auto"/>
        </w:rPr>
        <w:t xml:space="preserve"> – </w:t>
      </w:r>
      <w:r>
        <w:rPr>
          <w:rFonts w:ascii="Arial" w:cs="Arial" w:eastAsia="Arial" w:hAnsi="Arial"/>
          <w:sz w:val="18"/>
          <w:szCs w:val="18"/>
          <w:u w:val="single" w:color="auto"/>
          <w:color w:val="auto"/>
        </w:rPr>
        <w:t>Transactions with Affiliates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80" w:right="1440" w:bottom="1440" w:gutter="0" w:footer="0" w:header="0"/>
        </w:sectPr>
      </w:pPr>
    </w:p>
    <w:bookmarkStart w:id="137" w:name="page138"/>
    <w:bookmarkEnd w:id="1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ASSIGNMENT AND ASSUMPTION</w:t>
      </w:r>
    </w:p>
    <w:p>
      <w:pPr>
        <w:spacing w:after="0" w:line="177"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w:t>
      </w:r>
      <w:r>
        <w:rPr>
          <w:rFonts w:ascii="Arial" w:cs="Arial" w:eastAsia="Arial" w:hAnsi="Arial"/>
          <w:sz w:val="16"/>
          <w:szCs w:val="16"/>
          <w:i w:val="1"/>
          <w:iCs w:val="1"/>
          <w:color w:val="auto"/>
        </w:rPr>
        <w:t>Insert name of Assignor</w:t>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receipt of a copy of which is hereby acknowledged by the Assignee. The Standard Terms and Conditions set forth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attached hereto are hereby agreed to and incorporated herein by reference and made a part of this Assignment and Assumption as if set forth herein in full.</w:t>
      </w:r>
    </w:p>
    <w:p>
      <w:pPr>
        <w:spacing w:after="0" w:line="116" w:lineRule="exact"/>
        <w:rPr>
          <w:sz w:val="20"/>
          <w:szCs w:val="20"/>
          <w:color w:val="auto"/>
        </w:rPr>
      </w:pPr>
    </w:p>
    <w:p>
      <w:pPr>
        <w:ind w:firstLine="913"/>
        <w:spacing w:after="0" w:line="301" w:lineRule="auto"/>
        <w:rPr>
          <w:sz w:val="20"/>
          <w:szCs w:val="20"/>
          <w:color w:val="auto"/>
        </w:rPr>
      </w:pPr>
      <w:r>
        <w:rPr>
          <w:rFonts w:ascii="Arial" w:cs="Arial" w:eastAsia="Arial" w:hAnsi="Arial"/>
          <w:sz w:val="15"/>
          <w:szCs w:val="15"/>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claims at law or in equity related to the rights and obligations sold and assigned pursuant to </w:t>
      </w:r>
      <w:r>
        <w:rPr>
          <w:rFonts w:ascii="Arial" w:cs="Arial" w:eastAsia="Arial" w:hAnsi="Arial"/>
          <w:sz w:val="15"/>
          <w:szCs w:val="15"/>
          <w:u w:val="single" w:color="auto"/>
          <w:color w:val="auto"/>
        </w:rPr>
        <w:t>clause</w:t>
      </w:r>
    </w:p>
    <w:p>
      <w:pPr>
        <w:spacing w:after="0" w:line="4" w:lineRule="exact"/>
        <w:rPr>
          <w:sz w:val="20"/>
          <w:szCs w:val="20"/>
          <w:color w:val="auto"/>
        </w:rPr>
      </w:pPr>
    </w:p>
    <w:p>
      <w:pPr>
        <w:jc w:val="both"/>
        <w:ind w:firstLine="8"/>
        <w:spacing w:after="0" w:line="255" w:lineRule="auto"/>
        <w:tabs>
          <w:tab w:leader="none" w:pos="210" w:val="left"/>
        </w:tabs>
        <w:numPr>
          <w:ilvl w:val="0"/>
          <w:numId w:val="183"/>
        </w:numPr>
        <w:rPr>
          <w:rFonts w:ascii="Arial" w:cs="Arial" w:eastAsia="Arial" w:hAnsi="Arial"/>
          <w:sz w:val="18"/>
          <w:szCs w:val="18"/>
          <w:u w:val="single" w:color="auto"/>
          <w:color w:val="auto"/>
        </w:rPr>
      </w:pPr>
      <w:r>
        <w:rPr>
          <w:rFonts w:ascii="Arial" w:cs="Arial" w:eastAsia="Arial" w:hAnsi="Arial"/>
          <w:sz w:val="18"/>
          <w:szCs w:val="18"/>
          <w:color w:val="auto"/>
        </w:rPr>
        <w:t xml:space="preserve">above (the rights and obligations sold and assigned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63"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Assignor: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749300</wp:posOffset>
            </wp:positionH>
            <wp:positionV relativeFrom="paragraph">
              <wp:posOffset>-202565</wp:posOffset>
            </wp:positionV>
            <wp:extent cx="19234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23415" cy="889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-13970</wp:posOffset>
            </wp:positionV>
            <wp:extent cx="19234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[and is an Affiliate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11"/>
          <w:szCs w:val="11"/>
          <w:color w:val="auto"/>
        </w:rPr>
        <w:t>1</w:t>
      </w:r>
      <w:r>
        <w:rPr>
          <w:rFonts w:ascii="Arial" w:cs="Arial" w:eastAsia="Arial" w:hAnsi="Arial"/>
          <w:sz w:val="18"/>
          <w:szCs w:val="18"/>
          <w:color w:val="auto"/>
        </w:rPr>
        <w:t>]</w:t>
      </w:r>
    </w:p>
    <w:p>
      <w:pPr>
        <w:spacing w:after="0" w:line="84"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Borrower: TPG Specialty Lending,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Administrative Agent: SunTrust Bank,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220" w:hanging="212"/>
        <w:spacing w:after="0"/>
        <w:tabs>
          <w:tab w:leader="none" w:pos="220" w:val="left"/>
        </w:tabs>
        <w:numPr>
          <w:ilvl w:val="0"/>
          <w:numId w:val="186"/>
        </w:numPr>
        <w:rPr>
          <w:rFonts w:ascii="Arial" w:cs="Arial" w:eastAsia="Arial" w:hAnsi="Arial"/>
          <w:sz w:val="22"/>
          <w:szCs w:val="22"/>
          <w:color w:val="auto"/>
          <w:vertAlign w:val="superscript"/>
        </w:rPr>
      </w:pPr>
      <w:r>
        <w:rPr>
          <w:rFonts w:ascii="Arial" w:cs="Arial" w:eastAsia="Arial" w:hAnsi="Arial"/>
          <w:sz w:val="18"/>
          <w:szCs w:val="18"/>
          <w:color w:val="auto"/>
        </w:rPr>
        <w:t>Select as applicable.</w:t>
      </w:r>
    </w:p>
    <w:p>
      <w:pPr>
        <w:sectPr>
          <w:pgSz w:w="11900" w:h="16838" w:orient="portrait"/>
          <w:cols w:equalWidth="0" w:num="1">
            <w:col w:w="11380"/>
          </w:cols>
          <w:pgMar w:left="240" w:top="274" w:right="279" w:bottom="1440" w:gutter="0" w:footer="0" w:header="0"/>
        </w:sectPr>
      </w:pPr>
    </w:p>
    <w:bookmarkStart w:id="138" w:name="page139"/>
    <w:bookmarkEnd w:id="138"/>
    <w:p>
      <w:pPr>
        <w:ind w:left="460" w:hanging="452"/>
        <w:spacing w:after="0" w:line="268" w:lineRule="auto"/>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 The $350,000,000 Amended and Restated Senior Secured Revolving Credit Agreement dated as of July 2, 2013, among TPG Specialty Lending, Inc., the Lenders parties thereto and SunTrust Bank, as Administrative Agent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w w:val="89"/>
              </w:rPr>
              <w:t>Aggregate Amount of</w:t>
            </w:r>
          </w:p>
        </w:tc>
        <w:tc>
          <w:tcPr>
            <w:tcW w:w="1400" w:type="dxa"/>
            <w:vAlign w:val="bottom"/>
          </w:tcPr>
          <w:p>
            <w:pPr>
              <w:spacing w:after="0"/>
              <w:rPr>
                <w:sz w:val="14"/>
                <w:szCs w:val="14"/>
                <w:color w:val="auto"/>
              </w:rPr>
            </w:pPr>
          </w:p>
        </w:tc>
        <w:tc>
          <w:tcPr>
            <w:tcW w:w="2500" w:type="dxa"/>
            <w:vAlign w:val="bottom"/>
            <w:gridSpan w:val="2"/>
          </w:tcPr>
          <w:p>
            <w:pPr>
              <w:jc w:val="center"/>
              <w:ind w:right="1420"/>
              <w:spacing w:after="0"/>
              <w:rPr>
                <w:sz w:val="20"/>
                <w:szCs w:val="20"/>
                <w:color w:val="auto"/>
              </w:rPr>
            </w:pPr>
            <w:r>
              <w:rPr>
                <w:rFonts w:ascii="Arial" w:cs="Arial" w:eastAsia="Arial" w:hAnsi="Arial"/>
                <w:sz w:val="14"/>
                <w:szCs w:val="14"/>
                <w:color w:val="auto"/>
                <w:w w:val="93"/>
              </w:rPr>
              <w:t>Amount of</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w w:val="84"/>
              </w:rPr>
              <w:t>Percentage Assigned</w:t>
            </w: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134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w w:val="84"/>
              </w:rPr>
              <w:t>Class Assigned</w:t>
            </w:r>
            <w:r>
              <w:rPr>
                <w:rFonts w:ascii="Arial" w:cs="Arial" w:eastAsia="Arial" w:hAnsi="Arial"/>
                <w:sz w:val="22"/>
                <w:szCs w:val="22"/>
                <w:color w:val="auto"/>
                <w:w w:val="84"/>
                <w:vertAlign w:val="superscript"/>
              </w:rPr>
              <w:t>2</w:t>
            </w:r>
          </w:p>
        </w:tc>
        <w:tc>
          <w:tcPr>
            <w:tcW w:w="19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4"/>
                <w:szCs w:val="14"/>
                <w:color w:val="auto"/>
                <w:w w:val="88"/>
              </w:rPr>
              <w:t>Commitment/Loans</w:t>
            </w:r>
          </w:p>
        </w:tc>
        <w:tc>
          <w:tcPr>
            <w:tcW w:w="3900" w:type="dxa"/>
            <w:vAlign w:val="bottom"/>
            <w:gridSpan w:val="3"/>
          </w:tcPr>
          <w:p>
            <w:pPr>
              <w:ind w:left="1400"/>
              <w:spacing w:after="0" w:line="133" w:lineRule="exact"/>
              <w:rPr>
                <w:sz w:val="20"/>
                <w:szCs w:val="20"/>
                <w:color w:val="auto"/>
              </w:rPr>
            </w:pPr>
            <w:r>
              <w:rPr>
                <w:rFonts w:ascii="Arial" w:cs="Arial" w:eastAsia="Arial" w:hAnsi="Arial"/>
                <w:sz w:val="14"/>
                <w:szCs w:val="14"/>
                <w:color w:val="auto"/>
              </w:rPr>
              <w:t>Commitment/Loans</w:t>
            </w:r>
          </w:p>
        </w:tc>
        <w:tc>
          <w:tcPr>
            <w:tcW w:w="1240" w:type="dxa"/>
            <w:vAlign w:val="bottom"/>
            <w:gridSpan w:val="2"/>
          </w:tcPr>
          <w:p>
            <w:pPr>
              <w:jc w:val="right"/>
              <w:ind w:right="620"/>
              <w:spacing w:after="0" w:line="133"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0"/>
              </w:rPr>
              <w:t>for all Lenders</w:t>
            </w:r>
          </w:p>
        </w:tc>
        <w:tc>
          <w:tcPr>
            <w:tcW w:w="1400" w:type="dxa"/>
            <w:vAlign w:val="bottom"/>
          </w:tcPr>
          <w:p>
            <w:pPr>
              <w:spacing w:after="0"/>
              <w:rPr>
                <w:sz w:val="14"/>
                <w:szCs w:val="14"/>
                <w:color w:val="auto"/>
              </w:rPr>
            </w:pPr>
          </w:p>
        </w:tc>
        <w:tc>
          <w:tcPr>
            <w:tcW w:w="2500" w:type="dxa"/>
            <w:vAlign w:val="bottom"/>
            <w:gridSpan w:val="2"/>
          </w:tcPr>
          <w:p>
            <w:pPr>
              <w:jc w:val="center"/>
              <w:ind w:right="1420"/>
              <w:spacing w:after="0"/>
              <w:rPr>
                <w:sz w:val="20"/>
                <w:szCs w:val="20"/>
                <w:color w:val="auto"/>
              </w:rPr>
            </w:pPr>
            <w:r>
              <w:rPr>
                <w:rFonts w:ascii="Arial" w:cs="Arial" w:eastAsia="Arial" w:hAnsi="Arial"/>
                <w:sz w:val="14"/>
                <w:szCs w:val="14"/>
                <w:color w:val="auto"/>
                <w:w w:val="90"/>
              </w:rPr>
              <w:t>Assigned</w:t>
            </w:r>
          </w:p>
        </w:tc>
        <w:tc>
          <w:tcPr>
            <w:tcW w:w="1240" w:type="dxa"/>
            <w:vAlign w:val="bottom"/>
            <w:gridSpan w:val="2"/>
          </w:tcPr>
          <w:p>
            <w:pPr>
              <w:jc w:val="right"/>
              <w:ind w:right="100"/>
              <w:spacing w:after="0" w:line="162" w:lineRule="exact"/>
              <w:rPr>
                <w:sz w:val="20"/>
                <w:szCs w:val="20"/>
                <w:color w:val="auto"/>
              </w:rPr>
            </w:pPr>
            <w:r>
              <w:rPr>
                <w:rFonts w:ascii="Arial" w:cs="Arial" w:eastAsia="Arial" w:hAnsi="Arial"/>
                <w:sz w:val="12"/>
                <w:szCs w:val="12"/>
                <w:color w:val="auto"/>
              </w:rPr>
              <w:t>Commitment/Loans</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95"/>
        </w:trPr>
        <w:tc>
          <w:tcPr>
            <w:tcW w:w="9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24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36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 201</w:t>
            </w:r>
          </w:p>
        </w:tc>
        <w:tc>
          <w:tcPr>
            <w:tcW w:w="8240" w:type="dxa"/>
            <w:vAlign w:val="bottom"/>
            <w:gridSpan w:val="7"/>
          </w:tcPr>
          <w:p>
            <w:pPr>
              <w:jc w:val="right"/>
              <w:ind w:right="20"/>
              <w:spacing w:after="0"/>
              <w:rPr>
                <w:sz w:val="20"/>
                <w:szCs w:val="20"/>
                <w:color w:val="auto"/>
              </w:rPr>
            </w:pPr>
            <w:r>
              <w:rPr>
                <w:rFonts w:ascii="Arial" w:cs="Arial" w:eastAsia="Arial" w:hAnsi="Arial"/>
                <w:sz w:val="18"/>
                <w:szCs w:val="18"/>
                <w:color w:val="auto"/>
                <w:w w:val="98"/>
              </w:rPr>
              <w:t>[TO BE INSERTED BY ADMINISTRATIVE AGENT AND WHICH SHALL BE THE EFFECTIVE DATE OF</w:t>
            </w:r>
          </w:p>
        </w:tc>
        <w:tc>
          <w:tcPr>
            <w:tcW w:w="0" w:type="dxa"/>
            <w:vAlign w:val="bottom"/>
          </w:tcPr>
          <w:p>
            <w:pPr>
              <w:spacing w:after="0"/>
              <w:rPr>
                <w:sz w:val="1"/>
                <w:szCs w:val="1"/>
                <w:color w:val="auto"/>
              </w:rPr>
            </w:pPr>
          </w:p>
        </w:tc>
      </w:tr>
      <w:tr>
        <w:trPr>
          <w:trHeight w:val="222"/>
        </w:trPr>
        <w:tc>
          <w:tcPr>
            <w:tcW w:w="5360" w:type="dxa"/>
            <w:vAlign w:val="bottom"/>
            <w:gridSpan w:val="6"/>
          </w:tcPr>
          <w:p>
            <w:pPr>
              <w:spacing w:after="0"/>
              <w:rPr>
                <w:sz w:val="20"/>
                <w:szCs w:val="20"/>
                <w:color w:val="auto"/>
              </w:rPr>
            </w:pPr>
            <w:r>
              <w:rPr>
                <w:rFonts w:ascii="Arial" w:cs="Arial" w:eastAsia="Arial" w:hAnsi="Arial"/>
                <w:sz w:val="18"/>
                <w:szCs w:val="18"/>
                <w:color w:val="auto"/>
                <w:w w:val="98"/>
              </w:rPr>
              <w:t>RECORDATION OF TRANSFER IN THE REGISTER THEREFOR.]</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220" w:right="680" w:hanging="212"/>
        <w:spacing w:after="0" w:line="219" w:lineRule="auto"/>
        <w:tabs>
          <w:tab w:leader="none" w:pos="220" w:val="left"/>
        </w:tabs>
        <w:numPr>
          <w:ilvl w:val="0"/>
          <w:numId w:val="188"/>
        </w:numPr>
        <w:rPr>
          <w:rFonts w:ascii="Arial" w:cs="Arial" w:eastAsia="Arial" w:hAnsi="Arial"/>
          <w:sz w:val="22"/>
          <w:szCs w:val="22"/>
          <w:color w:val="auto"/>
          <w:vertAlign w:val="superscript"/>
        </w:rPr>
      </w:pPr>
      <w:r>
        <w:rPr>
          <w:rFonts w:ascii="Arial" w:cs="Arial" w:eastAsia="Arial" w:hAnsi="Arial"/>
          <w:sz w:val="18"/>
          <w:szCs w:val="18"/>
          <w:color w:val="auto"/>
        </w:rPr>
        <w:t>Fill in the appropriate terminology for the types of facilities under the Credit Agreement that are being assigned under this Assignment (e.g. “Dollar Commitment”, “Multicurrency Commitment”, etc.).</w:t>
      </w:r>
    </w:p>
    <w:p>
      <w:pPr>
        <w:ind w:left="220" w:hanging="212"/>
        <w:spacing w:after="0" w:line="222" w:lineRule="auto"/>
        <w:tabs>
          <w:tab w:leader="none" w:pos="220" w:val="left"/>
        </w:tabs>
        <w:numPr>
          <w:ilvl w:val="0"/>
          <w:numId w:val="189"/>
        </w:numPr>
        <w:rPr>
          <w:rFonts w:ascii="Arial" w:cs="Arial" w:eastAsia="Arial" w:hAnsi="Arial"/>
          <w:sz w:val="22"/>
          <w:szCs w:val="22"/>
          <w:color w:val="auto"/>
          <w:vertAlign w:val="superscript"/>
        </w:rPr>
      </w:pPr>
      <w:r>
        <w:rPr>
          <w:rFonts w:ascii="Arial" w:cs="Arial" w:eastAsia="Arial" w:hAnsi="Arial"/>
          <w:sz w:val="18"/>
          <w:szCs w:val="18"/>
          <w:color w:val="auto"/>
        </w:rPr>
        <w:t>Set forth, to at least 9 decimals, as a percentage of the Commitment/Loans of all Lenders thereunder.</w:t>
      </w:r>
    </w:p>
    <w:p>
      <w:pPr>
        <w:sectPr>
          <w:pgSz w:w="11900" w:h="16838" w:orient="portrait"/>
          <w:cols w:equalWidth="0" w:num="1">
            <w:col w:w="11300"/>
          </w:cols>
          <w:pgMar w:left="240" w:top="280"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[Consented to and]</w:t>
      </w:r>
      <w:r>
        <w:rPr>
          <w:rFonts w:ascii="Arial" w:cs="Arial" w:eastAsia="Arial" w:hAnsi="Arial"/>
          <w:sz w:val="11"/>
          <w:szCs w:val="11"/>
          <w:color w:val="auto"/>
        </w:rPr>
        <w:t>4</w:t>
      </w:r>
      <w:r>
        <w:rPr>
          <w:rFonts w:ascii="Arial" w:cs="Arial" w:eastAsia="Arial" w:hAnsi="Arial"/>
          <w:sz w:val="18"/>
          <w:szCs w:val="18"/>
          <w:color w:val="auto"/>
        </w:rPr>
        <w:t xml:space="preserve"> Accepted: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Issuing Bank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jc w:val="center"/>
        <w:ind w:right="9079"/>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p>
      <w:pPr>
        <w:ind w:left="220" w:hanging="212"/>
        <w:spacing w:after="0"/>
        <w:tabs>
          <w:tab w:leader="none" w:pos="220" w:val="left"/>
        </w:tabs>
        <w:numPr>
          <w:ilvl w:val="0"/>
          <w:numId w:val="190"/>
        </w:numPr>
        <w:rPr>
          <w:rFonts w:ascii="Arial" w:cs="Arial" w:eastAsia="Arial" w:hAnsi="Arial"/>
          <w:sz w:val="20"/>
          <w:szCs w:val="20"/>
          <w:color w:val="auto"/>
          <w:vertAlign w:val="superscript"/>
        </w:rPr>
      </w:pPr>
      <w:r>
        <w:rPr>
          <w:rFonts w:ascii="Arial" w:cs="Arial" w:eastAsia="Arial" w:hAnsi="Arial"/>
          <w:sz w:val="16"/>
          <w:szCs w:val="16"/>
          <w:color w:val="auto"/>
        </w:rPr>
        <w:t>To be added only if the consent of the Administrative Agent is required by the terms of the Credit Agreement.</w:t>
      </w:r>
    </w:p>
    <w:p>
      <w:pPr>
        <w:ind w:left="220" w:hanging="212"/>
        <w:spacing w:after="0" w:line="231" w:lineRule="auto"/>
        <w:tabs>
          <w:tab w:leader="none" w:pos="220" w:val="left"/>
        </w:tabs>
        <w:numPr>
          <w:ilvl w:val="0"/>
          <w:numId w:val="191"/>
        </w:numPr>
        <w:rPr>
          <w:rFonts w:ascii="Arial" w:cs="Arial" w:eastAsia="Arial" w:hAnsi="Arial"/>
          <w:sz w:val="21"/>
          <w:szCs w:val="21"/>
          <w:color w:val="auto"/>
          <w:vertAlign w:val="superscript"/>
        </w:rPr>
      </w:pPr>
      <w:r>
        <w:rPr>
          <w:rFonts w:ascii="Arial" w:cs="Arial" w:eastAsia="Arial" w:hAnsi="Arial"/>
          <w:sz w:val="17"/>
          <w:szCs w:val="17"/>
          <w:color w:val="auto"/>
        </w:rPr>
        <w:t>To be added only when the consent of the Borrower is required by the terms of the Credit Agreement.</w:t>
      </w:r>
    </w:p>
    <w:p>
      <w:pPr>
        <w:sectPr>
          <w:pgSz w:w="11900" w:h="16838" w:orient="portrait"/>
          <w:cols w:equalWidth="0" w:num="1">
            <w:col w:w="10219"/>
          </w:cols>
          <w:pgMar w:left="240" w:top="280" w:right="1440" w:bottom="1440" w:gutter="0" w:footer="0" w:header="0"/>
        </w:sectPr>
      </w:pPr>
    </w:p>
    <w:bookmarkStart w:id="140" w:name="page141"/>
    <w:bookmarkEnd w:id="140"/>
    <w:p>
      <w:pPr>
        <w:ind w:left="5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STANDARD TERMS AND CONDITIONS FOR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 AND ASSUMPTION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Representative and Warranties.</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18"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21" w:lineRule="exact"/>
        <w:rPr>
          <w:sz w:val="20"/>
          <w:szCs w:val="20"/>
          <w:color w:val="auto"/>
        </w:rPr>
      </w:pPr>
    </w:p>
    <w:p>
      <w:pPr>
        <w:ind w:right="380" w:firstLine="921"/>
        <w:spacing w:after="0" w:line="259" w:lineRule="auto"/>
        <w:tabs>
          <w:tab w:leader="none" w:pos="1088"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up to but excluding the Effective Date and to the Assignee for amounts which have accrued from and after the Effective Date.</w:t>
      </w:r>
    </w:p>
    <w:p>
      <w:pPr>
        <w:sectPr>
          <w:pgSz w:w="11900" w:h="16838" w:orient="portrait"/>
          <w:cols w:equalWidth="0" w:num="1">
            <w:col w:w="11420"/>
          </w:cols>
          <w:pgMar w:left="240" w:top="280" w:right="239" w:bottom="1440" w:gutter="0" w:footer="0" w:header="0"/>
        </w:sectPr>
      </w:pPr>
    </w:p>
    <w:bookmarkStart w:id="141" w:name="page142"/>
    <w:bookmarkEnd w:id="141"/>
    <w:p>
      <w:pPr>
        <w:ind w:left="-921" w:firstLine="921"/>
        <w:spacing w:after="0" w:line="255" w:lineRule="auto"/>
        <w:tabs>
          <w:tab w:leader="none" w:pos="167"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email or other electronic method of transmission shall be effective as deliver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479"/>
          </w:cols>
          <w:pgMar w:left="1161" w:top="280" w:right="25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BORROWING BASE CERTIFICATE</w:t>
      </w:r>
    </w:p>
    <w:p>
      <w:pPr>
        <w:spacing w:after="0" w:line="171" w:lineRule="exact"/>
        <w:rPr>
          <w:sz w:val="20"/>
          <w:szCs w:val="20"/>
          <w:color w:val="auto"/>
        </w:rPr>
      </w:pPr>
    </w:p>
    <w:tbl>
      <w:tblPr>
        <w:tblLayout w:type="fixed"/>
        <w:tblInd w:w="3720" w:type="dxa"/>
        <w:tblCellMar>
          <w:top w:w="0" w:type="dxa"/>
          <w:left w:w="0" w:type="dxa"/>
          <w:bottom w:w="0" w:type="dxa"/>
          <w:right w:w="0" w:type="dxa"/>
        </w:tblCellMar>
      </w:tblPr>
      <w:tr>
        <w:trPr>
          <w:trHeight w:val="228"/>
        </w:trPr>
        <w:tc>
          <w:tcPr>
            <w:tcW w:w="2820" w:type="dxa"/>
            <w:vAlign w:val="bottom"/>
          </w:tcPr>
          <w:p>
            <w:pPr>
              <w:spacing w:after="0"/>
              <w:rPr>
                <w:sz w:val="20"/>
                <w:szCs w:val="20"/>
                <w:color w:val="auto"/>
              </w:rPr>
            </w:pPr>
            <w:r>
              <w:rPr>
                <w:rFonts w:ascii="Arial" w:cs="Arial" w:eastAsia="Arial" w:hAnsi="Arial"/>
                <w:sz w:val="18"/>
                <w:szCs w:val="18"/>
                <w:b w:val="1"/>
                <w:bCs w:val="1"/>
                <w:color w:val="auto"/>
                <w:w w:val="97"/>
              </w:rPr>
              <w:t>Monthly accounting period ended</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 201</w:t>
            </w:r>
          </w:p>
        </w:tc>
      </w:tr>
    </w:tbl>
    <w:p>
      <w:pPr>
        <w:spacing w:after="0" w:line="15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Reference is made to that certain Amended and Restated Senior Secured Revolving Credit Agreement, dated as of July 2, 2013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TPG SPECIALTY LENDING,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financial institutions party thereto as Lenders, and SunTrust Bank, as the Administrative Agent. Capitalized terms used herein without definition are so used as defined in the Credit Agreement.</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Pursuant to Section 5.01(d) of the Credit Agreement, the undersigned, the of the Borrower, and as such a Financial Officer of the Borrower, hereby certifies, represents and warrants on behalf of the Borrower that (a) attached hereto as </w:t>
      </w:r>
      <w:r>
        <w:rPr>
          <w:rFonts w:ascii="Arial" w:cs="Arial" w:eastAsia="Arial" w:hAnsi="Arial"/>
          <w:sz w:val="16"/>
          <w:szCs w:val="16"/>
          <w:u w:val="single" w:color="auto"/>
          <w:color w:val="auto"/>
        </w:rPr>
        <w:t>Annex 1</w:t>
      </w:r>
      <w:r>
        <w:rPr>
          <w:rFonts w:ascii="Arial" w:cs="Arial" w:eastAsia="Arial" w:hAnsi="Arial"/>
          <w:sz w:val="16"/>
          <w:szCs w:val="16"/>
          <w:color w:val="auto"/>
        </w:rPr>
        <w:t xml:space="preserve"> is (i) a complete and correct list as of the end of the monthly</w:t>
      </w:r>
    </w:p>
    <w:p>
      <w:pPr>
        <w:spacing w:after="0" w:line="254" w:lineRule="auto"/>
        <w:rPr>
          <w:sz w:val="20"/>
          <w:szCs w:val="20"/>
          <w:color w:val="auto"/>
        </w:rPr>
      </w:pPr>
      <w:r>
        <w:rPr>
          <w:rFonts w:ascii="Arial" w:cs="Arial" w:eastAsia="Arial" w:hAnsi="Arial"/>
          <w:sz w:val="18"/>
          <w:szCs w:val="18"/>
          <w:color w:val="auto"/>
        </w:rPr>
        <w:t>accounting period ended , 201 of all Portfolio Investments included in the Collateral and (ii) a true and correct calculation of the Borrowing Base as of the end of such monthly accounting period determined in accordance with the requirements of the Credit Agreement, and (b) without limiting the generality of the foregoing, all Portfolio Investments included in the calculation of the Borrowing Base herein have been Delivered (as defined in the Guarantee and Security Agreement) to the Collateral Agent.</w:t>
      </w:r>
    </w:p>
    <w:p>
      <w:pPr>
        <w:spacing w:after="0" w:line="144" w:lineRule="exact"/>
        <w:rPr>
          <w:sz w:val="20"/>
          <w:szCs w:val="20"/>
          <w:color w:val="auto"/>
        </w:rPr>
      </w:pPr>
    </w:p>
    <w:p>
      <w:pPr>
        <w:ind w:left="460"/>
        <w:spacing w:after="0"/>
        <w:tabs>
          <w:tab w:leader="none" w:pos="7980" w:val="left"/>
          <w:tab w:leader="none" w:pos="9000" w:val="left"/>
          <w:tab w:leader="none" w:pos="9520" w:val="left"/>
        </w:tabs>
        <w:rPr>
          <w:sz w:val="20"/>
          <w:szCs w:val="20"/>
          <w:color w:val="auto"/>
        </w:rPr>
      </w:pPr>
      <w:r>
        <w:rPr>
          <w:rFonts w:ascii="Arial" w:cs="Arial" w:eastAsia="Arial" w:hAnsi="Arial"/>
          <w:sz w:val="18"/>
          <w:szCs w:val="18"/>
          <w:color w:val="auto"/>
        </w:rPr>
        <w:t>IN WITNESS WHEREOF, the undersigned has caused this certificate to be duly executed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74" w:right="25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REQUEST</w:t>
      </w:r>
    </w:p>
    <w:p>
      <w:pPr>
        <w:spacing w:after="0" w:line="177" w:lineRule="exact"/>
        <w:rPr>
          <w:sz w:val="20"/>
          <w:szCs w:val="20"/>
          <w:color w:val="auto"/>
        </w:rPr>
      </w:pPr>
    </w:p>
    <w:p>
      <w:pPr>
        <w:ind w:left="9900"/>
        <w:spacing w:after="0"/>
        <w:tabs>
          <w:tab w:leader="none" w:pos="10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6527165</wp:posOffset>
            </wp:positionH>
            <wp:positionV relativeFrom="paragraph">
              <wp:posOffset>-13970</wp:posOffset>
            </wp:positionV>
            <wp:extent cx="7245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SunTrust Bank, as Administrative Agent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Reference is made to that certain Amended and Restated Senior Secured Revolving Credit Agreement, dated as of July 2, 2013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TPG Specialty Lending,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financial institutions party thereto as Lenders, and SunTrust Bank, as the Administrative Agent. Capitalized terms used herein without definition are so used as defined in the Credit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hereby requests a Borrowing of Loans: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420" w:type="dxa"/>
            <w:vAlign w:val="bottom"/>
          </w:tcPr>
          <w:p>
            <w:pPr>
              <w:ind w:left="160"/>
              <w:spacing w:after="0"/>
              <w:rPr>
                <w:sz w:val="20"/>
                <w:szCs w:val="20"/>
                <w:color w:val="auto"/>
              </w:rPr>
            </w:pPr>
            <w:r>
              <w:rPr>
                <w:rFonts w:ascii="Arial" w:cs="Arial" w:eastAsia="Arial" w:hAnsi="Arial"/>
                <w:sz w:val="18"/>
                <w:szCs w:val="18"/>
                <w:color w:val="auto"/>
                <w:w w:val="99"/>
              </w:rPr>
              <w:t>On</w:t>
            </w:r>
          </w:p>
        </w:tc>
        <w:tc>
          <w:tcPr>
            <w:tcW w:w="520" w:type="dxa"/>
            <w:vAlign w:val="bottom"/>
            <w:tcBorders>
              <w:bottom w:val="single" w:sz="8" w:color="auto"/>
            </w:tcBorders>
          </w:tcPr>
          <w:p>
            <w:pPr>
              <w:spacing w:after="0"/>
              <w:rPr>
                <w:sz w:val="17"/>
                <w:szCs w:val="17"/>
                <w:color w:val="auto"/>
              </w:rPr>
            </w:pPr>
          </w:p>
        </w:tc>
        <w:tc>
          <w:tcPr>
            <w:tcW w:w="2500" w:type="dxa"/>
            <w:vAlign w:val="bottom"/>
            <w:gridSpan w:val="6"/>
          </w:tcPr>
          <w:p>
            <w:pPr>
              <w:spacing w:after="0"/>
              <w:rPr>
                <w:sz w:val="20"/>
                <w:szCs w:val="20"/>
                <w:color w:val="auto"/>
              </w:rPr>
            </w:pPr>
            <w:r>
              <w:rPr>
                <w:rFonts w:ascii="Arial" w:cs="Arial" w:eastAsia="Arial" w:hAnsi="Arial"/>
                <w:sz w:val="18"/>
                <w:szCs w:val="18"/>
                <w:color w:val="auto"/>
              </w:rPr>
              <w:t>(a Business Day).</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1360" w:type="dxa"/>
            <w:vAlign w:val="bottom"/>
            <w:gridSpan w:val="4"/>
          </w:tcPr>
          <w:p>
            <w:pPr>
              <w:ind w:left="160"/>
              <w:spacing w:after="0"/>
              <w:rPr>
                <w:sz w:val="20"/>
                <w:szCs w:val="20"/>
                <w:color w:val="auto"/>
              </w:rPr>
            </w:pPr>
            <w:r>
              <w:rPr>
                <w:rFonts w:ascii="Arial" w:cs="Arial" w:eastAsia="Arial" w:hAnsi="Arial"/>
                <w:sz w:val="18"/>
                <w:szCs w:val="18"/>
                <w:color w:val="auto"/>
                <w:w w:val="90"/>
              </w:rPr>
              <w:t>In the amount of</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w w:val="91"/>
              </w:rPr>
              <w:t>Comprised of</w:t>
            </w:r>
          </w:p>
        </w:tc>
        <w:tc>
          <w:tcPr>
            <w:tcW w:w="20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540" w:type="dxa"/>
            <w:vAlign w:val="bottom"/>
          </w:tcPr>
          <w:p>
            <w:pPr>
              <w:jc w:val="right"/>
              <w:ind w:right="451"/>
              <w:spacing w:after="0"/>
              <w:rPr>
                <w:sz w:val="20"/>
                <w:szCs w:val="20"/>
                <w:color w:val="auto"/>
              </w:rPr>
            </w:pPr>
            <w:r>
              <w:rPr>
                <w:rFonts w:ascii="Arial" w:cs="Arial" w:eastAsia="Arial" w:hAnsi="Arial"/>
                <w:sz w:val="10"/>
                <w:szCs w:val="10"/>
                <w:color w:val="auto"/>
                <w:w w:val="70"/>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5"/>
        </w:trPr>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9"/>
          </w:tcPr>
          <w:p>
            <w:pPr>
              <w:ind w:left="80"/>
              <w:spacing w:after="0"/>
              <w:rPr>
                <w:sz w:val="20"/>
                <w:szCs w:val="20"/>
                <w:color w:val="auto"/>
              </w:rPr>
            </w:pPr>
            <w:r>
              <w:rPr>
                <w:rFonts w:ascii="Arial" w:cs="Arial" w:eastAsia="Arial" w:hAnsi="Arial"/>
                <w:sz w:val="18"/>
                <w:szCs w:val="18"/>
                <w:i w:val="1"/>
                <w:iCs w:val="1"/>
                <w:color w:val="auto"/>
              </w:rPr>
              <w:t>[Type of Borrowing requested]</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2040" w:type="dxa"/>
            <w:vAlign w:val="bottom"/>
            <w:gridSpan w:val="6"/>
          </w:tcPr>
          <w:p>
            <w:pPr>
              <w:ind w:left="160"/>
              <w:spacing w:after="0"/>
              <w:rPr>
                <w:sz w:val="20"/>
                <w:szCs w:val="20"/>
                <w:color w:val="auto"/>
              </w:rPr>
            </w:pPr>
            <w:r>
              <w:rPr>
                <w:rFonts w:ascii="Arial" w:cs="Arial" w:eastAsia="Arial" w:hAnsi="Arial"/>
                <w:sz w:val="18"/>
                <w:szCs w:val="18"/>
                <w:color w:val="auto"/>
                <w:w w:val="93"/>
              </w:rPr>
              <w:t>In the following currency:</w:t>
            </w:r>
          </w:p>
        </w:tc>
        <w:tc>
          <w:tcPr>
            <w:tcW w:w="1400" w:type="dxa"/>
            <w:vAlign w:val="bottom"/>
            <w:tcBorders>
              <w:bottom w:val="single" w:sz="8" w:color="auto"/>
            </w:tcBorders>
            <w:gridSpan w:val="2"/>
          </w:tcPr>
          <w:p>
            <w:pPr>
              <w:spacing w:after="0"/>
              <w:rPr>
                <w:sz w:val="22"/>
                <w:szCs w:val="22"/>
                <w:color w:val="auto"/>
              </w:rPr>
            </w:pPr>
          </w:p>
        </w:tc>
        <w:tc>
          <w:tcPr>
            <w:tcW w:w="140" w:type="dxa"/>
            <w:vAlign w:val="bottom"/>
          </w:tcPr>
          <w:p>
            <w:pPr>
              <w:jc w:val="right"/>
              <w:ind w:right="51"/>
              <w:spacing w:after="0"/>
              <w:rPr>
                <w:sz w:val="20"/>
                <w:szCs w:val="20"/>
                <w:color w:val="auto"/>
              </w:rPr>
            </w:pPr>
            <w:r>
              <w:rPr>
                <w:rFonts w:ascii="Arial" w:cs="Arial" w:eastAsia="Arial" w:hAnsi="Arial"/>
                <w:sz w:val="10"/>
                <w:szCs w:val="10"/>
                <w:color w:val="auto"/>
                <w:w w:val="70"/>
              </w:rPr>
              <w:t>.</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5.</w:t>
            </w:r>
          </w:p>
        </w:tc>
        <w:tc>
          <w:tcPr>
            <w:tcW w:w="4200" w:type="dxa"/>
            <w:vAlign w:val="bottom"/>
            <w:gridSpan w:val="11"/>
          </w:tcPr>
          <w:p>
            <w:pPr>
              <w:ind w:left="160"/>
              <w:spacing w:after="0"/>
              <w:rPr>
                <w:sz w:val="20"/>
                <w:szCs w:val="20"/>
                <w:color w:val="auto"/>
              </w:rPr>
            </w:pPr>
            <w:r>
              <w:rPr>
                <w:rFonts w:ascii="Arial" w:cs="Arial" w:eastAsia="Arial" w:hAnsi="Arial"/>
                <w:sz w:val="18"/>
                <w:szCs w:val="18"/>
                <w:color w:val="auto"/>
                <w:w w:val="90"/>
              </w:rPr>
              <w:t>For Eurocurrency Borrowings: with an Interest Period of</w:t>
            </w:r>
          </w:p>
        </w:tc>
        <w:tc>
          <w:tcPr>
            <w:tcW w:w="32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4"/>
              </w:rPr>
              <w:t>months.</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6.</w:t>
            </w:r>
          </w:p>
        </w:tc>
        <w:tc>
          <w:tcPr>
            <w:tcW w:w="2360" w:type="dxa"/>
            <w:vAlign w:val="bottom"/>
            <w:gridSpan w:val="7"/>
          </w:tcPr>
          <w:p>
            <w:pPr>
              <w:ind w:left="160"/>
              <w:spacing w:after="0"/>
              <w:rPr>
                <w:sz w:val="20"/>
                <w:szCs w:val="20"/>
                <w:color w:val="auto"/>
              </w:rPr>
            </w:pPr>
            <w:r>
              <w:rPr>
                <w:rFonts w:ascii="Arial" w:cs="Arial" w:eastAsia="Arial" w:hAnsi="Arial"/>
                <w:sz w:val="18"/>
                <w:szCs w:val="18"/>
                <w:color w:val="auto"/>
                <w:w w:val="88"/>
              </w:rPr>
              <w:t>To Borrower’s account number</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4"/>
          </w:tcPr>
          <w:p>
            <w:pPr>
              <w:ind w:left="40"/>
              <w:spacing w:after="0"/>
              <w:rPr>
                <w:sz w:val="20"/>
                <w:szCs w:val="20"/>
                <w:color w:val="auto"/>
              </w:rPr>
            </w:pPr>
            <w:r>
              <w:rPr>
                <w:rFonts w:ascii="Arial" w:cs="Arial" w:eastAsia="Arial" w:hAnsi="Arial"/>
                <w:sz w:val="18"/>
                <w:szCs w:val="18"/>
                <w:color w:val="auto"/>
              </w:rPr>
              <w:t>located at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TPG SPECIALTY LENDING,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1)"/>
      <w:numFmt w:val="lowerLetter"/>
      <w:start w:val="4"/>
    </w:lvl>
  </w:abstractNum>
  <w:abstractNum w:abstractNumId="2">
    <w:nsid w:val="5FB8011C"/>
    <w:multiLevelType w:val="hybridMultilevel"/>
    <w:lvl w:ilvl="0">
      <w:lvlJc w:val="left"/>
      <w:lvlText w:val="%1"/>
      <w:numFmt w:val="lowerLetter"/>
      <w:start w:val="1"/>
    </w:lvl>
    <w:lvl w:ilvl="1">
      <w:lvlJc w:val="left"/>
      <w:lvlText w:val="(%2)"/>
      <w:numFmt w:val="lowerLetter"/>
      <w:start w:val="1"/>
    </w:lvl>
  </w:abstractNum>
  <w:abstractNum w:abstractNumId="3">
    <w:nsid w:val="6AA78F7F"/>
    <w:multiLevelType w:val="hybridMultilevel"/>
    <w:lvl w:ilvl="0">
      <w:lvlJc w:val="left"/>
      <w:lvlText w:val="(%1)"/>
      <w:numFmt w:val="lowerLetter"/>
      <w:start w:val="9"/>
    </w:lvl>
    <w:lvl w:ilvl="1">
      <w:lvlJc w:val="left"/>
      <w:lvlText w:val="(%2)"/>
      <w:numFmt w:val="lowerLetter"/>
      <w:start w:val="4"/>
    </w:lvl>
  </w:abstractNum>
  <w:abstractNum w:abstractNumId="4">
    <w:nsid w:val="7672BD23"/>
    <w:multiLevelType w:val="hybridMultilevel"/>
    <w:lvl w:ilvl="0">
      <w:lvlJc w:val="left"/>
      <w:lvlText w:val="(%1)"/>
      <w:numFmt w:val="lowerLetter"/>
      <w:start w:val="3"/>
    </w:lvl>
  </w:abstractNum>
  <w:abstractNum w:abstractNumId="5">
    <w:nsid w:val="6FC75AF8"/>
    <w:multiLevelType w:val="hybridMultilevel"/>
    <w:lvl w:ilvl="0">
      <w:lvlJc w:val="left"/>
      <w:lvlText w:val="(%1)"/>
      <w:numFmt w:val="lowerLetter"/>
      <w:start w:val="2"/>
    </w:lvl>
  </w:abstractNum>
  <w:abstractNum w:abstractNumId="6">
    <w:nsid w:val="6A5F7029"/>
    <w:multiLevelType w:val="hybridMultilevel"/>
    <w:lvl w:ilvl="0">
      <w:lvlJc w:val="left"/>
      <w:lvlText w:val="(%1)"/>
      <w:numFmt w:val="lowerLetter"/>
      <w:start w:val="2"/>
    </w:lvl>
  </w:abstractNum>
  <w:abstractNum w:abstractNumId="7">
    <w:nsid w:val="7D5E18F8"/>
    <w:multiLevelType w:val="hybridMultilevel"/>
    <w:lvl w:ilvl="0">
      <w:lvlJc w:val="left"/>
      <w:lvlText w:val="(%1)"/>
      <w:numFmt w:val="lowerLetter"/>
      <w:start w:val="4"/>
    </w:lvl>
  </w:abstractNum>
  <w:abstractNum w:abstractNumId="8">
    <w:nsid w:val="5F3534A4"/>
    <w:multiLevelType w:val="hybridMultilevel"/>
    <w:lvl w:ilvl="0">
      <w:lvlJc w:val="left"/>
      <w:lvlText w:val="(%1)"/>
      <w:numFmt w:val="lowerLetter"/>
      <w:start w:val="1"/>
    </w:lvl>
    <w:lvl w:ilvl="1">
      <w:lvlJc w:val="left"/>
      <w:lvlText w:val="(%2)"/>
      <w:numFmt w:val="lowerLetter"/>
      <w:start w:val="2"/>
    </w:lvl>
  </w:abstractNum>
  <w:abstractNum w:abstractNumId="9">
    <w:nsid w:val="73A1821B"/>
    <w:multiLevelType w:val="hybridMultilevel"/>
    <w:lvl w:ilvl="0">
      <w:lvlJc w:val="left"/>
      <w:lvlText w:val="%1"/>
      <w:numFmt w:val="lowerLetter"/>
      <w:start w:val="1"/>
    </w:lvl>
    <w:lvl w:ilvl="1">
      <w:lvlJc w:val="left"/>
      <w:lvlText w:val="(%2)"/>
      <w:numFmt w:val="lowerLetter"/>
      <w:start w:val="1"/>
    </w:lvl>
  </w:abstractNum>
  <w:abstractNum w:abstractNumId="10">
    <w:nsid w:val="7DE67713"/>
    <w:multiLevelType w:val="hybridMultilevel"/>
    <w:lvl w:ilvl="0">
      <w:lvlJc w:val="left"/>
      <w:lvlText w:val="(%1)"/>
      <w:numFmt w:val="lowerLetter"/>
      <w:start w:val="2"/>
    </w:lvl>
    <w:lvl w:ilvl="1">
      <w:lvlJc w:val="left"/>
      <w:lvlText w:val="%2"/>
      <w:numFmt w:val="lowerLetter"/>
      <w:start w:val="1"/>
    </w:lvl>
  </w:abstractNum>
  <w:abstractNum w:abstractNumId="11">
    <w:nsid w:val="555C55B5"/>
    <w:multiLevelType w:val="hybridMultilevel"/>
    <w:lvl w:ilvl="0">
      <w:lvlJc w:val="left"/>
      <w:lvlText w:val="%1"/>
      <w:numFmt w:val="lowerLetter"/>
      <w:start w:val="1"/>
    </w:lvl>
    <w:lvl w:ilvl="1">
      <w:lvlJc w:val="left"/>
      <w:lvlText w:val="(%2)"/>
      <w:numFmt w:val="lowerLetter"/>
      <w:start w:val="2"/>
    </w:lvl>
  </w:abstractNum>
  <w:abstractNum w:abstractNumId="12">
    <w:nsid w:val="3FA62ACA"/>
    <w:multiLevelType w:val="hybridMultilevel"/>
    <w:lvl w:ilvl="0">
      <w:lvlJc w:val="left"/>
      <w:lvlText w:val="(%1)"/>
      <w:numFmt w:val="lowerLetter"/>
      <w:start w:val="9"/>
    </w:lvl>
    <w:lvl w:ilvl="1">
      <w:lvlJc w:val="left"/>
      <w:lvlText w:val="%2"/>
      <w:numFmt w:val="lowerLetter"/>
      <w:start w:val="1"/>
    </w:lvl>
  </w:abstractNum>
  <w:abstractNum w:abstractNumId="13">
    <w:nsid w:val="14FCE74E"/>
    <w:multiLevelType w:val="hybridMultilevel"/>
    <w:lvl w:ilvl="0">
      <w:lvlJc w:val="left"/>
      <w:lvlText w:val="(%1)"/>
      <w:numFmt w:val="lowerLetter"/>
      <w:start w:val="2"/>
    </w:lvl>
  </w:abstractNum>
  <w:abstractNum w:abstractNumId="14">
    <w:nsid w:val="6A3DD3E8"/>
    <w:multiLevelType w:val="hybridMultilevel"/>
    <w:lvl w:ilvl="0">
      <w:lvlJc w:val="left"/>
      <w:lvlText w:val="(%1)"/>
      <w:numFmt w:val="lowerLetter"/>
      <w:start w:val="9"/>
    </w:lvl>
  </w:abstractNum>
  <w:abstractNum w:abstractNumId="15">
    <w:nsid w:val="71C91298"/>
    <w:multiLevelType w:val="hybridMultilevel"/>
    <w:lvl w:ilvl="0">
      <w:lvlJc w:val="left"/>
      <w:lvlText w:val="(%1)"/>
      <w:numFmt w:val="lowerRoman"/>
      <w:start w:val="1"/>
    </w:lvl>
  </w:abstractNum>
  <w:abstractNum w:abstractNumId="16">
    <w:nsid w:val="9DAF632"/>
    <w:multiLevelType w:val="hybridMultilevel"/>
    <w:lvl w:ilvl="0">
      <w:lvlJc w:val="left"/>
      <w:lvlText w:val="(%1)"/>
      <w:numFmt w:val="lowerLetter"/>
      <w:start w:val="5"/>
    </w:lvl>
  </w:abstractNum>
  <w:abstractNum w:abstractNumId="17">
    <w:nsid w:val="53299938"/>
    <w:multiLevelType w:val="hybridMultilevel"/>
    <w:lvl w:ilvl="0">
      <w:lvlJc w:val="left"/>
      <w:lvlText w:val="(%1)"/>
      <w:numFmt w:val="lowerRoman"/>
      <w:start w:val="1"/>
    </w:lvl>
  </w:abstractNum>
  <w:abstractNum w:abstractNumId="18">
    <w:nsid w:val="1FBFE8E0"/>
    <w:multiLevelType w:val="hybridMultilevel"/>
    <w:lvl w:ilvl="0">
      <w:lvlJc w:val="left"/>
      <w:lvlText w:val="(%1)"/>
      <w:numFmt w:val="lowerRoman"/>
      <w:start w:val="2"/>
    </w:lvl>
  </w:abstractNum>
  <w:abstractNum w:abstractNumId="19">
    <w:nsid w:val="5092CA79"/>
    <w:multiLevelType w:val="hybridMultilevel"/>
    <w:lvl w:ilvl="0">
      <w:lvlJc w:val="left"/>
      <w:lvlText w:val="(%1)"/>
      <w:numFmt w:val="lowerLetter"/>
      <w:start w:val="1"/>
    </w:lvl>
  </w:abstractNum>
  <w:abstractNum w:abstractNumId="20">
    <w:nsid w:val="1D545C4D"/>
    <w:multiLevelType w:val="hybridMultilevel"/>
    <w:lvl w:ilvl="0">
      <w:lvlJc w:val="left"/>
      <w:lvlText w:val="(%1)"/>
      <w:numFmt w:val="lowerLetter"/>
      <w:start w:val="3"/>
    </w:lvl>
  </w:abstractNum>
  <w:abstractNum w:abstractNumId="21">
    <w:nsid w:val="59ADEA3D"/>
    <w:multiLevelType w:val="hybridMultilevel"/>
    <w:lvl w:ilvl="0">
      <w:lvlJc w:val="left"/>
      <w:lvlText w:val="(%1)"/>
      <w:numFmt w:val="lowerLetter"/>
      <w:start w:val="1"/>
    </w:lvl>
  </w:abstractNum>
  <w:abstractNum w:abstractNumId="22">
    <w:nsid w:val="288F1A34"/>
    <w:multiLevelType w:val="hybridMultilevel"/>
    <w:lvl w:ilvl="0">
      <w:lvlJc w:val="left"/>
      <w:lvlText w:val="%1"/>
      <w:numFmt w:val="lowerLetter"/>
      <w:start w:val="1"/>
    </w:lvl>
    <w:lvl w:ilvl="1">
      <w:lvlJc w:val="left"/>
      <w:lvlText w:val="(%2)"/>
      <w:numFmt w:val="lowerLetter"/>
      <w:start w:val="1"/>
    </w:lvl>
  </w:abstractNum>
  <w:abstractNum w:abstractNumId="23">
    <w:nsid w:val="2A155DBC"/>
    <w:multiLevelType w:val="hybridMultilevel"/>
    <w:lvl w:ilvl="0">
      <w:lvlJc w:val="left"/>
      <w:lvlText w:val="(%1)"/>
      <w:numFmt w:val="lowerLetter"/>
      <w:start w:val="35"/>
    </w:lvl>
    <w:lvl w:ilvl="1">
      <w:lvlJc w:val="left"/>
      <w:lvlText w:val="(%2)"/>
      <w:numFmt w:val="lowerLetter"/>
      <w:start w:val="2"/>
    </w:lvl>
  </w:abstractNum>
  <w:abstractNum w:abstractNumId="24">
    <w:nsid w:val="1D9F6E5F"/>
    <w:multiLevelType w:val="hybridMultilevel"/>
    <w:lvl w:ilvl="0">
      <w:lvlJc w:val="left"/>
      <w:lvlText w:val="(%1)"/>
      <w:numFmt w:val="lowerLetter"/>
      <w:start w:val="1"/>
    </w:lvl>
  </w:abstractNum>
  <w:abstractNum w:abstractNumId="25">
    <w:nsid w:val="97E1B4E"/>
    <w:multiLevelType w:val="hybridMultilevel"/>
    <w:lvl w:ilvl="0">
      <w:lvlJc w:val="left"/>
      <w:lvlText w:val="(%1)"/>
      <w:numFmt w:val="lowerLetter"/>
      <w:start w:val="1"/>
    </w:lvl>
  </w:abstractNum>
  <w:abstractNum w:abstractNumId="26">
    <w:nsid w:val="51088277"/>
    <w:multiLevelType w:val="hybridMultilevel"/>
    <w:lvl w:ilvl="0">
      <w:lvlJc w:val="left"/>
      <w:lvlText w:val="(%1)"/>
      <w:numFmt w:val="lowerLetter"/>
      <w:start w:val="3"/>
    </w:lvl>
  </w:abstractNum>
  <w:abstractNum w:abstractNumId="27">
    <w:nsid w:val="1CA0C5F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8">
    <w:nsid w:val="53584BCB"/>
    <w:multiLevelType w:val="hybridMultilevel"/>
    <w:lvl w:ilvl="0">
      <w:lvlJc w:val="left"/>
      <w:lvlText w:val="(%1)"/>
      <w:numFmt w:val="lowerLetter"/>
      <w:start w:val="9"/>
    </w:lvl>
    <w:lvl w:ilvl="1">
      <w:lvlJc w:val="left"/>
      <w:lvlText w:val="(%2)"/>
      <w:numFmt w:val="lowerRoman"/>
    </w:lvl>
    <w:lvl w:ilvl="2">
      <w:lvlJc w:val="left"/>
      <w:lvlText w:val="(%3)"/>
      <w:numFmt w:val="lowerLetter"/>
      <w:start w:val="2"/>
    </w:lvl>
  </w:abstractNum>
  <w:abstractNum w:abstractNumId="29">
    <w:nsid w:val="415E286C"/>
    <w:multiLevelType w:val="hybridMultilevel"/>
    <w:lvl w:ilvl="0">
      <w:lvlJc w:val="left"/>
      <w:lvlText w:val="(%1)"/>
      <w:numFmt w:val="lowerRoman"/>
      <w:start w:val="5"/>
    </w:lvl>
  </w:abstractNum>
  <w:abstractNum w:abstractNumId="30">
    <w:nsid w:val="7C58FD05"/>
    <w:multiLevelType w:val="hybridMultilevel"/>
    <w:lvl w:ilvl="0">
      <w:lvlJc w:val="left"/>
      <w:lvlText w:val="(%1)"/>
      <w:numFmt w:val="lowerLetter"/>
      <w:start w:val="3"/>
    </w:lvl>
  </w:abstractNum>
  <w:abstractNum w:abstractNumId="31">
    <w:nsid w:val="23D86AAC"/>
    <w:multiLevelType w:val="hybridMultilevel"/>
    <w:lvl w:ilvl="0">
      <w:lvlJc w:val="left"/>
      <w:lvlText w:val="(%1)"/>
      <w:numFmt w:val="lowerLetter"/>
      <w:start w:val="1"/>
    </w:lvl>
  </w:abstractNum>
  <w:abstractNum w:abstractNumId="32">
    <w:nsid w:val="45E6D486"/>
    <w:multiLevelType w:val="hybridMultilevel"/>
    <w:lvl w:ilvl="0">
      <w:lvlJc w:val="left"/>
      <w:lvlText w:val="(%1)"/>
      <w:numFmt w:val="lowerLetter"/>
      <w:start w:val="3"/>
    </w:lvl>
  </w:abstractNum>
  <w:abstractNum w:abstractNumId="33">
    <w:nsid w:val="5C10FE21"/>
    <w:multiLevelType w:val="hybridMultilevel"/>
    <w:lvl w:ilvl="0">
      <w:lvlJc w:val="left"/>
      <w:lvlText w:val="(%1)"/>
      <w:numFmt w:val="lowerLetter"/>
      <w:start w:val="4"/>
    </w:lvl>
  </w:abstractNum>
  <w:abstractNum w:abstractNumId="34">
    <w:nsid w:val="E7FFA2B"/>
    <w:multiLevelType w:val="hybridMultilevel"/>
    <w:lvl w:ilvl="0">
      <w:lvlJc w:val="left"/>
      <w:lvlText w:val="(%1)"/>
      <w:numFmt w:val="lowerLetter"/>
      <w:start w:val="1"/>
    </w:lvl>
  </w:abstractNum>
  <w:abstractNum w:abstractNumId="35">
    <w:nsid w:val="3C5991AA"/>
    <w:multiLevelType w:val="hybridMultilevel"/>
    <w:lvl w:ilvl="0">
      <w:lvlJc w:val="left"/>
      <w:lvlText w:val="%1"/>
      <w:numFmt w:val="lowerLetter"/>
      <w:start w:val="1"/>
    </w:lvl>
    <w:lvl w:ilvl="1">
      <w:lvlJc w:val="left"/>
      <w:lvlText w:val="(%2)"/>
      <w:numFmt w:val="lowerLetter"/>
      <w:start w:val="3"/>
    </w:lvl>
  </w:abstractNum>
  <w:abstractNum w:abstractNumId="36">
    <w:nsid w:val="4BD8591A"/>
    <w:multiLevelType w:val="hybridMultilevel"/>
    <w:lvl w:ilvl="0">
      <w:lvlJc w:val="left"/>
      <w:lvlText w:val="(%1)"/>
      <w:numFmt w:val="lowerLetter"/>
      <w:start w:val="25"/>
    </w:lvl>
    <w:lvl w:ilvl="1">
      <w:lvlJc w:val="left"/>
      <w:lvlText w:val="%2"/>
      <w:numFmt w:val="lowerLetter"/>
      <w:start w:val="1"/>
    </w:lvl>
  </w:abstractNum>
  <w:abstractNum w:abstractNumId="37">
    <w:nsid w:val="78DF6A55"/>
    <w:multiLevelType w:val="hybridMultilevel"/>
    <w:lvl w:ilvl="0">
      <w:lvlJc w:val="left"/>
      <w:lvlText w:val="(%1)"/>
      <w:numFmt w:val="lowerLetter"/>
      <w:start w:val="6"/>
    </w:lvl>
  </w:abstractNum>
  <w:abstractNum w:abstractNumId="38">
    <w:nsid w:val="39B7AAA2"/>
    <w:multiLevelType w:val="hybridMultilevel"/>
    <w:lvl w:ilvl="0">
      <w:lvlJc w:val="left"/>
      <w:lvlText w:val="(%1)"/>
      <w:numFmt w:val="lowerLetter"/>
      <w:start w:val="7"/>
    </w:lvl>
  </w:abstractNum>
  <w:abstractNum w:abstractNumId="39">
    <w:nsid w:val="2B0D8DBE"/>
    <w:multiLevelType w:val="hybridMultilevel"/>
    <w:lvl w:ilvl="0">
      <w:lvlJc w:val="left"/>
      <w:lvlText w:val="(%1)"/>
      <w:numFmt w:val="lowerRoman"/>
      <w:start w:val="3"/>
    </w:lvl>
  </w:abstractNum>
  <w:abstractNum w:abstractNumId="40">
    <w:nsid w:val="6C80EC70"/>
    <w:multiLevelType w:val="hybridMultilevel"/>
    <w:lvl w:ilvl="0">
      <w:lvlJc w:val="left"/>
      <w:lvlText w:val="(%1)"/>
      <w:numFmt w:val="lowerRoman"/>
      <w:start w:val="1"/>
    </w:lvl>
    <w:lvl w:ilvl="1">
      <w:lvlJc w:val="left"/>
      <w:lvlText w:val="(%2)"/>
      <w:numFmt w:val="lowerLetter"/>
      <w:start w:val="8"/>
    </w:lvl>
  </w:abstractNum>
  <w:abstractNum w:abstractNumId="41">
    <w:nsid w:val="379E21B5"/>
    <w:multiLevelType w:val="hybridMultilevel"/>
    <w:lvl w:ilvl="0">
      <w:lvlJc w:val="left"/>
      <w:lvlText w:val="(%1)"/>
      <w:numFmt w:val="lowerLetter"/>
      <w:start w:val="9"/>
    </w:lvl>
  </w:abstractNum>
  <w:abstractNum w:abstractNumId="42">
    <w:nsid w:val="69E373"/>
    <w:multiLevelType w:val="hybridMultilevel"/>
    <w:lvl w:ilvl="0">
      <w:lvlJc w:val="left"/>
      <w:lvlText w:val="(%1)"/>
      <w:numFmt w:val="lowerLetter"/>
      <w:start w:val="1"/>
    </w:lvl>
  </w:abstractNum>
  <w:abstractNum w:abstractNumId="43">
    <w:nsid w:val="2C27173B"/>
    <w:multiLevelType w:val="hybridMultilevel"/>
    <w:lvl w:ilvl="0">
      <w:lvlJc w:val="left"/>
      <w:lvlText w:val="(%1)"/>
      <w:numFmt w:val="lowerLetter"/>
      <w:start w:val="2"/>
    </w:lvl>
  </w:abstractNum>
  <w:abstractNum w:abstractNumId="44">
    <w:nsid w:val="4C9B0904"/>
    <w:multiLevelType w:val="hybridMultilevel"/>
    <w:lvl w:ilvl="0">
      <w:lvlJc w:val="left"/>
      <w:lvlText w:val="(%1)"/>
      <w:numFmt w:val="lowerLetter"/>
      <w:start w:val="1"/>
    </w:lvl>
  </w:abstractNum>
  <w:abstractNum w:abstractNumId="45">
    <w:nsid w:val="6AA7B75C"/>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2"/>
    </w:lvl>
  </w:abstractNum>
  <w:abstractNum w:abstractNumId="46">
    <w:nsid w:val="1DF029D3"/>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47">
    <w:nsid w:val="5675FF36"/>
    <w:multiLevelType w:val="hybridMultilevel"/>
    <w:lvl w:ilvl="0">
      <w:lvlJc w:val="left"/>
      <w:lvlText w:val="(%1)"/>
      <w:numFmt w:val="lowerRoman"/>
      <w:start w:val="3"/>
    </w:lvl>
    <w:lvl w:ilvl="1">
      <w:lvlJc w:val="left"/>
      <w:lvlText w:val="(%2)"/>
      <w:numFmt w:val="lowerRoman"/>
      <w:start w:val="2"/>
    </w:lvl>
    <w:lvl w:ilvl="2">
      <w:lvlJc w:val="left"/>
      <w:lvlText w:val="(%3)"/>
      <w:numFmt w:val="lowerLetter"/>
      <w:start w:val="4"/>
    </w:lvl>
  </w:abstractNum>
  <w:abstractNum w:abstractNumId="48">
    <w:nsid w:val="3DD15094"/>
    <w:multiLevelType w:val="hybridMultilevel"/>
    <w:lvl w:ilvl="0">
      <w:lvlJc w:val="left"/>
      <w:lvlText w:val="%1"/>
      <w:numFmt w:val="lowerLetter"/>
      <w:start w:val="1"/>
    </w:lvl>
    <w:lvl w:ilvl="1">
      <w:lvlJc w:val="left"/>
      <w:lvlText w:val="(%2)"/>
      <w:numFmt w:val="lowerLetter"/>
      <w:start w:val="1"/>
    </w:lvl>
  </w:abstractNum>
  <w:abstractNum w:abstractNumId="49">
    <w:nsid w:val="3DB012B3"/>
    <w:multiLevelType w:val="hybridMultilevel"/>
    <w:lvl w:ilvl="0">
      <w:lvlJc w:val="left"/>
      <w:lvlText w:val="(%1)"/>
      <w:numFmt w:val="lowerLetter"/>
      <w:start w:val="9"/>
    </w:lvl>
    <w:lvl w:ilvl="1">
      <w:lvlJc w:val="left"/>
      <w:lvlText w:val="%2"/>
      <w:numFmt w:val="lowerLetter"/>
      <w:start w:val="1"/>
    </w:lvl>
  </w:abstractNum>
  <w:abstractNum w:abstractNumId="50">
    <w:nsid w:val="2708C9AF"/>
    <w:multiLevelType w:val="hybridMultilevel"/>
    <w:lvl w:ilvl="0">
      <w:lvlJc w:val="left"/>
      <w:lvlText w:val="(%1)"/>
      <w:numFmt w:val="upperLetter"/>
      <w:start w:val="1"/>
    </w:lvl>
  </w:abstractNum>
  <w:abstractNum w:abstractNumId="51">
    <w:nsid w:val="5B25ACE2"/>
    <w:multiLevelType w:val="hybridMultilevel"/>
    <w:lvl w:ilvl="0">
      <w:lvlJc w:val="left"/>
      <w:lvlText w:val="%1"/>
      <w:numFmt w:val="lowerRoman"/>
      <w:start w:val="1"/>
    </w:lvl>
    <w:lvl w:ilvl="1">
      <w:lvlJc w:val="left"/>
      <w:lvlText w:val="(%2)"/>
      <w:numFmt w:val="upperLetter"/>
      <w:start w:val="3"/>
    </w:lvl>
  </w:abstractNum>
  <w:abstractNum w:abstractNumId="52">
    <w:nsid w:val="175DFCF0"/>
    <w:multiLevelType w:val="hybridMultilevel"/>
    <w:lvl w:ilvl="0">
      <w:lvlJc w:val="left"/>
      <w:lvlText w:val="(%1)"/>
      <w:numFmt w:val="lowerRoman"/>
      <w:start w:val="2"/>
    </w:lvl>
    <w:lvl w:ilvl="1">
      <w:lvlJc w:val="left"/>
      <w:lvlText w:val="%2"/>
      <w:numFmt w:val="upperLetter"/>
      <w:start w:val="1"/>
    </w:lvl>
  </w:abstractNum>
  <w:abstractNum w:abstractNumId="53">
    <w:nsid w:val="4F97E3E4"/>
    <w:multiLevelType w:val="hybridMultilevel"/>
    <w:lvl w:ilvl="0">
      <w:lvlJc w:val="left"/>
      <w:lvlText w:val="(%1)"/>
      <w:numFmt w:val="lowerLetter"/>
      <w:start w:val="24"/>
    </w:lvl>
  </w:abstractNum>
  <w:abstractNum w:abstractNumId="54">
    <w:nsid w:val="53B0A9E"/>
    <w:multiLevelType w:val="hybridMultilevel"/>
    <w:lvl w:ilvl="0">
      <w:lvlJc w:val="left"/>
      <w:lvlText w:val="%1"/>
      <w:numFmt w:val="lowerRoman"/>
      <w:start w:val="1"/>
    </w:lvl>
    <w:lvl w:ilvl="1">
      <w:lvlJc w:val="left"/>
      <w:lvlText w:val="(%2)"/>
      <w:numFmt w:val="lowerRoman"/>
      <w:start w:val="3"/>
    </w:lvl>
  </w:abstractNum>
  <w:abstractNum w:abstractNumId="55">
    <w:nsid w:val="34FD6B4F"/>
    <w:multiLevelType w:val="hybridMultilevel"/>
    <w:lvl w:ilvl="0">
      <w:lvlJc w:val="left"/>
      <w:lvlText w:val="(%1)"/>
      <w:numFmt w:val="lowerRoman"/>
      <w:start w:val="10"/>
    </w:lvl>
    <w:lvl w:ilvl="1">
      <w:lvlJc w:val="left"/>
      <w:lvlText w:val="(%2)"/>
      <w:numFmt w:val="lowerRoman"/>
      <w:start w:val="4"/>
    </w:lvl>
  </w:abstractNum>
  <w:abstractNum w:abstractNumId="56">
    <w:nsid w:val="5915FF32"/>
    <w:multiLevelType w:val="hybridMultilevel"/>
    <w:lvl w:ilvl="0">
      <w:lvlJc w:val="left"/>
      <w:lvlText w:val="%1"/>
      <w:numFmt w:val="lowerRoman"/>
      <w:start w:val="1"/>
    </w:lvl>
    <w:lvl w:ilvl="1">
      <w:lvlJc w:val="left"/>
      <w:lvlText w:val="(%2)"/>
      <w:numFmt w:val="lowerLetter"/>
      <w:start w:val="1"/>
    </w:lvl>
  </w:abstractNum>
  <w:abstractNum w:abstractNumId="57">
    <w:nsid w:val="56438D15"/>
    <w:multiLevelType w:val="hybridMultilevel"/>
    <w:lvl w:ilvl="0">
      <w:lvlJc w:val="left"/>
      <w:lvlText w:val="(%1)"/>
      <w:numFmt w:val="lowerRoman"/>
      <w:start w:val="1"/>
    </w:lvl>
    <w:lvl w:ilvl="1">
      <w:lvlJc w:val="left"/>
      <w:lvlText w:val="%2"/>
      <w:numFmt w:val="lowerLetter"/>
      <w:start w:val="1"/>
    </w:lvl>
  </w:abstractNum>
  <w:abstractNum w:abstractNumId="58">
    <w:nsid w:val="519E3149"/>
    <w:multiLevelType w:val="hybridMultilevel"/>
    <w:lvl w:ilvl="0">
      <w:lvlJc w:val="left"/>
      <w:lvlText w:val="(%1)"/>
      <w:numFmt w:val="lowerLetter"/>
      <w:start w:val="2"/>
    </w:lvl>
  </w:abstractNum>
  <w:abstractNum w:abstractNumId="59">
    <w:nsid w:val="2C6E4AFD"/>
    <w:multiLevelType w:val="hybridMultilevel"/>
    <w:lvl w:ilvl="0">
      <w:lvlJc w:val="left"/>
      <w:lvlText w:val="%1"/>
      <w:numFmt w:val="lowerRoman"/>
      <w:start w:val="1"/>
    </w:lvl>
    <w:lvl w:ilvl="1">
      <w:lvlJc w:val="left"/>
      <w:lvlText w:val="(%2)"/>
      <w:numFmt w:val="lowerLetter"/>
      <w:start w:val="1"/>
    </w:lvl>
  </w:abstractNum>
  <w:abstractNum w:abstractNumId="60">
    <w:nsid w:val="17A1B582"/>
    <w:multiLevelType w:val="hybridMultilevel"/>
    <w:lvl w:ilvl="0">
      <w:lvlJc w:val="left"/>
      <w:lvlText w:val="(%1)"/>
      <w:numFmt w:val="lowerRoman"/>
      <w:start w:val="1"/>
    </w:lvl>
    <w:lvl w:ilvl="1">
      <w:lvlJc w:val="left"/>
      <w:lvlText w:val="%2"/>
      <w:numFmt w:val="lowerLetter"/>
      <w:start w:val="1"/>
    </w:lvl>
  </w:abstractNum>
  <w:abstractNum w:abstractNumId="61">
    <w:nsid w:val="4DF72E4E"/>
    <w:multiLevelType w:val="hybridMultilevel"/>
    <w:lvl w:ilvl="0">
      <w:lvlJc w:val="left"/>
      <w:lvlText w:val="%1"/>
      <w:numFmt w:val="lowerRoman"/>
      <w:start w:val="1"/>
    </w:lvl>
    <w:lvl w:ilvl="1">
      <w:lvlJc w:val="left"/>
      <w:lvlText w:val="(%2)"/>
      <w:numFmt w:val="lowerLetter"/>
      <w:start w:val="3"/>
    </w:lvl>
  </w:abstractNum>
  <w:abstractNum w:abstractNumId="62">
    <w:nsid w:val="5046B5A9"/>
    <w:multiLevelType w:val="hybridMultilevel"/>
    <w:lvl w:ilvl="0">
      <w:lvlJc w:val="left"/>
      <w:lvlText w:val="(%1)"/>
      <w:numFmt w:val="lowerRoman"/>
      <w:start w:val="1"/>
    </w:lvl>
    <w:lvl w:ilvl="1">
      <w:lvlJc w:val="left"/>
      <w:lvlText w:val="%2"/>
      <w:numFmt w:val="lowerLetter"/>
      <w:start w:val="1"/>
    </w:lvl>
  </w:abstractNum>
  <w:abstractNum w:abstractNumId="63">
    <w:nsid w:val="5D888A08"/>
    <w:multiLevelType w:val="hybridMultilevel"/>
    <w:lvl w:ilvl="0">
      <w:lvlJc w:val="left"/>
      <w:lvlText w:val="(%1)"/>
      <w:numFmt w:val="lowerRoman"/>
      <w:start w:val="4"/>
    </w:lvl>
  </w:abstractNum>
  <w:abstractNum w:abstractNumId="64">
    <w:nsid w:val="2A082C70"/>
    <w:multiLevelType w:val="hybridMultilevel"/>
    <w:lvl w:ilvl="0">
      <w:lvlJc w:val="left"/>
      <w:lvlText w:val="(%1)"/>
      <w:numFmt w:val="lowerLetter"/>
      <w:start w:val="5"/>
    </w:lvl>
  </w:abstractNum>
  <w:abstractNum w:abstractNumId="65">
    <w:nsid w:val="5EC6AFD4"/>
    <w:multiLevelType w:val="hybridMultilevel"/>
    <w:lvl w:ilvl="0">
      <w:lvlJc w:val="left"/>
      <w:lvlText w:val="(%1)"/>
      <w:numFmt w:val="lowerLetter"/>
      <w:start w:val="1"/>
    </w:lvl>
  </w:abstractNum>
  <w:abstractNum w:abstractNumId="66">
    <w:nsid w:val="19E21BB2"/>
    <w:multiLevelType w:val="hybridMultilevel"/>
    <w:lvl w:ilvl="0">
      <w:lvlJc w:val="left"/>
      <w:lvlText w:val="(%1)"/>
      <w:numFmt w:val="lowerLetter"/>
      <w:start w:val="3"/>
    </w:lvl>
  </w:abstractNum>
  <w:abstractNum w:abstractNumId="67">
    <w:nsid w:val="75E0858A"/>
    <w:multiLevelType w:val="hybridMultilevel"/>
    <w:lvl w:ilvl="0">
      <w:lvlJc w:val="left"/>
      <w:lvlText w:val="(%1)"/>
      <w:numFmt w:val="lowerLetter"/>
      <w:start w:val="1"/>
    </w:lvl>
  </w:abstractNum>
  <w:abstractNum w:abstractNumId="68">
    <w:nsid w:val="57A61A29"/>
    <w:multiLevelType w:val="hybridMultilevel"/>
    <w:lvl w:ilvl="0">
      <w:lvlJc w:val="left"/>
      <w:lvlText w:val="(%1)"/>
      <w:numFmt w:val="lowerLetter"/>
      <w:start w:val="4"/>
    </w:lvl>
  </w:abstractNum>
  <w:abstractNum w:abstractNumId="69">
    <w:nsid w:val="5399C654"/>
    <w:multiLevelType w:val="hybridMultilevel"/>
    <w:lvl w:ilvl="0">
      <w:lvlJc w:val="left"/>
      <w:lvlText w:val="(%1)"/>
      <w:numFmt w:val="lowerLetter"/>
      <w:start w:val="1"/>
    </w:lvl>
  </w:abstractNum>
  <w:abstractNum w:abstractNumId="70">
    <w:nsid w:val="20EE1348"/>
    <w:multiLevelType w:val="hybridMultilevel"/>
    <w:lvl w:ilvl="0">
      <w:lvlJc w:val="left"/>
      <w:lvlText w:val="%1"/>
      <w:numFmt w:val="lowerRoman"/>
      <w:start w:val="1"/>
    </w:lvl>
    <w:lvl w:ilvl="1">
      <w:lvlJc w:val="left"/>
      <w:lvlText w:val="(%2)"/>
      <w:numFmt w:val="lowerLetter"/>
      <w:start w:val="1"/>
    </w:lvl>
  </w:abstractNum>
  <w:abstractNum w:abstractNumId="71">
    <w:nsid w:val="4427069A"/>
    <w:multiLevelType w:val="hybridMultilevel"/>
    <w:lvl w:ilvl="0">
      <w:lvlJc w:val="left"/>
      <w:lvlText w:val="(%1)"/>
      <w:numFmt w:val="lowerRoman"/>
      <w:start w:val="1"/>
    </w:lvl>
    <w:lvl w:ilvl="1">
      <w:lvlJc w:val="left"/>
      <w:lvlText w:val="%2"/>
      <w:numFmt w:val="lowerLetter"/>
      <w:start w:val="1"/>
    </w:lvl>
  </w:abstractNum>
  <w:abstractNum w:abstractNumId="72">
    <w:nsid w:val="B37E80A"/>
    <w:multiLevelType w:val="hybridMultilevel"/>
    <w:lvl w:ilvl="0">
      <w:lvlJc w:val="left"/>
      <w:lvlText w:val="(%1)"/>
      <w:numFmt w:val="lowerLetter"/>
      <w:start w:val="2"/>
    </w:lvl>
  </w:abstractNum>
  <w:abstractNum w:abstractNumId="73">
    <w:nsid w:val="2157F6BC"/>
    <w:multiLevelType w:val="hybridMultilevel"/>
    <w:lvl w:ilvl="0">
      <w:lvlJc w:val="left"/>
      <w:lvlText w:val="(%1)"/>
      <w:numFmt w:val="lowerRoman"/>
      <w:start w:val="1"/>
    </w:lvl>
  </w:abstractNum>
  <w:abstractNum w:abstractNumId="74">
    <w:nsid w:val="704E1DD5"/>
    <w:multiLevelType w:val="hybridMultilevel"/>
    <w:lvl w:ilvl="0">
      <w:lvlJc w:val="left"/>
      <w:lvlText w:val="%1"/>
      <w:numFmt w:val="lowerLetter"/>
      <w:start w:val="1"/>
    </w:lvl>
    <w:lvl w:ilvl="1">
      <w:lvlJc w:val="left"/>
      <w:lvlText w:val="(%2)"/>
      <w:numFmt w:val="lowerLetter"/>
      <w:start w:val="1"/>
    </w:lvl>
  </w:abstractNum>
  <w:abstractNum w:abstractNumId="75">
    <w:nsid w:val="57D2F10E"/>
    <w:multiLevelType w:val="hybridMultilevel"/>
    <w:lvl w:ilvl="0">
      <w:lvlJc w:val="left"/>
      <w:lvlText w:val="(%1)"/>
      <w:numFmt w:val="lowerLetter"/>
      <w:start w:val="61"/>
    </w:lvl>
    <w:lvl w:ilvl="1">
      <w:lvlJc w:val="left"/>
      <w:lvlText w:val="(%2)"/>
      <w:numFmt w:val="lowerLetter"/>
      <w:start w:val="2"/>
    </w:lvl>
  </w:abstractNum>
  <w:abstractNum w:abstractNumId="76">
    <w:nsid w:val="BFFAE18"/>
    <w:multiLevelType w:val="hybridMultilevel"/>
    <w:lvl w:ilvl="0">
      <w:lvlJc w:val="left"/>
      <w:lvlText w:val="(%1)"/>
      <w:numFmt w:val="lowerLetter"/>
      <w:start w:val="5"/>
    </w:lvl>
    <w:lvl w:ilvl="1">
      <w:lvlJc w:val="left"/>
      <w:lvlText w:val="(%2)"/>
      <w:numFmt w:val="lowerLetter"/>
      <w:start w:val="6"/>
    </w:lvl>
    <w:lvl w:ilvl="2">
      <w:lvlJc w:val="left"/>
      <w:lvlText w:val="%3"/>
      <w:numFmt w:val="upperLetter"/>
      <w:start w:val="1"/>
    </w:lvl>
    <w:lvl w:ilvl="3">
      <w:lvlJc w:val="left"/>
      <w:lvlText w:val="%4"/>
      <w:numFmt w:val="lowerLetter"/>
      <w:start w:val="1"/>
    </w:lvl>
  </w:abstractNum>
  <w:abstractNum w:abstractNumId="77">
    <w:nsid w:val="E3E47A8"/>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lvl w:ilvl="3">
      <w:lvlJc w:val="left"/>
      <w:lvlText w:val="(%4)"/>
      <w:numFmt w:val="lowerLetter"/>
      <w:start w:val="23"/>
    </w:lvl>
  </w:abstractNum>
  <w:abstractNum w:abstractNumId="78">
    <w:nsid w:val="2E48F044"/>
    <w:multiLevelType w:val="hybridMultilevel"/>
    <w:lvl w:ilvl="0">
      <w:lvlJc w:val="left"/>
      <w:lvlText w:val="%1"/>
      <w:numFmt w:val="lowerLetter"/>
      <w:start w:val="1"/>
    </w:lvl>
    <w:lvl w:ilvl="1">
      <w:lvlJc w:val="left"/>
      <w:lvlText w:val="(%2)"/>
      <w:numFmt w:val="lowerLetter"/>
      <w:start w:val="24"/>
    </w:lvl>
  </w:abstractNum>
  <w:abstractNum w:abstractNumId="79">
    <w:nsid w:val="49D0FEAC"/>
    <w:multiLevelType w:val="hybridMultilevel"/>
    <w:lvl w:ilvl="0">
      <w:lvlJc w:val="left"/>
      <w:lvlText w:val="(%1)"/>
      <w:numFmt w:val="lowerLetter"/>
      <w:start w:val="61"/>
    </w:lvl>
    <w:lvl w:ilvl="1">
      <w:lvlJc w:val="left"/>
      <w:lvlText w:val="%2"/>
      <w:numFmt w:val="lowerLetter"/>
      <w:start w:val="1"/>
    </w:lvl>
  </w:abstractNum>
  <w:abstractNum w:abstractNumId="80">
    <w:nsid w:val="4BEE5A5B"/>
    <w:multiLevelType w:val="hybridMultilevel"/>
    <w:lvl w:ilvl="0">
      <w:lvlJc w:val="left"/>
      <w:lvlText w:val="(%1)"/>
      <w:numFmt w:val="lowerLetter"/>
      <w:start w:val="7"/>
    </w:lvl>
  </w:abstractNum>
  <w:abstractNum w:abstractNumId="81">
    <w:nsid w:val="5551B9F3"/>
    <w:multiLevelType w:val="hybridMultilevel"/>
    <w:lvl w:ilvl="0">
      <w:lvlJc w:val="left"/>
      <w:lvlText w:val="(%1)"/>
      <w:numFmt w:val="lowerLetter"/>
      <w:start w:val="1"/>
    </w:lvl>
  </w:abstractNum>
  <w:abstractNum w:abstractNumId="82">
    <w:nsid w:val="24F6AB8E"/>
    <w:multiLevelType w:val="hybridMultilevel"/>
    <w:lvl w:ilvl="0">
      <w:lvlJc w:val="left"/>
      <w:lvlText w:val="(%1)"/>
      <w:numFmt w:val="lowerLetter"/>
      <w:start w:val="2"/>
    </w:lvl>
  </w:abstractNum>
  <w:abstractNum w:abstractNumId="83">
    <w:nsid w:val="634C574C"/>
    <w:multiLevelType w:val="hybridMultilevel"/>
    <w:lvl w:ilvl="0">
      <w:lvlJc w:val="left"/>
      <w:lvlText w:val="(%1)"/>
      <w:numFmt w:val="lowerLetter"/>
      <w:start w:val="4"/>
    </w:lvl>
  </w:abstractNum>
  <w:abstractNum w:abstractNumId="84">
    <w:nsid w:val="24E99DD7"/>
    <w:multiLevelType w:val="hybridMultilevel"/>
    <w:lvl w:ilvl="0">
      <w:lvlJc w:val="left"/>
      <w:lvlText w:val="(%1)"/>
      <w:numFmt w:val="lowerLetter"/>
      <w:start w:val="1"/>
    </w:lvl>
  </w:abstractNum>
  <w:abstractNum w:abstractNumId="85">
    <w:nsid w:val="2A31B62D"/>
    <w:multiLevelType w:val="hybridMultilevel"/>
    <w:lvl w:ilvl="0">
      <w:lvlJc w:val="left"/>
      <w:lvlText w:val="%1"/>
      <w:numFmt w:val="lowerLetter"/>
      <w:start w:val="1"/>
    </w:lvl>
    <w:lvl w:ilvl="1">
      <w:lvlJc w:val="left"/>
      <w:lvlText w:val="(%2)"/>
      <w:numFmt w:val="lowerLetter"/>
      <w:start w:val="1"/>
    </w:lvl>
  </w:abstractNum>
  <w:abstractNum w:abstractNumId="86">
    <w:nsid w:val="1849C29B"/>
    <w:multiLevelType w:val="hybridMultilevel"/>
    <w:lvl w:ilvl="0">
      <w:lvlJc w:val="left"/>
      <w:lvlText w:val="(%1)"/>
      <w:numFmt w:val="lowerLetter"/>
      <w:start w:val="9"/>
    </w:lvl>
    <w:lvl w:ilvl="1">
      <w:lvlJc w:val="left"/>
      <w:lvlText w:val="%2"/>
      <w:numFmt w:val="lowerLetter"/>
      <w:start w:val="1"/>
    </w:lvl>
  </w:abstractNum>
  <w:abstractNum w:abstractNumId="87">
    <w:nsid w:val="7DFF9D09"/>
    <w:multiLevelType w:val="hybridMultilevel"/>
    <w:lvl w:ilvl="0">
      <w:lvlJc w:val="left"/>
      <w:lvlText w:val="(%1)"/>
      <w:numFmt w:val="lowerLetter"/>
      <w:start w:val="25"/>
    </w:lvl>
    <w:lvl w:ilvl="1">
      <w:lvlJc w:val="left"/>
      <w:lvlText w:val="(%2)"/>
      <w:numFmt w:val="lowerRoman"/>
      <w:start w:val="2"/>
    </w:lvl>
    <w:lvl w:ilvl="2">
      <w:lvlJc w:val="left"/>
      <w:lvlText w:val="(%3)"/>
      <w:numFmt w:val="upperLetter"/>
      <w:start w:val="1"/>
    </w:lvl>
  </w:abstractNum>
  <w:abstractNum w:abstractNumId="88">
    <w:nsid w:val="754342"/>
    <w:multiLevelType w:val="hybridMultilevel"/>
    <w:lvl w:ilvl="0">
      <w:lvlJc w:val="left"/>
      <w:lvlText w:val="%1"/>
      <w:numFmt w:val="lowerLetter"/>
      <w:start w:val="1"/>
    </w:lvl>
    <w:lvl w:ilvl="1">
      <w:lvlJc w:val="left"/>
      <w:lvlText w:val="(%2)"/>
      <w:numFmt w:val="upperLetter"/>
      <w:start w:val="2"/>
    </w:lvl>
  </w:abstractNum>
  <w:abstractNum w:abstractNumId="89">
    <w:nsid w:val="69E7F3E5"/>
    <w:multiLevelType w:val="hybridMultilevel"/>
    <w:lvl w:ilvl="0">
      <w:lvlJc w:val="left"/>
      <w:lvlText w:val="(%1)"/>
      <w:numFmt w:val="lowerLetter"/>
      <w:start w:val="24"/>
    </w:lvl>
    <w:lvl w:ilvl="1">
      <w:lvlJc w:val="left"/>
      <w:lvlText w:val="%2"/>
      <w:numFmt w:val="upperLetter"/>
      <w:start w:val="1"/>
    </w:lvl>
  </w:abstractNum>
  <w:abstractNum w:abstractNumId="90">
    <w:nsid w:val="2A6DE806"/>
    <w:multiLevelType w:val="hybridMultilevel"/>
    <w:lvl w:ilvl="0">
      <w:lvlJc w:val="left"/>
      <w:lvlText w:val="%1"/>
      <w:numFmt w:val="lowerLetter"/>
      <w:start w:val="1"/>
    </w:lvl>
    <w:lvl w:ilvl="1">
      <w:lvlJc w:val="left"/>
      <w:lvlText w:val="(%2)"/>
      <w:numFmt w:val="lowerLetter"/>
      <w:start w:val="61"/>
    </w:lvl>
  </w:abstractNum>
  <w:abstractNum w:abstractNumId="91">
    <w:nsid w:val="1816F8C4"/>
    <w:multiLevelType w:val="hybridMultilevel"/>
    <w:lvl w:ilvl="0">
      <w:lvlJc w:val="left"/>
      <w:lvlText w:val="(%1)"/>
      <w:numFmt w:val="lowerLetter"/>
      <w:start w:val="25"/>
    </w:lvl>
    <w:lvl w:ilvl="1">
      <w:lvlJc w:val="left"/>
      <w:lvlText w:val="%2"/>
      <w:numFmt w:val="lowerLetter"/>
      <w:start w:val="1"/>
    </w:lvl>
  </w:abstractNum>
  <w:abstractNum w:abstractNumId="92">
    <w:nsid w:val="37DF2233"/>
    <w:multiLevelType w:val="hybridMultilevel"/>
    <w:lvl w:ilvl="0">
      <w:lvlJc w:val="left"/>
      <w:lvlText w:val="(%1)"/>
      <w:numFmt w:val="lowerRoman"/>
      <w:start w:val="4"/>
    </w:lvl>
  </w:abstractNum>
  <w:abstractNum w:abstractNumId="93">
    <w:nsid w:val="7AB49D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94">
    <w:nsid w:val="759F82CD"/>
    <w:multiLevelType w:val="hybridMultilevel"/>
    <w:lvl w:ilvl="0">
      <w:lvlJc w:val="left"/>
      <w:lvlText w:val="(%1)"/>
      <w:numFmt w:val="lowerLetter"/>
      <w:start w:val="61"/>
    </w:lvl>
    <w:lvl w:ilvl="1">
      <w:lvlJc w:val="left"/>
      <w:lvlText w:val="(%2)"/>
      <w:numFmt w:val="lowerLetter"/>
      <w:start w:val="8"/>
    </w:lvl>
    <w:lvl w:ilvl="2">
      <w:lvlJc w:val="left"/>
      <w:lvlText w:val="(%3)"/>
      <w:numFmt w:val="lowerLetter"/>
      <w:start w:val="4"/>
    </w:lvl>
  </w:abstractNum>
  <w:abstractNum w:abstractNumId="95">
    <w:nsid w:val="61E74EA3"/>
    <w:multiLevelType w:val="hybridMultilevel"/>
    <w:lvl w:ilvl="0">
      <w:lvlJc w:val="left"/>
      <w:lvlText w:val="(%1)"/>
      <w:numFmt w:val="lowerRoman"/>
      <w:start w:val="2"/>
    </w:lvl>
  </w:abstractNum>
  <w:abstractNum w:abstractNumId="96">
    <w:nsid w:val="597B4D84"/>
    <w:multiLevelType w:val="hybridMultilevel"/>
    <w:lvl w:ilvl="0">
      <w:lvlJc w:val="left"/>
      <w:lvlText w:val="(%1)"/>
      <w:numFmt w:val="lowerLetter"/>
      <w:start w:val="1"/>
    </w:lvl>
  </w:abstractNum>
  <w:abstractNum w:abstractNumId="97">
    <w:nsid w:val="F819E7F"/>
    <w:multiLevelType w:val="hybridMultilevel"/>
    <w:lvl w:ilvl="0">
      <w:lvlJc w:val="left"/>
      <w:lvlText w:val="(%1)"/>
      <w:numFmt w:val="lowerLetter"/>
      <w:start w:val="1"/>
    </w:lvl>
  </w:abstractNum>
  <w:abstractNum w:abstractNumId="98">
    <w:nsid w:val="57C7D42D"/>
    <w:multiLevelType w:val="hybridMultilevel"/>
    <w:lvl w:ilvl="0">
      <w:lvlJc w:val="left"/>
      <w:lvlText w:val="(%1)"/>
      <w:numFmt w:val="lowerLetter"/>
      <w:start w:val="3"/>
    </w:lvl>
  </w:abstractNum>
  <w:abstractNum w:abstractNumId="99">
    <w:nsid w:val="312167AD"/>
    <w:multiLevelType w:val="hybridMultilevel"/>
    <w:lvl w:ilvl="0">
      <w:lvlJc w:val="left"/>
      <w:lvlText w:val="(%1)"/>
      <w:numFmt w:val="lowerLetter"/>
      <w:start w:val="1"/>
    </w:lvl>
  </w:abstractNum>
  <w:abstractNum w:abstractNumId="100">
    <w:nsid w:val="631B64D4"/>
    <w:multiLevelType w:val="hybridMultilevel"/>
    <w:lvl w:ilvl="0">
      <w:lvlJc w:val="left"/>
      <w:lvlText w:val="(%1)"/>
      <w:numFmt w:val="lowerLetter"/>
      <w:start w:val="1"/>
    </w:lvl>
  </w:abstractNum>
  <w:abstractNum w:abstractNumId="101">
    <w:nsid w:val="78B5E776"/>
    <w:multiLevelType w:val="hybridMultilevel"/>
    <w:lvl w:ilvl="0">
      <w:lvlJc w:val="left"/>
      <w:lvlText w:val="(%1)"/>
      <w:numFmt w:val="lowerLetter"/>
      <w:start w:val="1"/>
    </w:lvl>
  </w:abstractNum>
  <w:abstractNum w:abstractNumId="102">
    <w:nsid w:val="75486E47"/>
    <w:multiLevelType w:val="hybridMultilevel"/>
    <w:lvl w:ilvl="0">
      <w:lvlJc w:val="left"/>
      <w:lvlText w:val="(%1)"/>
      <w:numFmt w:val="lowerLetter"/>
      <w:start w:val="1"/>
    </w:lvl>
  </w:abstractNum>
  <w:abstractNum w:abstractNumId="103">
    <w:nsid w:val="6E534CDE"/>
    <w:multiLevelType w:val="hybridMultilevel"/>
    <w:lvl w:ilvl="0">
      <w:lvlJc w:val="left"/>
      <w:lvlText w:val="(%1)"/>
      <w:numFmt w:val="lowerRoman"/>
      <w:start w:val="1"/>
    </w:lvl>
  </w:abstractNum>
  <w:abstractNum w:abstractNumId="104">
    <w:nsid w:val="1A0DDE32"/>
    <w:multiLevelType w:val="hybridMultilevel"/>
    <w:lvl w:ilvl="0">
      <w:lvlJc w:val="left"/>
      <w:lvlText w:val="(%1)"/>
      <w:numFmt w:val="lowerLetter"/>
      <w:start w:val="2"/>
    </w:lvl>
  </w:abstractNum>
  <w:abstractNum w:abstractNumId="105">
    <w:nsid w:val="65968C1C"/>
    <w:multiLevelType w:val="hybridMultilevel"/>
    <w:lvl w:ilvl="0">
      <w:lvlJc w:val="left"/>
      <w:lvlText w:val="(%1)"/>
      <w:numFmt w:val="lowerLetter"/>
      <w:start w:val="1"/>
    </w:lvl>
  </w:abstractNum>
  <w:abstractNum w:abstractNumId="106">
    <w:nsid w:val="46263DEC"/>
    <w:multiLevelType w:val="hybridMultilevel"/>
    <w:lvl w:ilvl="0">
      <w:lvlJc w:val="left"/>
      <w:lvlText w:val="(%1)"/>
      <w:numFmt w:val="lowerLetter"/>
      <w:start w:val="2"/>
    </w:lvl>
  </w:abstractNum>
  <w:abstractNum w:abstractNumId="107">
    <w:nsid w:val="260D8C4A"/>
    <w:multiLevelType w:val="hybridMultilevel"/>
    <w:lvl w:ilvl="0">
      <w:lvlJc w:val="left"/>
      <w:lvlText w:val="(%1)"/>
      <w:numFmt w:val="lowerLetter"/>
      <w:start w:val="1"/>
    </w:lvl>
  </w:abstractNum>
  <w:abstractNum w:abstractNumId="108">
    <w:nsid w:val="73D4D3C4"/>
    <w:multiLevelType w:val="hybridMultilevel"/>
    <w:lvl w:ilvl="0">
      <w:lvlJc w:val="left"/>
      <w:lvlText w:val="%1"/>
      <w:numFmt w:val="lowerLetter"/>
      <w:start w:val="1"/>
    </w:lvl>
    <w:lvl w:ilvl="1">
      <w:lvlJc w:val="left"/>
      <w:lvlText w:val="(%2)"/>
      <w:numFmt w:val="lowerLetter"/>
      <w:start w:val="3"/>
    </w:lvl>
  </w:abstractNum>
  <w:abstractNum w:abstractNumId="109">
    <w:nsid w:val="746F2E30"/>
    <w:multiLevelType w:val="hybridMultilevel"/>
    <w:lvl w:ilvl="0">
      <w:lvlJc w:val="left"/>
      <w:lvlText w:val="(%1)"/>
      <w:numFmt w:val="lowerLetter"/>
      <w:start w:val="9"/>
    </w:lvl>
    <w:lvl w:ilvl="1">
      <w:lvlJc w:val="left"/>
      <w:lvlText w:val="(%2)"/>
      <w:numFmt w:val="lowerLetter"/>
      <w:start w:val="4"/>
    </w:lvl>
  </w:abstractNum>
  <w:abstractNum w:abstractNumId="110">
    <w:nsid w:val="6FDE8AF6"/>
    <w:multiLevelType w:val="hybridMultilevel"/>
    <w:lvl w:ilvl="0">
      <w:lvlJc w:val="left"/>
      <w:lvlText w:val="(%1)"/>
      <w:numFmt w:val="lowerLetter"/>
      <w:start w:val="9"/>
    </w:lvl>
  </w:abstractNum>
  <w:abstractNum w:abstractNumId="111">
    <w:nsid w:val="3FC32E20"/>
    <w:multiLevelType w:val="hybridMultilevel"/>
    <w:lvl w:ilvl="0">
      <w:lvlJc w:val="left"/>
      <w:lvlText w:val="(%1)"/>
      <w:numFmt w:val="lowerLetter"/>
      <w:start w:val="1"/>
    </w:lvl>
  </w:abstractNum>
  <w:abstractNum w:abstractNumId="112">
    <w:nsid w:val="49C0E823"/>
    <w:multiLevelType w:val="hybridMultilevel"/>
    <w:lvl w:ilvl="0">
      <w:lvlJc w:val="left"/>
      <w:lvlText w:val="(%1)"/>
      <w:numFmt w:val="lowerLetter"/>
      <w:start w:val="2"/>
    </w:lvl>
  </w:abstractNum>
  <w:abstractNum w:abstractNumId="113">
    <w:nsid w:val="14D53685"/>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14">
    <w:nsid w:val="230F856C"/>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15">
    <w:nsid w:val="6EAA85FB"/>
    <w:multiLevelType w:val="hybridMultilevel"/>
    <w:lvl w:ilvl="0">
      <w:lvlJc w:val="left"/>
      <w:lvlText w:val="%1"/>
      <w:numFmt w:val="upperLetter"/>
      <w:start w:val="1"/>
    </w:lvl>
    <w:lvl w:ilvl="1">
      <w:lvlJc w:val="left"/>
      <w:lvlText w:val="(%2)"/>
      <w:numFmt w:val="lowerLetter"/>
      <w:start w:val="23"/>
    </w:lvl>
  </w:abstractNum>
  <w:abstractNum w:abstractNumId="116">
    <w:nsid w:val="3F06ECB2"/>
    <w:multiLevelType w:val="hybridMultilevel"/>
    <w:lvl w:ilvl="0">
      <w:lvlJc w:val="left"/>
      <w:lvlText w:val="(%1)"/>
      <w:numFmt w:val="upperLetter"/>
      <w:start w:val="2"/>
    </w:lvl>
    <w:lvl w:ilvl="1">
      <w:lvlJc w:val="left"/>
      <w:lvlText w:val="(%2)"/>
      <w:numFmt w:val="lowerLetter"/>
      <w:start w:val="24"/>
    </w:lvl>
  </w:abstractNum>
  <w:abstractNum w:abstractNumId="117">
    <w:nsid w:val="3B594807"/>
    <w:multiLevelType w:val="hybridMultilevel"/>
    <w:lvl w:ilvl="0">
      <w:lvlJc w:val="left"/>
      <w:lvlText w:val="%1"/>
      <w:numFmt w:val="upperLetter"/>
      <w:start w:val="1"/>
    </w:lvl>
    <w:lvl w:ilvl="1">
      <w:lvlJc w:val="left"/>
      <w:lvlText w:val="(%2)"/>
      <w:numFmt w:val="lowerLetter"/>
      <w:start w:val="25"/>
    </w:lvl>
  </w:abstractNum>
  <w:abstractNum w:abstractNumId="118">
    <w:nsid w:val="6CAA2304"/>
    <w:multiLevelType w:val="hybridMultilevel"/>
    <w:lvl w:ilvl="0">
      <w:lvlJc w:val="left"/>
      <w:lvlText w:val="(%1)"/>
      <w:numFmt w:val="upperLetter"/>
      <w:start w:val="3"/>
    </w:lvl>
    <w:lvl w:ilvl="1">
      <w:lvlJc w:val="left"/>
      <w:lvlText w:val="%2"/>
      <w:numFmt w:val="lowerLetter"/>
      <w:start w:val="1"/>
    </w:lvl>
  </w:abstractNum>
  <w:abstractNum w:abstractNumId="119">
    <w:nsid w:val="3F7C2FF4"/>
    <w:multiLevelType w:val="hybridMultilevel"/>
    <w:lvl w:ilvl="0">
      <w:lvlJc w:val="left"/>
      <w:lvlText w:val="(%1)"/>
      <w:numFmt w:val="upperLetter"/>
      <w:start w:val="4"/>
    </w:lvl>
    <w:lvl w:ilvl="1">
      <w:lvlJc w:val="left"/>
      <w:lvlText w:val="(%2)"/>
      <w:numFmt w:val="lowerLetter"/>
      <w:start w:val="24"/>
    </w:lvl>
  </w:abstractNum>
  <w:abstractNum w:abstractNumId="120">
    <w:nsid w:val="25413BEC"/>
    <w:multiLevelType w:val="hybridMultilevel"/>
    <w:lvl w:ilvl="0">
      <w:lvlJc w:val="left"/>
      <w:lvlText w:val="%1"/>
      <w:numFmt w:val="lowerLetter"/>
      <w:start w:val="1"/>
    </w:lvl>
    <w:lvl w:ilvl="1">
      <w:lvlJc w:val="left"/>
      <w:lvlText w:val="(%2)"/>
      <w:numFmt w:val="upperLetter"/>
      <w:start w:val="6"/>
    </w:lvl>
  </w:abstractNum>
  <w:abstractNum w:abstractNumId="121">
    <w:nsid w:val="17180B0B"/>
    <w:multiLevelType w:val="hybridMultilevel"/>
    <w:lvl w:ilvl="0">
      <w:lvlJc w:val="left"/>
      <w:lvlText w:val="(%1)"/>
      <w:numFmt w:val="lowerLetter"/>
      <w:start w:val="3"/>
    </w:lvl>
    <w:lvl w:ilvl="1">
      <w:lvlJc w:val="left"/>
      <w:lvlText w:val="%2"/>
      <w:numFmt w:val="upperLetter"/>
      <w:start w:val="1"/>
    </w:lvl>
  </w:abstractNum>
  <w:abstractNum w:abstractNumId="122">
    <w:nsid w:val="579328B9"/>
    <w:multiLevelType w:val="hybridMultilevel"/>
    <w:lvl w:ilvl="0">
      <w:lvlJc w:val="left"/>
      <w:lvlText w:val="(%1)"/>
      <w:numFmt w:val="lowerLetter"/>
      <w:start w:val="1"/>
    </w:lvl>
  </w:abstractNum>
  <w:abstractNum w:abstractNumId="123">
    <w:nsid w:val="5D205E20"/>
    <w:multiLevelType w:val="hybridMultilevel"/>
    <w:lvl w:ilvl="0">
      <w:lvlJc w:val="left"/>
      <w:lvlText w:val="(%1)"/>
      <w:numFmt w:val="lowerLetter"/>
      <w:start w:val="2"/>
    </w:lvl>
  </w:abstractNum>
  <w:abstractNum w:abstractNumId="124">
    <w:nsid w:val="11CCA8BA"/>
    <w:multiLevelType w:val="hybridMultilevel"/>
    <w:lvl w:ilvl="0">
      <w:lvlJc w:val="left"/>
      <w:lvlText w:val="(%1)"/>
      <w:numFmt w:val="lowerRoman"/>
      <w:start w:val="1"/>
    </w:lvl>
  </w:abstractNum>
  <w:abstractNum w:abstractNumId="125">
    <w:nsid w:val="4D32AB86"/>
    <w:multiLevelType w:val="hybridMultilevel"/>
    <w:lvl w:ilvl="0">
      <w:lvlJc w:val="left"/>
      <w:lvlText w:val="(%1)"/>
      <w:numFmt w:val="lowerLetter"/>
      <w:start w:val="1"/>
    </w:lvl>
  </w:abstractNum>
  <w:abstractNum w:abstractNumId="126">
    <w:nsid w:val="3F07ACC3"/>
    <w:multiLevelType w:val="hybridMultilevel"/>
    <w:lvl w:ilvl="0">
      <w:lvlJc w:val="left"/>
      <w:lvlText w:val="%1"/>
      <w:numFmt w:val="upperLetter"/>
      <w:start w:val="1"/>
    </w:lvl>
    <w:lvl w:ilvl="1">
      <w:lvlJc w:val="left"/>
      <w:lvlText w:val="(%2)"/>
      <w:numFmt w:val="lowerLetter"/>
      <w:start w:val="3"/>
    </w:lvl>
  </w:abstractNum>
  <w:abstractNum w:abstractNumId="127">
    <w:nsid w:val="6B47F63E"/>
    <w:multiLevelType w:val="hybridMultilevel"/>
    <w:lvl w:ilvl="0">
      <w:lvlJc w:val="left"/>
      <w:lvlText w:val="(%1)"/>
      <w:numFmt w:val="upperLetter"/>
      <w:start w:val="1"/>
    </w:lvl>
    <w:lvl w:ilvl="1">
      <w:lvlJc w:val="left"/>
      <w:lvlText w:val="(%2)"/>
      <w:numFmt w:val="lowerLetter"/>
      <w:start w:val="10"/>
    </w:lvl>
  </w:abstractNum>
  <w:abstractNum w:abstractNumId="128">
    <w:nsid w:val="5CB44A05"/>
    <w:multiLevelType w:val="hybridMultilevel"/>
    <w:lvl w:ilvl="0">
      <w:lvlJc w:val="left"/>
      <w:lvlText w:val="(%1)"/>
      <w:numFmt w:val="lowerLetter"/>
      <w:start w:val="1"/>
    </w:lvl>
  </w:abstractNum>
  <w:abstractNum w:abstractNumId="129">
    <w:nsid w:val="16CF80F1"/>
    <w:multiLevelType w:val="hybridMultilevel"/>
    <w:lvl w:ilvl="0">
      <w:lvlJc w:val="left"/>
      <w:lvlText w:val="(%1)"/>
      <w:numFmt w:val="lowerLetter"/>
      <w:start w:val="2"/>
    </w:lvl>
  </w:abstractNum>
  <w:abstractNum w:abstractNumId="130">
    <w:nsid w:val="1C695DEC"/>
    <w:multiLevelType w:val="hybridMultilevel"/>
    <w:lvl w:ilvl="0">
      <w:lvlJc w:val="left"/>
      <w:lvlText w:val="(%1)"/>
      <w:numFmt w:val="lowerRoman"/>
      <w:start w:val="10"/>
    </w:lvl>
  </w:abstractNum>
  <w:abstractNum w:abstractNumId="131">
    <w:nsid w:val="3FCFAED9"/>
    <w:multiLevelType w:val="hybridMultilevel"/>
    <w:lvl w:ilvl="0">
      <w:lvlJc w:val="left"/>
      <w:lvlText w:val="(%1)"/>
      <w:numFmt w:val="lowerLetter"/>
      <w:start w:val="1"/>
    </w:lvl>
  </w:abstractNum>
  <w:abstractNum w:abstractNumId="132">
    <w:nsid w:val="F856867"/>
    <w:multiLevelType w:val="hybridMultilevel"/>
    <w:lvl w:ilvl="0">
      <w:lvlJc w:val="left"/>
      <w:lvlText w:val="%1"/>
      <w:numFmt w:val="lowerLetter"/>
      <w:start w:val="1"/>
    </w:lvl>
    <w:lvl w:ilvl="1">
      <w:lvlJc w:val="left"/>
      <w:lvlText w:val="(%2)"/>
      <w:numFmt w:val="lowerLetter"/>
      <w:start w:val="1"/>
    </w:lvl>
  </w:abstractNum>
  <w:abstractNum w:abstractNumId="133">
    <w:nsid w:val="11B1CC33"/>
    <w:multiLevelType w:val="hybridMultilevel"/>
    <w:lvl w:ilvl="0">
      <w:lvlJc w:val="left"/>
      <w:lvlText w:val="(%1)"/>
      <w:numFmt w:val="lowerLetter"/>
      <w:start w:val="6"/>
    </w:lvl>
    <w:lvl w:ilvl="1">
      <w:lvlJc w:val="left"/>
      <w:lvlText w:val="(%2)"/>
      <w:numFmt w:val="lowerLetter"/>
      <w:start w:val="7"/>
    </w:lvl>
  </w:abstractNum>
  <w:abstractNum w:abstractNumId="134">
    <w:nsid w:val="2E22FBB7"/>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35">
    <w:nsid w:val="29934699"/>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4"/>
    </w:lvl>
  </w:abstractNum>
  <w:abstractNum w:abstractNumId="136">
    <w:nsid w:val="77485850"/>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137">
    <w:nsid w:val="744939A3"/>
    <w:multiLevelType w:val="hybridMultilevel"/>
    <w:lvl w:ilvl="0">
      <w:lvlJc w:val="left"/>
      <w:lvlText w:val="(%1)"/>
      <w:numFmt w:val="lowerLetter"/>
      <w:start w:val="1"/>
    </w:lvl>
  </w:abstractNum>
  <w:abstractNum w:abstractNumId="138">
    <w:nsid w:val="4FA0D2E3"/>
    <w:multiLevelType w:val="hybridMultilevel"/>
    <w:lvl w:ilvl="0">
      <w:lvlJc w:val="left"/>
      <w:lvlText w:val="(%1)"/>
      <w:numFmt w:val="lowerLetter"/>
      <w:start w:val="1"/>
    </w:lvl>
  </w:abstractNum>
  <w:abstractNum w:abstractNumId="139">
    <w:nsid w:val="6B1D2C14"/>
    <w:multiLevelType w:val="hybridMultilevel"/>
    <w:lvl w:ilvl="0">
      <w:lvlJc w:val="left"/>
      <w:lvlText w:val="(%1)"/>
      <w:numFmt w:val="lowerLetter"/>
      <w:start w:val="2"/>
    </w:lvl>
  </w:abstractNum>
  <w:abstractNum w:abstractNumId="140">
    <w:nsid w:val="68B867D3"/>
    <w:multiLevelType w:val="hybridMultilevel"/>
    <w:lvl w:ilvl="0">
      <w:lvlJc w:val="left"/>
      <w:lvlText w:val="(%1)"/>
      <w:numFmt w:val="lowerLetter"/>
      <w:start w:val="3"/>
    </w:lvl>
  </w:abstractNum>
  <w:abstractNum w:abstractNumId="141">
    <w:nsid w:val="3F7F5DD9"/>
    <w:multiLevelType w:val="hybridMultilevel"/>
    <w:lvl w:ilvl="0">
      <w:lvlJc w:val="left"/>
      <w:lvlText w:val="(%1)"/>
      <w:numFmt w:val="lowerLetter"/>
      <w:start w:val="1"/>
    </w:lvl>
  </w:abstractNum>
  <w:abstractNum w:abstractNumId="142">
    <w:nsid w:val="2AE05A34"/>
    <w:multiLevelType w:val="hybridMultilevel"/>
    <w:lvl w:ilvl="0">
      <w:lvlJc w:val="left"/>
      <w:lvlText w:val="(%1)"/>
      <w:numFmt w:val="lowerLetter"/>
      <w:start w:val="2"/>
    </w:lvl>
  </w:abstractNum>
  <w:abstractNum w:abstractNumId="143">
    <w:nsid w:val="32794FF7"/>
    <w:multiLevelType w:val="hybridMultilevel"/>
    <w:lvl w:ilvl="0">
      <w:lvlJc w:val="left"/>
      <w:lvlText w:val="%1"/>
      <w:numFmt w:val="lowerLetter"/>
      <w:start w:val="1"/>
    </w:lvl>
    <w:lvl w:ilvl="1">
      <w:lvlJc w:val="left"/>
      <w:lvlText w:val="(%2)"/>
      <w:numFmt w:val="lowerLetter"/>
      <w:start w:val="9"/>
    </w:lvl>
  </w:abstractNum>
  <w:abstractNum w:abstractNumId="144">
    <w:nsid w:val="5454945E"/>
    <w:multiLevelType w:val="hybridMultilevel"/>
    <w:lvl w:ilvl="0">
      <w:lvlJc w:val="left"/>
      <w:lvlText w:val="(%1)"/>
      <w:numFmt w:val="lowerLetter"/>
      <w:start w:val="35"/>
    </w:lvl>
    <w:lvl w:ilvl="1">
      <w:lvlJc w:val="left"/>
      <w:lvlText w:val="(%2)"/>
      <w:numFmt w:val="lowerLetter"/>
      <w:start w:val="11"/>
    </w:lvl>
  </w:abstractNum>
  <w:abstractNum w:abstractNumId="145">
    <w:nsid w:val="4DEFDFA0"/>
    <w:multiLevelType w:val="hybridMultilevel"/>
    <w:lvl w:ilvl="0">
      <w:lvlJc w:val="left"/>
      <w:lvlText w:val="(%1)"/>
      <w:numFmt w:val="lowerLetter"/>
      <w:start w:val="16"/>
    </w:lvl>
  </w:abstractNum>
  <w:abstractNum w:abstractNumId="146">
    <w:nsid w:val="2123D5F2"/>
    <w:multiLevelType w:val="hybridMultilevel"/>
    <w:lvl w:ilvl="0">
      <w:lvlJc w:val="left"/>
      <w:lvlText w:val="(%1)"/>
      <w:numFmt w:val="lowerRoman"/>
      <w:start w:val="1"/>
    </w:lvl>
  </w:abstractNum>
  <w:abstractNum w:abstractNumId="147">
    <w:nsid w:val="135B8110"/>
    <w:multiLevelType w:val="hybridMultilevel"/>
    <w:lvl w:ilvl="0">
      <w:lvlJc w:val="left"/>
      <w:lvlText w:val="(%1)"/>
      <w:numFmt w:val="lowerLetter"/>
      <w:start w:val="1"/>
    </w:lvl>
  </w:abstractNum>
  <w:abstractNum w:abstractNumId="148">
    <w:nsid w:val="94927A8"/>
    <w:multiLevelType w:val="hybridMultilevel"/>
    <w:lvl w:ilvl="0">
      <w:lvlJc w:val="left"/>
      <w:lvlText w:val="(%1)"/>
      <w:numFmt w:val="lowerLetter"/>
      <w:start w:val="2"/>
    </w:lvl>
  </w:abstractNum>
  <w:abstractNum w:abstractNumId="149">
    <w:nsid w:val="DCDF8F6"/>
    <w:multiLevelType w:val="hybridMultilevel"/>
    <w:lvl w:ilvl="0">
      <w:lvlJc w:val="left"/>
      <w:lvlText w:val="(%1)"/>
      <w:numFmt w:val="lowerRoman"/>
      <w:start w:val="1"/>
    </w:lvl>
  </w:abstractNum>
  <w:abstractNum w:abstractNumId="150">
    <w:nsid w:val="52D7B105"/>
    <w:multiLevelType w:val="hybridMultilevel"/>
    <w:lvl w:ilvl="0">
      <w:lvlJc w:val="left"/>
      <w:lvlText w:val="(%1)"/>
      <w:numFmt w:val="lowerLetter"/>
      <w:start w:val="3"/>
    </w:lvl>
  </w:abstractNum>
  <w:abstractNum w:abstractNumId="151">
    <w:nsid w:val="2E8A6394"/>
    <w:multiLevelType w:val="hybridMultilevel"/>
    <w:lvl w:ilvl="0">
      <w:lvlJc w:val="left"/>
      <w:lvlText w:val="(%1)"/>
      <w:numFmt w:val="lowerLetter"/>
      <w:start w:val="4"/>
    </w:lvl>
  </w:abstractNum>
  <w:abstractNum w:abstractNumId="152">
    <w:nsid w:val="24E60401"/>
    <w:multiLevelType w:val="hybridMultilevel"/>
    <w:lvl w:ilvl="0">
      <w:lvlJc w:val="left"/>
      <w:lvlText w:val="%1"/>
      <w:numFmt w:val="lowerRoman"/>
      <w:start w:val="1"/>
    </w:lvl>
    <w:lvl w:ilvl="1">
      <w:lvlJc w:val="left"/>
      <w:lvlText w:val="(%2)"/>
      <w:numFmt w:val="lowerLetter"/>
      <w:start w:val="1"/>
    </w:lvl>
  </w:abstractNum>
  <w:abstractNum w:abstractNumId="153">
    <w:nsid w:val="2A6AD9BE"/>
    <w:multiLevelType w:val="hybridMultilevel"/>
    <w:lvl w:ilvl="0">
      <w:lvlJc w:val="left"/>
      <w:lvlText w:val="(%1)"/>
      <w:numFmt w:val="lowerRoman"/>
      <w:start w:val="1"/>
    </w:lvl>
    <w:lvl w:ilvl="1">
      <w:lvlJc w:val="left"/>
      <w:lvlText w:val="%2"/>
      <w:numFmt w:val="lowerLetter"/>
      <w:start w:val="1"/>
    </w:lvl>
  </w:abstractNum>
  <w:abstractNum w:abstractNumId="154">
    <w:nsid w:val="BAAC1B4"/>
    <w:multiLevelType w:val="hybridMultilevel"/>
    <w:lvl w:ilvl="0">
      <w:lvlJc w:val="left"/>
      <w:lvlText w:val="(%1)"/>
      <w:numFmt w:val="lowerRoman"/>
      <w:start w:val="3"/>
    </w:lvl>
  </w:abstractNum>
  <w:abstractNum w:abstractNumId="155">
    <w:nsid w:val="36B2ACBC"/>
    <w:multiLevelType w:val="hybridMultilevel"/>
    <w:lvl w:ilvl="0">
      <w:lvlJc w:val="left"/>
      <w:lvlText w:val="(%1)"/>
      <w:numFmt w:val="lowerLetter"/>
      <w:start w:val="25"/>
    </w:lvl>
  </w:abstractNum>
  <w:abstractNum w:abstractNumId="156">
    <w:nsid w:val="779D8544"/>
    <w:multiLevelType w:val="hybridMultilevel"/>
    <w:lvl w:ilvl="0">
      <w:lvlJc w:val="left"/>
      <w:lvlText w:val="(%1)"/>
      <w:numFmt w:val="lowerLetter"/>
      <w:start w:val="3"/>
    </w:lvl>
  </w:abstractNum>
  <w:abstractNum w:abstractNumId="157">
    <w:nsid w:val="4AB26E78"/>
    <w:multiLevelType w:val="hybridMultilevel"/>
    <w:lvl w:ilvl="0">
      <w:lvlJc w:val="left"/>
      <w:lvlText w:val="(%1)"/>
      <w:numFmt w:val="lowerLetter"/>
      <w:start w:val="4"/>
    </w:lvl>
  </w:abstractNum>
  <w:abstractNum w:abstractNumId="158">
    <w:nsid w:val="21FAA2FA"/>
    <w:multiLevelType w:val="hybridMultilevel"/>
    <w:lvl w:ilvl="0">
      <w:lvlJc w:val="left"/>
      <w:lvlText w:val="(%1)"/>
      <w:numFmt w:val="lowerLetter"/>
      <w:start w:val="1"/>
    </w:lvl>
  </w:abstractNum>
  <w:abstractNum w:abstractNumId="159">
    <w:nsid w:val="5451CF49"/>
    <w:multiLevelType w:val="hybridMultilevel"/>
    <w:lvl w:ilvl="0">
      <w:lvlJc w:val="left"/>
      <w:lvlText w:val="(%1)"/>
      <w:numFmt w:val="lowerLetter"/>
      <w:start w:val="3"/>
    </w:lvl>
  </w:abstractNum>
  <w:abstractNum w:abstractNumId="160">
    <w:nsid w:val="6181EF69"/>
    <w:multiLevelType w:val="hybridMultilevel"/>
    <w:lvl w:ilvl="0">
      <w:lvlJc w:val="left"/>
      <w:lvlText w:val="(%1)"/>
      <w:numFmt w:val="lowerLetter"/>
      <w:start w:val="4"/>
    </w:lvl>
  </w:abstractNum>
  <w:abstractNum w:abstractNumId="161">
    <w:nsid w:val="3E6400E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62">
    <w:nsid w:val="14217E23"/>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63">
    <w:nsid w:val="710757D0"/>
    <w:multiLevelType w:val="hybridMultilevel"/>
    <w:lvl w:ilvl="0">
      <w:lvlJc w:val="left"/>
      <w:lvlText w:val="%1"/>
      <w:numFmt w:val="lowerRoman"/>
      <w:start w:val="1"/>
    </w:lvl>
    <w:lvl w:ilvl="1">
      <w:lvlJc w:val="left"/>
      <w:lvlText w:val="(%2)"/>
      <w:numFmt w:val="upperLetter"/>
      <w:start w:val="2"/>
    </w:lvl>
  </w:abstractNum>
  <w:abstractNum w:abstractNumId="164">
    <w:nsid w:val="5015CD1A"/>
    <w:multiLevelType w:val="hybridMultilevel"/>
    <w:lvl w:ilvl="0">
      <w:lvlJc w:val="left"/>
      <w:lvlText w:val="(%1)"/>
      <w:numFmt w:val="lowerRoman"/>
      <w:start w:val="2"/>
    </w:lvl>
    <w:lvl w:ilvl="1">
      <w:lvlJc w:val="left"/>
      <w:lvlText w:val="(%2)"/>
      <w:numFmt w:val="upperLetter"/>
      <w:start w:val="1"/>
    </w:lvl>
  </w:abstractNum>
  <w:abstractNum w:abstractNumId="165">
    <w:nsid w:val="424479DA"/>
    <w:multiLevelType w:val="hybridMultilevel"/>
    <w:lvl w:ilvl="0">
      <w:lvlJc w:val="left"/>
      <w:lvlText w:val="(%1)"/>
      <w:numFmt w:val="lowerLetter"/>
      <w:start w:val="3"/>
    </w:lvl>
  </w:abstractNum>
  <w:abstractNum w:abstractNumId="166">
    <w:nsid w:val="1A9A9E69"/>
    <w:multiLevelType w:val="hybridMultilevel"/>
    <w:lvl w:ilvl="0">
      <w:lvlJc w:val="left"/>
      <w:lvlText w:val="(%1)"/>
      <w:numFmt w:val="lowerLetter"/>
      <w:start w:val="6"/>
    </w:lvl>
  </w:abstractNum>
  <w:abstractNum w:abstractNumId="167">
    <w:nsid w:val="475E256A"/>
    <w:multiLevelType w:val="hybridMultilevel"/>
    <w:lvl w:ilvl="0">
      <w:lvlJc w:val="left"/>
      <w:lvlText w:val="(%1)"/>
      <w:numFmt w:val="lowerRoman"/>
      <w:start w:val="4"/>
    </w:lvl>
    <w:lvl w:ilvl="1">
      <w:lvlJc w:val="left"/>
      <w:lvlText w:val="(%2)"/>
      <w:numFmt w:val="lowerLetter"/>
      <w:start w:val="7"/>
    </w:lvl>
  </w:abstractNum>
  <w:abstractNum w:abstractNumId="168">
    <w:nsid w:val="368DB37E"/>
    <w:multiLevelType w:val="hybridMultilevel"/>
    <w:lvl w:ilvl="0">
      <w:lvlJc w:val="left"/>
      <w:lvlText w:val="(%1)"/>
      <w:numFmt w:val="lowerLetter"/>
      <w:start w:val="8"/>
    </w:lvl>
  </w:abstractNum>
  <w:abstractNum w:abstractNumId="169">
    <w:nsid w:val="6A3B714C"/>
    <w:multiLevelType w:val="hybridMultilevel"/>
    <w:lvl w:ilvl="0">
      <w:lvlJc w:val="left"/>
      <w:lvlText w:val="(%1)"/>
      <w:numFmt w:val="lowerLetter"/>
      <w:start w:val="1"/>
    </w:lvl>
  </w:abstractNum>
  <w:abstractNum w:abstractNumId="170">
    <w:nsid w:val="327B517E"/>
    <w:multiLevelType w:val="hybridMultilevel"/>
    <w:lvl w:ilvl="0">
      <w:lvlJc w:val="left"/>
      <w:lvlText w:val="(%1)"/>
      <w:numFmt w:val="lowerLetter"/>
      <w:start w:val="2"/>
    </w:lvl>
  </w:abstractNum>
  <w:abstractNum w:abstractNumId="171">
    <w:nsid w:val="1F461B51"/>
    <w:multiLevelType w:val="hybridMultilevel"/>
    <w:lvl w:ilvl="0">
      <w:lvlJc w:val="left"/>
      <w:lvlText w:val="(%1)"/>
      <w:numFmt w:val="lowerLetter"/>
      <w:start w:val="1"/>
    </w:lvl>
  </w:abstractNum>
  <w:abstractNum w:abstractNumId="172">
    <w:nsid w:val="29BACF25"/>
    <w:multiLevelType w:val="hybridMultilevel"/>
    <w:lvl w:ilvl="0">
      <w:lvlJc w:val="left"/>
      <w:lvlText w:val="(%1)"/>
      <w:numFmt w:val="lowerLetter"/>
      <w:start w:val="3"/>
    </w:lvl>
  </w:abstractNum>
  <w:abstractNum w:abstractNumId="173">
    <w:nsid w:val="5D5BABB3"/>
    <w:multiLevelType w:val="hybridMultilevel"/>
    <w:lvl w:ilvl="0">
      <w:lvlJc w:val="left"/>
      <w:lvlText w:val="(%1)"/>
      <w:numFmt w:val="lowerLetter"/>
      <w:start w:val="1"/>
    </w:lvl>
  </w:abstractNum>
  <w:abstractNum w:abstractNumId="174">
    <w:nsid w:val="51BF6B48"/>
    <w:multiLevelType w:val="hybridMultilevel"/>
    <w:lvl w:ilvl="0">
      <w:lvlJc w:val="left"/>
      <w:lvlText w:val="(%1)"/>
      <w:numFmt w:val="lowerLetter"/>
      <w:start w:val="2"/>
    </w:lvl>
  </w:abstractNum>
  <w:abstractNum w:abstractNumId="175">
    <w:nsid w:val="7E0F6384"/>
    <w:multiLevelType w:val="hybridMultilevel"/>
    <w:lvl w:ilvl="0">
      <w:lvlJc w:val="left"/>
      <w:lvlText w:val="%1"/>
      <w:numFmt w:val="upperLetter"/>
      <w:start w:val="61"/>
    </w:lvl>
  </w:abstractNum>
  <w:abstractNum w:abstractNumId="176">
    <w:nsid w:val="2B4B8B53"/>
    <w:multiLevelType w:val="hybridMultilevel"/>
    <w:lvl w:ilvl="0">
      <w:lvlJc w:val="left"/>
      <w:lvlText w:val="%1."/>
      <w:numFmt w:val="decimal"/>
      <w:start w:val="1"/>
    </w:lvl>
  </w:abstractNum>
  <w:abstractNum w:abstractNumId="177">
    <w:nsid w:val="72E3413A"/>
    <w:multiLevelType w:val="hybridMultilevel"/>
    <w:lvl w:ilvl="0">
      <w:lvlJc w:val="left"/>
      <w:lvlText w:val="%1."/>
      <w:numFmt w:val="decimal"/>
      <w:start w:val="1"/>
    </w:lvl>
  </w:abstractNum>
  <w:abstractNum w:abstractNumId="178">
    <w:nsid w:val="116AE494"/>
    <w:multiLevelType w:val="hybridMultilevel"/>
    <w:lvl w:ilvl="0">
      <w:lvlJc w:val="left"/>
      <w:lvlText w:val="%1."/>
      <w:numFmt w:val="decimal"/>
      <w:start w:val="1"/>
    </w:lvl>
  </w:abstractNum>
  <w:abstractNum w:abstractNumId="179">
    <w:nsid w:val="3494B2FB"/>
    <w:multiLevelType w:val="hybridMultilevel"/>
    <w:lvl w:ilvl="0">
      <w:lvlJc w:val="left"/>
      <w:lvlText w:val="%1."/>
      <w:numFmt w:val="decimal"/>
      <w:start w:val="1"/>
    </w:lvl>
  </w:abstractNum>
  <w:abstractNum w:abstractNumId="180">
    <w:nsid w:val="B13A31"/>
    <w:multiLevelType w:val="hybridMultilevel"/>
    <w:lvl w:ilvl="0">
      <w:lvlJc w:val="left"/>
      <w:lvlText w:val="%1."/>
      <w:numFmt w:val="decimal"/>
      <w:start w:val="1"/>
    </w:lvl>
  </w:abstractNum>
  <w:abstractNum w:abstractNumId="181">
    <w:nsid w:val="64429599"/>
    <w:multiLevelType w:val="hybridMultilevel"/>
    <w:lvl w:ilvl="0">
      <w:lvlJc w:val="left"/>
      <w:lvlText w:val="%1."/>
      <w:numFmt w:val="decimal"/>
      <w:start w:val="1"/>
    </w:lvl>
  </w:abstractNum>
  <w:abstractNum w:abstractNumId="182">
    <w:nsid w:val="631F1690"/>
    <w:multiLevelType w:val="hybridMultilevel"/>
    <w:lvl w:ilvl="0">
      <w:lvlJc w:val="left"/>
      <w:lvlText w:val="(%1)"/>
      <w:numFmt w:val="lowerRoman"/>
      <w:start w:val="1"/>
    </w:lvl>
  </w:abstractNum>
  <w:abstractNum w:abstractNumId="183">
    <w:nsid w:val="25973E32"/>
    <w:multiLevelType w:val="hybridMultilevel"/>
    <w:lvl w:ilvl="0">
      <w:lvlJc w:val="left"/>
      <w:lvlText w:val="%1."/>
      <w:numFmt w:val="decimal"/>
      <w:start w:val="1"/>
    </w:lvl>
  </w:abstractNum>
  <w:abstractNum w:abstractNumId="184">
    <w:nsid w:val="EAD6F57"/>
    <w:multiLevelType w:val="hybridMultilevel"/>
    <w:lvl w:ilvl="0">
      <w:lvlJc w:val="left"/>
      <w:lvlText w:val="%1."/>
      <w:numFmt w:val="decimal"/>
      <w:start w:val="3"/>
    </w:lvl>
  </w:abstractNum>
  <w:abstractNum w:abstractNumId="185">
    <w:nsid w:val="6EC9D844"/>
    <w:multiLevelType w:val="hybridMultilevel"/>
    <w:lvl w:ilvl="0">
      <w:lvlJc w:val="left"/>
      <w:lvlText w:val="1"/>
      <w:numFmt w:val="bullet"/>
      <w:start w:val="1"/>
    </w:lvl>
  </w:abstractNum>
  <w:abstractNum w:abstractNumId="186">
    <w:nsid w:val="5C49EAEE"/>
    <w:multiLevelType w:val="hybridMultilevel"/>
    <w:lvl w:ilvl="0">
      <w:lvlJc w:val="left"/>
      <w:lvlText w:val="%1."/>
      <w:numFmt w:val="decimal"/>
      <w:start w:val="5"/>
    </w:lvl>
  </w:abstractNum>
  <w:abstractNum w:abstractNumId="187">
    <w:nsid w:val="64AF49B"/>
    <w:multiLevelType w:val="hybridMultilevel"/>
    <w:lvl w:ilvl="0">
      <w:lvlJc w:val="left"/>
      <w:lvlText w:val="2"/>
      <w:numFmt w:val="bullet"/>
      <w:start w:val="1"/>
    </w:lvl>
  </w:abstractNum>
  <w:abstractNum w:abstractNumId="188">
    <w:nsid w:val="397C46BC"/>
    <w:multiLevelType w:val="hybridMultilevel"/>
    <w:lvl w:ilvl="0">
      <w:lvlJc w:val="left"/>
      <w:lvlText w:val="3"/>
      <w:numFmt w:val="bullet"/>
      <w:start w:val="1"/>
    </w:lvl>
  </w:abstractNum>
  <w:abstractNum w:abstractNumId="189">
    <w:nsid w:val="7E448DE9"/>
    <w:multiLevelType w:val="hybridMultilevel"/>
    <w:lvl w:ilvl="0">
      <w:lvlJc w:val="left"/>
      <w:lvlText w:val="4"/>
      <w:numFmt w:val="bullet"/>
      <w:start w:val="1"/>
    </w:lvl>
  </w:abstractNum>
  <w:abstractNum w:abstractNumId="190">
    <w:nsid w:val="5A9CC3E5"/>
    <w:multiLevelType w:val="hybridMultilevel"/>
    <w:lvl w:ilvl="0">
      <w:lvlJc w:val="left"/>
      <w:lvlText w:val="5"/>
      <w:numFmt w:val="bullet"/>
      <w:start w:val="1"/>
    </w:lvl>
  </w:abstractNum>
  <w:abstractNum w:abstractNumId="191">
    <w:nsid w:val="1AFE3625"/>
    <w:multiLevelType w:val="hybridMultilevel"/>
    <w:lvl w:ilvl="0">
      <w:lvlJc w:val="left"/>
      <w:lvlText w:val="%1."/>
      <w:numFmt w:val="decimal"/>
      <w:start w:val="2"/>
    </w:lvl>
  </w:abstractNum>
  <w:abstractNum w:abstractNumId="192">
    <w:nsid w:val="3CA88EC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2019-12-07T23:48:19Z</dcterms:created>
  <dcterms:modified xsi:type="dcterms:W3CDTF">2019-12-07T23:48:19Z</dcterms:modified>
</cp:coreProperties>
</file>