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60804.htm"/>
      <w:bookmarkStart w:id="1" w:name="kstslx20260804"/>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August 4, 2026</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charter)</w:t>
      </w:r>
    </w:p>
    <w:p>
      <w:pPr>
        <w:pStyle w:val="TextBody"/>
        <w:pBdr>
          <w:bottom w:val="single" w:sz="8" w:space="1" w:color="000000"/>
        </w:pBdr>
        <w:bidi w:val="0"/>
        <w:jc w:val="center"/>
        <w:rPr/>
      </w:pPr>
      <w:r>
        <w:rPr/>
        <w:t> </w:t>
      </w:r>
    </w:p>
    <w:p>
      <w:pPr>
        <w:pStyle w:val="TextBody"/>
        <w:bidi w:val="0"/>
        <w:jc w:val="left"/>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341" w:type="dxa"/>
        <w:jc w:val="left"/>
        <w:tblInd w:w="0" w:type="dxa"/>
        <w:tblLayout w:type="fixed"/>
        <w:tblCellMar>
          <w:top w:w="28" w:type="dxa"/>
          <w:left w:w="28" w:type="dxa"/>
          <w:bottom w:w="28" w:type="dxa"/>
          <w:right w:w="28" w:type="dxa"/>
        </w:tblCellMar>
      </w:tblPr>
      <w:tblGrid>
        <w:gridCol w:w="3121"/>
        <w:gridCol w:w="109"/>
        <w:gridCol w:w="146"/>
        <w:gridCol w:w="109"/>
        <w:gridCol w:w="856"/>
      </w:tblGrid>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(469)</w:t>
      </w:r>
      <w:r>
        <w:rPr>
          <w:rFonts w:ascii="Times New Roman" w:hAnsi="Times New Roman"/>
          <w:color w:val="000000"/>
          <w:sz w:val="20"/>
        </w:rPr>
        <w:t xml:space="preserve"> </w:t>
      </w:r>
      <w:r>
        <w:rPr>
          <w:rFonts w:ascii="Times New Roman" w:hAnsi="Times New Roman"/>
          <w:b/>
          <w:color w:val="000000"/>
          <w:sz w:val="20"/>
        </w:rPr>
        <w:t>621-3001</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b/>
          <w:color w:val="000000"/>
          <w:sz w:val="19"/>
        </w:rPr>
      </w:pPr>
      <w:r>
        <w:rPr>
          <w:rFonts w:ascii="Times New Roman" w:hAnsi="Times New Roman"/>
          <w:b/>
          <w:color w:val="000000"/>
          <w:sz w:val="19"/>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Sixth Street Specialty Lending, Inc. (the “Company”) issued a press release announcing its financial results for the three months ended June 30, 2026. The text of the press release is included as Exhibit 99.1 to this Form 8-K.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7.01 –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4, 2026, the Company issued a press release, included herewith as Exhibit 99.1, announcing the declaration of a third quarter 2026 base dividend per share of $0.42 to shareholders of record as of September 15, 2026, payable on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706"/>
        <w:gridCol w:w="146"/>
        <w:gridCol w:w="645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1" w:type="dxa"/>
            <w:tcBorders/>
            <w:tcMar>
              <w:top w:w="0" w:type="dxa"/>
              <w:left w:w="0" w:type="dxa"/>
              <w:bottom w:w="0" w:type="dxa"/>
              <w:right w:w="0" w:type="dxa"/>
            </w:tcMar>
            <w:vAlign w:val="center"/>
          </w:tcPr>
          <w:p>
            <w:pPr>
              <w:pStyle w:val="TableContents"/>
              <w:bidi w:val="0"/>
              <w:spacing w:before="0" w:after="283"/>
              <w:jc w:val="left"/>
              <w:rPr/>
            </w:pPr>
            <w:hyperlink w:anchor="tslx-ex99_1.htm">
              <w:r>
                <w:rPr>
                  <w:rStyle w:val="InternetLink"/>
                  <w:rFonts w:ascii="Times New Roman" w:hAnsi="Times New Roman"/>
                  <w:color w:val="0000FF"/>
                  <w:sz w:val="20"/>
                  <w:u w:val="single"/>
                </w:rPr>
                <w:t>Press Release, dated August 4, 2026</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of this Current Report on Form 8-K, formatted in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567" w:type="dxa"/>
        <w:jc w:val="left"/>
        <w:tblInd w:w="0" w:type="dxa"/>
        <w:tblLayout w:type="fixed"/>
        <w:tblCellMar>
          <w:top w:w="28" w:type="dxa"/>
          <w:left w:w="28" w:type="dxa"/>
          <w:bottom w:w="28" w:type="dxa"/>
          <w:right w:w="28" w:type="dxa"/>
        </w:tblCellMar>
      </w:tblPr>
      <w:tblGrid>
        <w:gridCol w:w="1846"/>
        <w:gridCol w:w="146"/>
        <w:gridCol w:w="768"/>
        <w:gridCol w:w="3807"/>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807"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7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SIXTH STREET SPECIALTY LENDING, INC.</w:t>
            </w:r>
          </w:p>
          <w:p>
            <w:pPr>
              <w:pStyle w:val="TableContents"/>
              <w:bidi w:val="0"/>
              <w:spacing w:before="0" w:after="283"/>
              <w:jc w:val="left"/>
              <w:rPr>
                <w:color w:val="000000"/>
              </w:rPr>
            </w:pPr>
            <w:r>
              <w:rPr>
                <w:color w:val="000000"/>
              </w:rPr>
              <w:t>                    </w:t>
            </w:r>
            <w:r>
              <w:rPr>
                <w:rFonts w:ascii="Times New Roman" w:hAnsi="Times New Roman"/>
                <w:color w:val="000000"/>
                <w:sz w:val="20"/>
              </w:rPr>
              <w:t>(Registrant)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0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2" w:name="tslx-ex99_1.htm"/>
      <w:bookmarkStart w:id="3" w:name="kstslxex99_1"/>
      <w:bookmarkEnd w:id="2"/>
      <w:bookmarkEnd w:id="3"/>
      <w:r>
        <w:rPr>
          <w:rFonts w:ascii="sans-serif" w:hAnsi="sans-serif"/>
          <w:b/>
          <w:color w:val="000000"/>
          <w:sz w:val="20"/>
        </w:rPr>
        <w:t>Exhibit 99.1</w:t>
      </w:r>
      <w:r>
        <w:br w:type="page"/>
      </w:r>
    </w:p>
    <w:p>
      <w:pPr>
        <w:pStyle w:val="TextBody"/>
        <w:bidi w:val="0"/>
        <w:jc w:val="right"/>
        <w:rPr/>
      </w:pPr>
      <w:r>
        <w:rPr/>
        <w:t> </w:t>
      </w:r>
    </w:p>
    <w:p>
      <w:pPr>
        <w:pStyle w:val="TextBody"/>
        <w:bidi w:val="0"/>
        <w:jc w:val="left"/>
        <w:rPr/>
      </w:pPr>
      <w:r>
        <w:rPr/>
        <w:drawing>
          <wp:inline distT="0" distB="0" distL="0" distR="0">
            <wp:extent cx="1524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bidi w:val="0"/>
        <w:jc w:val="left"/>
        <w:rPr>
          <w:rFonts w:ascii="Times New Roman" w:hAnsi="Times New Roman"/>
          <w:sz w:val="20"/>
        </w:rPr>
      </w:pPr>
      <w:r>
        <w:rPr>
          <w:rFonts w:ascii="sans-serif" w:hAnsi="sans-serif"/>
          <w:caps/>
          <w:color w:val="000000"/>
          <w:sz w:val="2"/>
        </w:rPr>
        <w:t>k</w:t>
      </w:r>
      <w:r>
        <w:rPr>
          <w:rFonts w:ascii="Times New Roman" w:hAnsi="Times New Roman"/>
          <w:caps/>
          <w:color w:val="000000"/>
          <w:sz w:val="20"/>
        </w:rPr>
        <w:t xml:space="preserve">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SECOND QUARTER 2026 EARNINGS RESULTS</w:t>
      </w:r>
    </w:p>
    <w:p>
      <w:pPr>
        <w:pStyle w:val="TextBody"/>
        <w:bidi w:val="0"/>
        <w:jc w:val="left"/>
        <w:rPr>
          <w:rFonts w:ascii="sans-serif" w:hAnsi="sans-serif"/>
          <w:b/>
          <w:color w:val="000000"/>
          <w:sz w:val="20"/>
        </w:rPr>
      </w:pPr>
      <w:r>
        <w:rPr>
          <w:rFonts w:ascii="sans-serif" w:hAnsi="sans-serif"/>
          <w:b/>
          <w:color w:val="000000"/>
          <w:sz w:val="20"/>
        </w:rPr>
        <w:t>Sixth Street Specialty Lending, Inc. Reports Second Quarter Results; Declares a Third Quarter Base Dividend Per Share of $0.42</w:t>
      </w:r>
    </w:p>
    <w:tbl>
      <w:tblPr>
        <w:tblW w:w="10205" w:type="dxa"/>
        <w:jc w:val="left"/>
        <w:tblInd w:w="0" w:type="dxa"/>
        <w:tblLayout w:type="fixed"/>
        <w:tblCellMar>
          <w:top w:w="28" w:type="dxa"/>
          <w:left w:w="28" w:type="dxa"/>
          <w:bottom w:w="28" w:type="dxa"/>
          <w:right w:w="28" w:type="dxa"/>
        </w:tblCellMar>
      </w:tblPr>
      <w:tblGrid>
        <w:gridCol w:w="7249"/>
        <w:gridCol w:w="218"/>
        <w:gridCol w:w="1674"/>
        <w:gridCol w:w="1064"/>
      </w:tblGrid>
      <w:tr>
        <w:trPr/>
        <w:tc>
          <w:tcPr>
            <w:tcW w:w="7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7249"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sans-serif" w:hAnsi="sans-serif"/>
                <w:color w:val="000000"/>
                <w:sz w:val="20"/>
              </w:rPr>
              <w:t>NEW YORK — August 4, 2026 — Sixth Street Specialty Lending, Inc. (NYSE: TSLX, or the “Company”) today reported net investment income of $0.43 per share and net income of $0.43 per share for the second quarter ended June 30, 2026. These results correspond to an annualized return on equity (ROE) on net investment income and net income of 10.6% and 10.5%, respectively.</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sans-serif" w:hAnsi="sans-serif"/>
                <w:color w:val="000000"/>
                <w:sz w:val="20"/>
              </w:rPr>
            </w:pPr>
            <w:r>
              <w:rPr>
                <w:rFonts w:ascii="sans-serif" w:hAnsi="sans-serif"/>
                <w:color w:val="000000"/>
                <w:sz w:val="20"/>
              </w:rPr>
              <w:t>Reported net asset value (NAV) per share was $16.24 at June 30, 2026 as compared to $16.24 at March 31, 2026. Net asset value per share was unchanged this quarter, as net investment income of $0.43 per share was substantially offset by the second quarter base dividend of $0.42 per share. Net changes in the fair value of the portfolio were modest in aggregate, with $0.04 per share of net unrealized losses attributable to credit spread movements largely offset by $0.06 per share of net unrealized gains attributable to movement in equity market multiples and $0.01 per share of net realized gains.</w:t>
            </w:r>
          </w:p>
          <w:p>
            <w:pPr>
              <w:pStyle w:val="TableContents"/>
              <w:bidi w:val="0"/>
              <w:jc w:val="left"/>
              <w:rPr/>
            </w:pPr>
            <w:r>
              <w:rPr/>
              <w:t> </w:t>
            </w:r>
          </w:p>
          <w:p>
            <w:pPr>
              <w:pStyle w:val="TableContents"/>
              <w:bidi w:val="0"/>
              <w:jc w:val="left"/>
              <w:rPr>
                <w:rFonts w:ascii="Times New Roman" w:hAnsi="Times New Roman"/>
                <w:sz w:val="20"/>
              </w:rPr>
            </w:pPr>
            <w:r>
              <w:rPr>
                <w:rFonts w:ascii="sans-serif" w:hAnsi="sans-serif"/>
                <w:color w:val="000000"/>
                <w:sz w:val="20"/>
              </w:rPr>
              <w:t>The Company announced that its Board of Directors has declared a third quarter 2026 base dividend of $0.42 per share to shareholders of record as of September 15, 2026, payable on September 30, 2026. There was no supplemental dividend related to Q2 earnings. The supplemental dividend policy remains in place to distribute over-earning to shareholders based on the existing framework.</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sans-serif" w:hAnsi="sans-serif"/>
                <w:color w:val="000000"/>
                <w:sz w:val="20"/>
              </w:rPr>
            </w:pPr>
            <w:r>
              <w:rPr>
                <w:rFonts w:ascii="sans-serif" w:hAnsi="sans-serif"/>
                <w:color w:val="000000"/>
                <w:sz w:val="20"/>
              </w:rPr>
              <w:t>On May 1, 2026, the Company completed an amendment to its Revolving Credit Facility, which extended the stated maturity date to May 1, 2031 for $1.525 billion of commitments. The pricing and other material terms of the facility remain unchanged.</w:t>
            </w:r>
          </w:p>
          <w:p>
            <w:pPr>
              <w:pStyle w:val="TableContents"/>
              <w:bidi w:val="0"/>
              <w:jc w:val="left"/>
              <w:rPr/>
            </w:pPr>
            <w:r>
              <w:rPr/>
              <w:t> </w:t>
            </w:r>
          </w:p>
          <w:p>
            <w:pPr>
              <w:pStyle w:val="TableContents"/>
              <w:bidi w:val="0"/>
              <w:jc w:val="left"/>
              <w:rPr>
                <w:rFonts w:ascii="Times New Roman" w:hAnsi="Times New Roman"/>
                <w:sz w:val="20"/>
              </w:rPr>
            </w:pPr>
            <w:r>
              <w:rPr>
                <w:rFonts w:ascii="sans-serif" w:hAnsi="sans-serif"/>
                <w:color w:val="000000"/>
                <w:sz w:val="20"/>
              </w:rPr>
              <w:t>Subsequent to quarter-end, the Company repaid its $300 million August 1, 2026 unsecured notes through a combination of utilization of undrawn capacity on its revolving credit facility and cash on the balance sheet.</w:t>
            </w:r>
            <w:r>
              <w:rPr>
                <w:rFonts w:ascii="Times New Roman" w:hAnsi="Times New Roman"/>
                <w:color w:val="000000"/>
                <w:sz w:val="20"/>
              </w:rPr>
              <w:t xml:space="preserve"> </w:t>
            </w:r>
          </w:p>
          <w:p>
            <w:pPr>
              <w:pStyle w:val="TableContents"/>
              <w:bidi w:val="0"/>
              <w:jc w:val="both"/>
              <w:rPr/>
            </w:pPr>
            <w:r>
              <w:rPr/>
              <w:t> </w:t>
            </w:r>
          </w:p>
          <w:p>
            <w:pPr>
              <w:pStyle w:val="TableContents"/>
              <w:bidi w:val="0"/>
              <w:spacing w:before="0" w:after="283"/>
              <w:jc w:val="both"/>
              <w:rPr/>
            </w:pPr>
            <w:r>
              <w:rPr/>
              <w:t> </w:t>
            </w:r>
          </w:p>
        </w:tc>
        <w:tc>
          <w:tcPr>
            <w:tcW w:w="218"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273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Net Investment Income Per Share</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Q2 2026</w:t>
            </w:r>
            <w:r>
              <w:rPr>
                <w:rFonts w:ascii="sans-serif" w:hAnsi="sans-serif"/>
                <w:color w:val="000000"/>
                <w:sz w:val="16"/>
              </w:rPr>
              <w:t>:</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$0.43</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24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Net Income Per Share</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Q2 2026:</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$0.43</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Return on Equity</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Q2 2026 (NII):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10.6%</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Q2 2026 (NI):</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10.5%</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NAV</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Q2 2026 ($MM):</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$1,548.6</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Q2 2026 (per share):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$16.24</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49"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18" w:type="dxa"/>
            <w:vMerge w:val="continue"/>
            <w:tcBorders/>
            <w:shd w:fill="0F2F50" w:val="clear"/>
            <w:tcMar>
              <w:top w:w="0" w:type="dxa"/>
              <w:left w:w="0" w:type="dxa"/>
              <w:bottom w:w="0" w:type="dxa"/>
              <w:right w:w="0" w:type="dxa"/>
            </w:tcMar>
            <w:vAlign w:val="center"/>
          </w:tcPr>
          <w:p>
            <w:pPr>
              <w:pStyle w:val="Normal"/>
              <w:bidi w:val="0"/>
              <w:jc w:val="left"/>
              <w:rPr/>
            </w:pPr>
            <w:r>
              <w:rPr/>
            </w:r>
          </w:p>
        </w:tc>
        <w:tc>
          <w:tcPr>
            <w:tcW w:w="2738" w:type="dxa"/>
            <w:gridSpan w:val="2"/>
            <w:tcBorders/>
            <w:shd w:fill="0F2F50" w:val="clear"/>
            <w:tcMar>
              <w:top w:w="0" w:type="dxa"/>
              <w:left w:w="0" w:type="dxa"/>
              <w:bottom w:w="0" w:type="dxa"/>
              <w:right w:w="0" w:type="dxa"/>
            </w:tcMar>
            <w:vAlign w:val="center"/>
          </w:tcPr>
          <w:p>
            <w:pPr>
              <w:pStyle w:val="TableContents"/>
              <w:bidi w:val="0"/>
              <w:spacing w:before="60" w:after="60"/>
              <w:ind w:left="0" w:right="0" w:firstLine="72"/>
              <w:jc w:val="center"/>
              <w:rPr>
                <w:rFonts w:ascii="sans-serif" w:hAnsi="sans-serif"/>
                <w:b/>
                <w:color w:val="FFFFFF"/>
                <w:sz w:val="16"/>
              </w:rPr>
            </w:pPr>
            <w:r>
              <w:rPr>
                <w:rFonts w:ascii="sans-serif" w:hAnsi="sans-serif"/>
                <w:b/>
                <w:color w:val="FFFFFF"/>
                <w:sz w:val="16"/>
              </w:rPr>
              <w:t>Dividends Declared (per share)</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Q2 2026 (Base):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$0.42</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sans-serif" w:hAnsi="sans-serif"/>
                <w:b/>
                <w:color w:val="000000"/>
                <w:sz w:val="16"/>
              </w:rPr>
            </w:pPr>
            <w:r>
              <w:rPr>
                <w:rFonts w:ascii="sans-serif" w:hAnsi="sans-serif"/>
                <w:b/>
                <w:color w:val="000000"/>
                <w:sz w:val="16"/>
              </w:rPr>
              <w:t>LTM Q2 2026 (Base):</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$1.80</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LTM Q2 2026 (Supplemental):</w:t>
            </w:r>
            <w:r>
              <w:rPr>
                <w:rFonts w:ascii="Times New Roman" w:hAnsi="Times New Roman"/>
                <w:color w:val="000000"/>
                <w:sz w:val="16"/>
              </w:rPr>
              <w:t xml:space="preserve"> </w:t>
            </w:r>
          </w:p>
        </w:tc>
        <w:tc>
          <w:tcPr>
            <w:tcW w:w="1064" w:type="dxa"/>
            <w:tcBorders>
              <w:bottom w:val="single" w:sz="4" w:space="0" w:color="000000"/>
            </w:tcBorders>
            <w:tcMar>
              <w:top w:w="0" w:type="dxa"/>
              <w:left w:w="0" w:type="dxa"/>
              <w:right w:w="0" w:type="dxa"/>
            </w:tcMar>
            <w:vAlign w:val="center"/>
          </w:tcPr>
          <w:p>
            <w:pPr>
              <w:pStyle w:val="TableContents"/>
              <w:bidi w:val="0"/>
              <w:spacing w:before="60" w:after="60"/>
              <w:ind w:left="0" w:right="0" w:firstLine="72"/>
              <w:jc w:val="right"/>
              <w:rPr>
                <w:rFonts w:ascii="sans-serif" w:hAnsi="sans-serif"/>
                <w:b/>
                <w:color w:val="000000"/>
                <w:sz w:val="16"/>
              </w:rPr>
            </w:pPr>
            <w:r>
              <w:rPr>
                <w:rFonts w:ascii="sans-serif" w:hAnsi="sans-serif"/>
                <w:b/>
                <w:color w:val="000000"/>
                <w:sz w:val="16"/>
              </w:rPr>
              <w:t>$0.09</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vMerge w:val="continue"/>
            <w:tcBorders/>
            <w:tcMar>
              <w:top w:w="0" w:type="dxa"/>
              <w:left w:w="0" w:type="dxa"/>
              <w:bottom w:w="0" w:type="dxa"/>
              <w:right w:w="0" w:type="dxa"/>
            </w:tcMar>
            <w:vAlign w:val="center"/>
          </w:tcPr>
          <w:p>
            <w:pPr>
              <w:pStyle w:val="Normal"/>
              <w:bidi w:val="0"/>
              <w:jc w:val="left"/>
              <w:rPr/>
            </w:pPr>
            <w:r>
              <w:rPr/>
            </w:r>
          </w:p>
        </w:tc>
        <w:tc>
          <w:tcPr>
            <w:tcW w:w="1674" w:type="dxa"/>
            <w:tcBorders/>
            <w:tcMar>
              <w:top w:w="0" w:type="dxa"/>
              <w:left w:w="0" w:type="dxa"/>
              <w:bottom w:w="0" w:type="dxa"/>
              <w:right w:w="0" w:type="dxa"/>
            </w:tcMar>
            <w:vAlign w:val="center"/>
          </w:tcPr>
          <w:p>
            <w:pPr>
              <w:pStyle w:val="TableContents"/>
              <w:bidi w:val="0"/>
              <w:spacing w:before="60" w:after="60"/>
              <w:ind w:left="0" w:right="0" w:firstLine="72"/>
              <w:jc w:val="left"/>
              <w:rPr>
                <w:rFonts w:ascii="Times New Roman" w:hAnsi="Times New Roman"/>
                <w:sz w:val="16"/>
              </w:rPr>
            </w:pPr>
            <w:r>
              <w:rPr>
                <w:rFonts w:ascii="sans-serif" w:hAnsi="sans-serif"/>
                <w:b/>
                <w:color w:val="000000"/>
                <w:sz w:val="16"/>
              </w:rPr>
              <w:t>LTM Q2 2026 (Total):</w:t>
            </w:r>
            <w:r>
              <w:rPr>
                <w:rFonts w:ascii="Times New Roman" w:hAnsi="Times New Roman"/>
                <w:color w:val="000000"/>
                <w:sz w:val="16"/>
              </w:rPr>
              <w:t xml:space="preserve"> </w:t>
            </w:r>
          </w:p>
        </w:tc>
        <w:tc>
          <w:tcPr>
            <w:tcW w:w="1064" w:type="dxa"/>
            <w:tcBorders/>
            <w:tcMar>
              <w:top w:w="0" w:type="dxa"/>
              <w:left w:w="0" w:type="dxa"/>
              <w:bottom w:w="0" w:type="dxa"/>
              <w:right w:w="0" w:type="dxa"/>
            </w:tcMar>
            <w:vAlign w:val="center"/>
          </w:tcPr>
          <w:p>
            <w:pPr>
              <w:pStyle w:val="TableContents"/>
              <w:bidi w:val="0"/>
              <w:spacing w:before="60" w:after="60"/>
              <w:jc w:val="right"/>
              <w:rPr>
                <w:rFonts w:ascii="sans-serif" w:hAnsi="sans-serif"/>
                <w:b/>
                <w:color w:val="000000"/>
                <w:sz w:val="16"/>
              </w:rPr>
            </w:pPr>
            <w:r>
              <w:rPr>
                <w:rFonts w:ascii="sans-serif" w:hAnsi="sans-serif"/>
                <w:b/>
                <w:color w:val="000000"/>
                <w:sz w:val="16"/>
              </w:rPr>
              <w:t>$1.89</w:t>
            </w:r>
          </w:p>
        </w:tc>
      </w:tr>
      <w:tr>
        <w:trPr/>
        <w:tc>
          <w:tcPr>
            <w:tcW w:w="7249"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674"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064"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12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Portfolio and Investment Activity</w:t>
      </w:r>
    </w:p>
    <w:p>
      <w:pPr>
        <w:pStyle w:val="TextBody"/>
        <w:bidi w:val="0"/>
        <w:jc w:val="left"/>
        <w:rPr/>
      </w:pPr>
      <w:r>
        <w:rPr/>
        <w:t> </w:t>
      </w:r>
    </w:p>
    <w:p>
      <w:pPr>
        <w:pStyle w:val="TextBody"/>
        <w:bidi w:val="0"/>
        <w:spacing w:before="0" w:after="12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8"/>
        <w:gridCol w:w="362"/>
        <w:gridCol w:w="1716"/>
        <w:gridCol w:w="1239"/>
      </w:tblGrid>
      <w:tr>
        <w:trPr/>
        <w:tc>
          <w:tcPr>
            <w:tcW w:w="68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6888" w:type="dxa"/>
            <w:vMerge w:val="restart"/>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sans-serif" w:hAnsi="sans-serif"/>
                <w:color w:val="000000"/>
                <w:sz w:val="20"/>
              </w:rPr>
              <w:t>For the quarter ended June 30, 2026, new investment commitments totaled $114.6 million. This compares to $338.1 million for the quarter ended March 31, 2026. For the quarter ended June 30, 2026, the principal amount of new investments funded was $136.7 million across two new portfolio companies and additional capital called by the previously announced joint venture, Structured Credit Partners or SCP. For this period, the Company had $192.1 million aggregate principal amount in exits and repayments. For the quarter ended March 31, 2026, the principal amount of new investments funded was $134.8 million across two new portfolio companies, four upsizes to existing portfolio companies and an initial investment in SCP. For this period, the Company had $113.0 million aggregate principal amount in exits and repayments.</w:t>
            </w:r>
            <w:r>
              <w:rPr>
                <w:rFonts w:ascii="Times New Roman" w:hAnsi="Times New Roman"/>
                <w:color w:val="000000"/>
                <w:sz w:val="20"/>
              </w:rPr>
              <w:t xml:space="preserve"> </w:t>
            </w:r>
          </w:p>
          <w:p>
            <w:pPr>
              <w:pStyle w:val="TableContents"/>
              <w:bidi w:val="0"/>
              <w:jc w:val="left"/>
              <w:rPr/>
            </w:pPr>
            <w:r>
              <w:rPr/>
              <w:t> </w:t>
            </w:r>
          </w:p>
          <w:p>
            <w:pPr>
              <w:pStyle w:val="TableContents"/>
              <w:bidi w:val="0"/>
              <w:jc w:val="left"/>
              <w:rPr>
                <w:rFonts w:ascii="Times New Roman" w:hAnsi="Times New Roman"/>
                <w:sz w:val="20"/>
              </w:rPr>
            </w:pPr>
            <w:r>
              <w:rPr>
                <w:rFonts w:ascii="sans-serif" w:hAnsi="sans-serif"/>
                <w:color w:val="000000"/>
                <w:sz w:val="20"/>
              </w:rPr>
              <w:t>The Company had investments in 137</w:t>
            </w:r>
            <w:r>
              <w:rPr>
                <w:rFonts w:ascii="sans-serif" w:hAnsi="sans-serif"/>
                <w:color w:val="000000"/>
                <w:sz w:val="13"/>
              </w:rPr>
              <w:t>1</w:t>
            </w:r>
            <w:r>
              <w:rPr>
                <w:rFonts w:ascii="Times New Roman" w:hAnsi="Times New Roman"/>
                <w:color w:val="000000"/>
                <w:sz w:val="20"/>
              </w:rPr>
              <w:t> </w:t>
            </w:r>
            <w:r>
              <w:rPr>
                <w:rFonts w:ascii="sans-serif" w:hAnsi="sans-serif"/>
                <w:color w:val="000000"/>
                <w:sz w:val="20"/>
              </w:rPr>
              <w:t>and 143</w:t>
            </w:r>
            <w:r>
              <w:rPr>
                <w:rFonts w:ascii="sans-serif" w:hAnsi="sans-serif"/>
                <w:color w:val="000000"/>
                <w:sz w:val="13"/>
              </w:rPr>
              <w:t xml:space="preserve">2 </w:t>
            </w:r>
            <w:r>
              <w:rPr>
                <w:rFonts w:ascii="sans-serif" w:hAnsi="sans-serif"/>
                <w:color w:val="000000"/>
                <w:sz w:val="20"/>
              </w:rPr>
              <w:t>portfolio companies as of June 30, 2026 and March 31, 2026 with an aggregate fair value of $3,302.1 million and $3,313.4 million, respectively. As of June 30, 2026, the average investment size in each portfolio company was $30.9 million based on fair value.</w:t>
            </w:r>
          </w:p>
          <w:p>
            <w:pPr>
              <w:pStyle w:val="TableContents"/>
              <w:bidi w:val="0"/>
              <w:jc w:val="left"/>
              <w:rPr/>
            </w:pPr>
            <w:r>
              <w:rPr/>
              <w:t> </w:t>
            </w:r>
          </w:p>
          <w:p>
            <w:pPr>
              <w:pStyle w:val="TableContents"/>
              <w:bidi w:val="0"/>
              <w:jc w:val="left"/>
              <w:rPr>
                <w:rFonts w:ascii="sans-serif" w:hAnsi="sans-serif"/>
                <w:color w:val="000000"/>
                <w:sz w:val="20"/>
              </w:rPr>
            </w:pPr>
            <w:r>
              <w:rPr>
                <w:rFonts w:ascii="sans-serif" w:hAnsi="sans-serif"/>
                <w:color w:val="000000"/>
                <w:sz w:val="20"/>
              </w:rPr>
              <w:t>As of June 30, 2026, the Company’s portfolio based on fair value consisted of 88.3% first-lien debt investments, 0.7% second-lien debt investments, 2.0% mezzanine debt investments, 4.7% equity investments, 2.7% structured credit investments and 1.6% joint venture investments. As of March 31, 2026, the Company’s portfolio based on fair value consisted of 89.3% first-lien debt investments, 1.0% second-lien debt investments, 1.9% mezzanine debt investments, 4.6% equity investments, 2.8% structured credit investments and 0.4% joint venture investments.</w:t>
            </w:r>
          </w:p>
          <w:p>
            <w:pPr>
              <w:pStyle w:val="TableContents"/>
              <w:bidi w:val="0"/>
              <w:jc w:val="left"/>
              <w:rPr/>
            </w:pPr>
            <w:r>
              <w:rPr/>
              <w:t> </w:t>
            </w:r>
          </w:p>
          <w:p>
            <w:pPr>
              <w:pStyle w:val="TableContents"/>
              <w:bidi w:val="0"/>
              <w:jc w:val="left"/>
              <w:rPr>
                <w:rFonts w:ascii="Times New Roman" w:hAnsi="Times New Roman"/>
                <w:sz w:val="20"/>
              </w:rPr>
            </w:pPr>
            <w:r>
              <w:rPr>
                <w:rFonts w:ascii="sans-serif" w:hAnsi="sans-serif"/>
                <w:color w:val="000000"/>
                <w:sz w:val="20"/>
              </w:rPr>
              <w:t>As of June 30, 2026, 96.1% of debt investments</w:t>
            </w:r>
            <w:r>
              <w:rPr>
                <w:rFonts w:ascii="sans-serif" w:hAnsi="sans-serif"/>
                <w:color w:val="000000"/>
                <w:sz w:val="13"/>
              </w:rPr>
              <w:t>3</w:t>
            </w:r>
            <w:r>
              <w:rPr>
                <w:rFonts w:ascii="Times New Roman" w:hAnsi="Times New Roman"/>
                <w:color w:val="000000"/>
                <w:sz w:val="20"/>
              </w:rPr>
              <w:t> </w:t>
            </w:r>
            <w:r>
              <w:rPr>
                <w:rFonts w:ascii="sans-serif" w:hAnsi="sans-serif"/>
                <w:color w:val="000000"/>
                <w:sz w:val="20"/>
              </w:rPr>
              <w:t>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pStyle w:val="TableContents"/>
              <w:bidi w:val="0"/>
              <w:jc w:val="left"/>
              <w:rPr/>
            </w:pPr>
            <w:r>
              <w:rPr/>
              <w:t> </w:t>
            </w:r>
          </w:p>
          <w:p>
            <w:pPr>
              <w:pStyle w:val="TableContents"/>
              <w:bidi w:val="0"/>
              <w:jc w:val="left"/>
              <w:rPr>
                <w:rFonts w:ascii="sans-serif" w:hAnsi="sans-serif"/>
                <w:color w:val="000000"/>
                <w:sz w:val="20"/>
              </w:rPr>
            </w:pPr>
            <w:r>
              <w:rPr>
                <w:rFonts w:ascii="sans-serif" w:hAnsi="sans-serif"/>
                <w:color w:val="000000"/>
                <w:sz w:val="20"/>
              </w:rPr>
              <w:t>As of June 30, 2026 and March 31, 2026, the weighted average total yield of debt and income-producing securities at fair value (which includes interest income and amortization of fees and discounts) was 11.1% and 11.1%, respectively, and the weighted average total yield of debt and income-producing securities at amortized cost (which includes interest income and amortization of fees and discounts) was 11.2% and 11.2%, respectively.</w:t>
            </w:r>
          </w:p>
          <w:p>
            <w:pPr>
              <w:pStyle w:val="TableContents"/>
              <w:bidi w:val="0"/>
              <w:jc w:val="left"/>
              <w:rPr/>
            </w:pPr>
            <w:r>
              <w:rPr/>
              <w:t> </w:t>
            </w:r>
          </w:p>
          <w:p>
            <w:pPr>
              <w:pStyle w:val="TableContents"/>
              <w:bidi w:val="0"/>
              <w:spacing w:before="0" w:after="283"/>
              <w:jc w:val="left"/>
              <w:rPr>
                <w:rFonts w:ascii="Times New Roman" w:hAnsi="Times New Roman"/>
                <w:sz w:val="20"/>
              </w:rPr>
            </w:pPr>
            <w:r>
              <w:rPr>
                <w:rFonts w:ascii="sans-serif" w:hAnsi="sans-serif"/>
                <w:color w:val="000000"/>
                <w:sz w:val="20"/>
              </w:rPr>
              <w:t>As of June 30, 2026 and March 31, 2026, 1.3% and 1.4% of the portfolio at fair value was on non-accrual status, respectively. There were no new portfolio companies added to non-accrual status during the quarter.</w:t>
            </w:r>
            <w:r>
              <w:rPr>
                <w:rFonts w:ascii="Times New Roman" w:hAnsi="Times New Roman"/>
                <w:color w:val="000000"/>
                <w:sz w:val="20"/>
              </w:rPr>
              <w:t xml:space="preserve"> </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Q2 2026 Origination Activity</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Commitments:</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$114.6MM</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Fundings:</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$136.7MM</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Net Repayments:</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$55.4MM</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both"/>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Average Investment Size</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$30.9MM</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7"/>
              </w:rPr>
            </w:pPr>
            <w:r>
              <w:rPr>
                <w:rFonts w:ascii="sans-serif" w:hAnsi="sans-serif"/>
                <w:i/>
                <w:color w:val="000000"/>
                <w:sz w:val="17"/>
              </w:rPr>
              <w:t>(0.9% of the portfolio at fair value)</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First Lien Debt Investments (% FV)</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88.3%</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shd w:fill="0F2F50" w:val="clear"/>
            <w:tcMar>
              <w:top w:w="0" w:type="dxa"/>
              <w:left w:w="0" w:type="dxa"/>
              <w:bottom w:w="0" w:type="dxa"/>
              <w:right w:w="0" w:type="dxa"/>
            </w:tcMar>
            <w:vAlign w:val="center"/>
          </w:tcPr>
          <w:p>
            <w:pPr>
              <w:pStyle w:val="TableContents"/>
              <w:bidi w:val="0"/>
              <w:spacing w:before="60" w:after="283"/>
              <w:jc w:val="center"/>
              <w:rPr>
                <w:rFonts w:ascii="Times New Roman" w:hAnsi="Times New Roman"/>
                <w:sz w:val="17"/>
              </w:rPr>
            </w:pPr>
            <w:r>
              <w:rPr>
                <w:rFonts w:ascii="sans-serif" w:hAnsi="sans-serif"/>
                <w:b/>
                <w:color w:val="FFFFFF"/>
                <w:sz w:val="17"/>
              </w:rPr>
              <w:t>Floating Rate Debt Investments</w:t>
            </w:r>
            <w:r>
              <w:rPr>
                <w:rFonts w:ascii="sans-serif" w:hAnsi="sans-serif"/>
                <w:b/>
                <w:color w:val="FFFFFF"/>
                <w:sz w:val="11"/>
              </w:rPr>
              <w:t>3</w:t>
            </w:r>
            <w:r>
              <w:rPr>
                <w:rFonts w:ascii="Times New Roman" w:hAnsi="Times New Roman"/>
                <w:color w:val="FFFFFF"/>
                <w:sz w:val="17"/>
              </w:rPr>
              <w:t xml:space="preserve">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shd w:fill="0F2F50" w:val="clear"/>
            <w:tcMar>
              <w:top w:w="0" w:type="dxa"/>
              <w:left w:w="0" w:type="dxa"/>
              <w:bottom w:w="0" w:type="dxa"/>
              <w:right w:w="0" w:type="dxa"/>
            </w:tcMar>
            <w:vAlign w:val="center"/>
          </w:tcPr>
          <w:p>
            <w:pPr>
              <w:pStyle w:val="TableContents"/>
              <w:bidi w:val="0"/>
              <w:spacing w:before="0" w:after="60"/>
              <w:jc w:val="center"/>
              <w:rPr>
                <w:rFonts w:ascii="sans-serif" w:hAnsi="sans-serif"/>
                <w:b/>
                <w:color w:val="FFFFFF"/>
                <w:sz w:val="17"/>
              </w:rPr>
            </w:pPr>
            <w:r>
              <w:rPr>
                <w:rFonts w:ascii="sans-serif" w:hAnsi="sans-serif"/>
                <w:b/>
                <w:color w:val="FFFFFF"/>
                <w:sz w:val="17"/>
              </w:rPr>
              <w:t>(% FV)</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tcMar>
              <w:top w:w="0" w:type="dxa"/>
              <w:left w:w="0" w:type="dxa"/>
              <w:bottom w:w="0" w:type="dxa"/>
              <w:right w:w="0" w:type="dxa"/>
            </w:tcMar>
            <w:vAlign w:val="center"/>
          </w:tcPr>
          <w:p>
            <w:pPr>
              <w:pStyle w:val="TableContents"/>
              <w:bidi w:val="0"/>
              <w:spacing w:before="60" w:after="60"/>
              <w:jc w:val="center"/>
              <w:rPr>
                <w:rFonts w:ascii="sans-serif" w:hAnsi="sans-serif"/>
                <w:b/>
                <w:color w:val="000000"/>
                <w:sz w:val="17"/>
              </w:rPr>
            </w:pPr>
            <w:r>
              <w:rPr>
                <w:rFonts w:ascii="sans-serif" w:hAnsi="sans-serif"/>
                <w:b/>
                <w:color w:val="000000"/>
                <w:sz w:val="17"/>
              </w:rPr>
              <w:t>96.1%</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2955"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Weighted Average Yield of Debt and Incoming-Producing Securities</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716" w:type="dxa"/>
            <w:tcBorders>
              <w:bottom w:val="single" w:sz="4" w:space="0" w:color="000000"/>
            </w:tcBorders>
            <w:tcMar>
              <w:top w:w="0" w:type="dxa"/>
              <w:left w:w="0" w:type="dxa"/>
              <w:right w:w="0" w:type="dxa"/>
            </w:tcMar>
            <w:vAlign w:val="center"/>
          </w:tcPr>
          <w:p>
            <w:pPr>
              <w:pStyle w:val="TableContents"/>
              <w:bidi w:val="0"/>
              <w:spacing w:before="0" w:after="283"/>
              <w:ind w:left="0" w:right="0" w:firstLine="72"/>
              <w:jc w:val="left"/>
              <w:rPr>
                <w:rFonts w:ascii="Times New Roman" w:hAnsi="Times New Roman"/>
                <w:sz w:val="17"/>
              </w:rPr>
            </w:pPr>
            <w:r>
              <w:rPr>
                <w:rFonts w:ascii="sans-serif" w:hAnsi="sans-serif"/>
                <w:b/>
                <w:color w:val="000000"/>
                <w:sz w:val="17"/>
              </w:rPr>
              <w:t>Yield at Fair Value:</w:t>
            </w:r>
            <w:r>
              <w:rPr>
                <w:rFonts w:ascii="Times New Roman" w:hAnsi="Times New Roman"/>
                <w:color w:val="000000"/>
                <w:sz w:val="17"/>
              </w:rPr>
              <w:t xml:space="preserve"> </w:t>
            </w:r>
          </w:p>
        </w:tc>
        <w:tc>
          <w:tcPr>
            <w:tcW w:w="123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11.1%</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Yield at Amortized Cost:</w:t>
            </w:r>
          </w:p>
        </w:tc>
        <w:tc>
          <w:tcPr>
            <w:tcW w:w="1239"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11.2%</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88"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2955"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16"/>
              </w:rPr>
            </w:pPr>
            <w:r>
              <w:rPr>
                <w:rFonts w:ascii="Times New Roman" w:hAnsi="Times New Roman"/>
                <w:color w:val="000000"/>
                <w:sz w:val="16"/>
              </w:rPr>
              <w:t>1.</w:t>
            </w:r>
          </w:p>
          <w:p>
            <w:pPr>
              <w:pStyle w:val="TableContents"/>
              <w:bidi w:val="0"/>
              <w:spacing w:before="120" w:after="283"/>
              <w:jc w:val="both"/>
              <w:rPr>
                <w:rFonts w:ascii="sans-serif" w:hAnsi="sans-serif"/>
                <w:color w:val="000000"/>
                <w:sz w:val="16"/>
              </w:rPr>
            </w:pPr>
            <w:r>
              <w:rPr>
                <w:rFonts w:ascii="sans-serif" w:hAnsi="sans-serif"/>
                <w:color w:val="000000"/>
                <w:sz w:val="16"/>
              </w:rPr>
              <w:t>Includes 33 structured credit investments with a total fair value of $87.8 million as of June 30, 2026.</w:t>
            </w:r>
          </w:p>
          <w:p>
            <w:pPr>
              <w:pStyle w:val="TableContents"/>
              <w:bidi w:val="0"/>
              <w:spacing w:before="120" w:after="283"/>
              <w:jc w:val="both"/>
              <w:rPr>
                <w:rFonts w:ascii="Times New Roman" w:hAnsi="Times New Roman"/>
                <w:color w:val="000000"/>
                <w:sz w:val="16"/>
              </w:rPr>
            </w:pPr>
            <w:r>
              <w:rPr>
                <w:rFonts w:ascii="Times New Roman" w:hAnsi="Times New Roman"/>
                <w:color w:val="000000"/>
                <w:sz w:val="16"/>
              </w:rPr>
              <w:t>2.</w:t>
            </w:r>
          </w:p>
          <w:p>
            <w:pPr>
              <w:pStyle w:val="TableContents"/>
              <w:bidi w:val="0"/>
              <w:spacing w:before="120" w:after="283"/>
              <w:jc w:val="both"/>
              <w:rPr>
                <w:rFonts w:ascii="sans-serif" w:hAnsi="sans-serif"/>
                <w:color w:val="000000"/>
                <w:sz w:val="16"/>
              </w:rPr>
            </w:pPr>
            <w:r>
              <w:rPr>
                <w:rFonts w:ascii="sans-serif" w:hAnsi="sans-serif"/>
                <w:color w:val="000000"/>
                <w:sz w:val="16"/>
              </w:rPr>
              <w:t>Includes 36 structured credit investments with a total fair value of $93.8 million as of March 31, 2026.</w:t>
            </w:r>
          </w:p>
          <w:p>
            <w:pPr>
              <w:pStyle w:val="TableContents"/>
              <w:bidi w:val="0"/>
              <w:spacing w:before="120" w:after="283"/>
              <w:jc w:val="both"/>
              <w:rPr>
                <w:rFonts w:ascii="Times New Roman" w:hAnsi="Times New Roman"/>
                <w:color w:val="000000"/>
                <w:sz w:val="16"/>
              </w:rPr>
            </w:pPr>
            <w:r>
              <w:rPr>
                <w:rFonts w:ascii="Times New Roman" w:hAnsi="Times New Roman"/>
                <w:color w:val="000000"/>
                <w:sz w:val="16"/>
              </w:rPr>
              <w:t>3.</w:t>
            </w:r>
          </w:p>
          <w:p>
            <w:pPr>
              <w:pStyle w:val="TableContents"/>
              <w:bidi w:val="0"/>
              <w:spacing w:before="120" w:after="283"/>
              <w:jc w:val="both"/>
              <w:rPr>
                <w:rFonts w:ascii="sans-serif" w:hAnsi="sans-serif"/>
                <w:color w:val="000000"/>
                <w:sz w:val="16"/>
              </w:rPr>
            </w:pPr>
            <w:r>
              <w:rPr>
                <w:rFonts w:ascii="sans-serif" w:hAnsi="sans-serif"/>
                <w:color w:val="000000"/>
                <w:sz w:val="16"/>
              </w:rPr>
              <w:t>Calculation includes income earning debt investments only.</w:t>
            </w:r>
          </w:p>
        </w:tc>
      </w:tr>
    </w:tbl>
    <w:p>
      <w:pPr>
        <w:pStyle w:val="TextBody"/>
        <w:bidi w:val="0"/>
        <w:spacing w:before="0" w:after="12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RESULTS OF OPERATIONS FOR THE 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54"/>
        <w:gridCol w:w="218"/>
        <w:gridCol w:w="1137"/>
        <w:gridCol w:w="896"/>
      </w:tblGrid>
      <w:tr>
        <w:trPr/>
        <w:tc>
          <w:tcPr>
            <w:tcW w:w="79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7954"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Total Investment Income</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4"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vMerge w:val="restart"/>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Total Investment Income</w:t>
            </w:r>
          </w:p>
        </w:tc>
      </w:tr>
      <w:tr>
        <w:trPr/>
        <w:tc>
          <w:tcPr>
            <w:tcW w:w="7954" w:type="dxa"/>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For the three months ended June 30, 2026 and 2025, investment income was $97.8 million and $115.0 million, respectively. The decrease in investment income was primarily the result of a decrease in reference rates for the three months ended June 30, 2026 compared to the same period in 2025.</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vMerge w:val="continue"/>
            <w:tcBorders/>
            <w:shd w:fill="0F2F50" w:val="clear"/>
            <w:tcMar>
              <w:top w:w="0" w:type="dxa"/>
              <w:left w:w="0" w:type="dxa"/>
              <w:bottom w:w="0" w:type="dxa"/>
              <w:right w:w="0" w:type="dxa"/>
            </w:tcMar>
            <w:vAlign w:val="center"/>
          </w:tcPr>
          <w:p>
            <w:pPr>
              <w:pStyle w:val="Normal"/>
              <w:bidi w:val="0"/>
              <w:jc w:val="left"/>
              <w:rPr/>
            </w:pPr>
            <w:r>
              <w:rPr/>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7"/>
              </w:rPr>
            </w:pPr>
            <w:r>
              <w:rPr>
                <w:rFonts w:ascii="sans-serif" w:hAnsi="sans-serif"/>
                <w:b/>
                <w:color w:val="000000"/>
                <w:sz w:val="17"/>
              </w:rPr>
              <w:t>$97.8MM</w:t>
            </w:r>
          </w:p>
        </w:tc>
      </w:tr>
      <w:tr>
        <w:trPr/>
        <w:tc>
          <w:tcPr>
            <w:tcW w:w="7954"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4"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Net Expenses</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4"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vMerge w:val="restart"/>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Net Expenses</w:t>
            </w:r>
          </w:p>
        </w:tc>
      </w:tr>
      <w:tr>
        <w:trPr/>
        <w:tc>
          <w:tcPr>
            <w:tcW w:w="7954" w:type="dxa"/>
            <w:vMerge w:val="restart"/>
            <w:tcBorders/>
            <w:tcMar>
              <w:top w:w="0" w:type="dxa"/>
              <w:left w:w="0" w:type="dxa"/>
              <w:bottom w:w="0" w:type="dxa"/>
              <w:right w:w="0" w:type="dxa"/>
            </w:tcMar>
            <w:vAlign w:val="center"/>
          </w:tcPr>
          <w:p>
            <w:pPr>
              <w:pStyle w:val="TableContents"/>
              <w:bidi w:val="0"/>
              <w:jc w:val="left"/>
              <w:rPr>
                <w:rFonts w:ascii="sans-serif" w:hAnsi="sans-serif"/>
                <w:color w:val="000000"/>
                <w:sz w:val="19"/>
              </w:rPr>
            </w:pPr>
            <w:r>
              <w:rPr>
                <w:rFonts w:ascii="sans-serif" w:hAnsi="sans-serif"/>
                <w:color w:val="000000"/>
                <w:sz w:val="19"/>
              </w:rPr>
              <w:t>Net expenses totaled $55.7 million and $62.9 million for the three months ended June 30, 2026 and 2025, respectively. The decrease in net expenses was primarily due to a decrease in the average interest rate on our debt outstanding, which decreased from 6.3% for the three months ended June 30, 2025 to 5.6% for the three months ended June 30, 2026 due to a change in the mix of our debt financing sources and a change in SOFR rates.</w:t>
            </w:r>
          </w:p>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vMerge w:val="continue"/>
            <w:tcBorders/>
            <w:shd w:fill="0F2F50" w:val="clear"/>
            <w:tcMar>
              <w:top w:w="0" w:type="dxa"/>
              <w:left w:w="0" w:type="dxa"/>
              <w:bottom w:w="0" w:type="dxa"/>
              <w:right w:w="0" w:type="dxa"/>
            </w:tcMar>
            <w:vAlign w:val="center"/>
          </w:tcPr>
          <w:p>
            <w:pPr>
              <w:pStyle w:val="Normal"/>
              <w:bidi w:val="0"/>
              <w:jc w:val="left"/>
              <w:rPr/>
            </w:pPr>
            <w:r>
              <w:rPr/>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b/>
                <w:color w:val="000000"/>
                <w:sz w:val="17"/>
              </w:rPr>
            </w:pPr>
            <w:r>
              <w:rPr>
                <w:rFonts w:ascii="sans-serif" w:hAnsi="sans-serif"/>
                <w:b/>
                <w:color w:val="000000"/>
                <w:sz w:val="17"/>
              </w:rPr>
              <w:t>$55.7MM</w:t>
            </w:r>
          </w:p>
        </w:tc>
      </w:tr>
      <w:tr>
        <w:trPr/>
        <w:tc>
          <w:tcPr>
            <w:tcW w:w="7954"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4" w:type="dxa"/>
            <w:tcBorders/>
            <w:tcMar>
              <w:top w:w="0" w:type="dxa"/>
              <w:left w:w="0" w:type="dxa"/>
              <w:bottom w:w="0" w:type="dxa"/>
              <w:right w:w="0" w:type="dxa"/>
            </w:tcMar>
            <w:vAlign w:val="center"/>
          </w:tcPr>
          <w:p>
            <w:pPr>
              <w:pStyle w:val="TableContents"/>
              <w:bidi w:val="0"/>
              <w:spacing w:before="0" w:after="60"/>
              <w:jc w:val="both"/>
              <w:rPr>
                <w:rFonts w:ascii="sans-serif" w:hAnsi="sans-serif"/>
                <w:b/>
                <w:color w:val="000000"/>
                <w:sz w:val="19"/>
              </w:rPr>
            </w:pPr>
            <w:r>
              <w:rPr>
                <w:rFonts w:ascii="sans-serif" w:hAnsi="sans-serif"/>
                <w:b/>
                <w:color w:val="000000"/>
                <w:sz w:val="19"/>
              </w:rPr>
              <w:t>Debt and Capital Resources</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4" w:type="dxa"/>
            <w:tcBorders/>
            <w:tcMar>
              <w:top w:w="0" w:type="dxa"/>
              <w:left w:w="0" w:type="dxa"/>
              <w:bottom w:w="0" w:type="dxa"/>
              <w:right w:w="0" w:type="dxa"/>
            </w:tcMar>
            <w:vAlign w:val="center"/>
          </w:tcPr>
          <w:p>
            <w:pPr>
              <w:pStyle w:val="TableContents"/>
              <w:bidi w:val="0"/>
              <w:spacing w:before="0" w:after="60"/>
              <w:jc w:val="both"/>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4" w:type="dxa"/>
            <w:vMerge w:val="restart"/>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 of June 30, 2026, the Company had $193.6 million in cash and cash equivalents (including $36.3 million of restricted cash), total principal value of debt outstanding of $1,966.0 million, and $1,086.2 million of undrawn capacity on its revolving credit facility, subject to borrowing base and other limitations. The Company’s weighted average interest rate on debt outstanding was 5.6% and 5.5% for the three-month periods ended June 30, 2026 and March 31, 2026, respectively. At June 30, 2026, the Company’s debt to equity ratio was 1.27x, compared to 1.18x at March 31, 2026. Average debt to equity was 1.24x for the three-month period ended June 30, 2026, compared to 1.14x for the three-month period ended March 31, 2026.</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Total Principal Debt Outstanding</w:t>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$1,966.0MM</w:t>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2033"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17"/>
              </w:rPr>
            </w:pPr>
            <w:r>
              <w:rPr>
                <w:rFonts w:ascii="sans-serif" w:hAnsi="sans-serif"/>
                <w:b/>
                <w:color w:val="FFFFFF"/>
                <w:sz w:val="17"/>
              </w:rPr>
              <w:t>Debt-to-Equity Ratio</w:t>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left"/>
              <w:rPr>
                <w:rFonts w:ascii="sans-serif" w:hAnsi="sans-serif"/>
                <w:b/>
                <w:color w:val="000000"/>
                <w:sz w:val="17"/>
              </w:rPr>
            </w:pPr>
            <w:r>
              <w:rPr>
                <w:rFonts w:ascii="sans-serif" w:hAnsi="sans-serif"/>
                <w:b/>
                <w:color w:val="000000"/>
                <w:sz w:val="17"/>
              </w:rPr>
              <w:t>Q2 2026 Quarter End:</w:t>
            </w:r>
          </w:p>
        </w:tc>
        <w:tc>
          <w:tcPr>
            <w:tcW w:w="896" w:type="dxa"/>
            <w:tcBorders/>
            <w:shd w:fill="FFFFFF" w:val="clear"/>
            <w:tcMar>
              <w:top w:w="0" w:type="dxa"/>
              <w:left w:w="0" w:type="dxa"/>
              <w:bottom w:w="0" w:type="dxa"/>
              <w:right w:w="0" w:type="dxa"/>
            </w:tcMar>
            <w:vAlign w:val="center"/>
          </w:tcPr>
          <w:p>
            <w:pPr>
              <w:pStyle w:val="TableContents"/>
              <w:bidi w:val="0"/>
              <w:spacing w:before="0" w:after="283"/>
              <w:ind w:left="0" w:right="0" w:firstLine="72"/>
              <w:jc w:val="right"/>
              <w:rPr>
                <w:rFonts w:ascii="sans-serif" w:hAnsi="sans-serif"/>
                <w:b/>
                <w:color w:val="000000"/>
                <w:sz w:val="17"/>
              </w:rPr>
            </w:pPr>
            <w:r>
              <w:rPr>
                <w:rFonts w:ascii="sans-serif" w:hAnsi="sans-serif"/>
                <w:b/>
                <w:color w:val="000000"/>
                <w:sz w:val="17"/>
              </w:rPr>
              <w:t>1.27x</w:t>
            </w:r>
          </w:p>
        </w:tc>
      </w:tr>
      <w:tr>
        <w:trPr/>
        <w:tc>
          <w:tcPr>
            <w:tcW w:w="7954" w:type="dxa"/>
            <w:vMerge w:val="continue"/>
            <w:tcBorders/>
            <w:tcMar>
              <w:top w:w="0" w:type="dxa"/>
              <w:left w:w="0" w:type="dxa"/>
              <w:bottom w:w="0" w:type="dxa"/>
              <w:right w:w="0" w:type="dxa"/>
            </w:tcMar>
            <w:vAlign w:val="center"/>
          </w:tcPr>
          <w:p>
            <w:pPr>
              <w:pStyle w:val="Normal"/>
              <w:bidi w:val="0"/>
              <w:jc w:val="left"/>
              <w:rPr/>
            </w:pPr>
            <w:r>
              <w:rPr/>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ind w:left="0" w:right="0" w:firstLine="72"/>
              <w:jc w:val="left"/>
              <w:rPr>
                <w:rFonts w:ascii="Times New Roman" w:hAnsi="Times New Roman"/>
                <w:sz w:val="17"/>
              </w:rPr>
            </w:pPr>
            <w:r>
              <w:rPr>
                <w:rFonts w:ascii="sans-serif" w:hAnsi="sans-serif"/>
                <w:b/>
                <w:color w:val="000000"/>
                <w:sz w:val="17"/>
              </w:rPr>
              <w:t>Q2 2026 Average</w:t>
            </w:r>
            <w:r>
              <w:rPr>
                <w:rFonts w:ascii="sans-serif" w:hAnsi="sans-serif"/>
                <w:b/>
                <w:color w:val="000000"/>
                <w:sz w:val="11"/>
              </w:rPr>
              <w:t>1</w:t>
            </w:r>
            <w:r>
              <w:rPr>
                <w:rFonts w:ascii="sans-serif" w:hAnsi="sans-serif"/>
                <w:b/>
                <w:color w:val="000000"/>
                <w:sz w:val="17"/>
              </w:rPr>
              <w:t>:</w:t>
            </w:r>
          </w:p>
        </w:tc>
        <w:tc>
          <w:tcPr>
            <w:tcW w:w="896" w:type="dxa"/>
            <w:tcBorders/>
            <w:tcMar>
              <w:top w:w="0" w:type="dxa"/>
              <w:left w:w="0" w:type="dxa"/>
              <w:bottom w:w="0" w:type="dxa"/>
              <w:right w:w="0" w:type="dxa"/>
            </w:tcMar>
            <w:vAlign w:val="center"/>
          </w:tcPr>
          <w:p>
            <w:pPr>
              <w:pStyle w:val="TableContents"/>
              <w:bidi w:val="0"/>
              <w:spacing w:before="0" w:after="120"/>
              <w:ind w:left="0" w:right="0" w:firstLine="216"/>
              <w:jc w:val="right"/>
              <w:rPr>
                <w:rFonts w:ascii="sans-serif" w:hAnsi="sans-serif"/>
                <w:b/>
                <w:color w:val="000000"/>
                <w:sz w:val="17"/>
              </w:rPr>
            </w:pPr>
            <w:r>
              <w:rPr>
                <w:rFonts w:ascii="sans-serif" w:hAnsi="sans-serif"/>
                <w:b/>
                <w:color w:val="000000"/>
                <w:sz w:val="17"/>
              </w:rPr>
              <w:t>1.24x</w:t>
            </w:r>
          </w:p>
        </w:tc>
      </w:tr>
      <w:tr>
        <w:trPr/>
        <w:tc>
          <w:tcPr>
            <w:tcW w:w="7954" w:type="dxa"/>
            <w:tcBorders/>
            <w:tcMar>
              <w:top w:w="0" w:type="dxa"/>
              <w:left w:w="0" w:type="dxa"/>
              <w:bottom w:w="0" w:type="dxa"/>
              <w:right w:w="0" w:type="dxa"/>
            </w:tcMar>
            <w:vAlign w:val="center"/>
          </w:tcPr>
          <w:p>
            <w:pPr>
              <w:pStyle w:val="TableContents"/>
              <w:bidi w:val="0"/>
              <w:spacing w:before="120" w:after="283"/>
              <w:jc w:val="left"/>
              <w:rPr>
                <w:rFonts w:ascii="sans-serif" w:hAnsi="sans-serif"/>
                <w:color w:val="000000"/>
                <w:sz w:val="16"/>
              </w:rPr>
            </w:pPr>
            <w:r>
              <w:rPr>
                <w:rFonts w:ascii="sans-serif" w:hAnsi="sans-serif"/>
                <w:color w:val="000000"/>
                <w:sz w:val="16"/>
              </w:rPr>
              <w:t>1.</w:t>
            </w:r>
          </w:p>
          <w:p>
            <w:pPr>
              <w:pStyle w:val="TableContents"/>
              <w:bidi w:val="0"/>
              <w:spacing w:before="120" w:after="283"/>
              <w:jc w:val="left"/>
              <w:rPr>
                <w:rFonts w:ascii="sans-serif" w:hAnsi="sans-serif"/>
                <w:color w:val="000000"/>
                <w:sz w:val="16"/>
              </w:rPr>
            </w:pPr>
            <w:r>
              <w:rPr>
                <w:rFonts w:ascii="sans-serif" w:hAnsi="sans-serif"/>
                <w:color w:val="000000"/>
                <w:sz w:val="16"/>
              </w:rPr>
              <w:t>Daily average debt outstanding during the quarter divided by the average net assets during the quarter. Average net assets is calculated by starting with the prior quarter end net asset value and adjusting for capital activity during the quarter (adding common stock offerings / DRIP contributions).</w:t>
            </w:r>
          </w:p>
        </w:tc>
        <w:tc>
          <w:tcPr>
            <w:tcW w:w="218"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ind w:left="0" w:right="0" w:firstLine="72"/>
              <w:jc w:val="left"/>
              <w:rPr/>
            </w:pPr>
            <w:r>
              <w:rPr/>
              <w:t> </w:t>
            </w:r>
          </w:p>
        </w:tc>
        <w:tc>
          <w:tcPr>
            <w:tcW w:w="89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b/>
          <w:caps/>
          <w:color w:val="000000"/>
          <w:sz w:val="24"/>
        </w:rPr>
      </w:pPr>
      <w:r>
        <w:rPr>
          <w:rFonts w:ascii="sans-serif" w:hAnsi="sans-serif"/>
          <w:b/>
          <w:caps/>
          <w:color w:val="000000"/>
          <w:sz w:val="24"/>
        </w:rPr>
        <w:t>LIQUIDITY AND FUNDING PROFILE</w:t>
      </w:r>
    </w:p>
    <w:p>
      <w:pPr>
        <w:pStyle w:val="TextBody"/>
        <w:bidi w:val="0"/>
        <w:jc w:val="left"/>
        <w:rPr/>
      </w:pPr>
      <w:r>
        <w:rPr/>
        <w:t> </w:t>
      </w:r>
    </w:p>
    <w:p>
      <w:pPr>
        <w:pStyle w:val="TextBody"/>
        <w:bidi w:val="0"/>
        <w:spacing w:before="0" w:after="120"/>
        <w:jc w:val="left"/>
        <w:rPr>
          <w:rFonts w:ascii="sans-serif" w:hAnsi="sans-serif"/>
          <w:b/>
          <w:color w:val="000000"/>
          <w:sz w:val="19"/>
        </w:rPr>
      </w:pPr>
      <w:r>
        <w:rPr>
          <w:rFonts w:ascii="sans-serif" w:hAnsi="sans-serif"/>
          <w:b/>
          <w:color w:val="000000"/>
          <w:sz w:val="19"/>
        </w:rPr>
        <w:t>Liquidity</w:t>
      </w:r>
    </w:p>
    <w:p>
      <w:pPr>
        <w:pStyle w:val="TextBody"/>
        <w:bidi w:val="0"/>
        <w:jc w:val="both"/>
        <w:rPr>
          <w:rFonts w:ascii="sans-serif" w:hAnsi="sans-serif"/>
          <w:color w:val="000000"/>
          <w:sz w:val="20"/>
        </w:rPr>
      </w:pPr>
      <w:r>
        <w:rPr>
          <w:rFonts w:ascii="sans-serif" w:hAnsi="sans-serif"/>
          <w:color w:val="000000"/>
          <w:sz w:val="20"/>
        </w:rPr>
        <w:t>The following tables summarize the Company’s liquidity at June 30, 2026 and changes to unfunded commitments since March 31, 2026.</w:t>
      </w:r>
    </w:p>
    <w:p>
      <w:pPr>
        <w:pStyle w:val="TextBody"/>
        <w:bidi w:val="0"/>
        <w:jc w:val="left"/>
        <w:rPr/>
      </w:pPr>
      <w:r>
        <w:rPr/>
        <w:t> </w:t>
      </w:r>
    </w:p>
    <w:p>
      <w:pPr>
        <w:pStyle w:val="TextBody"/>
        <w:bidi w:val="0"/>
        <w:jc w:val="left"/>
        <w:rPr>
          <w:rFonts w:ascii="sans-serif" w:hAnsi="sans-serif"/>
          <w:color w:val="000000"/>
          <w:sz w:val="16"/>
        </w:rPr>
      </w:pPr>
      <w:r>
        <w:rPr>
          <w:rFonts w:ascii="sans-serif" w:hAnsi="sans-serif"/>
          <w:color w:val="000000"/>
          <w:sz w:val="16"/>
        </w:rPr>
        <w:t>$ Millions</w:t>
      </w:r>
    </w:p>
    <w:tbl>
      <w:tblPr>
        <w:tblW w:w="10205" w:type="dxa"/>
        <w:jc w:val="left"/>
        <w:tblInd w:w="0" w:type="dxa"/>
        <w:tblLayout w:type="fixed"/>
        <w:tblCellMar>
          <w:top w:w="28" w:type="dxa"/>
          <w:left w:w="28" w:type="dxa"/>
          <w:bottom w:w="28" w:type="dxa"/>
          <w:right w:w="28" w:type="dxa"/>
        </w:tblCellMar>
      </w:tblPr>
      <w:tblGrid>
        <w:gridCol w:w="4330"/>
        <w:gridCol w:w="781"/>
        <w:gridCol w:w="146"/>
        <w:gridCol w:w="4192"/>
        <w:gridCol w:w="756"/>
      </w:tblGrid>
      <w:tr>
        <w:trPr/>
        <w:tc>
          <w:tcPr>
            <w:tcW w:w="433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5111"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Revolving Credit Facility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48" w:type="dxa"/>
            <w:gridSpan w:val="2"/>
            <w:tcBorders/>
            <w:shd w:fill="0F2F50" w:val="clear"/>
            <w:tcMar>
              <w:top w:w="0" w:type="dxa"/>
              <w:left w:w="0" w:type="dxa"/>
              <w:bottom w:w="0" w:type="dxa"/>
              <w:right w:w="0" w:type="dxa"/>
            </w:tcMar>
            <w:vAlign w:val="center"/>
          </w:tcPr>
          <w:p>
            <w:pPr>
              <w:pStyle w:val="TableContents"/>
              <w:bidi w:val="0"/>
              <w:spacing w:before="0" w:after="283"/>
              <w:jc w:val="center"/>
              <w:rPr>
                <w:rFonts w:ascii="sans-serif" w:hAnsi="sans-serif"/>
                <w:b/>
                <w:color w:val="FFFFFF"/>
                <w:sz w:val="20"/>
              </w:rPr>
            </w:pPr>
            <w:r>
              <w:rPr>
                <w:rFonts w:ascii="sans-serif" w:hAnsi="sans-serif"/>
                <w:b/>
                <w:color w:val="FFFFFF"/>
                <w:sz w:val="20"/>
              </w:rPr>
              <w:t>Unfunded Commitment Activity</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Revolver Capacity</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$1,525</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Unfunded Commitments (See Note 8 in 3/31/26 10-Q)</w:t>
            </w:r>
            <w:r>
              <w:rPr>
                <w:rFonts w:ascii="Times New Roman" w:hAnsi="Times New Roman"/>
                <w:color w:val="000000"/>
                <w:sz w:val="18"/>
              </w:rPr>
              <w:t xml:space="preserve"> </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$512</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Drawn on Revolver</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($416)</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Extinguished Unfunded Commitments</w:t>
            </w:r>
            <w:r>
              <w:rPr>
                <w:rFonts w:ascii="Times New Roman" w:hAnsi="Times New Roman"/>
                <w:color w:val="000000"/>
                <w:sz w:val="18"/>
              </w:rPr>
              <w:t xml:space="preserve"> </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Unrestricted Cash Balance</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New Unfunded Commitments</w:t>
            </w:r>
            <w:r>
              <w:rPr>
                <w:rFonts w:ascii="Times New Roman" w:hAnsi="Times New Roman"/>
                <w:color w:val="000000"/>
                <w:sz w:val="18"/>
              </w:rPr>
              <w:t xml:space="preserve"> </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Issued Letters of Credit</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Drawdown of Unfunded Commitments</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Total Liquidity (Pre-Unfunded Commitments)</w:t>
            </w:r>
            <w:r>
              <w:rPr>
                <w:rFonts w:ascii="Times New Roman" w:hAnsi="Times New Roman"/>
                <w:color w:val="000000"/>
                <w:sz w:val="18"/>
              </w:rPr>
              <w:t xml:space="preserve"> </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$1,243</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Unfunded Commitments</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$432</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Available Unfunded Commitments</w:t>
            </w:r>
            <w:r>
              <w:rPr>
                <w:rFonts w:ascii="sans-serif" w:hAnsi="sans-serif"/>
                <w:color w:val="000000"/>
                <w:sz w:val="12"/>
              </w:rPr>
              <w:t>1</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color w:val="000000"/>
                <w:sz w:val="18"/>
              </w:rPr>
              <w:t>Unavailable Unfunded Commitments</w:t>
            </w:r>
            <w:r>
              <w:rPr>
                <w:rFonts w:ascii="sans-serif" w:hAnsi="sans-serif"/>
                <w:color w:val="000000"/>
                <w:sz w:val="12"/>
              </w:rPr>
              <w:t>1</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($211)</w:t>
            </w:r>
          </w:p>
        </w:tc>
      </w:tr>
      <w:tr>
        <w:trPr/>
        <w:tc>
          <w:tcPr>
            <w:tcW w:w="4330" w:type="dxa"/>
            <w:tcBorders>
              <w:bottom w:val="single" w:sz="6" w:space="0" w:color="ECEEF0"/>
            </w:tcBorders>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Liquidity (Burdened for Unfunded Commitments)</w:t>
            </w:r>
          </w:p>
        </w:tc>
        <w:tc>
          <w:tcPr>
            <w:tcW w:w="781"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$1,022</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 </w:t>
            </w:r>
          </w:p>
        </w:tc>
        <w:tc>
          <w:tcPr>
            <w:tcW w:w="4192" w:type="dxa"/>
            <w:tcBorders>
              <w:bottom w:val="single" w:sz="6" w:space="0" w:color="ECEEF0"/>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sans-serif" w:hAnsi="sans-serif"/>
                <w:b/>
                <w:color w:val="000000"/>
                <w:sz w:val="18"/>
              </w:rPr>
              <w:t>Available Unfunded Commitments</w:t>
            </w:r>
            <w:r>
              <w:rPr>
                <w:rFonts w:ascii="sans-serif" w:hAnsi="sans-serif"/>
                <w:b/>
                <w:color w:val="000000"/>
                <w:sz w:val="12"/>
              </w:rPr>
              <w:t>1</w:t>
            </w:r>
          </w:p>
        </w:tc>
        <w:tc>
          <w:tcPr>
            <w:tcW w:w="756" w:type="dxa"/>
            <w:tcBorders>
              <w:bottom w:val="single" w:sz="6" w:space="0" w:color="ECEEF0"/>
            </w:tcBorders>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$221</w:t>
            </w:r>
          </w:p>
        </w:tc>
      </w:tr>
    </w:tbl>
    <w:p>
      <w:pPr>
        <w:pStyle w:val="TextBody"/>
        <w:bidi w:val="0"/>
        <w:jc w:val="both"/>
        <w:rPr/>
      </w:pPr>
      <w:r>
        <w:rPr/>
        <w:t> </w:t>
      </w:r>
    </w:p>
    <w:p>
      <w:pPr>
        <w:pStyle w:val="TextBody"/>
        <w:bidi w:val="0"/>
        <w:spacing w:before="0" w:after="0"/>
        <w:jc w:val="both"/>
        <w:rPr>
          <w:rFonts w:ascii="sans-serif" w:hAnsi="sans-serif"/>
          <w:color w:val="000000"/>
          <w:sz w:val="14"/>
        </w:rPr>
      </w:pPr>
      <w:r>
        <w:rPr>
          <w:rFonts w:ascii="sans-serif" w:hAnsi="sans-serif"/>
          <w:color w:val="000000"/>
          <w:sz w:val="14"/>
        </w:rPr>
        <w:t>1.</w:t>
      </w:r>
    </w:p>
    <w:p>
      <w:pPr>
        <w:pStyle w:val="TextBody"/>
        <w:bidi w:val="0"/>
        <w:jc w:val="both"/>
        <w:rPr>
          <w:rFonts w:ascii="sans-serif" w:hAnsi="sans-serif"/>
          <w:color w:val="000000"/>
          <w:sz w:val="14"/>
        </w:rPr>
      </w:pPr>
      <w:r>
        <w:rPr>
          <w:rFonts w:ascii="sans-serif" w:hAnsi="sans-serif"/>
          <w:color w:val="000000"/>
          <w:sz w:val="14"/>
        </w:rPr>
        <w:t>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0" w:after="160"/>
        <w:jc w:val="left"/>
        <w:rPr>
          <w:rFonts w:ascii="sans-serif" w:hAnsi="sans-serif"/>
          <w:color w:val="000000"/>
          <w:sz w:val="14"/>
        </w:rPr>
      </w:pPr>
      <w:r>
        <w:rPr>
          <w:rFonts w:ascii="sans-serif" w:hAnsi="sans-serif"/>
          <w:color w:val="000000"/>
          <w:sz w:val="14"/>
        </w:rPr>
        <w:t>Note: May not sum due to rounding.</w:t>
      </w:r>
    </w:p>
    <w:p>
      <w:pPr>
        <w:pStyle w:val="TextBody"/>
        <w:bidi w:val="0"/>
        <w:jc w:val="left"/>
        <w:rPr/>
      </w:pPr>
      <w:r>
        <w:rPr/>
        <w:t> </w:t>
      </w:r>
    </w:p>
    <w:p>
      <w:pPr>
        <w:pStyle w:val="TextBody"/>
        <w:bidi w:val="0"/>
        <w:spacing w:before="0" w:after="120"/>
        <w:jc w:val="left"/>
        <w:rPr>
          <w:rFonts w:ascii="sans-serif" w:hAnsi="sans-serif"/>
          <w:b/>
          <w:color w:val="000000"/>
          <w:sz w:val="20"/>
        </w:rPr>
      </w:pPr>
      <w:r>
        <w:rPr>
          <w:rFonts w:ascii="sans-serif" w:hAnsi="sans-serif"/>
          <w:b/>
          <w:color w:val="000000"/>
          <w:sz w:val="20"/>
        </w:rPr>
        <w:t>Funding Profile</w:t>
      </w:r>
    </w:p>
    <w:p>
      <w:pPr>
        <w:pStyle w:val="TextBody"/>
        <w:bidi w:val="0"/>
        <w:jc w:val="left"/>
        <w:rPr>
          <w:rFonts w:ascii="Times New Roman" w:hAnsi="Times New Roman"/>
          <w:sz w:val="20"/>
        </w:rPr>
      </w:pPr>
      <w:r>
        <w:rPr>
          <w:rFonts w:ascii="sans-serif" w:hAnsi="sans-serif"/>
          <w:color w:val="000000"/>
          <w:sz w:val="20"/>
        </w:rPr>
        <w:t>At June 30, 2026, the Company’s funding mix was comprised of approximately 79% unsecured and 21% secured debt. As illustrated below, the Company’s nearest debt maturity was in August 2026 at $300 million, and the weighted average remaining life of investments funded with debt was ~2.4 years, compared to a weighted average remaining maturity on debt of ~3.8 years</w:t>
      </w:r>
      <w:r>
        <w:rPr>
          <w:rFonts w:ascii="sans-serif" w:hAnsi="sans-serif"/>
          <w:color w:val="000000"/>
          <w:sz w:val="13"/>
        </w:rPr>
        <w:t>1</w:t>
      </w:r>
      <w:r>
        <w:rPr>
          <w:rFonts w:ascii="sans-serif" w:hAnsi="sans-serif"/>
          <w:color w:val="000000"/>
          <w:sz w:val="20"/>
        </w:rPr>
        <w:t>.</w:t>
      </w:r>
    </w:p>
    <w:p>
      <w:pPr>
        <w:pStyle w:val="TextBody"/>
        <w:bidi w:val="0"/>
        <w:jc w:val="left"/>
        <w:rPr/>
      </w:pPr>
      <w:r>
        <w:rPr/>
        <w:t> </w:t>
      </w:r>
    </w:p>
    <w:p>
      <w:pPr>
        <w:pStyle w:val="TextBody"/>
        <w:bidi w:val="0"/>
        <w:jc w:val="both"/>
        <w:rPr/>
      </w:pPr>
      <w:r>
        <w:rPr/>
        <w:drawing>
          <wp:inline distT="0" distB="0" distL="0" distR="0">
            <wp:extent cx="6438900" cy="1828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38900" cy="1828800"/>
                    </a:xfrm>
                    <a:prstGeom prst="rect">
                      <a:avLst/>
                    </a:prstGeom>
                  </pic:spPr>
                </pic:pic>
              </a:graphicData>
            </a:graphic>
          </wp:inline>
        </w:drawing>
      </w:r>
    </w:p>
    <w:p>
      <w:pPr>
        <w:pStyle w:val="TextBody"/>
        <w:bidi w:val="0"/>
        <w:jc w:val="both"/>
        <w:rPr>
          <w:rFonts w:ascii="sans-serif" w:hAnsi="sans-serif"/>
          <w:color w:val="000000"/>
          <w:sz w:val="14"/>
        </w:rPr>
      </w:pPr>
      <w:r>
        <w:rPr>
          <w:rFonts w:ascii="sans-serif" w:hAnsi="sans-serif"/>
          <w:color w:val="000000"/>
          <w:sz w:val="14"/>
        </w:rPr>
        <w:t>*$300 million unsecured notes with a August 1, 2026 maturity date were repaid post quarter end.</w:t>
      </w:r>
    </w:p>
    <w:p>
      <w:pPr>
        <w:pStyle w:val="TextBody"/>
        <w:bidi w:val="0"/>
        <w:jc w:val="both"/>
        <w:rPr/>
      </w:pPr>
      <w:r>
        <w:rPr/>
        <w:t> </w:t>
      </w:r>
    </w:p>
    <w:p>
      <w:pPr>
        <w:pStyle w:val="TextBody"/>
        <w:bidi w:val="0"/>
        <w:spacing w:before="0" w:after="120"/>
        <w:jc w:val="both"/>
        <w:rPr>
          <w:rFonts w:ascii="sans-serif" w:hAnsi="sans-serif"/>
          <w:color w:val="000000"/>
          <w:sz w:val="14"/>
        </w:rPr>
      </w:pPr>
      <w:r>
        <w:rPr>
          <w:rFonts w:ascii="sans-serif" w:hAnsi="sans-serif"/>
          <w:color w:val="000000"/>
          <w:sz w:val="14"/>
        </w:rPr>
        <w:t>1.</w:t>
      </w:r>
    </w:p>
    <w:p>
      <w:pPr>
        <w:pStyle w:val="TextBody"/>
        <w:bidi w:val="0"/>
        <w:spacing w:before="0" w:after="120"/>
        <w:jc w:val="both"/>
        <w:rPr>
          <w:rFonts w:ascii="sans-serif" w:hAnsi="sans-serif"/>
          <w:color w:val="000000"/>
          <w:sz w:val="14"/>
        </w:rPr>
      </w:pPr>
      <w:r>
        <w:rPr>
          <w:rFonts w:ascii="sans-serif" w:hAnsi="sans-serif"/>
          <w:color w:val="000000"/>
          <w:sz w:val="14"/>
        </w:rPr>
        <w:t xml:space="preserve">Weighted by gross commitment amount </w:t>
      </w:r>
    </w:p>
    <w:p>
      <w:pPr>
        <w:pStyle w:val="TextBody"/>
        <w:bidi w:val="0"/>
        <w:spacing w:before="0" w:after="120"/>
        <w:jc w:val="both"/>
        <w:rPr>
          <w:rFonts w:ascii="sans-serif" w:hAnsi="sans-serif"/>
          <w:color w:val="000000"/>
          <w:sz w:val="14"/>
        </w:rPr>
      </w:pPr>
      <w:r>
        <w:rPr>
          <w:rFonts w:ascii="sans-serif" w:hAnsi="sans-serif"/>
          <w:color w:val="000000"/>
          <w:sz w:val="14"/>
        </w:rPr>
        <w:t>2.</w:t>
      </w:r>
    </w:p>
    <w:p>
      <w:pPr>
        <w:pStyle w:val="TextBody"/>
        <w:bidi w:val="0"/>
        <w:spacing w:before="0" w:after="120"/>
        <w:jc w:val="both"/>
        <w:rPr>
          <w:rFonts w:ascii="sans-serif" w:hAnsi="sans-serif"/>
          <w:color w:val="000000"/>
          <w:sz w:val="14"/>
        </w:rPr>
      </w:pPr>
      <w:r>
        <w:rPr>
          <w:rFonts w:ascii="sans-serif" w:hAnsi="sans-serif"/>
          <w:color w:val="000000"/>
          <w:sz w:val="14"/>
        </w:rPr>
        <w:t xml:space="preserve">The amount available may be subject to limitations related to the borrowing base under the Revolving Credit Facility, outstanding letters of credit and asset coverage requirements. </w:t>
      </w:r>
    </w:p>
    <w:p>
      <w:pPr>
        <w:pStyle w:val="TextBody"/>
        <w:bidi w:val="0"/>
        <w:spacing w:before="0" w:after="120"/>
        <w:jc w:val="both"/>
        <w:rPr>
          <w:rFonts w:ascii="sans-serif" w:hAnsi="sans-serif"/>
          <w:color w:val="000000"/>
          <w:sz w:val="14"/>
        </w:rPr>
      </w:pPr>
      <w:r>
        <w:rPr>
          <w:rFonts w:ascii="sans-serif" w:hAnsi="sans-serif"/>
          <w:color w:val="000000"/>
          <w:sz w:val="14"/>
        </w:rPr>
        <w:t>Note: Numbers may not sum due to rounding.</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Conference Call and Webcast</w:t>
      </w:r>
    </w:p>
    <w:p>
      <w:pPr>
        <w:pStyle w:val="TextBody"/>
        <w:bidi w:val="0"/>
        <w:jc w:val="left"/>
        <w:rPr/>
      </w:pPr>
      <w:r>
        <w:rPr/>
        <w:t> </w:t>
      </w:r>
    </w:p>
    <w:p>
      <w:pPr>
        <w:pStyle w:val="TextBody"/>
        <w:bidi w:val="0"/>
        <w:spacing w:before="0" w:after="360"/>
        <w:jc w:val="both"/>
        <w:rPr>
          <w:rFonts w:ascii="sans-serif" w:hAnsi="sans-serif"/>
          <w:b/>
          <w:color w:val="000000"/>
          <w:sz w:val="20"/>
        </w:rPr>
      </w:pPr>
      <w:r>
        <w:rPr>
          <w:rFonts w:ascii="sans-serif" w:hAnsi="sans-serif"/>
          <w:b/>
          <w:color w:val="000000"/>
          <w:sz w:val="20"/>
        </w:rPr>
        <w:t>Conference Call Information:</w:t>
      </w:r>
    </w:p>
    <w:p>
      <w:pPr>
        <w:pStyle w:val="TextBody"/>
        <w:bidi w:val="0"/>
        <w:jc w:val="both"/>
        <w:rPr>
          <w:rFonts w:ascii="sans-serif" w:hAnsi="sans-serif"/>
          <w:color w:val="000000"/>
          <w:sz w:val="20"/>
        </w:rPr>
      </w:pPr>
      <w:r>
        <w:rPr>
          <w:rFonts w:ascii="sans-serif" w:hAnsi="sans-serif"/>
          <w:color w:val="000000"/>
          <w:sz w:val="20"/>
        </w:rPr>
        <w:t>A conference call to discuss the Company’s financial results will be held at 8:30 a.m. Eastern Time on August 5, 2026.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pStyle w:val="TextBody"/>
        <w:bidi w:val="0"/>
        <w:jc w:val="both"/>
        <w:rPr/>
      </w:pPr>
      <w:r>
        <w:rPr/>
        <w:t> </w:t>
      </w:r>
    </w:p>
    <w:p>
      <w:pPr>
        <w:pStyle w:val="TextBody"/>
        <w:bidi w:val="0"/>
        <w:jc w:val="left"/>
        <w:rPr>
          <w:rFonts w:ascii="sans-serif" w:hAnsi="sans-serif"/>
          <w:color w:val="000000"/>
          <w:sz w:val="20"/>
        </w:rPr>
      </w:pPr>
      <w:r>
        <w:rPr>
          <w:rFonts w:ascii="sans-serif" w:hAnsi="sans-serif"/>
          <w:color w:val="000000"/>
          <w:sz w:val="20"/>
        </w:rPr>
        <w:t>Research analysts who wish to participate in the conference call must first register at https://register-conf.media-server.com/register/BIb094b698d91c489080310428d3254a9e. Upon registration, all telephone participants will receive a confirmation email detailing how to join the conference call, including the dial-in number along with a unique passcode and registrant ID that can be used to access the call.</w:t>
      </w:r>
    </w:p>
    <w:p>
      <w:pPr>
        <w:pStyle w:val="TextBody"/>
        <w:bidi w:val="0"/>
        <w:spacing w:before="0" w:after="160"/>
        <w:jc w:val="both"/>
        <w:rPr/>
      </w:pPr>
      <w:r>
        <w:rPr/>
        <w:t> </w:t>
      </w:r>
    </w:p>
    <w:p>
      <w:pPr>
        <w:pStyle w:val="TextBody"/>
        <w:bidi w:val="0"/>
        <w:jc w:val="both"/>
        <w:rPr>
          <w:rFonts w:ascii="sans-serif" w:hAnsi="sans-serif"/>
          <w:b/>
          <w:color w:val="000000"/>
          <w:sz w:val="20"/>
        </w:rPr>
      </w:pPr>
      <w:r>
        <w:rPr>
          <w:rFonts w:ascii="sans-serif" w:hAnsi="sans-serif"/>
          <w:b/>
          <w:color w:val="000000"/>
          <w:sz w:val="20"/>
        </w:rPr>
        <w:t>Replay Information:</w:t>
      </w:r>
    </w:p>
    <w:p>
      <w:pPr>
        <w:pStyle w:val="TextBody"/>
        <w:bidi w:val="0"/>
        <w:spacing w:before="160" w:after="283"/>
        <w:jc w:val="both"/>
        <w:rPr/>
      </w:pPr>
      <w:r>
        <w:rPr/>
        <w:t> </w:t>
      </w:r>
    </w:p>
    <w:p>
      <w:pPr>
        <w:pStyle w:val="TextBody"/>
        <w:bidi w:val="0"/>
        <w:jc w:val="both"/>
        <w:rPr>
          <w:rFonts w:ascii="Times New Roman" w:hAnsi="Times New Roman"/>
          <w:sz w:val="20"/>
        </w:rPr>
      </w:pPr>
      <w:r>
        <w:rPr>
          <w:rFonts w:ascii="sans-serif" w:hAnsi="sans-serif"/>
          <w:color w:val="000000"/>
          <w:sz w:val="20"/>
        </w:rPr>
        <w:t>A recorded version will be available under the same webcast link (</w:t>
      </w:r>
      <w:r>
        <w:rPr>
          <w:rFonts w:ascii="sans-serif" w:hAnsi="sans-serif"/>
          <w:color w:val="0563C1"/>
          <w:sz w:val="20"/>
        </w:rPr>
        <w:t>https://sixthstreetspecialtylending.gcs-web.com/events-and-presentations</w:t>
      </w:r>
      <w:r>
        <w:rPr>
          <w:rFonts w:ascii="sans-serif" w:hAnsi="sans-serif"/>
          <w:color w:val="000000"/>
          <w:sz w:val="20"/>
        </w:rPr>
        <w:t>) following the conclusion of the conference call.</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Financial Highlights</w:t>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(Amounts in millions, except per share amounts)</w:t>
      </w:r>
    </w:p>
    <w:tbl>
      <w:tblPr>
        <w:tblW w:w="10205" w:type="dxa"/>
        <w:jc w:val="left"/>
        <w:tblInd w:w="0" w:type="dxa"/>
        <w:tblLayout w:type="fixed"/>
        <w:tblCellMar>
          <w:top w:w="28" w:type="dxa"/>
          <w:left w:w="28" w:type="dxa"/>
          <w:bottom w:w="28" w:type="dxa"/>
          <w:right w:w="28" w:type="dxa"/>
        </w:tblCellMar>
      </w:tblPr>
      <w:tblGrid>
        <w:gridCol w:w="4717"/>
        <w:gridCol w:w="146"/>
        <w:gridCol w:w="146"/>
        <w:gridCol w:w="216"/>
        <w:gridCol w:w="149"/>
        <w:gridCol w:w="740"/>
        <w:gridCol w:w="271"/>
        <w:gridCol w:w="146"/>
        <w:gridCol w:w="146"/>
        <w:gridCol w:w="272"/>
        <w:gridCol w:w="188"/>
        <w:gridCol w:w="933"/>
        <w:gridCol w:w="271"/>
        <w:gridCol w:w="146"/>
        <w:gridCol w:w="146"/>
        <w:gridCol w:w="216"/>
        <w:gridCol w:w="149"/>
        <w:gridCol w:w="740"/>
        <w:gridCol w:w="271"/>
        <w:gridCol w:w="196"/>
      </w:tblGrid>
      <w:tr>
        <w:trPr/>
        <w:tc>
          <w:tcPr>
            <w:tcW w:w="4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1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Dividend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Asset Value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Gains Incentive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Investment Income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Net Income (Loss)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Gains Incentive Fee Expense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Investment Income Per Share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Net Income (Loss) Per Share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(Net Investment Income)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(Net Income (Loss))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(Adjusted Net Investment Income)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Annualized Return on Equity (Adjusted Net Income (Loss)) </w:t>
            </w:r>
            <w:r>
              <w:rPr>
                <w:rFonts w:ascii="Times New Roman" w:hAnsi="Times New Roman"/>
                <w:color w:val="000000"/>
                <w:sz w:val="13"/>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of Debt and Income Producing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Yield of Debt and Income Producing Securities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Debt Investment Commitments at Floating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sans-serif" w:hAnsi="sans-serif"/>
          <w:color w:val="000000"/>
          <w:sz w:val="16"/>
        </w:rPr>
      </w:pPr>
      <w:r>
        <w:rPr>
          <w:rFonts w:ascii="sans-serif" w:hAnsi="sans-serif"/>
          <w:color w:val="000000"/>
          <w:sz w:val="16"/>
        </w:rPr>
        <w:t>1.</w:t>
      </w:r>
    </w:p>
    <w:p>
      <w:pPr>
        <w:pStyle w:val="TextBody"/>
        <w:bidi w:val="0"/>
        <w:spacing w:before="0" w:after="0"/>
        <w:jc w:val="both"/>
        <w:rPr>
          <w:rFonts w:ascii="sans-serif" w:hAnsi="sans-serif"/>
          <w:color w:val="000000"/>
          <w:sz w:val="16"/>
        </w:rPr>
      </w:pPr>
      <w:r>
        <w:rPr>
          <w:rFonts w:ascii="sans-serif" w:hAnsi="sans-serif"/>
          <w:color w:val="000000"/>
          <w:sz w:val="16"/>
        </w:rPr>
        <w:t xml:space="preserve">Adjusted net asset value per share gives effect to the supplemental dividend declared related to earnings or special dividend in the applicable period. </w:t>
      </w:r>
    </w:p>
    <w:p>
      <w:pPr>
        <w:pStyle w:val="TextBody"/>
        <w:bidi w:val="0"/>
        <w:spacing w:before="0" w:after="0"/>
        <w:jc w:val="both"/>
        <w:rPr>
          <w:rFonts w:ascii="sans-serif" w:hAnsi="sans-serif"/>
          <w:color w:val="000000"/>
          <w:sz w:val="16"/>
        </w:rPr>
      </w:pPr>
      <w:r>
        <w:rPr>
          <w:rFonts w:ascii="sans-serif" w:hAnsi="sans-serif"/>
          <w:color w:val="000000"/>
          <w:sz w:val="16"/>
        </w:rPr>
        <w:t>2.</w:t>
      </w:r>
    </w:p>
    <w:p>
      <w:pPr>
        <w:pStyle w:val="TextBody"/>
        <w:bidi w:val="0"/>
        <w:spacing w:before="0" w:after="0"/>
        <w:jc w:val="both"/>
        <w:rPr>
          <w:rFonts w:ascii="sans-serif" w:hAnsi="sans-serif"/>
          <w:color w:val="000000"/>
          <w:sz w:val="16"/>
        </w:rPr>
      </w:pPr>
      <w:r>
        <w:rPr>
          <w:rFonts w:ascii="sans-serif" w:hAnsi="sans-serif"/>
          <w:color w:val="000000"/>
          <w:sz w:val="16"/>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pStyle w:val="TextBody"/>
        <w:bidi w:val="0"/>
        <w:spacing w:before="0" w:after="0"/>
        <w:jc w:val="both"/>
        <w:rPr>
          <w:rFonts w:ascii="sans-serif" w:hAnsi="sans-serif"/>
          <w:color w:val="000000"/>
          <w:sz w:val="16"/>
        </w:rPr>
      </w:pPr>
      <w:r>
        <w:rPr>
          <w:rFonts w:ascii="sans-serif" w:hAnsi="sans-serif"/>
          <w:color w:val="000000"/>
          <w:sz w:val="16"/>
        </w:rPr>
        <w:t>3.</w:t>
      </w:r>
    </w:p>
    <w:p>
      <w:pPr>
        <w:pStyle w:val="TextBody"/>
        <w:bidi w:val="0"/>
        <w:jc w:val="both"/>
        <w:rPr>
          <w:rFonts w:ascii="sans-serif" w:hAnsi="sans-serif"/>
          <w:color w:val="000000"/>
          <w:sz w:val="16"/>
        </w:rPr>
      </w:pPr>
      <w:r>
        <w:rPr>
          <w:rFonts w:ascii="sans-serif" w:hAnsi="sans-serif"/>
          <w:color w:val="000000"/>
          <w:sz w:val="16"/>
        </w:rPr>
        <w:t>Return on equity is calculated using prior period’s ending net asset value per share.</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Heading1"/>
        <w:pBdr>
          <w:bottom w:val="single" w:sz="6" w:space="1" w:color="A0ABB4"/>
        </w:pBdr>
        <w:bidi w:val="0"/>
        <w:jc w:val="left"/>
        <w:rPr>
          <w:rFonts w:ascii="sans-serif" w:hAnsi="sans-serif"/>
          <w:caps/>
          <w:color w:val="000000"/>
          <w:sz w:val="36"/>
        </w:rPr>
      </w:pPr>
      <w:r>
        <w:rPr>
          <w:rFonts w:ascii="sans-serif" w:hAnsi="sans-serif"/>
          <w:caps/>
          <w:color w:val="000000"/>
          <w:sz w:val="36"/>
        </w:rPr>
        <w:t>Financial Statements and Tables</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2"/>
        </w:rPr>
        <w:t>Sixth Street Specialty Lending, Inc.</w:t>
      </w:r>
      <w:r>
        <w:rPr>
          <w:rFonts w:ascii="sans-serif" w:hAnsi="sans-serif"/>
          <w:color w:val="000000"/>
          <w:sz w:val="22"/>
        </w:rPr>
        <w:br/>
        <w:t>Consolidated Balance Sheets</w:t>
      </w:r>
    </w:p>
    <w:p>
      <w:pPr>
        <w:pStyle w:val="TextBody"/>
        <w:bidi w:val="0"/>
        <w:jc w:val="center"/>
        <w:rPr>
          <w:rFonts w:ascii="sans-serif" w:hAnsi="sans-serif"/>
          <w:i/>
          <w:color w:val="000000"/>
          <w:sz w:val="20"/>
        </w:rPr>
      </w:pPr>
      <w:r>
        <w:rPr>
          <w:rFonts w:ascii="sans-serif" w:hAnsi="sans-serif"/>
          <w:i/>
          <w:color w:val="000000"/>
          <w:sz w:val="20"/>
        </w:rPr>
        <w:t>(Amounts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20"/>
        <w:gridCol w:w="146"/>
        <w:gridCol w:w="212"/>
        <w:gridCol w:w="897"/>
        <w:gridCol w:w="166"/>
        <w:gridCol w:w="146"/>
        <w:gridCol w:w="272"/>
        <w:gridCol w:w="1153"/>
        <w:gridCol w:w="593"/>
      </w:tblGrid>
      <w:tr>
        <w:trPr/>
        <w:tc>
          <w:tcPr>
            <w:tcW w:w="6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 (amortized cost of $3,181,712 and $3,244,762,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3,189,952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3,288,945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 (amortized cost of $51,391 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 (amortized cost of $83,290 and $78,520,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58,372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investments at fair value (amortized cost of $3,316,393 and $3,323,282,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3,302,132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3,347,317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(restricted cash of $40,055 and $16,727,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3,421,655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 (net of deferred financing costs of $29,024 and $24,411,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1,743,234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1,813,934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 $0.01 par value; 100,000,000 shares authorized; no shares</w:t>
              <w:br/>
              <w:t>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$0.01 par value; 400,000,000 shares authorized, 96,038,327</w:t>
              <w:br/>
              <w:t>   and 95,369,400 shares issued, respectively; and 95,343,139 and 94,705,150</w:t>
              <w:br/>
              <w:t>   shares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at cost; 695,188 and 664,250 shares held,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1,548,554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1,607,721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3,543,191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3,421,655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Sixth Street Specialty Lending, Inc.</w:t>
      </w:r>
    </w:p>
    <w:p>
      <w:pPr>
        <w:pStyle w:val="TextBody"/>
        <w:bidi w:val="0"/>
        <w:jc w:val="center"/>
        <w:rPr>
          <w:rFonts w:ascii="sans-serif" w:hAnsi="sans-serif"/>
          <w:color w:val="000000"/>
          <w:sz w:val="22"/>
        </w:rPr>
      </w:pPr>
      <w:r>
        <w:rPr>
          <w:rFonts w:ascii="sans-serif" w:hAnsi="sans-serif"/>
          <w:color w:val="000000"/>
          <w:sz w:val="22"/>
        </w:rPr>
        <w:t>Consolidated Statements of Operations</w:t>
      </w:r>
    </w:p>
    <w:p>
      <w:pPr>
        <w:pStyle w:val="TextBody"/>
        <w:bidi w:val="0"/>
        <w:jc w:val="center"/>
        <w:rPr>
          <w:rFonts w:ascii="sans-serif" w:hAnsi="sans-serif"/>
          <w:i/>
          <w:color w:val="000000"/>
          <w:sz w:val="20"/>
        </w:rPr>
      </w:pPr>
      <w:r>
        <w:rPr>
          <w:rFonts w:ascii="sans-serif" w:hAnsi="sans-serif"/>
          <w:i/>
          <w:color w:val="000000"/>
          <w:sz w:val="20"/>
        </w:rPr>
        <w:t>(Amounts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38"/>
        <w:gridCol w:w="146"/>
        <w:gridCol w:w="196"/>
        <w:gridCol w:w="921"/>
        <w:gridCol w:w="166"/>
        <w:gridCol w:w="146"/>
        <w:gridCol w:w="196"/>
        <w:gridCol w:w="921"/>
        <w:gridCol w:w="166"/>
        <w:gridCol w:w="146"/>
        <w:gridCol w:w="196"/>
        <w:gridCol w:w="921"/>
        <w:gridCol w:w="166"/>
        <w:gridCol w:w="146"/>
        <w:gridCol w:w="196"/>
        <w:gridCol w:w="921"/>
        <w:gridCol w:w="1017"/>
      </w:tblGrid>
      <w:tr>
        <w:trPr/>
        <w:tc>
          <w:tcPr>
            <w:tcW w:w="3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202,877</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11,143</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11,068</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226,383</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4,977</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231,364</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66,617</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26,001</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22,606</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4,521</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2,617</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120,610</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119,904</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111,460</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108,818</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64,352</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(4,366</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(36,807</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23,179</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(35,688</w:t>
            </w:r>
          </w:p>
        </w:tc>
        <w:tc>
          <w:tcPr>
            <w:tcW w:w="1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(36,040</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(12,861</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95,957</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95,021,455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93,971,164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94,866,293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93,821,251</w:t>
            </w:r>
          </w:p>
        </w:tc>
        <w:tc>
          <w:tcPr>
            <w:tcW w:w="10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spacing w:before="0" w:after="240"/>
        <w:jc w:val="both"/>
        <w:rPr>
          <w:rFonts w:ascii="sans-serif" w:hAnsi="sans-serif"/>
          <w:color w:val="000000"/>
          <w:sz w:val="20"/>
        </w:rPr>
      </w:pPr>
      <w:r>
        <w:rPr>
          <w:rFonts w:ascii="sans-serif" w:hAnsi="sans-serif"/>
          <w:color w:val="000000"/>
          <w:sz w:val="20"/>
        </w:rPr>
        <w:t>The Company’s investment activity for the quarter ended June 30, 2026 and 2025 presented below (information presented herein is at par value unless otherwise indicated).</w:t>
      </w:r>
    </w:p>
    <w:tbl>
      <w:tblPr>
        <w:tblW w:w="7980" w:type="dxa"/>
        <w:jc w:val="left"/>
        <w:tblInd w:w="0" w:type="dxa"/>
        <w:tblLayout w:type="fixed"/>
        <w:tblCellMar>
          <w:top w:w="28" w:type="dxa"/>
          <w:left w:w="28" w:type="dxa"/>
          <w:bottom w:w="28" w:type="dxa"/>
          <w:right w:w="28" w:type="dxa"/>
        </w:tblCellMar>
      </w:tblPr>
      <w:tblGrid>
        <w:gridCol w:w="4576"/>
        <w:gridCol w:w="146"/>
        <w:gridCol w:w="303"/>
        <w:gridCol w:w="822"/>
        <w:gridCol w:w="271"/>
        <w:gridCol w:w="146"/>
        <w:gridCol w:w="303"/>
        <w:gridCol w:w="822"/>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new investment commitment amount in</w:t>
              <w:br/>
              <w:t>   new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term for new investment</w:t>
              <w:br/>
              <w:t>   commitments in new portfolio companies</w:t>
              <w:br/>
              <w: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sans-serif" w:hAnsi="sans-serif"/>
          <w:color w:val="000000"/>
          <w:sz w:val="16"/>
        </w:rPr>
      </w:pPr>
      <w:r>
        <w:rPr>
          <w:rFonts w:ascii="sans-serif" w:hAnsi="sans-serif"/>
          <w:color w:val="000000"/>
          <w:sz w:val="16"/>
        </w:rPr>
        <w:t>1.</w:t>
      </w:r>
    </w:p>
    <w:p>
      <w:pPr>
        <w:pStyle w:val="TextBody"/>
        <w:bidi w:val="0"/>
        <w:jc w:val="both"/>
        <w:rPr>
          <w:rFonts w:ascii="sans-serif" w:hAnsi="sans-serif"/>
          <w:color w:val="000000"/>
          <w:sz w:val="16"/>
        </w:rPr>
      </w:pPr>
      <w:r>
        <w:rPr>
          <w:rFonts w:ascii="sans-serif" w:hAnsi="sans-serif"/>
          <w:color w:val="000000"/>
          <w:sz w:val="16"/>
        </w:rPr>
        <w:t xml:space="preserve">Includes affiliates of Sixth Street. </w:t>
      </w:r>
    </w:p>
    <w:p>
      <w:pPr>
        <w:pStyle w:val="TextBody"/>
        <w:bidi w:val="0"/>
        <w:jc w:val="both"/>
        <w:rPr/>
      </w:pPr>
      <w:r>
        <w:rPr/>
        <w:t> </w:t>
      </w:r>
    </w:p>
    <w:p>
      <w:pPr>
        <w:pStyle w:val="TextBody"/>
        <w:bidi w:val="0"/>
        <w:jc w:val="both"/>
        <w:rPr/>
      </w:pPr>
      <w:r>
        <w:rPr/>
        <w:t> </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24000" cy="457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524000" cy="457200"/>
                    </a:xfrm>
                    <a:prstGeom prst="rect">
                      <a:avLst/>
                    </a:prstGeom>
                  </pic:spPr>
                </pic:pic>
              </a:graphicData>
            </a:graphic>
          </wp:inline>
        </w:drawing>
      </w:r>
    </w:p>
    <w:p>
      <w:pPr>
        <w:pStyle w:val="TextBody"/>
        <w:bidi w:val="0"/>
        <w:jc w:val="left"/>
        <w:rPr/>
      </w:pPr>
      <w:r>
        <w:rPr/>
        <w:t> </w:t>
      </w:r>
    </w:p>
    <w:p>
      <w:pPr>
        <w:pStyle w:val="TextBody"/>
        <w:bidi w:val="0"/>
        <w:spacing w:before="0" w:after="240"/>
        <w:jc w:val="left"/>
        <w:rPr>
          <w:rFonts w:ascii="Times New Roman" w:hAnsi="Times New Roman"/>
          <w:sz w:val="20"/>
        </w:rPr>
      </w:pPr>
      <w:r>
        <w:rPr>
          <w:rFonts w:ascii="sans-serif" w:hAnsi="sans-serif"/>
          <w:b/>
          <w:color w:val="000000"/>
          <w:sz w:val="20"/>
        </w:rPr>
        <w:t>About Sixth Street Specialty Lending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0"/>
        </w:rPr>
        <w:t xml:space="preserve">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$135 billion in assets under management and committed capital. For more information, visit the Company’s website at </w:t>
      </w:r>
      <w:r>
        <w:rPr>
          <w:rFonts w:ascii="sans-serif" w:hAnsi="sans-serif"/>
          <w:color w:val="0563C1"/>
          <w:sz w:val="20"/>
        </w:rPr>
        <w:t>https://sixthstreetspecialtylending.com</w:t>
      </w:r>
      <w:r>
        <w:rPr>
          <w:rFonts w:ascii="sans-serif" w:hAnsi="sans-serif"/>
          <w:color w:val="000000"/>
          <w:sz w:val="20"/>
        </w:rPr>
        <w:t>.</w:t>
      </w:r>
    </w:p>
    <w:p>
      <w:pPr>
        <w:pStyle w:val="TextBody"/>
        <w:bidi w:val="0"/>
        <w:spacing w:before="160" w:after="240"/>
        <w:jc w:val="left"/>
        <w:rPr>
          <w:rFonts w:ascii="Times New Roman" w:hAnsi="Times New Roman"/>
          <w:sz w:val="20"/>
        </w:rPr>
      </w:pPr>
      <w:r>
        <w:rPr>
          <w:rFonts w:ascii="sans-serif" w:hAnsi="sans-serif"/>
          <w:b/>
          <w:color w:val="000000"/>
          <w:sz w:val="20"/>
        </w:rPr>
        <w:t>About Sixth Street</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Sixth Street is a global investment firm with over $135 billion in assets under management and committed capital. The firm uses its long-term flexible capital, data-enabled capabilities, and One Team culture to develop themes and offer solutions to companies across all stages of growth. Founded in 2009, Sixth Street has more than 750 team members including over 300 investment professionals around the world. For more information, visit https://sixthstreet.com or follow Sixth Street on LinkedIn.</w:t>
      </w:r>
    </w:p>
    <w:p>
      <w:pPr>
        <w:pStyle w:val="TextBody"/>
        <w:bidi w:val="0"/>
        <w:spacing w:before="160" w:after="240"/>
        <w:jc w:val="left"/>
        <w:rPr>
          <w:rFonts w:ascii="Times New Roman" w:hAnsi="Times New Roman"/>
          <w:sz w:val="20"/>
        </w:rPr>
      </w:pPr>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Statements included herein may constitute “forward-looking statements,” within the meaning of the federal securities laws and the Private Securities Litigation Reform Act of 1995, which relate to future events or the Company’s future performance or financial condition. These forward-looking statements can be identified by the use of forward-looking terminology, such as “outlook,” “indicator,” “believes,” “expects,” “potential,” “continues,” “may,” “can,” “will,” “should,” “seeks,” “approximately,” “predicts,” “intends,” “plans,” “estimates,” “anticipates”, “confident,” “conviction,” “identified” or the negative versions of these words or other comparable words thereof.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which are accessible on the SEC’s website at www.sec.gov. Except as otherwise required by federal securities laws, the Company assumes no obligation to update any such forward-looking statements, whether as a result of new information, future developments or otherwise.</w:t>
      </w:r>
    </w:p>
    <w:p>
      <w:pPr>
        <w:pStyle w:val="TextBody"/>
        <w:bidi w:val="0"/>
        <w:spacing w:before="160" w:after="240"/>
        <w:jc w:val="left"/>
        <w:rPr>
          <w:rFonts w:ascii="Times New Roman" w:hAnsi="Times New Roman"/>
          <w:sz w:val="20"/>
        </w:rPr>
      </w:pPr>
      <w:r>
        <w:rPr>
          <w:rFonts w:ascii="sans-serif" w:hAnsi="sans-serif"/>
          <w:b/>
          <w:color w:val="000000"/>
          <w:sz w:val="20"/>
        </w:rPr>
        <w:t>Non-GAAP Financial Measures</w:t>
      </w:r>
      <w:r>
        <w:rPr>
          <w:rFonts w:ascii="Times New Roman" w:hAnsi="Times New Roman"/>
          <w:color w:val="000000"/>
          <w:sz w:val="20"/>
        </w:rPr>
        <w:t xml:space="preserve"> </w:t>
      </w:r>
    </w:p>
    <w:p>
      <w:pPr>
        <w:pStyle w:val="TextBody"/>
        <w:bidi w:val="0"/>
        <w:jc w:val="both"/>
        <w:rPr>
          <w:rFonts w:ascii="sans-serif" w:hAnsi="sans-serif"/>
          <w:color w:val="000000"/>
          <w:sz w:val="20"/>
        </w:rPr>
      </w:pPr>
      <w:r>
        <w:rPr>
          <w:rFonts w:ascii="sans-serif" w:hAnsi="sans-serif"/>
          <w:color w:val="000000"/>
          <w:sz w:val="20"/>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pStyle w:val="TextBody"/>
        <w:bidi w:val="0"/>
        <w:jc w:val="left"/>
        <w:rPr/>
      </w:pPr>
      <w:r>
        <w:rPr/>
        <w:t> </w:t>
      </w:r>
    </w:p>
    <w:p>
      <w:pPr>
        <w:pStyle w:val="TextBody"/>
        <w:bidi w:val="0"/>
        <w:spacing w:before="160" w:after="283"/>
        <w:jc w:val="left"/>
        <w:rPr>
          <w:rFonts w:ascii="sans-serif" w:hAnsi="sans-serif"/>
          <w:color w:val="000000"/>
          <w:sz w:val="20"/>
        </w:rPr>
      </w:pPr>
      <w:r>
        <w:rPr>
          <w:rFonts w:ascii="sans-serif" w:hAnsi="sans-serif"/>
          <w:color w:val="000000"/>
          <w:sz w:val="20"/>
        </w:rPr>
        <w:t>Investors:</w:t>
      </w:r>
    </w:p>
    <w:p>
      <w:pPr>
        <w:pStyle w:val="TextBody"/>
        <w:bidi w:val="0"/>
        <w:spacing w:before="160" w:after="283"/>
        <w:jc w:val="left"/>
        <w:rPr>
          <w:rFonts w:ascii="sans-serif" w:hAnsi="sans-serif"/>
          <w:color w:val="000000"/>
          <w:sz w:val="20"/>
        </w:rPr>
      </w:pPr>
      <w:r>
        <w:rPr>
          <w:rFonts w:ascii="sans-serif" w:hAnsi="sans-serif"/>
          <w:color w:val="000000"/>
          <w:sz w:val="20"/>
        </w:rPr>
        <w:t>Cami Senatore, 469-621-2033</w:t>
        <w:br/>
        <w:t>Sixth Street Specialty Lending</w:t>
        <w:br/>
        <w:t>IRTSLX@sixthstreet.com</w:t>
      </w:r>
    </w:p>
    <w:p>
      <w:pPr>
        <w:pStyle w:val="TextBody"/>
        <w:bidi w:val="0"/>
        <w:jc w:val="left"/>
        <w:rPr/>
      </w:pPr>
      <w:r>
        <w:rPr/>
        <w:t> </w:t>
      </w:r>
    </w:p>
    <w:p>
      <w:pPr>
        <w:pStyle w:val="TextBody"/>
        <w:bidi w:val="0"/>
        <w:spacing w:before="160" w:after="283"/>
        <w:jc w:val="left"/>
        <w:rPr>
          <w:rFonts w:ascii="Times New Roman" w:hAnsi="Times New Roman"/>
          <w:sz w:val="20"/>
        </w:rPr>
      </w:pPr>
      <w:r>
        <w:rPr>
          <w:rFonts w:ascii="sans-serif" w:hAnsi="sans-serif"/>
          <w:color w:val="000000"/>
          <w:sz w:val="20"/>
        </w:rPr>
        <w:t>Media:</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sans-serif" w:hAnsi="sans-serif"/>
          <w:color w:val="000000"/>
          <w:sz w:val="20"/>
        </w:rPr>
        <w:t>Patrick Clifford, 617-793-2004</w:t>
      </w:r>
      <w:r>
        <w:rPr>
          <w:rFonts w:ascii="Calibri Light;sans-serif" w:hAnsi="Calibri Light;sans-serif"/>
          <w:color w:val="000000"/>
          <w:sz w:val="20"/>
        </w:rPr>
        <w:br/>
      </w:r>
      <w:r>
        <w:rPr>
          <w:rFonts w:ascii="sans-serif" w:hAnsi="sans-serif"/>
          <w:color w:val="000000"/>
          <w:sz w:val="20"/>
        </w:rPr>
        <w:t>Sixth Street</w:t>
      </w:r>
      <w:r>
        <w:rPr>
          <w:rFonts w:ascii="Calibri Light;sans-serif" w:hAnsi="Calibri Light;sans-serif"/>
          <w:color w:val="000000"/>
          <w:sz w:val="20"/>
        </w:rPr>
        <w:br/>
      </w:r>
      <w:r>
        <w:rPr>
          <w:rFonts w:ascii="sans-serif" w:hAnsi="sans-serif"/>
          <w:color w:val="000000"/>
          <w:sz w:val="20"/>
        </w:rPr>
        <w:t>PClifford@sixthstreet.com</w:t>
      </w:r>
    </w:p>
    <w:p>
      <w:pPr>
        <w:pStyle w:val="TextBody"/>
        <w:bidi w:val="0"/>
        <w:jc w:val="right"/>
        <w:rPr>
          <w:rFonts w:ascii="Calibri Light;sans-serif" w:hAnsi="Calibri Light;sans-serif"/>
          <w:color w:val="000000"/>
          <w:sz w:val="20"/>
        </w:rPr>
      </w:pPr>
      <w:r>
        <w:rPr>
          <w:rFonts w:ascii="Calibri Light;sans-serif" w:hAnsi="Calibri Light;sans-serif"/>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4098</Words>
  <Characters>22768</Characters>
  <CharactersWithSpaces>27560</CharactersWithSpaces>
  <Paragraphs>2284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