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66866ddef14a.htm"/>
        <w:bookmarkStart w:id="1" w:name="ksd866866ddef14a"/>
        <w:bookmarkEnd w:id="0"/>
        <w:bookmarkEnd w:id="1"/>
        <w:r>
          <w:rPr>
            <w:rStyle w:val="InternetLink"/>
          </w:rPr>
          <w:t>Table of Contents</w:t>
        </w:r>
      </w:hyperlink>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(RULE 14a-101)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120" w:after="0"/>
        <w:jc w:val="left"/>
        <w:rPr>
          <w:rFonts w:ascii="Times New Roman" w:hAnsi="Times New Roman"/>
          <w:sz w:val="20"/>
        </w:rPr>
      </w:pPr>
      <w:r>
        <w:rPr>
          <w:rFonts w:ascii="Times New Roman" w:hAnsi="Times New Roman"/>
          <w:sz w:val="20"/>
        </w:rPr>
        <w:t xml:space="preserve">Filed by the Registrant  ☒    Filed by a Party other than the Registrant  ☐ </w:t>
      </w:r>
    </w:p>
    <w:p>
      <w:pPr>
        <w:pStyle w:val="TextBody"/>
        <w:bidi w:val="0"/>
        <w:spacing w:before="12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35"/>
        <w:gridCol w:w="120"/>
        <w:gridCol w:w="9650"/>
      </w:tblGrid>
      <w:tr>
        <w:trPr/>
        <w:tc>
          <w:tcPr>
            <w:tcW w:w="4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9650" w:type="dxa"/>
            <w:tcBorders/>
            <w:vAlign w:val="center"/>
          </w:tcPr>
          <w:p>
            <w:pPr>
              <w:pStyle w:val="TableContents"/>
              <w:bidi w:val="0"/>
              <w:spacing w:before="0" w:after="283"/>
              <w:jc w:val="left"/>
              <w:rPr>
                <w:sz w:val="4"/>
                <w:szCs w:val="4"/>
              </w:rPr>
            </w:pPr>
            <w:r>
              <w:rPr>
                <w:sz w:val="4"/>
                <w:szCs w:val="4"/>
              </w:rPr>
            </w:r>
          </w:p>
        </w:tc>
      </w:tr>
      <w:tr>
        <w:trPr/>
        <w:tc>
          <w:tcPr>
            <w:tcW w:w="43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650" w:type="dxa"/>
            <w:tcBorders/>
          </w:tcPr>
          <w:p>
            <w:pPr>
              <w:pStyle w:val="TableContents"/>
              <w:bidi w:val="0"/>
              <w:spacing w:before="0" w:after="283"/>
              <w:jc w:val="left"/>
              <w:rPr/>
            </w:pPr>
            <w:r>
              <w:rPr/>
              <w:t>Preliminary Proxy Statement</w:t>
            </w:r>
          </w:p>
        </w:tc>
      </w:tr>
      <w:tr>
        <w:trPr>
          <w:trHeight w:val="120" w:hRule="atLeast"/>
        </w:trPr>
        <w:tc>
          <w:tcPr>
            <w:tcW w:w="435" w:type="dxa"/>
            <w:tcBorders/>
            <w:vAlign w:val="center"/>
          </w:tcPr>
          <w:p>
            <w:pPr>
              <w:pStyle w:val="TableContents"/>
              <w:bidi w:val="0"/>
              <w:spacing w:before="0" w:after="283"/>
              <w:jc w:val="left"/>
              <w:rPr>
                <w:sz w:val="4"/>
                <w:szCs w:val="4"/>
              </w:rPr>
            </w:pPr>
            <w:r>
              <w:rPr>
                <w:sz w:val="4"/>
                <w:szCs w:val="4"/>
              </w:rPr>
            </w:r>
          </w:p>
        </w:tc>
        <w:tc>
          <w:tcPr>
            <w:tcW w:w="9770" w:type="dxa"/>
            <w:gridSpan w:val="2"/>
            <w:tcBorders/>
            <w:vAlign w:val="center"/>
          </w:tcPr>
          <w:p>
            <w:pPr>
              <w:pStyle w:val="TableContents"/>
              <w:bidi w:val="0"/>
              <w:spacing w:before="0" w:after="283"/>
              <w:jc w:val="left"/>
              <w:rPr>
                <w:sz w:val="4"/>
                <w:szCs w:val="4"/>
              </w:rPr>
            </w:pPr>
            <w:r>
              <w:rPr>
                <w:sz w:val="4"/>
                <w:szCs w:val="4"/>
              </w:rPr>
            </w:r>
          </w:p>
        </w:tc>
      </w:tr>
      <w:tr>
        <w:trPr/>
        <w:tc>
          <w:tcPr>
            <w:tcW w:w="43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650" w:type="dxa"/>
            <w:tcBorders/>
          </w:tcPr>
          <w:p>
            <w:pPr>
              <w:pStyle w:val="TableContents"/>
              <w:bidi w:val="0"/>
              <w:spacing w:before="0" w:after="283"/>
              <w:jc w:val="left"/>
              <w:rPr>
                <w:b/>
              </w:rPr>
            </w:pPr>
            <w:r>
              <w:rPr>
                <w:b/>
              </w:rPr>
              <w:t>Confidential, for Use of the Commission Only (as permitted by Rule 14a-6(e)(2))</w:t>
            </w:r>
          </w:p>
        </w:tc>
      </w:tr>
      <w:tr>
        <w:trPr>
          <w:trHeight w:val="120" w:hRule="atLeast"/>
        </w:trPr>
        <w:tc>
          <w:tcPr>
            <w:tcW w:w="435" w:type="dxa"/>
            <w:tcBorders/>
            <w:vAlign w:val="center"/>
          </w:tcPr>
          <w:p>
            <w:pPr>
              <w:pStyle w:val="TableContents"/>
              <w:bidi w:val="0"/>
              <w:spacing w:before="0" w:after="283"/>
              <w:jc w:val="left"/>
              <w:rPr>
                <w:sz w:val="4"/>
                <w:szCs w:val="4"/>
              </w:rPr>
            </w:pPr>
            <w:r>
              <w:rPr>
                <w:sz w:val="4"/>
                <w:szCs w:val="4"/>
              </w:rPr>
            </w:r>
          </w:p>
        </w:tc>
        <w:tc>
          <w:tcPr>
            <w:tcW w:w="9770" w:type="dxa"/>
            <w:gridSpan w:val="2"/>
            <w:tcBorders/>
            <w:vAlign w:val="center"/>
          </w:tcPr>
          <w:p>
            <w:pPr>
              <w:pStyle w:val="TableContents"/>
              <w:bidi w:val="0"/>
              <w:spacing w:before="0" w:after="283"/>
              <w:jc w:val="left"/>
              <w:rPr>
                <w:sz w:val="4"/>
                <w:szCs w:val="4"/>
              </w:rPr>
            </w:pPr>
            <w:r>
              <w:rPr>
                <w:sz w:val="4"/>
                <w:szCs w:val="4"/>
              </w:rPr>
            </w:r>
          </w:p>
        </w:tc>
      </w:tr>
      <w:tr>
        <w:trPr/>
        <w:tc>
          <w:tcPr>
            <w:tcW w:w="43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650" w:type="dxa"/>
            <w:tcBorders/>
          </w:tcPr>
          <w:p>
            <w:pPr>
              <w:pStyle w:val="TableContents"/>
              <w:bidi w:val="0"/>
              <w:spacing w:before="0" w:after="283"/>
              <w:jc w:val="left"/>
              <w:rPr/>
            </w:pPr>
            <w:r>
              <w:rPr/>
              <w:t>Definitive Proxy Statement</w:t>
            </w:r>
          </w:p>
        </w:tc>
      </w:tr>
      <w:tr>
        <w:trPr>
          <w:trHeight w:val="120" w:hRule="atLeast"/>
        </w:trPr>
        <w:tc>
          <w:tcPr>
            <w:tcW w:w="435" w:type="dxa"/>
            <w:tcBorders/>
            <w:vAlign w:val="center"/>
          </w:tcPr>
          <w:p>
            <w:pPr>
              <w:pStyle w:val="TableContents"/>
              <w:bidi w:val="0"/>
              <w:spacing w:before="0" w:after="283"/>
              <w:jc w:val="left"/>
              <w:rPr>
                <w:sz w:val="4"/>
                <w:szCs w:val="4"/>
              </w:rPr>
            </w:pPr>
            <w:r>
              <w:rPr>
                <w:sz w:val="4"/>
                <w:szCs w:val="4"/>
              </w:rPr>
            </w:r>
          </w:p>
        </w:tc>
        <w:tc>
          <w:tcPr>
            <w:tcW w:w="9770" w:type="dxa"/>
            <w:gridSpan w:val="2"/>
            <w:tcBorders/>
            <w:vAlign w:val="center"/>
          </w:tcPr>
          <w:p>
            <w:pPr>
              <w:pStyle w:val="TableContents"/>
              <w:bidi w:val="0"/>
              <w:spacing w:before="0" w:after="283"/>
              <w:jc w:val="left"/>
              <w:rPr>
                <w:sz w:val="4"/>
                <w:szCs w:val="4"/>
              </w:rPr>
            </w:pPr>
            <w:r>
              <w:rPr>
                <w:sz w:val="4"/>
                <w:szCs w:val="4"/>
              </w:rPr>
            </w:r>
          </w:p>
        </w:tc>
      </w:tr>
      <w:tr>
        <w:trPr/>
        <w:tc>
          <w:tcPr>
            <w:tcW w:w="43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650" w:type="dxa"/>
            <w:tcBorders/>
          </w:tcPr>
          <w:p>
            <w:pPr>
              <w:pStyle w:val="TableContents"/>
              <w:bidi w:val="0"/>
              <w:spacing w:before="0" w:after="283"/>
              <w:jc w:val="left"/>
              <w:rPr/>
            </w:pPr>
            <w:r>
              <w:rPr/>
              <w:t>Definitive Additional Materials</w:t>
            </w:r>
          </w:p>
        </w:tc>
      </w:tr>
      <w:tr>
        <w:trPr>
          <w:trHeight w:val="120" w:hRule="atLeast"/>
        </w:trPr>
        <w:tc>
          <w:tcPr>
            <w:tcW w:w="435" w:type="dxa"/>
            <w:tcBorders/>
            <w:vAlign w:val="center"/>
          </w:tcPr>
          <w:p>
            <w:pPr>
              <w:pStyle w:val="TableContents"/>
              <w:bidi w:val="0"/>
              <w:spacing w:before="0" w:after="283"/>
              <w:jc w:val="left"/>
              <w:rPr>
                <w:sz w:val="4"/>
                <w:szCs w:val="4"/>
              </w:rPr>
            </w:pPr>
            <w:r>
              <w:rPr>
                <w:sz w:val="4"/>
                <w:szCs w:val="4"/>
              </w:rPr>
            </w:r>
          </w:p>
        </w:tc>
        <w:tc>
          <w:tcPr>
            <w:tcW w:w="9770" w:type="dxa"/>
            <w:gridSpan w:val="2"/>
            <w:tcBorders/>
            <w:vAlign w:val="center"/>
          </w:tcPr>
          <w:p>
            <w:pPr>
              <w:pStyle w:val="TableContents"/>
              <w:bidi w:val="0"/>
              <w:spacing w:before="0" w:after="283"/>
              <w:jc w:val="left"/>
              <w:rPr>
                <w:sz w:val="4"/>
                <w:szCs w:val="4"/>
              </w:rPr>
            </w:pPr>
            <w:r>
              <w:rPr>
                <w:sz w:val="4"/>
                <w:szCs w:val="4"/>
              </w:rPr>
            </w:r>
          </w:p>
        </w:tc>
      </w:tr>
      <w:tr>
        <w:trPr/>
        <w:tc>
          <w:tcPr>
            <w:tcW w:w="435" w:type="dxa"/>
            <w:tcBorders/>
          </w:tcPr>
          <w:p>
            <w:pPr>
              <w:pStyle w:val="TableContents"/>
              <w:bidi w:val="0"/>
              <w:spacing w:before="0" w:after="283"/>
              <w:jc w:val="left"/>
              <w:rPr/>
            </w:pPr>
            <w:r>
              <w:rPr/>
              <w:t>☐</w:t>
            </w:r>
          </w:p>
        </w:tc>
        <w:tc>
          <w:tcPr>
            <w:tcW w:w="120" w:type="dxa"/>
            <w:tcBorders/>
            <w:vAlign w:val="bottom"/>
          </w:tcPr>
          <w:p>
            <w:pPr>
              <w:pStyle w:val="TableContents"/>
              <w:bidi w:val="0"/>
              <w:spacing w:before="0" w:after="283"/>
              <w:jc w:val="left"/>
              <w:rPr/>
            </w:pPr>
            <w:r>
              <w:rPr/>
              <w:t>  </w:t>
            </w:r>
          </w:p>
        </w:tc>
        <w:tc>
          <w:tcPr>
            <w:tcW w:w="9650" w:type="dxa"/>
            <w:tcBorders/>
          </w:tcPr>
          <w:p>
            <w:pPr>
              <w:pStyle w:val="TableContents"/>
              <w:bidi w:val="0"/>
              <w:spacing w:before="0" w:after="283"/>
              <w:jc w:val="left"/>
              <w:rPr/>
            </w:pPr>
            <w:r>
              <w:rPr/>
              <w:t>Soliciting Material Pursuant to §240.14a-12</w:t>
            </w:r>
          </w:p>
        </w:tc>
      </w:tr>
    </w:tbl>
    <w:p>
      <w:pPr>
        <w:pStyle w:val="TextBody"/>
        <w:bidi w:val="0"/>
        <w:spacing w:before="120" w:after="0"/>
        <w:jc w:val="center"/>
        <w:rPr>
          <w:rFonts w:ascii="Times New Roman" w:hAnsi="Times New Roman"/>
          <w:b/>
          <w:sz w:val="44"/>
        </w:rPr>
      </w:pPr>
      <w:r>
        <w:rPr>
          <w:rFonts w:ascii="Times New Roman" w:hAnsi="Times New Roman"/>
          <w:b/>
          <w:sz w:val="44"/>
        </w:rPr>
        <w:t xml:space="preserve">Sixth Street Specialty Lending,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12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12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93"/>
        <w:gridCol w:w="152"/>
        <w:gridCol w:w="532"/>
        <w:gridCol w:w="328"/>
        <w:gridCol w:w="8800"/>
      </w:tblGrid>
      <w:tr>
        <w:trPr/>
        <w:tc>
          <w:tcPr>
            <w:tcW w:w="393"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8800" w:type="dxa"/>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w:t>
            </w:r>
          </w:p>
        </w:tc>
        <w:tc>
          <w:tcPr>
            <w:tcW w:w="152" w:type="dxa"/>
            <w:tcBorders/>
            <w:vAlign w:val="bottom"/>
          </w:tcPr>
          <w:p>
            <w:pPr>
              <w:pStyle w:val="TableContents"/>
              <w:bidi w:val="0"/>
              <w:spacing w:before="0" w:after="283"/>
              <w:jc w:val="left"/>
              <w:rPr/>
            </w:pPr>
            <w:r>
              <w:rPr/>
              <w:t>  </w:t>
            </w:r>
          </w:p>
        </w:tc>
        <w:tc>
          <w:tcPr>
            <w:tcW w:w="9660" w:type="dxa"/>
            <w:gridSpan w:val="3"/>
            <w:tcBorders/>
          </w:tcPr>
          <w:p>
            <w:pPr>
              <w:pStyle w:val="TableContents"/>
              <w:bidi w:val="0"/>
              <w:spacing w:before="0" w:after="283"/>
              <w:jc w:val="left"/>
              <w:rPr/>
            </w:pPr>
            <w:r>
              <w:rPr/>
              <w:t>No fee required.</w:t>
            </w:r>
          </w:p>
        </w:tc>
      </w:tr>
      <w:tr>
        <w:trPr>
          <w:trHeight w:val="75" w:hRule="atLeast"/>
        </w:trPr>
        <w:tc>
          <w:tcPr>
            <w:tcW w:w="393" w:type="dxa"/>
            <w:tcBorders/>
            <w:vAlign w:val="center"/>
          </w:tcPr>
          <w:p>
            <w:pPr>
              <w:pStyle w:val="TableContents"/>
              <w:bidi w:val="0"/>
              <w:spacing w:before="0" w:after="283"/>
              <w:jc w:val="left"/>
              <w:rPr>
                <w:sz w:val="4"/>
                <w:szCs w:val="4"/>
              </w:rPr>
            </w:pPr>
            <w:r>
              <w:rPr>
                <w:sz w:val="4"/>
                <w:szCs w:val="4"/>
              </w:rPr>
            </w:r>
          </w:p>
        </w:tc>
        <w:tc>
          <w:tcPr>
            <w:tcW w:w="9812" w:type="dxa"/>
            <w:gridSpan w:val="4"/>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w:t>
            </w:r>
          </w:p>
        </w:tc>
        <w:tc>
          <w:tcPr>
            <w:tcW w:w="152" w:type="dxa"/>
            <w:tcBorders/>
            <w:vAlign w:val="bottom"/>
          </w:tcPr>
          <w:p>
            <w:pPr>
              <w:pStyle w:val="TableContents"/>
              <w:bidi w:val="0"/>
              <w:spacing w:before="0" w:after="283"/>
              <w:jc w:val="left"/>
              <w:rPr/>
            </w:pPr>
            <w:r>
              <w:rPr/>
              <w:t>  </w:t>
            </w:r>
          </w:p>
        </w:tc>
        <w:tc>
          <w:tcPr>
            <w:tcW w:w="9660" w:type="dxa"/>
            <w:gridSpan w:val="3"/>
            <w:tcBorders/>
          </w:tcPr>
          <w:p>
            <w:pPr>
              <w:pStyle w:val="TableContents"/>
              <w:bidi w:val="0"/>
              <w:spacing w:before="0" w:after="283"/>
              <w:jc w:val="left"/>
              <w:rPr/>
            </w:pPr>
            <w:r>
              <w:rPr/>
              <w:t>Fee paid previously with preliminary materials.</w:t>
            </w:r>
          </w:p>
        </w:tc>
      </w:tr>
      <w:tr>
        <w:trPr>
          <w:trHeight w:val="75" w:hRule="atLeast"/>
        </w:trPr>
        <w:tc>
          <w:tcPr>
            <w:tcW w:w="393" w:type="dxa"/>
            <w:tcBorders/>
            <w:vAlign w:val="center"/>
          </w:tcPr>
          <w:p>
            <w:pPr>
              <w:pStyle w:val="TableContents"/>
              <w:bidi w:val="0"/>
              <w:spacing w:before="0" w:after="283"/>
              <w:jc w:val="left"/>
              <w:rPr>
                <w:sz w:val="4"/>
                <w:szCs w:val="4"/>
              </w:rPr>
            </w:pPr>
            <w:r>
              <w:rPr>
                <w:sz w:val="4"/>
                <w:szCs w:val="4"/>
              </w:rPr>
            </w:r>
          </w:p>
        </w:tc>
        <w:tc>
          <w:tcPr>
            <w:tcW w:w="9812" w:type="dxa"/>
            <w:gridSpan w:val="4"/>
            <w:tcBorders/>
            <w:vAlign w:val="center"/>
          </w:tcPr>
          <w:p>
            <w:pPr>
              <w:pStyle w:val="TableContents"/>
              <w:bidi w:val="0"/>
              <w:spacing w:before="0" w:after="283"/>
              <w:jc w:val="left"/>
              <w:rPr>
                <w:sz w:val="4"/>
                <w:szCs w:val="4"/>
              </w:rPr>
            </w:pPr>
            <w:r>
              <w:rPr>
                <w:sz w:val="4"/>
                <w:szCs w:val="4"/>
              </w:rPr>
            </w:r>
          </w:p>
        </w:tc>
      </w:tr>
      <w:tr>
        <w:trPr/>
        <w:tc>
          <w:tcPr>
            <w:tcW w:w="393" w:type="dxa"/>
            <w:tcBorders/>
          </w:tcPr>
          <w:p>
            <w:pPr>
              <w:pStyle w:val="TableContents"/>
              <w:bidi w:val="0"/>
              <w:spacing w:before="0" w:after="283"/>
              <w:jc w:val="left"/>
              <w:rPr/>
            </w:pPr>
            <w:r>
              <w:rPr/>
              <w:t>☐</w:t>
            </w:r>
          </w:p>
        </w:tc>
        <w:tc>
          <w:tcPr>
            <w:tcW w:w="152" w:type="dxa"/>
            <w:tcBorders/>
            <w:vAlign w:val="bottom"/>
          </w:tcPr>
          <w:p>
            <w:pPr>
              <w:pStyle w:val="TableContents"/>
              <w:bidi w:val="0"/>
              <w:spacing w:before="0" w:after="283"/>
              <w:jc w:val="left"/>
              <w:rPr/>
            </w:pPr>
            <w:r>
              <w:rPr/>
              <w:t>  </w:t>
            </w:r>
          </w:p>
        </w:tc>
        <w:tc>
          <w:tcPr>
            <w:tcW w:w="9660" w:type="dxa"/>
            <w:gridSpan w:val="3"/>
            <w:tcBorders/>
          </w:tcPr>
          <w:p>
            <w:pPr>
              <w:pStyle w:val="TableContents"/>
              <w:bidi w:val="0"/>
              <w:spacing w:before="0" w:after="283"/>
              <w:jc w:val="left"/>
              <w:rPr/>
            </w:pPr>
            <w:r>
              <w:rPr/>
              <w:t>Fee computed on table in exhibit required by Item 25(b) per Exchange Act Rules 14a-6(i)(1) and 0-11</w:t>
            </w:r>
          </w:p>
        </w:tc>
      </w:tr>
    </w:tbl>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51130" cy="4572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1130" cy="4572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Sixth Street Specialty Lending, Inc. </w:t>
      </w:r>
    </w:p>
    <w:p>
      <w:pPr>
        <w:pStyle w:val="TextBody"/>
        <w:bidi w:val="0"/>
        <w:spacing w:before="0" w:after="0"/>
        <w:jc w:val="left"/>
        <w:rPr>
          <w:rFonts w:ascii="Times New Roman" w:hAnsi="Times New Roman"/>
          <w:sz w:val="20"/>
        </w:rPr>
      </w:pPr>
      <w:r>
        <w:rPr>
          <w:rFonts w:ascii="Times New Roman" w:hAnsi="Times New Roman"/>
          <w:sz w:val="20"/>
        </w:rPr>
        <w:t xml:space="preserve">2100 McKinney Avenue, Suite 1500 </w:t>
      </w:r>
    </w:p>
    <w:p>
      <w:pPr>
        <w:pStyle w:val="TextBody"/>
        <w:bidi w:val="0"/>
        <w:spacing w:before="0" w:after="0"/>
        <w:jc w:val="left"/>
        <w:rPr>
          <w:rFonts w:ascii="Times New Roman" w:hAnsi="Times New Roman"/>
          <w:sz w:val="20"/>
        </w:rPr>
      </w:pPr>
      <w:r>
        <w:rPr>
          <w:rFonts w:ascii="Times New Roman" w:hAnsi="Times New Roman"/>
          <w:sz w:val="20"/>
        </w:rPr>
        <w:t xml:space="preserve">Dallas, TX 75201 </w:t>
      </w:r>
    </w:p>
    <w:p>
      <w:pPr>
        <w:pStyle w:val="TextBody"/>
        <w:bidi w:val="0"/>
        <w:spacing w:before="240" w:after="0"/>
        <w:jc w:val="left"/>
        <w:rPr>
          <w:rFonts w:ascii="Times New Roman" w:hAnsi="Times New Roman"/>
          <w:sz w:val="20"/>
        </w:rPr>
      </w:pPr>
      <w:r>
        <w:rPr>
          <w:rFonts w:ascii="Times New Roman" w:hAnsi="Times New Roman"/>
          <w:sz w:val="20"/>
        </w:rPr>
        <w:t xml:space="preserve">April 11, 2024 </w:t>
      </w:r>
    </w:p>
    <w:p>
      <w:pPr>
        <w:pStyle w:val="TextBody"/>
        <w:bidi w:val="0"/>
        <w:spacing w:before="240" w:after="0"/>
        <w:jc w:val="left"/>
        <w:rPr>
          <w:rFonts w:ascii="Times New Roman" w:hAnsi="Times New Roman"/>
          <w:sz w:val="20"/>
        </w:rPr>
      </w:pPr>
      <w:r>
        <w:rPr>
          <w:rFonts w:ascii="Times New Roman" w:hAnsi="Times New Roman"/>
          <w:sz w:val="20"/>
        </w:rPr>
        <w:t xml:space="preserve">To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We are pleased to invite you to attend a Special Meeting of Stockholders of Sixth Street Specialty Lending, Inc. to be held on May 23, 2024, at 10:00 a.m., Eastern Time, at the offices of Simpson Thacher &amp; Bartlett LLP, 425 Lexington Avenue, 30th Floor, New York, NY 10017. </w:t>
      </w:r>
    </w:p>
    <w:p>
      <w:pPr>
        <w:pStyle w:val="TextBody"/>
        <w:bidi w:val="0"/>
        <w:spacing w:before="240" w:after="0"/>
        <w:jc w:val="left"/>
        <w:rPr>
          <w:rFonts w:ascii="Times New Roman" w:hAnsi="Times New Roman"/>
          <w:sz w:val="20"/>
        </w:rPr>
      </w:pPr>
      <w:r>
        <w:rPr>
          <w:rFonts w:ascii="Times New Roman" w:hAnsi="Times New Roman"/>
          <w:sz w:val="20"/>
        </w:rPr>
        <w:t xml:space="preserve">The following pages include a formal notice of the meeting and our proxy statement. The Notice of Internet Availability of Proxy Materials you received in the mail and this proxy statement describe the matter on the agenda for the meeting. At the meeting, you will be asked to consider and vote upon a proposal to authorize the Company, with approval of its Board of Directors, to sell or otherwise issue shares of its common stock at a price below its then-current net asset value per share in one or more offerings, subject to certain conditions as set forth herein, including that the number of shares issued does not exceed 25% of its then-outstanding common stock immediately prior to each such offering. </w:t>
      </w:r>
    </w:p>
    <w:p>
      <w:pPr>
        <w:pStyle w:val="TextBody"/>
        <w:bidi w:val="0"/>
        <w:spacing w:before="240" w:after="0"/>
        <w:jc w:val="left"/>
        <w:rPr>
          <w:rFonts w:ascii="Times New Roman" w:hAnsi="Times New Roman"/>
          <w:sz w:val="20"/>
        </w:rPr>
      </w:pPr>
      <w:r>
        <w:rPr>
          <w:rFonts w:ascii="Times New Roman" w:hAnsi="Times New Roman"/>
          <w:sz w:val="20"/>
        </w:rPr>
        <w:t xml:space="preserve">Please read these materials so that you will know what we plan to do at the meeting. It is important that your shares be represented at the special meeting, regardless of whether you plan to attend the meeting in person. Please vote your shares as soon as possible through any of the voting options available to you as described in the Notice of Internet Availability of Proxy Materials and this proxy statement. </w:t>
      </w:r>
    </w:p>
    <w:p>
      <w:pPr>
        <w:pStyle w:val="TextBody"/>
        <w:bidi w:val="0"/>
        <w:spacing w:before="240" w:after="0"/>
        <w:jc w:val="left"/>
        <w:rPr>
          <w:rFonts w:ascii="Times New Roman" w:hAnsi="Times New Roman"/>
          <w:sz w:val="20"/>
        </w:rPr>
      </w:pPr>
      <w:r>
        <w:rPr>
          <w:rFonts w:ascii="Times New Roman" w:hAnsi="Times New Roman"/>
          <w:sz w:val="20"/>
        </w:rPr>
        <w:t xml:space="preserve">You will also receive separate proxy materials for the Annual Meeting of Stockholders, which will be held at the same place and on the same date stated above, but not at the same time. Please be certain to vote separately each proxy card that you receive from us. </w:t>
      </w:r>
    </w:p>
    <w:p>
      <w:pPr>
        <w:pStyle w:val="TextBody"/>
        <w:bidi w:val="0"/>
        <w:spacing w:before="240" w:after="0"/>
        <w:jc w:val="left"/>
        <w:rPr>
          <w:rFonts w:ascii="Times New Roman" w:hAnsi="Times New Roman"/>
          <w:sz w:val="20"/>
        </w:rPr>
      </w:pPr>
      <w:r>
        <w:rPr>
          <w:rFonts w:ascii="Times New Roman" w:hAnsi="Times New Roman"/>
          <w:sz w:val="20"/>
        </w:rPr>
        <w:t xml:space="preserve">On behalf of management and our Board of Directors, we thank you for your continued support of Sixth Street Specialty Lending, Inc.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Joshua Easterly</w:t>
            </w:r>
          </w:p>
        </w:tc>
      </w:tr>
      <w:tr>
        <w:trPr/>
        <w:tc>
          <w:tcPr>
            <w:tcW w:w="4082" w:type="dxa"/>
            <w:tcBorders/>
            <w:vAlign w:val="bottom"/>
          </w:tcPr>
          <w:p>
            <w:pPr>
              <w:pStyle w:val="TableContents"/>
              <w:bidi w:val="0"/>
              <w:spacing w:before="0" w:after="283"/>
              <w:jc w:val="left"/>
              <w:rPr/>
            </w:pPr>
            <w:r>
              <w:rPr/>
              <w:t>Joshua Easterly</w:t>
            </w:r>
          </w:p>
        </w:tc>
      </w:tr>
      <w:tr>
        <w:trPr/>
        <w:tc>
          <w:tcPr>
            <w:tcW w:w="4082" w:type="dxa"/>
            <w:tcBorders/>
          </w:tcPr>
          <w:p>
            <w:pPr>
              <w:pStyle w:val="TableContents"/>
              <w:bidi w:val="0"/>
              <w:spacing w:before="0" w:after="283"/>
              <w:jc w:val="left"/>
              <w:rPr>
                <w:i/>
              </w:rPr>
            </w:pPr>
            <w:r>
              <w:rPr>
                <w:i/>
              </w:rPr>
              <w:t>Chairman of the Board of Directors</w:t>
            </w:r>
          </w:p>
        </w:tc>
      </w:tr>
    </w:tbl>
    <w:p>
      <w:pPr>
        <w:pStyle w:val="TextBody"/>
        <w:bidi w:val="0"/>
        <w:spacing w:before="240" w:after="0"/>
        <w:jc w:val="left"/>
        <w:rPr>
          <w:rFonts w:ascii="Times New Roman" w:hAnsi="Times New Roman"/>
          <w:sz w:val="20"/>
        </w:rPr>
      </w:pPr>
      <w:r>
        <w:rPr>
          <w:rFonts w:ascii="Times New Roman" w:hAnsi="Times New Roman"/>
          <w:sz w:val="20"/>
        </w:rPr>
        <w:t xml:space="preserve">April 11, 2024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Important Notice Regarding the Availability of Proxy Material for the Special Meeting of Stockholders to Be Held on May 23, 2024. </w:t>
      </w:r>
    </w:p>
    <w:p>
      <w:pPr>
        <w:pStyle w:val="TextBody"/>
        <w:bidi w:val="0"/>
        <w:spacing w:before="120" w:after="0"/>
        <w:jc w:val="left"/>
        <w:rPr>
          <w:rFonts w:ascii="Times New Roman" w:hAnsi="Times New Roman"/>
          <w:sz w:val="20"/>
        </w:rPr>
      </w:pPr>
      <w:r>
        <w:rPr>
          <w:rFonts w:ascii="Times New Roman" w:hAnsi="Times New Roman"/>
          <w:sz w:val="20"/>
        </w:rPr>
        <w:t xml:space="preserve">Our proxy statement is available online at www.proxyvote.com.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information applicable to the Special Meeting of Stockholders may be found in the proxy statement and accompanying proxy card: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time and location of the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list of the matters intended to be acted on and our recommendations regarding those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control/identification numbers that you need to access proxy material online;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about attending the meeting and voting in person.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51130" cy="4572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1130" cy="457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Sixth Street Specialty Lending, Inc. </w:t>
      </w:r>
    </w:p>
    <w:p>
      <w:pPr>
        <w:pStyle w:val="TextBody"/>
        <w:bidi w:val="0"/>
        <w:spacing w:before="0" w:after="0"/>
        <w:jc w:val="center"/>
        <w:rPr>
          <w:rFonts w:ascii="Times New Roman" w:hAnsi="Times New Roman"/>
          <w:sz w:val="20"/>
        </w:rPr>
      </w:pPr>
      <w:r>
        <w:rPr>
          <w:rFonts w:ascii="Times New Roman" w:hAnsi="Times New Roman"/>
          <w:sz w:val="20"/>
        </w:rPr>
        <w:t xml:space="preserve">2100 McKinney Avenue, Suite 1500 </w:t>
      </w:r>
    </w:p>
    <w:p>
      <w:pPr>
        <w:pStyle w:val="TextBody"/>
        <w:bidi w:val="0"/>
        <w:spacing w:before="0" w:after="0"/>
        <w:jc w:val="center"/>
        <w:rPr>
          <w:rFonts w:ascii="Times New Roman" w:hAnsi="Times New Roman"/>
          <w:sz w:val="20"/>
        </w:rPr>
      </w:pPr>
      <w:r>
        <w:rPr>
          <w:rFonts w:ascii="Times New Roman" w:hAnsi="Times New Roman"/>
          <w:sz w:val="20"/>
        </w:rPr>
        <w:t xml:space="preserve">Dallas, TX 75201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center"/>
        <w:rPr>
          <w:rFonts w:ascii="Times New Roman" w:hAnsi="Times New Roman"/>
          <w:b/>
          <w:sz w:val="20"/>
        </w:rPr>
      </w:pPr>
      <w:r>
        <w:rPr>
          <w:rFonts w:ascii="Times New Roman" w:hAnsi="Times New Roman"/>
          <w:b/>
          <w:sz w:val="20"/>
        </w:rPr>
        <w:t xml:space="preserve">Notice of a Special Meeting of Stockholders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TO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NOTICE IS HEREBY GIVEN that a Special Meeting of Stockholders of Sixth Street Specialty Lending, Inc. will be held at the offices of Simpson Thacher &amp; Bartlett LLP, 425 Lexington Avenue, 30th Floor, New York, NY 10017 on May 23, 2024, at 10:00 a.m., local time. The Special Meeting of Stockholders is being held for the following purpose: </w:t>
      </w:r>
    </w:p>
    <w:p>
      <w:pPr>
        <w:pStyle w:val="TextBody"/>
        <w:bidi w:val="0"/>
        <w:spacing w:before="120" w:after="0"/>
        <w:jc w:val="left"/>
        <w:rPr>
          <w:rFonts w:ascii="Times New Roman" w:hAnsi="Times New Roman"/>
          <w:sz w:val="20"/>
        </w:rPr>
      </w:pPr>
      <w:r>
        <w:rPr>
          <w:rFonts w:ascii="Times New Roman" w:hAnsi="Times New Roman"/>
          <w:sz w:val="20"/>
        </w:rPr>
        <w:t xml:space="preserve">1. To consider and vote upon a proposal to authorize the Company to sell or otherwise issue shares of its common stock at a price below its then-current net asset value per share in one or more offerings, in each case subject to the approval of its Board of Directors and subject to certain conditions as set forth herein, including that the number of shares issued does not exceed 25% of its then-outstanding common stock immediately prior to each such offering. </w:t>
      </w:r>
    </w:p>
    <w:p>
      <w:pPr>
        <w:pStyle w:val="TextBody"/>
        <w:bidi w:val="0"/>
        <w:spacing w:before="240" w:after="0"/>
        <w:jc w:val="left"/>
        <w:rPr>
          <w:rFonts w:ascii="Times New Roman" w:hAnsi="Times New Roman"/>
          <w:sz w:val="20"/>
        </w:rPr>
      </w:pPr>
      <w:r>
        <w:rPr>
          <w:rFonts w:ascii="Times New Roman" w:hAnsi="Times New Roman"/>
          <w:sz w:val="20"/>
        </w:rPr>
        <w:t xml:space="preserve">Only stockholders of record at the close of business on March 28, 2024, are entitled to notice of and to vote at the Special Meeting of Stockholders or any postponement or adjournment thereof. </w:t>
      </w:r>
    </w:p>
    <w:p>
      <w:pPr>
        <w:pStyle w:val="TextBody"/>
        <w:bidi w:val="0"/>
        <w:spacing w:before="240" w:after="0"/>
        <w:jc w:val="left"/>
        <w:rPr>
          <w:rFonts w:ascii="Times New Roman" w:hAnsi="Times New Roman"/>
          <w:sz w:val="20"/>
        </w:rPr>
      </w:pPr>
      <w:r>
        <w:rPr>
          <w:rFonts w:ascii="Times New Roman" w:hAnsi="Times New Roman"/>
          <w:sz w:val="20"/>
        </w:rPr>
        <w:t xml:space="preserve">We are furnishing a proxy statement and proxy card to our stockholders on the internet, rather than mailing printed copies of those materials to each stockholder. If you received a Notice of Internet Availability of Proxy Materials by mail, you will not receive a printed copy of the proxy statement and proxy card unless you request them. Instead, the Notice of Internet Availability of Proxy Materials will instruct you as to how you may access and review the proxy statement, and vote your proxy, on the internet. </w:t>
      </w:r>
    </w:p>
    <w:p>
      <w:pPr>
        <w:pStyle w:val="TextBody"/>
        <w:bidi w:val="0"/>
        <w:spacing w:before="240" w:after="0"/>
        <w:jc w:val="left"/>
        <w:rPr>
          <w:rFonts w:ascii="Times New Roman" w:hAnsi="Times New Roman"/>
          <w:sz w:val="20"/>
        </w:rPr>
      </w:pPr>
      <w:r>
        <w:rPr>
          <w:rFonts w:ascii="Times New Roman" w:hAnsi="Times New Roman"/>
          <w:b/>
          <w:sz w:val="20"/>
        </w:rPr>
        <w:t xml:space="preserve">Your vote is extremely important to us. </w:t>
      </w:r>
      <w:r>
        <w:rPr>
          <w:rFonts w:ascii="Times New Roman" w:hAnsi="Times New Roman"/>
          <w:sz w:val="20"/>
        </w:rPr>
        <w:t xml:space="preserve">Whether or not you plan to attend the Special Meeting of Stockholders, we encourage you to vote your proxy on the internet by following the instructions provided on the Notice of Internet Availability of Proxy Materials or proxy card. Stockholders may also request from us free of charge hard copies of the proxy statement and proxy card by following the instructions on the Notice of Internet Availability of Proxy Materials. In the event there are not sufficient votes for a quorum at the time of the Special Meeting, the Special Meeting may be adjourned in order to permit further solicitation of proxies by 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THE BOARD OF DIRECTORS, INCLUDING THE INDEPENDENT DIRECTORS, UNANIMOUSLY RECOMMENDS THAT YOU VOTE FOR THE PROPOSAL.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By Order of the Board of Directors,</w:t>
            </w:r>
          </w:p>
        </w:tc>
      </w:tr>
      <w:tr>
        <w:trPr>
          <w:trHeight w:val="195"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Anton Brett</w:t>
            </w:r>
          </w:p>
        </w:tc>
      </w:tr>
      <w:tr>
        <w:trPr/>
        <w:tc>
          <w:tcPr>
            <w:tcW w:w="4082" w:type="dxa"/>
            <w:tcBorders/>
            <w:vAlign w:val="bottom"/>
          </w:tcPr>
          <w:p>
            <w:pPr>
              <w:pStyle w:val="TableContents"/>
              <w:bidi w:val="0"/>
              <w:spacing w:before="0" w:after="283"/>
              <w:jc w:val="left"/>
              <w:rPr/>
            </w:pPr>
            <w:r>
              <w:rPr/>
              <w:t>Anton Brett</w:t>
            </w:r>
          </w:p>
        </w:tc>
      </w:tr>
      <w:tr>
        <w:trPr/>
        <w:tc>
          <w:tcPr>
            <w:tcW w:w="4082" w:type="dxa"/>
            <w:tcBorders/>
          </w:tcPr>
          <w:p>
            <w:pPr>
              <w:pStyle w:val="TableContents"/>
              <w:bidi w:val="0"/>
              <w:spacing w:before="0" w:after="283"/>
              <w:jc w:val="left"/>
              <w:rPr>
                <w:i/>
              </w:rPr>
            </w:pPr>
            <w:r>
              <w:rPr>
                <w:i/>
              </w:rPr>
              <w:t>Chief Compliance Officer and Secretary</w:t>
            </w:r>
          </w:p>
        </w:tc>
      </w:tr>
    </w:tbl>
    <w:p>
      <w:pPr>
        <w:pStyle w:val="TextBody"/>
        <w:bidi w:val="0"/>
        <w:spacing w:before="240" w:after="0"/>
        <w:jc w:val="left"/>
        <w:rPr>
          <w:rFonts w:ascii="Times New Roman" w:hAnsi="Times New Roman"/>
          <w:sz w:val="20"/>
        </w:rPr>
      </w:pPr>
      <w:r>
        <w:rPr>
          <w:rFonts w:ascii="Times New Roman" w:hAnsi="Times New Roman"/>
          <w:sz w:val="20"/>
        </w:rPr>
        <w:t xml:space="preserve">April 11, 2024 </w:t>
      </w:r>
    </w:p>
    <w:p>
      <w:pPr>
        <w:pStyle w:val="TextBody"/>
        <w:bidi w:val="0"/>
        <w:spacing w:before="240" w:after="0"/>
        <w:jc w:val="left"/>
        <w:rPr>
          <w:rFonts w:ascii="Times New Roman" w:hAnsi="Times New Roman"/>
          <w:b/>
          <w:sz w:val="20"/>
        </w:rPr>
      </w:pPr>
      <w:r>
        <w:rPr>
          <w:rFonts w:ascii="Times New Roman" w:hAnsi="Times New Roman"/>
          <w:b/>
          <w:sz w:val="20"/>
          <w:u w:val="single"/>
        </w:rPr>
        <w:t>YOUR VOTE IS IMPORTANT</w:t>
      </w:r>
      <w:r>
        <w:rPr>
          <w:rFonts w:ascii="Times New Roman" w:hAnsi="Times New Roman"/>
          <w:b/>
          <w:sz w:val="20"/>
        </w:rPr>
        <w:t xml:space="preserve">! WE HOPE YOU WILL VOTE OVER THE INTERNET, BY PHONE OR BY MARKING, SIGNING AND RETURNING YOUR PROXY AS SOON AS POSSIBLE, WHETHER OR NOT YOU PLAN TO ATTEND THE MEETING. EVEN IF YOU VOTE YOUR SHARES PRIOR TO THE MEETING, YOU STILL MAY ATTEND THE MEETING AND VOTE YOUR SHARES IN PERSON.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60"/>
        <w:gridCol w:w="359"/>
        <w:gridCol w:w="96"/>
        <w:gridCol w:w="427"/>
        <w:gridCol w:w="63"/>
      </w:tblGrid>
      <w:tr>
        <w:trPr/>
        <w:tc>
          <w:tcPr>
            <w:tcW w:w="9260" w:type="dxa"/>
            <w:tcBorders/>
            <w:vAlign w:val="center"/>
          </w:tcPr>
          <w:p>
            <w:pPr>
              <w:pStyle w:val="TableContents"/>
              <w:bidi w:val="0"/>
              <w:spacing w:before="0" w:after="283"/>
              <w:jc w:val="left"/>
              <w:rPr>
                <w:sz w:val="4"/>
                <w:szCs w:val="4"/>
              </w:rPr>
            </w:pPr>
            <w:r>
              <w:rPr>
                <w:sz w:val="4"/>
                <w:szCs w:val="4"/>
              </w:rPr>
            </w:r>
          </w:p>
        </w:tc>
        <w:tc>
          <w:tcPr>
            <w:tcW w:w="359"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6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5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60" w:type="dxa"/>
            <w:tcBorders/>
          </w:tcPr>
          <w:p>
            <w:pPr>
              <w:pStyle w:val="TableContents"/>
              <w:bidi w:val="0"/>
              <w:spacing w:before="0" w:after="0"/>
              <w:jc w:val="left"/>
              <w:rPr/>
            </w:pPr>
            <w:hyperlink w:anchor="toc866866_1">
              <w:r>
                <w:rPr>
                  <w:rStyle w:val="InternetLink"/>
                  <w:rFonts w:ascii="Times New Roman" w:hAnsi="Times New Roman"/>
                  <w:sz w:val="20"/>
                </w:rPr>
                <w:t>Proxy Statement for a Special Meeting of Stockholders</w:t>
              </w:r>
            </w:hyperlink>
          </w:p>
        </w:tc>
        <w:tc>
          <w:tcPr>
            <w:tcW w:w="35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60" w:type="dxa"/>
            <w:tcBorders/>
          </w:tcPr>
          <w:p>
            <w:pPr>
              <w:pStyle w:val="TableContents"/>
              <w:bidi w:val="0"/>
              <w:spacing w:before="0" w:after="0"/>
              <w:jc w:val="left"/>
              <w:rPr/>
            </w:pPr>
            <w:hyperlink w:anchor="toc866866_2">
              <w:r>
                <w:rPr>
                  <w:rStyle w:val="InternetLink"/>
                  <w:rFonts w:ascii="Times New Roman" w:hAnsi="Times New Roman"/>
                  <w:sz w:val="20"/>
                </w:rPr>
                <w:t>Security Ownership of Certain Beneficial Owners and Management</w:t>
              </w:r>
            </w:hyperlink>
          </w:p>
        </w:tc>
        <w:tc>
          <w:tcPr>
            <w:tcW w:w="35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260" w:type="dxa"/>
            <w:tcBorders/>
          </w:tcPr>
          <w:p>
            <w:pPr>
              <w:pStyle w:val="TableContents"/>
              <w:bidi w:val="0"/>
              <w:spacing w:before="0" w:after="0"/>
              <w:jc w:val="left"/>
              <w:rPr/>
            </w:pPr>
            <w:hyperlink w:anchor="toc866866_3">
              <w:r>
                <w:rPr>
                  <w:rStyle w:val="InternetLink"/>
                  <w:rFonts w:ascii="Times New Roman" w:hAnsi="Times New Roman"/>
                  <w:sz w:val="20"/>
                </w:rPr>
                <w:t>Proposal No.  1 Authorization of The Company to Sell or Otherwise Issue Shares of its Common Stock at a Price Below its Then-Current Net Asset Value Per Share in One or More Offerings, in Each Case Subject to the Approval of its Board of Directors and Subject to the Conditions Set Forth in this Proposal</w:t>
              </w:r>
            </w:hyperlink>
          </w:p>
        </w:tc>
        <w:tc>
          <w:tcPr>
            <w:tcW w:w="35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60" w:type="dxa"/>
            <w:tcBorders/>
          </w:tcPr>
          <w:p>
            <w:pPr>
              <w:pStyle w:val="TableContents"/>
              <w:bidi w:val="0"/>
              <w:spacing w:before="0" w:after="0"/>
              <w:jc w:val="left"/>
              <w:rPr/>
            </w:pPr>
            <w:hyperlink w:anchor="toc866866_4">
              <w:r>
                <w:rPr>
                  <w:rStyle w:val="InternetLink"/>
                  <w:rFonts w:ascii="Times New Roman" w:hAnsi="Times New Roman"/>
                  <w:sz w:val="20"/>
                </w:rPr>
                <w:t>Other Business</w:t>
              </w:r>
            </w:hyperlink>
          </w:p>
        </w:tc>
        <w:tc>
          <w:tcPr>
            <w:tcW w:w="35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260" w:type="dxa"/>
            <w:tcBorders/>
          </w:tcPr>
          <w:p>
            <w:pPr>
              <w:pStyle w:val="TableContents"/>
              <w:bidi w:val="0"/>
              <w:spacing w:before="0" w:after="0"/>
              <w:jc w:val="left"/>
              <w:rPr/>
            </w:pPr>
            <w:hyperlink w:anchor="toc866866_5">
              <w:r>
                <w:rPr>
                  <w:rStyle w:val="InternetLink"/>
                  <w:rFonts w:ascii="Times New Roman" w:hAnsi="Times New Roman"/>
                  <w:sz w:val="20"/>
                </w:rPr>
                <w:t xml:space="preserve">Stockholder Proposals and Nominations for the 2024 Annual Meeting of Stockholders </w:t>
              </w:r>
            </w:hyperlink>
          </w:p>
        </w:tc>
        <w:tc>
          <w:tcPr>
            <w:tcW w:w="35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260" w:type="dxa"/>
            <w:tcBorders/>
          </w:tcPr>
          <w:p>
            <w:pPr>
              <w:pStyle w:val="TableContents"/>
              <w:bidi w:val="0"/>
              <w:spacing w:before="0" w:after="0"/>
              <w:jc w:val="left"/>
              <w:rPr/>
            </w:pPr>
            <w:hyperlink w:anchor="toc866866_6">
              <w:r>
                <w:rPr>
                  <w:rStyle w:val="InternetLink"/>
                  <w:rFonts w:ascii="Times New Roman" w:hAnsi="Times New Roman"/>
                  <w:sz w:val="20"/>
                </w:rPr>
                <w:t>Annual Report</w:t>
              </w:r>
            </w:hyperlink>
          </w:p>
        </w:tc>
        <w:tc>
          <w:tcPr>
            <w:tcW w:w="35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260" w:type="dxa"/>
            <w:tcBorders/>
          </w:tcPr>
          <w:p>
            <w:pPr>
              <w:pStyle w:val="TableContents"/>
              <w:bidi w:val="0"/>
              <w:spacing w:before="0" w:after="0"/>
              <w:jc w:val="left"/>
              <w:rPr/>
            </w:pPr>
            <w:hyperlink w:anchor="toc866866_7">
              <w:r>
                <w:rPr>
                  <w:rStyle w:val="InternetLink"/>
                  <w:rFonts w:ascii="Times New Roman" w:hAnsi="Times New Roman"/>
                  <w:sz w:val="20"/>
                </w:rPr>
                <w:t>Householding of Proxy Materials</w:t>
              </w:r>
            </w:hyperlink>
          </w:p>
        </w:tc>
        <w:tc>
          <w:tcPr>
            <w:tcW w:w="35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260" w:type="dxa"/>
            <w:tcBorders/>
          </w:tcPr>
          <w:p>
            <w:pPr>
              <w:pStyle w:val="TableContents"/>
              <w:bidi w:val="0"/>
              <w:spacing w:before="0" w:after="0"/>
              <w:jc w:val="left"/>
              <w:rPr/>
            </w:pPr>
            <w:hyperlink w:anchor="toc866866_8">
              <w:r>
                <w:rPr>
                  <w:rStyle w:val="InternetLink"/>
                  <w:rFonts w:ascii="Times New Roman" w:hAnsi="Times New Roman"/>
                  <w:sz w:val="20"/>
                </w:rPr>
                <w:t>Privacy Principles</w:t>
              </w:r>
            </w:hyperlink>
          </w:p>
        </w:tc>
        <w:tc>
          <w:tcPr>
            <w:tcW w:w="35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7"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pPr>
      <w:r>
        <w:rPr/>
        <w:drawing>
          <wp:inline distT="0" distB="0" distL="0" distR="0">
            <wp:extent cx="151130" cy="457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1130" cy="4572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Sixth Street Specialty Lending, Inc. </w:t>
      </w:r>
    </w:p>
    <w:p>
      <w:pPr>
        <w:pStyle w:val="TextBody"/>
        <w:bidi w:val="0"/>
        <w:spacing w:before="0" w:after="0"/>
        <w:jc w:val="center"/>
        <w:rPr>
          <w:rFonts w:ascii="Times New Roman" w:hAnsi="Times New Roman"/>
          <w:sz w:val="20"/>
        </w:rPr>
      </w:pPr>
      <w:r>
        <w:rPr>
          <w:rFonts w:ascii="Times New Roman" w:hAnsi="Times New Roman"/>
          <w:sz w:val="20"/>
        </w:rPr>
        <w:t xml:space="preserve">2100 McKinney Avenue, Suite 1500 </w:t>
      </w:r>
    </w:p>
    <w:p>
      <w:pPr>
        <w:pStyle w:val="TextBody"/>
        <w:bidi w:val="0"/>
        <w:spacing w:before="0" w:after="0"/>
        <w:jc w:val="center"/>
        <w:rPr>
          <w:rFonts w:ascii="Times New Roman" w:hAnsi="Times New Roman"/>
          <w:sz w:val="20"/>
        </w:rPr>
      </w:pPr>
      <w:r>
        <w:rPr>
          <w:rFonts w:ascii="Times New Roman" w:hAnsi="Times New Roman"/>
          <w:sz w:val="20"/>
        </w:rPr>
        <w:t xml:space="preserve">Dallas, TX 75201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xml:space="preserve">  </w:t>
      </w:r>
    </w:p>
    <w:p>
      <w:pPr>
        <w:pStyle w:val="TextBody"/>
        <w:bidi w:val="0"/>
        <w:spacing w:before="120" w:after="0"/>
        <w:jc w:val="center"/>
        <w:rPr>
          <w:rFonts w:ascii="Times New Roman" w:hAnsi="Times New Roman"/>
          <w:b/>
          <w:sz w:val="20"/>
        </w:rPr>
      </w:pPr>
      <w:bookmarkStart w:id="3" w:name="toc866866_1"/>
      <w:bookmarkEnd w:id="3"/>
      <w:r>
        <w:rPr>
          <w:rFonts w:ascii="Times New Roman" w:hAnsi="Times New Roman"/>
          <w:b/>
          <w:sz w:val="20"/>
        </w:rPr>
        <w:t xml:space="preserve">Proxy Statement </w:t>
      </w:r>
    </w:p>
    <w:p>
      <w:pPr>
        <w:pStyle w:val="TextBody"/>
        <w:bidi w:val="0"/>
        <w:spacing w:before="0" w:after="0"/>
        <w:jc w:val="center"/>
        <w:rPr>
          <w:rFonts w:ascii="Times New Roman" w:hAnsi="Times New Roman"/>
          <w:b/>
          <w:sz w:val="20"/>
        </w:rPr>
      </w:pPr>
      <w:r>
        <w:rPr>
          <w:rFonts w:ascii="Times New Roman" w:hAnsi="Times New Roman"/>
          <w:b/>
          <w:sz w:val="20"/>
        </w:rPr>
        <w:t xml:space="preserve">for a </w:t>
      </w:r>
    </w:p>
    <w:p>
      <w:pPr>
        <w:pStyle w:val="TextBody"/>
        <w:bidi w:val="0"/>
        <w:spacing w:before="0" w:after="0"/>
        <w:jc w:val="center"/>
        <w:rPr>
          <w:rFonts w:ascii="Times New Roman" w:hAnsi="Times New Roman"/>
          <w:b/>
          <w:sz w:val="20"/>
        </w:rPr>
      </w:pPr>
      <w:r>
        <w:rPr>
          <w:rFonts w:ascii="Times New Roman" w:hAnsi="Times New Roman"/>
          <w:b/>
          <w:sz w:val="20"/>
        </w:rPr>
        <w:t xml:space="preserve">Special Meeting of Stockholders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20" w:after="0"/>
        <w:jc w:val="left"/>
        <w:rPr>
          <w:rFonts w:ascii="Times New Roman" w:hAnsi="Times New Roman"/>
          <w:sz w:val="20"/>
        </w:rPr>
      </w:pPr>
      <w:r>
        <w:rPr>
          <w:rFonts w:ascii="Times New Roman" w:hAnsi="Times New Roman"/>
          <w:sz w:val="20"/>
        </w:rPr>
        <w:t xml:space="preserve">The accompanying proxy is solicited on behalf of the Board of Directors (the Board) of Sixth Street Specialty Lending, Inc., which is sometimes referred to in this proxy statement as TSLX, we, us, our, or the Company, for use at a Special Meeting of Stockholders (the Meeting or Special Meeting) to be held at the offices of Simpson Thacher &amp; Bartlett LLP, 425 Lexington Avenue, 30th Floor, New York, NY 10017 on May 23, 2024, at 10:00 a.m., local time. Only holders of record of our common stock at the close of business on March 28, 2024, which is the record date, will be entitled to vote at the Meeting. At the close of business on the record date, we had 92,121,556 shares of common stock outstanding and entitled to vote. </w:t>
      </w:r>
    </w:p>
    <w:p>
      <w:pPr>
        <w:pStyle w:val="TextBody"/>
        <w:bidi w:val="0"/>
        <w:spacing w:before="240" w:after="0"/>
        <w:jc w:val="left"/>
        <w:rPr>
          <w:rFonts w:ascii="Times New Roman" w:hAnsi="Times New Roman"/>
          <w:sz w:val="20"/>
        </w:rPr>
      </w:pPr>
      <w:r>
        <w:rPr>
          <w:rFonts w:ascii="Times New Roman" w:hAnsi="Times New Roman"/>
          <w:sz w:val="20"/>
        </w:rPr>
        <w:t xml:space="preserve">It is anticipated that the Notice of Internet Availability of Proxy Materials will first be sent to Stockholders on or about April 11, 2024. This proxy statement, including the accompanying form of proxy (collectively, the Proxy Statement), will first be made available to stockholders on or about April 11, 2024. The Proxy Statement can be accessed online at www.proxyvote.com. </w:t>
      </w:r>
    </w:p>
    <w:p>
      <w:pPr>
        <w:pStyle w:val="TextBody"/>
        <w:bidi w:val="0"/>
        <w:spacing w:before="240" w:after="0"/>
        <w:jc w:val="left"/>
        <w:rPr>
          <w:rFonts w:ascii="Times New Roman" w:hAnsi="Times New Roman"/>
          <w:sz w:val="20"/>
        </w:rPr>
      </w:pPr>
      <w:r>
        <w:rPr>
          <w:rFonts w:ascii="Times New Roman" w:hAnsi="Times New Roman"/>
          <w:sz w:val="20"/>
        </w:rPr>
        <w:t xml:space="preserve">All proxies will be voted in accordance with the instructions contained therein. Unless contrary instructions are specified, if the accompanying proxy is executed and returned (and not revoked) prior to the Meeting, the shares of the Companys common stock represented by the proxy will be voted </w:t>
      </w:r>
      <w:r>
        <w:rPr>
          <w:rFonts w:ascii="Times New Roman" w:hAnsi="Times New Roman"/>
          <w:b/>
          <w:sz w:val="20"/>
        </w:rPr>
        <w:t xml:space="preserve">FOR </w:t>
      </w:r>
      <w:r>
        <w:rPr>
          <w:rFonts w:ascii="Times New Roman" w:hAnsi="Times New Roman"/>
          <w:sz w:val="20"/>
        </w:rPr>
        <w:t xml:space="preserve">the proposal authorizing the Company to sell or otherwise issue shares of its common stock at a price below its then-current net asset value per share in one or more offerings, in each case subject to the approval of the Board and subject to the conditions as set forth herein, including that the number of shares issued does not exceed 25% of its then-outstanding common stock immediately prior to each such offering. Should any matter not described above be properly presented at the Meeting, the named proxies will vote in accordance with their judgment as permitted. </w:t>
      </w:r>
    </w:p>
    <w:p>
      <w:pPr>
        <w:pStyle w:val="TextBody"/>
        <w:bidi w:val="0"/>
        <w:spacing w:before="360" w:after="0"/>
        <w:jc w:val="left"/>
        <w:rPr>
          <w:rFonts w:ascii="Times New Roman" w:hAnsi="Times New Roman"/>
          <w:b/>
          <w:sz w:val="20"/>
        </w:rPr>
      </w:pPr>
      <w:r>
        <w:rPr>
          <w:rFonts w:ascii="Times New Roman" w:hAnsi="Times New Roman"/>
          <w:b/>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our common stock are entitled to one vote for each share held as of the record date. If your shares are held for your account by a broker, bank or other institution or nominee, your institution or nominee will not vote your shares unless you provide instructions to your institution or nominee on how to vote your shares. You should instruct your institution or nominee how to vote your shares by following the voting instructions provided by your institution or nominee. </w:t>
      </w:r>
    </w:p>
    <w:p>
      <w:pPr>
        <w:pStyle w:val="TextBody"/>
        <w:bidi w:val="0"/>
        <w:spacing w:before="240" w:after="0"/>
        <w:jc w:val="left"/>
        <w:rPr>
          <w:rFonts w:ascii="Times New Roman" w:hAnsi="Times New Roman"/>
          <w:sz w:val="20"/>
        </w:rPr>
      </w:pPr>
      <w:r>
        <w:rPr>
          <w:rFonts w:ascii="Times New Roman" w:hAnsi="Times New Roman"/>
          <w:sz w:val="20"/>
        </w:rPr>
        <w:t xml:space="preserve">The Special Meeting of Stockholders is being held for the following purpose: </w:t>
      </w:r>
    </w:p>
    <w:p>
      <w:pPr>
        <w:pStyle w:val="TextBody"/>
        <w:bidi w:val="0"/>
        <w:spacing w:before="120" w:after="0"/>
        <w:jc w:val="left"/>
        <w:rPr>
          <w:rFonts w:ascii="Times New Roman" w:hAnsi="Times New Roman"/>
          <w:sz w:val="20"/>
        </w:rPr>
      </w:pPr>
      <w:r>
        <w:rPr>
          <w:rFonts w:ascii="Times New Roman" w:hAnsi="Times New Roman"/>
          <w:sz w:val="20"/>
        </w:rPr>
        <w:t xml:space="preserve">1. To consider and vote upon a proposal to authorize the Company to sell or otherwise issue shares of its common stock at a price below its then-current net asset value per share in one or more offerings, in each case subject to the approval of its Board of Directors and subject to the conditions as set forth herein, including that the number of shares issued does not exceed 25% of its then-outstanding common stock immediately prior to each such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Quorum, Effect of Abstentions and Broker Non-Votes, Vote Required to Approve the Proposal </w:t>
      </w:r>
    </w:p>
    <w:p>
      <w:pPr>
        <w:pStyle w:val="TextBody"/>
        <w:bidi w:val="0"/>
        <w:spacing w:before="120" w:after="0"/>
        <w:jc w:val="left"/>
        <w:rPr>
          <w:rFonts w:ascii="Times New Roman" w:hAnsi="Times New Roman"/>
          <w:sz w:val="20"/>
        </w:rPr>
      </w:pPr>
      <w:r>
        <w:rPr>
          <w:rFonts w:ascii="Times New Roman" w:hAnsi="Times New Roman"/>
          <w:sz w:val="20"/>
        </w:rPr>
        <w:t xml:space="preserve">A majority of the outstanding shares of common stock must be present or represented by proxy at the Meeting in order to have a quorum. If you have properly voted by proxy online, by phone, or via mail, you will be considered part of the quorum. If at any time shares are held through brokers, we will count broker non-votes as present for the purpose of establishing a quorum. A broker non-vote occurs when a broker holding shares for a beneficial owner votes on some matters on the proxy card, but not on others, because the broker does not have instructions from the beneficial owner or discretionary authority (or declines to exercise discretionary authority) with respect to those other matters. Notwithstanding the foregoing, we do not expect any broker non-votes at the Meeting because there are no routine proposals to be voted on at the Meeting. </w:t>
      </w:r>
      <w:r>
        <w:rPr>
          <w:rFonts w:ascii="Times New Roman" w:hAnsi="Times New Roman"/>
          <w:b/>
          <w:sz w:val="20"/>
        </w:rPr>
        <w:t>For this reason, it is imperative that stockholders vote or provide instructions to their broker as to how to vote.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You may vote for or against, or abstain from voting on, Proposal 1 (to authorize the Company, with the approval of the Board, to sell or otherwise issue shares of its common stock at a price below its then-current net asset value per share subject to certain limitations set forth herein, including that the number of shares issued does not exceed 25% of its then-outstanding common stock immediately prior to each such offering). The affirmative vote of holders of at least a majority, as defined in the Investment Company Act of 1940, as amended (the 1940 Act), of (1) the outstanding shares of the Companys common stock and (2) the outstanding shares of the Companys common stock held by persons that are not affiliated persons of the Company, is required to approve Proposal 1. Under the 1940 Act, the vote of holders of a majority means the vote of the holders of the lesser of (a) 67% or more of the outstanding shares of the Companys common stock present or represented by proxy at the Special Meeting if the holders of more than 50% of the shares of the Companys common stock are present or represented by proxy or (b) more than 50% of the outstanding shares of the Companys common stock. Abstentions will have the effect of a vote against Proposal 1. While broker non-votes would have the effect of a vote against Proposal 1, we do not expect any broker non-votes at the Meeting because there are no routine proposals to be voted on at the Meeting. </w:t>
      </w:r>
    </w:p>
    <w:p>
      <w:pPr>
        <w:pStyle w:val="TextBody"/>
        <w:bidi w:val="0"/>
        <w:spacing w:before="360" w:after="0"/>
        <w:jc w:val="left"/>
        <w:rPr>
          <w:rFonts w:ascii="Times New Roman" w:hAnsi="Times New Roman"/>
          <w:b/>
          <w:sz w:val="20"/>
        </w:rPr>
      </w:pPr>
      <w:r>
        <w:rPr>
          <w:rFonts w:ascii="Times New Roman" w:hAnsi="Times New Roman"/>
          <w:b/>
          <w:sz w:val="20"/>
        </w:rPr>
        <w:t xml:space="preserve">Adjournment of Meeting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that a quorum shall fail to attend the Meeting, either in person or represented by proxy, the stockholders entitled to vote at the Meeting (present in person or represented by proxy) shall have the power to adjourn the meeting from time to time, without notice other than announcement at the meeting, until a quorum shall be present or represented by proxy. Any such adjournment proposed by a stockholder or person named as a proxy would require the affirmative vote of the majority of the outstanding shares present in person or represented by proxy at the Meeting. In addition, pursuant to the bylaws of the Company, if there are not sufficient votes for a quorum or to approve or ratify the proposal at the time of the Meeting, the chairman of the Meeting, or any other officer entitled to preside or to act as secretary at the Meeting, may adjourn or postpone the Meeting in order to permit further solicitation of proxies by the Company, without notice other than announcement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At any such adjourned or postponed meeting, any business may be transacted which might have been transacted at the meeting as originally called. If the adjournment is for more than 30 days, or if after adjournment a new record date is set, then a notice of the adjourned meeting shall be given to each stockholder of record entitled to vote at the meeting. </w:t>
      </w:r>
    </w:p>
    <w:p>
      <w:pPr>
        <w:pStyle w:val="TextBody"/>
        <w:bidi w:val="0"/>
        <w:spacing w:before="360" w:after="0"/>
        <w:jc w:val="left"/>
        <w:rPr>
          <w:rFonts w:ascii="Times New Roman" w:hAnsi="Times New Roman"/>
          <w:b/>
          <w:sz w:val="20"/>
        </w:rPr>
      </w:pPr>
      <w:r>
        <w:rPr>
          <w:rFonts w:ascii="Times New Roman" w:hAnsi="Times New Roman"/>
          <w:b/>
          <w:sz w:val="20"/>
        </w:rPr>
        <w:t xml:space="preserve">Proxies for the Meeting </w:t>
      </w:r>
    </w:p>
    <w:p>
      <w:pPr>
        <w:pStyle w:val="TextBody"/>
        <w:bidi w:val="0"/>
        <w:spacing w:before="120" w:after="0"/>
        <w:jc w:val="left"/>
        <w:rPr>
          <w:rFonts w:ascii="Times New Roman" w:hAnsi="Times New Roman"/>
          <w:sz w:val="20"/>
        </w:rPr>
      </w:pPr>
      <w:r>
        <w:rPr>
          <w:rFonts w:ascii="Times New Roman" w:hAnsi="Times New Roman"/>
          <w:sz w:val="20"/>
        </w:rPr>
        <w:t xml:space="preserve">The named proxies for the Meeting are Ian Simmonds and Anton Brett (or their duly authorized designees), who will follow submitted proxy voting instructions. They will vote as the Board recommends herein as to any submitted proxies that do not direct how to vote on any item, and will vote on any other matters properly presented at the Meeting in their judgment.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Other Information Regarding This Proxy </w:t>
      </w:r>
    </w:p>
    <w:p>
      <w:pPr>
        <w:pStyle w:val="TextBody"/>
        <w:bidi w:val="0"/>
        <w:spacing w:before="120" w:after="0"/>
        <w:jc w:val="left"/>
        <w:rPr>
          <w:rFonts w:ascii="Times New Roman" w:hAnsi="Times New Roman"/>
          <w:sz w:val="20"/>
        </w:rPr>
      </w:pPr>
      <w:r>
        <w:rPr>
          <w:rFonts w:ascii="Times New Roman" w:hAnsi="Times New Roman"/>
          <w:sz w:val="20"/>
        </w:rPr>
        <w:t xml:space="preserve">The Company will pay the expenses of soliciting proxies to be voted at the Meeting. The Company has retained Broadridge Investor Communication Solutions, Inc. to assist with the distribution and collection of proxies for a fee of approximately $75,000, plus reimbursement of expenses.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solicitation of proxies by the use of the internet, proxies may be solicited in person and/or by telephone, mail or facsimile transmission by directors or officers of the Company and/or officers or employees of Sixth Street Specialty Lending Advisers, LLC, the Companys investment adviser (the Adviser). No additional compensation will be paid to such directors, officers or regular employees for such services. The address of the Adviser is 2100 McKinney Avenue, Suite 1500, Dallas, TX 75201. </w:t>
      </w:r>
    </w:p>
    <w:p>
      <w:pPr>
        <w:pStyle w:val="TextBody"/>
        <w:bidi w:val="0"/>
        <w:spacing w:before="240" w:after="0"/>
        <w:jc w:val="left"/>
        <w:rPr>
          <w:rFonts w:ascii="Times New Roman" w:hAnsi="Times New Roman"/>
          <w:sz w:val="20"/>
        </w:rPr>
      </w:pPr>
      <w:r>
        <w:rPr>
          <w:rFonts w:ascii="Times New Roman" w:hAnsi="Times New Roman"/>
          <w:sz w:val="20"/>
        </w:rPr>
        <w:t xml:space="preserve">The Company has engaged the services of D.F. King &amp; Co., Inc. (DF King) to assist in the solicitation of proxies. The Company has estimated that it will pay approximately $10,000, plus reimbursement of certain expenses and fees for additional services requested. Please note that D.F. King may solicit stockholder proxies by telephone on behalf of the Company. They will not attempt to influence how you vote your shares, but only ask that you take the time to authorize your proxy. You may also be asked if you would like to vote over the telephone and to have your vote transmitted to the proxy tabulation firm. </w:t>
      </w:r>
    </w:p>
    <w:p>
      <w:pPr>
        <w:pStyle w:val="TextBody"/>
        <w:bidi w:val="0"/>
        <w:spacing w:before="360" w:after="0"/>
        <w:jc w:val="left"/>
        <w:rPr>
          <w:rFonts w:ascii="Times New Roman" w:hAnsi="Times New Roman"/>
          <w:b/>
          <w:sz w:val="20"/>
        </w:rPr>
      </w:pPr>
      <w:r>
        <w:rPr>
          <w:rFonts w:ascii="Times New Roman" w:hAnsi="Times New Roman"/>
          <w:b/>
          <w:sz w:val="20"/>
        </w:rPr>
        <w:t xml:space="preserve">Revocability of Proxies </w:t>
      </w:r>
    </w:p>
    <w:p>
      <w:pPr>
        <w:pStyle w:val="TextBody"/>
        <w:bidi w:val="0"/>
        <w:spacing w:before="120" w:after="0"/>
        <w:jc w:val="left"/>
        <w:rPr>
          <w:rFonts w:ascii="Times New Roman" w:hAnsi="Times New Roman"/>
          <w:sz w:val="20"/>
        </w:rPr>
      </w:pPr>
      <w:r>
        <w:rPr>
          <w:rFonts w:ascii="Times New Roman" w:hAnsi="Times New Roman"/>
          <w:sz w:val="20"/>
        </w:rPr>
        <w:t xml:space="preserve">A stockholder of record (i.e., stockholders holding shares directly in their name) may revoke any proxy by delivering a new proxy in accordance with applicable law bearing a later date, by giving notice of revocation in writing to the Secretary of the Company prior to the Meeting or by attending the Meeting and voting in person. However, the mere presence of the stockholder at the Meeting does not revoke the proxy. </w:t>
      </w:r>
    </w:p>
    <w:p>
      <w:pPr>
        <w:pStyle w:val="TextBody"/>
        <w:bidi w:val="0"/>
        <w:spacing w:before="240" w:after="0"/>
        <w:jc w:val="left"/>
        <w:rPr>
          <w:rFonts w:ascii="Times New Roman" w:hAnsi="Times New Roman"/>
          <w:sz w:val="20"/>
        </w:rPr>
      </w:pPr>
      <w:r>
        <w:rPr>
          <w:rFonts w:ascii="Times New Roman" w:hAnsi="Times New Roman"/>
          <w:sz w:val="20"/>
        </w:rPr>
        <w:t xml:space="preserve">If your shares are held for your account by a broker, bank or other institution or nominee, you may vote such shares at the Meeting only if you obtain proper written authority from your institution or nominee and present it at the Meeting. If your shares are held for your account by a broker, bank or other institution or nominee, to revoke any voting instructions prior to the time the vote is taken at the Meeting, you must contact such broker, bank or other institution or nominee to determine how to revoke your vote in accordance with its policies a sufficient time in advance of the Meeting. </w:t>
      </w:r>
    </w:p>
    <w:p>
      <w:pPr>
        <w:pStyle w:val="TextBody"/>
        <w:bidi w:val="0"/>
        <w:spacing w:before="360" w:after="0"/>
        <w:jc w:val="left"/>
        <w:rPr>
          <w:rFonts w:ascii="Times New Roman" w:hAnsi="Times New Roman"/>
          <w:b/>
          <w:sz w:val="20"/>
        </w:rPr>
      </w:pPr>
      <w:r>
        <w:rPr>
          <w:rFonts w:ascii="Times New Roman" w:hAnsi="Times New Roman"/>
          <w:b/>
          <w:sz w:val="20"/>
        </w:rPr>
        <w:t xml:space="preserve">Contact Information for Proxy Solicitation </w:t>
      </w:r>
    </w:p>
    <w:p>
      <w:pPr>
        <w:pStyle w:val="TextBody"/>
        <w:bidi w:val="0"/>
        <w:spacing w:before="120" w:after="0"/>
        <w:jc w:val="left"/>
        <w:rPr>
          <w:rFonts w:ascii="Times New Roman" w:hAnsi="Times New Roman"/>
          <w:sz w:val="20"/>
        </w:rPr>
      </w:pPr>
      <w:r>
        <w:rPr>
          <w:rFonts w:ascii="Times New Roman" w:hAnsi="Times New Roman"/>
          <w:sz w:val="20"/>
        </w:rPr>
        <w:t xml:space="preserve">You can contact us by mail sent to the attention of the Secretary of the Company, Anton Brett, Sixth Street Specialty Lending, Inc., 888 7th Avenue, 41st Floor, New York, NY 10106, or by email at abrett@sixthstreet.com. You can call us by dialing 469-621-2033. You can access our proxy materials online at www.proxyvote.com. </w:t>
      </w:r>
    </w:p>
    <w:p>
      <w:pPr>
        <w:pStyle w:val="TextBody"/>
        <w:bidi w:val="0"/>
        <w:spacing w:before="360" w:after="0"/>
        <w:jc w:val="left"/>
        <w:rPr>
          <w:rFonts w:ascii="Times New Roman" w:hAnsi="Times New Roman"/>
          <w:b/>
          <w:sz w:val="20"/>
        </w:rPr>
      </w:pPr>
      <w:r>
        <w:rPr>
          <w:rFonts w:ascii="Times New Roman" w:hAnsi="Times New Roman"/>
          <w:b/>
          <w:sz w:val="20"/>
        </w:rPr>
        <w:t xml:space="preserve">Attendance and Participation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Companys Meeting will be conducted in-person at the offices of Simpson Thacher &amp; Bartlett LLP, 425 Lexington Avenue, 30th Floor, New York, NY 10017. Stockholders as of the close of business on March 28, 2024, the record date, are entitled to participate in and vote at the Meeting. If you have a question pertaining to the business of the Meeting, please submit it in accordance with the procedures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To participate in the Meeting, you will need the 16-digit control number included on your proxy card, your voting instruction form, or the Notice of Internet Availability of Proxy Materials previously mailed or made available to stockholders entitled to vote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In-person admission to the Meeting will be on a first-come, first served basis. Please bring proof of your common share ownership, such as a current brokerage statement and photo identification. If you are representing an entity that is a stockholder, you must also present documentation showing your authority to attend and act on behalf of the entity (such as a power of attorney, written proxy to vote or letter of authorization on the entitys letterhead). We reserve the right to restrict admission to the meeting or limit the number of representatives for any entity that may be admitted to the meeting for security or health and safety reasons at our sole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Annual Meeting of Stockholders will begin promptly at 9:30 a.m., Eastern Time, and the Special Meeting of Stockholders will begin promptly at 10:00 a.m., Eastern Time. Participants should allow plenty of time to check in prior to the start of the meetings. </w:t>
      </w:r>
    </w:p>
    <w:p>
      <w:pPr>
        <w:pStyle w:val="TextBody"/>
        <w:bidi w:val="0"/>
        <w:spacing w:before="240" w:after="0"/>
        <w:jc w:val="left"/>
        <w:rPr>
          <w:rFonts w:ascii="Times New Roman" w:hAnsi="Times New Roman"/>
          <w:sz w:val="20"/>
        </w:rPr>
      </w:pPr>
      <w:r>
        <w:rPr>
          <w:rFonts w:ascii="Times New Roman" w:hAnsi="Times New Roman"/>
          <w:sz w:val="20"/>
        </w:rPr>
        <w:t xml:space="preserve">You can vote in person at the Meeting. If you hold your shares in street name, you must obtain a proxy from the record holder to vote in person. </w:t>
      </w:r>
    </w:p>
    <w:p>
      <w:pPr>
        <w:pStyle w:val="TextBody"/>
        <w:bidi w:val="0"/>
        <w:spacing w:before="360" w:after="0"/>
        <w:jc w:val="left"/>
        <w:rPr>
          <w:rFonts w:ascii="Times New Roman" w:hAnsi="Times New Roman"/>
          <w:b/>
          <w:sz w:val="20"/>
        </w:rPr>
      </w:pPr>
      <w:r>
        <w:rPr>
          <w:rFonts w:ascii="Times New Roman" w:hAnsi="Times New Roman"/>
          <w:b/>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If your shares are held in a bank, brokerage or other institutional account, you are a beneficial owner of these shares but not the record holder. This is known as holding shares in street name. If you wish to vote the shares you hold in street name in person at the meeting, you must obtain a legal proxy from your bank, broker or other intermediary and bring it with you to hand in with your ballot. </w:t>
      </w:r>
    </w:p>
    <w:p>
      <w:pPr>
        <w:pStyle w:val="TextBody"/>
        <w:bidi w:val="0"/>
        <w:spacing w:before="360" w:after="0"/>
        <w:jc w:val="left"/>
        <w:rPr>
          <w:rFonts w:ascii="Times New Roman" w:hAnsi="Times New Roman"/>
          <w:b/>
          <w:sz w:val="20"/>
        </w:rPr>
      </w:pPr>
      <w:r>
        <w:rPr>
          <w:rFonts w:ascii="Times New Roman" w:hAnsi="Times New Roman"/>
          <w:b/>
          <w:sz w:val="20"/>
        </w:rPr>
        <w:t xml:space="preserve">Stockholder List </w:t>
      </w:r>
    </w:p>
    <w:p>
      <w:pPr>
        <w:pStyle w:val="TextBody"/>
        <w:bidi w:val="0"/>
        <w:spacing w:before="120" w:after="0"/>
        <w:jc w:val="left"/>
        <w:rPr>
          <w:rFonts w:ascii="Times New Roman" w:hAnsi="Times New Roman"/>
          <w:sz w:val="20"/>
        </w:rPr>
      </w:pPr>
      <w:r>
        <w:rPr>
          <w:rFonts w:ascii="Times New Roman" w:hAnsi="Times New Roman"/>
          <w:sz w:val="20"/>
        </w:rPr>
        <w:t xml:space="preserve">The list of our stockholders of record entitled to vote at the Meeting will be made available for viewing by stockholders at the Meeting for any purpose germane to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4" w:name="toc866866_2"/>
      <w:bookmarkEnd w:id="4"/>
      <w:r>
        <w:rPr>
          <w:rFonts w:ascii="Times New Roman" w:hAnsi="Times New Roman"/>
          <w:b/>
          <w:sz w:val="20"/>
        </w:rPr>
        <w:t xml:space="preserve">Security Ownership of Certain Beneficial Owners and Management </w:t>
      </w:r>
    </w:p>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and regulations of the U.S. Securities and Exchange Commission (the SEC). These rules generally provide that a person is the beneficial owner of securities if the person has or shares the power to vote or direct the voting thereof, or to dispose or direct the disposition thereof or has the right to acquire these powers within 60 days. The following table sets forth, as of March 28, 2024, the beneficial ownership as indicated in the Companys books and records of each current director, the nominees for director, the Companys Named Executive Officers, the Companys executive officers and directors as a group, and each person known to the Company to beneficially own 5% or more of the outstanding shares of the Companys common stock. With respect to persons known to the Company to beneficially own 5% or more of the outstanding shares of the Companys common stock, the Company bases such knowledge on beneficial ownership filings made by the holders with the SEC. </w:t>
      </w:r>
    </w:p>
    <w:p>
      <w:pPr>
        <w:pStyle w:val="TextBody"/>
        <w:bidi w:val="0"/>
        <w:spacing w:before="240" w:after="0"/>
        <w:jc w:val="left"/>
        <w:rPr>
          <w:rFonts w:ascii="Times New Roman" w:hAnsi="Times New Roman"/>
          <w:sz w:val="20"/>
        </w:rPr>
      </w:pPr>
      <w:r>
        <w:rPr>
          <w:rFonts w:ascii="Times New Roman" w:hAnsi="Times New Roman"/>
          <w:sz w:val="20"/>
        </w:rPr>
        <w:t xml:space="preserve">The percentage ownership is based on 92,121,556 shares of common stock outstanding as of March 28, 2024. To the Companys knowledge, except as indicated in the footnotes to the table, each of the stockholders listed below has sole voting and/or investment power with respect to shares beneficially owned by such stockholder. Unless otherwise indicated by footnote, the address for each listed individual is 2100 McKinney Avenue, Suite 1500, Dallas, TX 75201.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34"/>
        <w:gridCol w:w="405"/>
        <w:gridCol w:w="92"/>
        <w:gridCol w:w="1511"/>
        <w:gridCol w:w="60"/>
        <w:gridCol w:w="405"/>
        <w:gridCol w:w="251"/>
        <w:gridCol w:w="1369"/>
        <w:gridCol w:w="278"/>
      </w:tblGrid>
      <w:tr>
        <w:trPr/>
        <w:tc>
          <w:tcPr>
            <w:tcW w:w="5834"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5834"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Individual or Identity of Group</w:t>
            </w:r>
          </w:p>
        </w:tc>
        <w:tc>
          <w:tcPr>
            <w:tcW w:w="405" w:type="dxa"/>
            <w:tcBorders/>
            <w:vAlign w:val="bottom"/>
          </w:tcPr>
          <w:p>
            <w:pPr>
              <w:pStyle w:val="TableContents"/>
              <w:bidi w:val="0"/>
              <w:spacing w:before="0" w:after="283"/>
              <w:jc w:val="left"/>
              <w:rPr/>
            </w:pPr>
            <w:r>
              <w:rPr/>
              <w:t>  </w:t>
            </w:r>
          </w:p>
        </w:tc>
        <w:tc>
          <w:tcPr>
            <w:tcW w:w="16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 of</w:t>
              <w:br/>
              <w:t>Common Stock</w:t>
              <w:br/>
              <w:t>Beneficially</w:t>
              <w:br/>
              <w:t>Owned(1)</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16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 of</w:t>
              <w:br/>
              <w:t>Common Stock</w:t>
              <w:br/>
              <w:t>Beneficially</w:t>
              <w:br/>
              <w:t>Owned(1)</w:t>
            </w:r>
          </w:p>
        </w:tc>
        <w:tc>
          <w:tcPr>
            <w:tcW w:w="278" w:type="dxa"/>
            <w:tcBorders/>
            <w:vAlign w:val="bottom"/>
          </w:tcPr>
          <w:p>
            <w:pPr>
              <w:pStyle w:val="TableContents"/>
              <w:bidi w:val="0"/>
              <w:spacing w:before="0" w:after="283"/>
              <w:jc w:val="left"/>
              <w:rPr/>
            </w:pPr>
            <w:r>
              <w:rPr/>
              <w:t> </w:t>
            </w:r>
          </w:p>
        </w:tc>
      </w:tr>
      <w:tr>
        <w:trPr/>
        <w:tc>
          <w:tcPr>
            <w:tcW w:w="583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Directors and Executive Officers:</w:t>
            </w:r>
          </w:p>
        </w:tc>
        <w:tc>
          <w:tcPr>
            <w:tcW w:w="40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5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369"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5834" w:type="dxa"/>
            <w:tcBorders/>
          </w:tcPr>
          <w:p>
            <w:pPr>
              <w:pStyle w:val="TableContents"/>
              <w:bidi w:val="0"/>
              <w:spacing w:before="0" w:after="0"/>
              <w:jc w:val="left"/>
              <w:rPr>
                <w:rFonts w:ascii="Times New Roman" w:hAnsi="Times New Roman"/>
                <w:i/>
                <w:sz w:val="20"/>
              </w:rPr>
            </w:pPr>
            <w:r>
              <w:rPr>
                <w:rFonts w:ascii="Times New Roman" w:hAnsi="Times New Roman"/>
                <w:i/>
                <w:sz w:val="20"/>
              </w:rPr>
              <w:t>Interested Directors</w:t>
            </w:r>
          </w:p>
        </w:tc>
        <w:tc>
          <w:tcPr>
            <w:tcW w:w="40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5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1369"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5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Joshua Easterly(2)</w:t>
            </w:r>
          </w:p>
        </w:tc>
        <w:tc>
          <w:tcPr>
            <w:tcW w:w="40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11" w:type="dxa"/>
            <w:tcBorders/>
            <w:shd w:fill="CCEEFF" w:val="clear"/>
            <w:vAlign w:val="bottom"/>
          </w:tcPr>
          <w:p>
            <w:pPr>
              <w:pStyle w:val="TableContents"/>
              <w:bidi w:val="0"/>
              <w:spacing w:before="0" w:after="283"/>
              <w:jc w:val="right"/>
              <w:rPr/>
            </w:pPr>
            <w:r>
              <w:rPr/>
              <w:t>59,446</w:t>
            </w:r>
          </w:p>
        </w:tc>
        <w:tc>
          <w:tcPr>
            <w:tcW w:w="6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0.1</w:t>
            </w:r>
          </w:p>
        </w:tc>
        <w:tc>
          <w:tcPr>
            <w:tcW w:w="278" w:type="dxa"/>
            <w:tcBorders/>
            <w:shd w:fill="CCEEFF" w:val="clear"/>
            <w:vAlign w:val="bottom"/>
          </w:tcPr>
          <w:p>
            <w:pPr>
              <w:pStyle w:val="TableContents"/>
              <w:bidi w:val="0"/>
              <w:spacing w:before="0" w:after="283"/>
              <w:jc w:val="left"/>
              <w:rPr/>
            </w:pPr>
            <w:r>
              <w:rPr/>
              <w:t>% </w:t>
            </w:r>
          </w:p>
        </w:tc>
      </w:tr>
      <w:tr>
        <w:trPr/>
        <w:tc>
          <w:tcPr>
            <w:tcW w:w="5834" w:type="dxa"/>
            <w:tcBorders/>
          </w:tcPr>
          <w:p>
            <w:pPr>
              <w:pStyle w:val="TableContents"/>
              <w:bidi w:val="0"/>
              <w:spacing w:before="0" w:after="0"/>
              <w:jc w:val="left"/>
              <w:rPr>
                <w:rFonts w:ascii="Times New Roman" w:hAnsi="Times New Roman"/>
                <w:sz w:val="20"/>
              </w:rPr>
            </w:pPr>
            <w:r>
              <w:rPr>
                <w:rFonts w:ascii="Times New Roman" w:hAnsi="Times New Roman"/>
                <w:sz w:val="20"/>
              </w:rPr>
              <w:t>Michael Fishman(3)</w:t>
            </w:r>
          </w:p>
        </w:tc>
        <w:tc>
          <w:tcPr>
            <w:tcW w:w="40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11" w:type="dxa"/>
            <w:tcBorders/>
            <w:vAlign w:val="bottom"/>
          </w:tcPr>
          <w:p>
            <w:pPr>
              <w:pStyle w:val="TableContents"/>
              <w:bidi w:val="0"/>
              <w:spacing w:before="0" w:after="283"/>
              <w:jc w:val="right"/>
              <w:rPr/>
            </w:pPr>
            <w:r>
              <w:rPr/>
              <w:t>36,366</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pPr>
            <w:r>
              <w:rPr/>
              <w:t> </w:t>
            </w:r>
          </w:p>
        </w:tc>
      </w:tr>
      <w:tr>
        <w:trPr/>
        <w:tc>
          <w:tcPr>
            <w:tcW w:w="5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Jennifer Gordon</w:t>
            </w:r>
          </w:p>
        </w:tc>
        <w:tc>
          <w:tcPr>
            <w:tcW w:w="40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11" w:type="dxa"/>
            <w:tcBorders/>
            <w:shd w:fill="CCEEFF" w:val="clear"/>
            <w:vAlign w:val="bottom"/>
          </w:tcPr>
          <w:p>
            <w:pPr>
              <w:pStyle w:val="TableContents"/>
              <w:bidi w:val="0"/>
              <w:spacing w:before="0" w:after="283"/>
              <w:jc w:val="right"/>
              <w:rPr/>
            </w:pPr>
            <w:r>
              <w:rPr/>
              <w:t>2,500</w:t>
            </w:r>
          </w:p>
        </w:tc>
        <w:tc>
          <w:tcPr>
            <w:tcW w:w="6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pPr>
            <w:r>
              <w:rPr/>
              <w:t> </w:t>
            </w:r>
          </w:p>
        </w:tc>
      </w:tr>
      <w:tr>
        <w:trPr/>
        <w:tc>
          <w:tcPr>
            <w:tcW w:w="5834" w:type="dxa"/>
            <w:tcBorders/>
          </w:tcPr>
          <w:p>
            <w:pPr>
              <w:pStyle w:val="TableContents"/>
              <w:bidi w:val="0"/>
              <w:spacing w:before="0" w:after="0"/>
              <w:jc w:val="left"/>
              <w:rPr>
                <w:rFonts w:ascii="Times New Roman" w:hAnsi="Times New Roman"/>
                <w:sz w:val="20"/>
              </w:rPr>
            </w:pPr>
            <w:r>
              <w:rPr>
                <w:rFonts w:ascii="Times New Roman" w:hAnsi="Times New Roman"/>
                <w:sz w:val="20"/>
              </w:rPr>
              <w:t>David Stiepleman(4)</w:t>
            </w:r>
          </w:p>
        </w:tc>
        <w:tc>
          <w:tcPr>
            <w:tcW w:w="40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11" w:type="dxa"/>
            <w:tcBorders/>
            <w:vAlign w:val="bottom"/>
          </w:tcPr>
          <w:p>
            <w:pPr>
              <w:pStyle w:val="TableContents"/>
              <w:bidi w:val="0"/>
              <w:spacing w:before="0" w:after="283"/>
              <w:jc w:val="right"/>
              <w:rPr/>
            </w:pPr>
            <w:r>
              <w:rPr/>
              <w:t>11,079</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pPr>
            <w:r>
              <w:rPr/>
              <w:t> </w:t>
            </w:r>
          </w:p>
        </w:tc>
      </w:tr>
      <w:tr>
        <w:trPr/>
        <w:tc>
          <w:tcPr>
            <w:tcW w:w="5834" w:type="dxa"/>
            <w:tcBorders/>
            <w:shd w:fill="CCEEFF" w:val="clear"/>
          </w:tcPr>
          <w:p>
            <w:pPr>
              <w:pStyle w:val="TableContents"/>
              <w:bidi w:val="0"/>
              <w:spacing w:before="0" w:after="0"/>
              <w:jc w:val="left"/>
              <w:rPr>
                <w:rFonts w:ascii="Times New Roman" w:hAnsi="Times New Roman"/>
                <w:i/>
                <w:sz w:val="20"/>
              </w:rPr>
            </w:pPr>
            <w:r>
              <w:rPr>
                <w:rFonts w:ascii="Times New Roman" w:hAnsi="Times New Roman"/>
                <w:i/>
                <w:sz w:val="20"/>
              </w:rPr>
              <w:t>Independent Directors</w:t>
            </w:r>
          </w:p>
        </w:tc>
        <w:tc>
          <w:tcPr>
            <w:tcW w:w="40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sz w:val="4"/>
                <w:szCs w:val="4"/>
              </w:rPr>
            </w:pPr>
            <w:r>
              <w:rPr>
                <w:sz w:val="4"/>
                <w:szCs w:val="4"/>
              </w:rPr>
            </w:r>
          </w:p>
        </w:tc>
        <w:tc>
          <w:tcPr>
            <w:tcW w:w="151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0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sz w:val="4"/>
                <w:szCs w:val="4"/>
              </w:rPr>
            </w:pPr>
            <w:r>
              <w:rPr>
                <w:sz w:val="4"/>
                <w:szCs w:val="4"/>
              </w:rPr>
            </w:r>
          </w:p>
        </w:tc>
        <w:tc>
          <w:tcPr>
            <w:tcW w:w="1369" w:type="dxa"/>
            <w:tcBorders/>
            <w:shd w:fill="CCEEFF" w:val="clear"/>
            <w:vAlign w:val="bottom"/>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sz w:val="4"/>
                <w:szCs w:val="4"/>
              </w:rPr>
            </w:pPr>
            <w:r>
              <w:rPr>
                <w:sz w:val="4"/>
                <w:szCs w:val="4"/>
              </w:rPr>
            </w:r>
          </w:p>
        </w:tc>
      </w:tr>
      <w:tr>
        <w:trPr/>
        <w:tc>
          <w:tcPr>
            <w:tcW w:w="5834" w:type="dxa"/>
            <w:tcBorders/>
          </w:tcPr>
          <w:p>
            <w:pPr>
              <w:pStyle w:val="TableContents"/>
              <w:bidi w:val="0"/>
              <w:spacing w:before="0" w:after="0"/>
              <w:jc w:val="left"/>
              <w:rPr>
                <w:rFonts w:ascii="Times New Roman" w:hAnsi="Times New Roman"/>
                <w:sz w:val="20"/>
              </w:rPr>
            </w:pPr>
            <w:r>
              <w:rPr>
                <w:rFonts w:ascii="Times New Roman" w:hAnsi="Times New Roman"/>
                <w:sz w:val="20"/>
              </w:rPr>
              <w:t>Hurley Doddy</w:t>
            </w:r>
          </w:p>
        </w:tc>
        <w:tc>
          <w:tcPr>
            <w:tcW w:w="40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11" w:type="dxa"/>
            <w:tcBorders/>
            <w:vAlign w:val="bottom"/>
          </w:tcPr>
          <w:p>
            <w:pPr>
              <w:pStyle w:val="TableContents"/>
              <w:bidi w:val="0"/>
              <w:spacing w:before="0" w:after="283"/>
              <w:jc w:val="right"/>
              <w:rPr/>
            </w:pPr>
            <w:r>
              <w:rPr/>
              <w:t>22,518</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pPr>
            <w:r>
              <w:rPr/>
              <w:t> </w:t>
            </w:r>
          </w:p>
        </w:tc>
      </w:tr>
      <w:tr>
        <w:trPr/>
        <w:tc>
          <w:tcPr>
            <w:tcW w:w="5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Richard Higginbotham</w:t>
            </w:r>
          </w:p>
        </w:tc>
        <w:tc>
          <w:tcPr>
            <w:tcW w:w="40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11" w:type="dxa"/>
            <w:tcBorders/>
            <w:shd w:fill="CCEEFF" w:val="clear"/>
            <w:vAlign w:val="bottom"/>
          </w:tcPr>
          <w:p>
            <w:pPr>
              <w:pStyle w:val="TableContents"/>
              <w:bidi w:val="0"/>
              <w:spacing w:before="0" w:after="283"/>
              <w:jc w:val="right"/>
              <w:rPr/>
            </w:pPr>
            <w:r>
              <w:rPr/>
              <w:t>29,000</w:t>
            </w:r>
          </w:p>
        </w:tc>
        <w:tc>
          <w:tcPr>
            <w:tcW w:w="6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pPr>
            <w:r>
              <w:rPr/>
              <w:t> </w:t>
            </w:r>
          </w:p>
        </w:tc>
      </w:tr>
      <w:tr>
        <w:trPr/>
        <w:tc>
          <w:tcPr>
            <w:tcW w:w="5834" w:type="dxa"/>
            <w:tcBorders/>
          </w:tcPr>
          <w:p>
            <w:pPr>
              <w:pStyle w:val="TableContents"/>
              <w:bidi w:val="0"/>
              <w:spacing w:before="0" w:after="0"/>
              <w:jc w:val="left"/>
              <w:rPr>
                <w:rFonts w:ascii="Times New Roman" w:hAnsi="Times New Roman"/>
                <w:sz w:val="20"/>
              </w:rPr>
            </w:pPr>
            <w:r>
              <w:rPr>
                <w:rFonts w:ascii="Times New Roman" w:hAnsi="Times New Roman"/>
                <w:sz w:val="20"/>
              </w:rPr>
              <w:t>John Ross</w:t>
            </w:r>
          </w:p>
        </w:tc>
        <w:tc>
          <w:tcPr>
            <w:tcW w:w="40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11" w:type="dxa"/>
            <w:tcBorders/>
            <w:vAlign w:val="bottom"/>
          </w:tcPr>
          <w:p>
            <w:pPr>
              <w:pStyle w:val="TableContents"/>
              <w:bidi w:val="0"/>
              <w:spacing w:before="0" w:after="283"/>
              <w:jc w:val="right"/>
              <w:rPr/>
            </w:pPr>
            <w:r>
              <w:rPr/>
              <w:t>35,000</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pPr>
            <w:r>
              <w:rPr/>
              <w:t> </w:t>
            </w:r>
          </w:p>
        </w:tc>
      </w:tr>
      <w:tr>
        <w:trPr/>
        <w:tc>
          <w:tcPr>
            <w:tcW w:w="5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Judy Slotkin</w:t>
            </w:r>
          </w:p>
        </w:tc>
        <w:tc>
          <w:tcPr>
            <w:tcW w:w="40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11" w:type="dxa"/>
            <w:tcBorders/>
            <w:shd w:fill="CCEEFF" w:val="clear"/>
            <w:vAlign w:val="bottom"/>
          </w:tcPr>
          <w:p>
            <w:pPr>
              <w:pStyle w:val="TableContents"/>
              <w:bidi w:val="0"/>
              <w:spacing w:before="0" w:after="283"/>
              <w:jc w:val="right"/>
              <w:rPr/>
            </w:pPr>
            <w:r>
              <w:rPr/>
              <w:t>11,166</w:t>
            </w:r>
          </w:p>
        </w:tc>
        <w:tc>
          <w:tcPr>
            <w:tcW w:w="6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pPr>
            <w:r>
              <w:rPr/>
              <w:t> </w:t>
            </w:r>
          </w:p>
        </w:tc>
      </w:tr>
      <w:tr>
        <w:trPr/>
        <w:tc>
          <w:tcPr>
            <w:tcW w:w="5834" w:type="dxa"/>
            <w:tcBorders/>
          </w:tcPr>
          <w:p>
            <w:pPr>
              <w:pStyle w:val="TableContents"/>
              <w:bidi w:val="0"/>
              <w:spacing w:before="0" w:after="0"/>
              <w:jc w:val="left"/>
              <w:rPr>
                <w:rFonts w:ascii="Times New Roman" w:hAnsi="Times New Roman"/>
                <w:sz w:val="20"/>
              </w:rPr>
            </w:pPr>
            <w:r>
              <w:rPr>
                <w:rFonts w:ascii="Times New Roman" w:hAnsi="Times New Roman"/>
                <w:sz w:val="20"/>
              </w:rPr>
              <w:t>Ronald Tanemura</w:t>
            </w:r>
          </w:p>
        </w:tc>
        <w:tc>
          <w:tcPr>
            <w:tcW w:w="40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11" w:type="dxa"/>
            <w:tcBorders/>
            <w:vAlign w:val="bottom"/>
          </w:tcPr>
          <w:p>
            <w:pPr>
              <w:pStyle w:val="TableContents"/>
              <w:bidi w:val="0"/>
              <w:spacing w:before="0" w:after="283"/>
              <w:jc w:val="right"/>
              <w:rPr/>
            </w:pPr>
            <w:r>
              <w:rPr/>
              <w:t>86,516</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0.1</w:t>
            </w:r>
          </w:p>
        </w:tc>
        <w:tc>
          <w:tcPr>
            <w:tcW w:w="278" w:type="dxa"/>
            <w:tcBorders/>
            <w:vAlign w:val="bottom"/>
          </w:tcPr>
          <w:p>
            <w:pPr>
              <w:pStyle w:val="TableContents"/>
              <w:bidi w:val="0"/>
              <w:spacing w:before="0" w:after="283"/>
              <w:jc w:val="left"/>
              <w:rPr/>
            </w:pPr>
            <w:r>
              <w:rPr/>
              <w:t>% </w:t>
            </w:r>
          </w:p>
        </w:tc>
      </w:tr>
      <w:tr>
        <w:trPr/>
        <w:tc>
          <w:tcPr>
            <w:tcW w:w="5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 Emery Covington</w:t>
            </w:r>
          </w:p>
        </w:tc>
        <w:tc>
          <w:tcPr>
            <w:tcW w:w="40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1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 </w:t>
            </w:r>
          </w:p>
        </w:tc>
        <w:tc>
          <w:tcPr>
            <w:tcW w:w="278" w:type="dxa"/>
            <w:tcBorders/>
            <w:shd w:fill="CCEEFF" w:val="clear"/>
            <w:vAlign w:val="bottom"/>
          </w:tcPr>
          <w:p>
            <w:pPr>
              <w:pStyle w:val="TableContents"/>
              <w:bidi w:val="0"/>
              <w:spacing w:before="0" w:after="283"/>
              <w:jc w:val="left"/>
              <w:rPr/>
            </w:pPr>
            <w:r>
              <w:rPr/>
              <w:t> </w:t>
            </w:r>
          </w:p>
        </w:tc>
      </w:tr>
      <w:tr>
        <w:trPr/>
        <w:tc>
          <w:tcPr>
            <w:tcW w:w="5834" w:type="dxa"/>
            <w:tcBorders/>
          </w:tcPr>
          <w:p>
            <w:pPr>
              <w:pStyle w:val="TableContents"/>
              <w:bidi w:val="0"/>
              <w:spacing w:before="0" w:after="0"/>
              <w:jc w:val="left"/>
              <w:rPr>
                <w:rFonts w:ascii="Times New Roman" w:hAnsi="Times New Roman"/>
                <w:i/>
                <w:sz w:val="20"/>
              </w:rPr>
            </w:pPr>
            <w:r>
              <w:rPr>
                <w:rFonts w:ascii="Times New Roman" w:hAnsi="Times New Roman"/>
                <w:i/>
                <w:sz w:val="20"/>
              </w:rPr>
              <w:t>Named Executive Officers Who Are Not Directors</w:t>
            </w:r>
          </w:p>
        </w:tc>
        <w:tc>
          <w:tcPr>
            <w:tcW w:w="40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sz w:val="4"/>
                <w:szCs w:val="4"/>
              </w:rPr>
            </w:pPr>
            <w:r>
              <w:rPr>
                <w:sz w:val="4"/>
                <w:szCs w:val="4"/>
              </w:rPr>
            </w:r>
          </w:p>
        </w:tc>
        <w:tc>
          <w:tcPr>
            <w:tcW w:w="151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0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sz w:val="4"/>
                <w:szCs w:val="4"/>
              </w:rPr>
            </w:pPr>
            <w:r>
              <w:rPr>
                <w:sz w:val="4"/>
                <w:szCs w:val="4"/>
              </w:rPr>
            </w:r>
          </w:p>
        </w:tc>
        <w:tc>
          <w:tcPr>
            <w:tcW w:w="1369" w:type="dxa"/>
            <w:tcBorders/>
            <w:vAlign w:val="bottom"/>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r>
      <w:tr>
        <w:trPr/>
        <w:tc>
          <w:tcPr>
            <w:tcW w:w="5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Ian Simmonds</w:t>
            </w:r>
          </w:p>
        </w:tc>
        <w:tc>
          <w:tcPr>
            <w:tcW w:w="40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11" w:type="dxa"/>
            <w:tcBorders/>
            <w:shd w:fill="CCEEFF" w:val="clear"/>
            <w:vAlign w:val="bottom"/>
          </w:tcPr>
          <w:p>
            <w:pPr>
              <w:pStyle w:val="TableContents"/>
              <w:bidi w:val="0"/>
              <w:spacing w:before="0" w:after="283"/>
              <w:jc w:val="right"/>
              <w:rPr/>
            </w:pPr>
            <w:r>
              <w:rPr/>
              <w:t>5,740</w:t>
            </w:r>
          </w:p>
        </w:tc>
        <w:tc>
          <w:tcPr>
            <w:tcW w:w="6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w:t>
            </w:r>
          </w:p>
        </w:tc>
        <w:tc>
          <w:tcPr>
            <w:tcW w:w="278" w:type="dxa"/>
            <w:tcBorders/>
            <w:shd w:fill="CCEEFF" w:val="clear"/>
            <w:vAlign w:val="bottom"/>
          </w:tcPr>
          <w:p>
            <w:pPr>
              <w:pStyle w:val="TableContents"/>
              <w:bidi w:val="0"/>
              <w:spacing w:before="0" w:after="283"/>
              <w:jc w:val="left"/>
              <w:rPr/>
            </w:pPr>
            <w:r>
              <w:rPr/>
              <w:t> </w:t>
            </w:r>
          </w:p>
        </w:tc>
      </w:tr>
      <w:tr>
        <w:trPr/>
        <w:tc>
          <w:tcPr>
            <w:tcW w:w="5834" w:type="dxa"/>
            <w:tcBorders/>
          </w:tcPr>
          <w:p>
            <w:pPr>
              <w:pStyle w:val="TableContents"/>
              <w:bidi w:val="0"/>
              <w:spacing w:before="0" w:after="0"/>
              <w:jc w:val="left"/>
              <w:rPr>
                <w:rFonts w:ascii="Times New Roman" w:hAnsi="Times New Roman"/>
                <w:sz w:val="20"/>
              </w:rPr>
            </w:pPr>
            <w:r>
              <w:rPr>
                <w:rFonts w:ascii="Times New Roman" w:hAnsi="Times New Roman"/>
                <w:sz w:val="20"/>
              </w:rPr>
              <w:t>Robert (Bo) Stanley(5)</w:t>
            </w:r>
          </w:p>
        </w:tc>
        <w:tc>
          <w:tcPr>
            <w:tcW w:w="405"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511" w:type="dxa"/>
            <w:tcBorders/>
            <w:vAlign w:val="bottom"/>
          </w:tcPr>
          <w:p>
            <w:pPr>
              <w:pStyle w:val="TableContents"/>
              <w:bidi w:val="0"/>
              <w:spacing w:before="0" w:after="283"/>
              <w:jc w:val="right"/>
              <w:rPr/>
            </w:pPr>
            <w:r>
              <w:rPr/>
              <w:t>14,907</w:t>
            </w:r>
          </w:p>
        </w:tc>
        <w:tc>
          <w:tcPr>
            <w:tcW w:w="60" w:type="dxa"/>
            <w:tcBorders/>
            <w:vAlign w:val="bottom"/>
          </w:tcPr>
          <w:p>
            <w:pPr>
              <w:pStyle w:val="TableContents"/>
              <w:bidi w:val="0"/>
              <w:spacing w:before="0" w:after="283"/>
              <w:jc w:val="left"/>
              <w:rPr/>
            </w:pPr>
            <w:r>
              <w:rPr/>
              <w:t> </w:t>
            </w:r>
          </w:p>
        </w:tc>
        <w:tc>
          <w:tcPr>
            <w:tcW w:w="405" w:type="dxa"/>
            <w:tcBorders/>
            <w:vAlign w:val="bottom"/>
          </w:tcPr>
          <w:p>
            <w:pPr>
              <w:pStyle w:val="TableContents"/>
              <w:bidi w:val="0"/>
              <w:spacing w:before="0" w:after="283"/>
              <w:jc w:val="left"/>
              <w:rPr/>
            </w:pPr>
            <w:r>
              <w:rPr/>
              <w:t>  </w:t>
            </w:r>
          </w:p>
        </w:tc>
        <w:tc>
          <w:tcPr>
            <w:tcW w:w="251" w:type="dxa"/>
            <w:tcBorders/>
            <w:vAlign w:val="bottom"/>
          </w:tcPr>
          <w:p>
            <w:pPr>
              <w:pStyle w:val="TableContents"/>
              <w:bidi w:val="0"/>
              <w:spacing w:before="0" w:after="283"/>
              <w:jc w:val="left"/>
              <w:rPr/>
            </w:pPr>
            <w:r>
              <w:rPr/>
              <w:t> </w:t>
            </w:r>
          </w:p>
        </w:tc>
        <w:tc>
          <w:tcPr>
            <w:tcW w:w="1369" w:type="dxa"/>
            <w:tcBorders/>
            <w:vAlign w:val="bottom"/>
          </w:tcPr>
          <w:p>
            <w:pPr>
              <w:pStyle w:val="TableContents"/>
              <w:bidi w:val="0"/>
              <w:spacing w:before="0" w:after="283"/>
              <w:jc w:val="right"/>
              <w:rPr/>
            </w:pPr>
            <w:r>
              <w:rPr/>
              <w:t>*</w:t>
            </w:r>
          </w:p>
        </w:tc>
        <w:tc>
          <w:tcPr>
            <w:tcW w:w="278" w:type="dxa"/>
            <w:tcBorders/>
            <w:vAlign w:val="bottom"/>
          </w:tcPr>
          <w:p>
            <w:pPr>
              <w:pStyle w:val="TableContents"/>
              <w:bidi w:val="0"/>
              <w:spacing w:before="0" w:after="283"/>
              <w:jc w:val="left"/>
              <w:rPr/>
            </w:pPr>
            <w:r>
              <w:rPr/>
              <w:t> </w:t>
            </w:r>
          </w:p>
        </w:tc>
      </w:tr>
      <w:tr>
        <w:trPr/>
        <w:tc>
          <w:tcPr>
            <w:tcW w:w="583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 Directors and Executive Officers as a Group (18 persons)(6) (7)</w:t>
            </w:r>
          </w:p>
        </w:tc>
        <w:tc>
          <w:tcPr>
            <w:tcW w:w="405"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511" w:type="dxa"/>
            <w:tcBorders/>
            <w:shd w:fill="CCEEFF" w:val="clear"/>
            <w:vAlign w:val="bottom"/>
          </w:tcPr>
          <w:p>
            <w:pPr>
              <w:pStyle w:val="TableContents"/>
              <w:bidi w:val="0"/>
              <w:spacing w:before="0" w:after="283"/>
              <w:jc w:val="right"/>
              <w:rPr/>
            </w:pPr>
            <w:r>
              <w:rPr/>
              <w:t>3,005,076</w:t>
            </w:r>
          </w:p>
        </w:tc>
        <w:tc>
          <w:tcPr>
            <w:tcW w:w="60" w:type="dxa"/>
            <w:tcBorders/>
            <w:shd w:fill="CCEEFF" w:val="clear"/>
            <w:vAlign w:val="bottom"/>
          </w:tcPr>
          <w:p>
            <w:pPr>
              <w:pStyle w:val="TableContents"/>
              <w:bidi w:val="0"/>
              <w:spacing w:before="0" w:after="283"/>
              <w:jc w:val="left"/>
              <w:rPr/>
            </w:pPr>
            <w:r>
              <w:rPr/>
              <w:t> </w:t>
            </w:r>
          </w:p>
        </w:tc>
        <w:tc>
          <w:tcPr>
            <w:tcW w:w="405" w:type="dxa"/>
            <w:tcBorders/>
            <w:shd w:fill="CCEEFF" w:val="clear"/>
            <w:vAlign w:val="bottom"/>
          </w:tcPr>
          <w:p>
            <w:pPr>
              <w:pStyle w:val="TableContents"/>
              <w:bidi w:val="0"/>
              <w:spacing w:before="0" w:after="283"/>
              <w:jc w:val="left"/>
              <w:rPr/>
            </w:pPr>
            <w:r>
              <w:rPr/>
              <w:t>  </w:t>
            </w:r>
          </w:p>
        </w:tc>
        <w:tc>
          <w:tcPr>
            <w:tcW w:w="251" w:type="dxa"/>
            <w:tcBorders/>
            <w:shd w:fill="CCEEFF" w:val="clear"/>
            <w:vAlign w:val="bottom"/>
          </w:tcPr>
          <w:p>
            <w:pPr>
              <w:pStyle w:val="TableContents"/>
              <w:bidi w:val="0"/>
              <w:spacing w:before="0" w:after="283"/>
              <w:jc w:val="left"/>
              <w:rPr/>
            </w:pPr>
            <w:r>
              <w:rPr/>
              <w:t> </w:t>
            </w:r>
          </w:p>
        </w:tc>
        <w:tc>
          <w:tcPr>
            <w:tcW w:w="1369" w:type="dxa"/>
            <w:tcBorders/>
            <w:shd w:fill="CCEEFF" w:val="clear"/>
            <w:vAlign w:val="bottom"/>
          </w:tcPr>
          <w:p>
            <w:pPr>
              <w:pStyle w:val="TableContents"/>
              <w:bidi w:val="0"/>
              <w:spacing w:before="0" w:after="283"/>
              <w:jc w:val="right"/>
              <w:rPr/>
            </w:pPr>
            <w:r>
              <w:rPr/>
              <w:t>3.3</w:t>
            </w:r>
          </w:p>
        </w:tc>
        <w:tc>
          <w:tcPr>
            <w:tcW w:w="278" w:type="dxa"/>
            <w:tcBorders/>
            <w:shd w:fill="CCEEFF" w:val="clear"/>
            <w:vAlign w:val="bottom"/>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less than 0.1%.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purposes of this table, a person or group is deemed to have beneficial ownership of any shares of common stock as of a given date which such person has or shares the power to vote or direct the voting thereof, or to dispose or direct the disposition thereof, or has the right to acquire such powers within 60 days after such date. For purposes of computing the percentage of outstanding shares of common stock held by each person or group of persons named above on a given date, any security which such person or persons has the right to acquire within 60 days after such date is deemed to be outstanding for the purpose of determining the percentage of shares beneficially owned for such person, but is not deemed to be outstanding for the purpose of computing the percentage of beneficial ownership of any other person (except in the case of directors and executive officers as a group). Except as otherwise noted, each beneficial owner of more than five percent of common stock and each director and executive officer has sole voting and/or investment power over the shares reported.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18,792 shares of common stock beneficially owned by Mr. Easterly have been pledged as security in connection with a line of credit with a third party financial institution unaffiliated with the Company.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36,366 shares of common stock beneficially owned by Mr. Fishman have been pledged as security in connection with a line of credit with a third party financial institution unaffiliated with the Company.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5,544 shares of common stock beneficially owned by Mr. Stiepleman have been pledged as security in connection with a line of credit with a third party financial institution unaffiliated with the Company.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3,907 shares of common stock beneficially owned by Mr. Stanley have been pledged as security in connection with a line of credit with a third party financial institution unaffiliated with the Company.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shares owned by officers that are not Named Executive Officers, as defined in Item 402 of Regulation S-K, as promulgated under the Securities Act of 1933, as amended. 64,609 shares of common stock beneficially owned by certain officers have been pledged as security in connection with lines of credit with a third party financial institution unaffiliated with the Company.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Sixth Street Specialty Lending Advisers, LLC holds 2,714,226 shares of common stock (the Sixth Street Specialty Lending Advisers Shares). The business and affairs of Sixth Street Specialty Lending Advisers are managed by Sixth Street Specialty Lending Advisers Holdings, LLC, a Delaware limited liability company, the sole member of Sixth Street Specialty Lending Advisers. Sixth Street Specialty Advisers Holdings is managed by TSSP Holdco Management, LLC, a Delaware limited liability company. TSSP Holdco Management is managed by a board of directors, which is currently comprised of Alan Waxman. Mr. Waxman is the CEO and Managing Partner of TSSP Holdco Management. Because Mr. Waxman is a member of the board of directors of TSSP Holdco Management, he may be deemed to beneficially own the Sixth Street Specialty Lending Advisers Shares. Mr. Waxman disclaims beneficial ownership of the Sixth Street Specialty Lending Advisers Shares except to the extent of his pecuniary interest therein.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5" w:name="toc866866_3"/>
      <w:bookmarkEnd w:id="5"/>
      <w:r>
        <w:rPr>
          <w:rFonts w:ascii="Times New Roman" w:hAnsi="Times New Roman"/>
          <w:b/>
          <w:sz w:val="20"/>
        </w:rPr>
        <w:t xml:space="preserve">Proposal No. 1 </w:t>
      </w:r>
    </w:p>
    <w:p>
      <w:pPr>
        <w:pStyle w:val="TextBody"/>
        <w:bidi w:val="0"/>
        <w:spacing w:before="0" w:after="0"/>
        <w:jc w:val="center"/>
        <w:rPr>
          <w:rFonts w:ascii="Times New Roman" w:hAnsi="Times New Roman"/>
          <w:b/>
          <w:sz w:val="20"/>
        </w:rPr>
      </w:pPr>
      <w:r>
        <w:rPr>
          <w:rFonts w:ascii="Times New Roman" w:hAnsi="Times New Roman"/>
          <w:b/>
          <w:sz w:val="20"/>
        </w:rPr>
        <w:t xml:space="preserve">Authorization of The Company to Sell or Otherwise Issue Shares of its Common Stock at a Price Below its Then-Current Net Asset Value Per Share in One or More Offerings, in Each Case Subject to the Approval of its Board of Directors and Subject to the Conditions Set Forth in this Proposal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a closed-end investment company that has elected to be regulated as a business development company (BDC) under the 1940 Act. As a BDC, the Company is generally prohibited from issuing its common stock at a price below the then-current net asset value per share (NAV) unless it meets certain conditions, including obtaining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As a result, the Company is seeking the approval of its common stockholders so that it may, in one or more public or private offerings of its common stock, sell or otherwise issue shares of its common stock at a price below its then-current NAV, subject to the approval of the Board and the conditions set forth in this proposal, including that the number of shares issued does not exceed 25% of its then-outstanding common stock immediately prior to such offering. If approved, the authorization would be effective for securities issued during a twelve-month period expiring on the anniversary of the date of this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The Board believes that having the flexibility to issue common stock below NAV in certain instances is in the best interests of the Company and its stockholders. This would, among other things, provide access to capital markets to pursue attractive investment opportunities during periods of volatility, improve capital resources to enable the Company to compete more effectively for high-quality investment opportunities and add financial flexibility to comply with regulatory requirements and debt facility covenants, including the 2:1 debt-to-equity ratio that is imposed through the 150% asset coverage requirement applicable to the Company under the 1940 Act. It could also minimize the likelihood that the Company would be required to sell assets that the Company would not otherwise sell in order to comply with regulatory requirements and debt facility covenants, which sales could occur at times and at prices that are disadvantageous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While the Company has no immediate plans to issue any shares of its common stock below NAV, it is seeking stockholder approval now in order to provide flexibility if it desires in the future to issue shares of its common stock below NAV, which typically must be undertaken in circumstances where the Company must act quickly. The final terms of any such sale will be determined by the Board at the time of issuance and the shares of common stock will not include preemptive rights. Also, because the Company has no immediate plans to issue any shares of its common stock below NAV, it is not possible to describe the transaction or transactions in which such shares of common stock would be issued. Instead, any transaction in which the Company issues such shares of common stock, including the nature and amount of consideration that would be received by the Company at the time of issuance and the use of any such consideration, will be reviewed and approved by the Board at the time of issuance. </w:t>
      </w:r>
      <w:r>
        <w:rPr>
          <w:rFonts w:ascii="Times New Roman" w:hAnsi="Times New Roman"/>
          <w:b/>
          <w:sz w:val="20"/>
        </w:rPr>
        <w:t xml:space="preserve">There will be no limit on the percentage below net asset value per share at which shares may be sold by the Company or number of offerings, each for up to 25% of the Companys then-outstanding common stock, that the Company may conduct under this proposal for the one-year period that authorization is granted. </w:t>
      </w:r>
      <w:r>
        <w:rPr>
          <w:rFonts w:ascii="Times New Roman" w:hAnsi="Times New Roman"/>
          <w:sz w:val="20"/>
        </w:rPr>
        <w:t xml:space="preserve">Except for such authorizations as otherwise may be required with respect to a particular issuance under applicable law, New York Stock Exchange (NYSE) rules or the Companys certificate of incorporation, if this proposal is approved, no further authorization from the stockholders will be solicited or required prior to a sale or other issuance of shares of common stock below NAV in accordance with the terms of this proposal. If approved, the authorization would be effective for securities issued during a twelve-month period expiring on the anniversary of the date of this Special Meeting. </w:t>
      </w:r>
    </w:p>
    <w:p>
      <w:pPr>
        <w:pStyle w:val="TextBody"/>
        <w:bidi w:val="0"/>
        <w:spacing w:before="240" w:after="0"/>
        <w:jc w:val="left"/>
        <w:rPr>
          <w:rFonts w:ascii="Times New Roman" w:hAnsi="Times New Roman"/>
          <w:sz w:val="20"/>
        </w:rPr>
      </w:pPr>
      <w:r>
        <w:rPr>
          <w:rFonts w:ascii="Times New Roman" w:hAnsi="Times New Roman"/>
          <w:sz w:val="20"/>
        </w:rPr>
        <w:t xml:space="preserve">To date, the Company has not issued shares below NAV under prior authorization granted from stockholders, but it may do so in the future pursuant to the authority granted in this proxy.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Conditions to Sales Below NAV </w:t>
      </w:r>
    </w:p>
    <w:p>
      <w:pPr>
        <w:pStyle w:val="TextBody"/>
        <w:bidi w:val="0"/>
        <w:spacing w:before="120" w:after="0"/>
        <w:jc w:val="left"/>
        <w:rPr>
          <w:rFonts w:ascii="Times New Roman" w:hAnsi="Times New Roman"/>
          <w:sz w:val="20"/>
        </w:rPr>
      </w:pPr>
      <w:r>
        <w:rPr>
          <w:rFonts w:ascii="Times New Roman" w:hAnsi="Times New Roman"/>
          <w:sz w:val="20"/>
        </w:rPr>
        <w:t xml:space="preserve">The Companys ability to issue shares of its common stock at a price below NAV is governed by the 1940 Act. If stockholders approve this proposal, the Company will only issue shares of its common stock at a price below NAV pursuant to this stockholder proposal if the following conditions are met: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required majority of the Companys directors have determined that any such sale would be in the best interests of the Company and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required majority of the Companys directors, in consultation with the underwriter or underwriters of the offering if it is to be underwritten, have determined in good faith, and as of a time immediately prior to the first solicitation by or on behalf of the Company of firm commitments to purchase such common stock or immediately prior to the issuance of such common stock, that the price at which such shares of common stock are to be sold is not less than a price which closely approximates the market value of those shares of common stock, less any distributing commission or discount;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to be issued does not exceed 25% of the Companys then-outstanding common stock immediately prior to each such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Under the 1940 Act, a required majority of directors means both a majority of the Companys directors who have no financial interest in the transaction and a majority of the Companys independent directors. For these purposes, directors will not be deemed to have a financial interest solely by reason of their ownership of the Companys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Board Approval </w:t>
      </w:r>
    </w:p>
    <w:p>
      <w:pPr>
        <w:pStyle w:val="TextBody"/>
        <w:bidi w:val="0"/>
        <w:spacing w:before="120" w:after="0"/>
        <w:jc w:val="left"/>
        <w:rPr>
          <w:rFonts w:ascii="Times New Roman" w:hAnsi="Times New Roman"/>
          <w:sz w:val="20"/>
        </w:rPr>
      </w:pPr>
      <w:r>
        <w:rPr>
          <w:rFonts w:ascii="Times New Roman" w:hAnsi="Times New Roman"/>
          <w:sz w:val="20"/>
        </w:rPr>
        <w:t xml:space="preserve">The Board, including a majority of the directors who have no financial interest in this proposal and a majority of the independent directors, has approved this proposal as in the best interests of the Company and its stockholders and recommends it to the stockholders for their approval. </w:t>
      </w:r>
    </w:p>
    <w:p>
      <w:pPr>
        <w:pStyle w:val="TextBody"/>
        <w:bidi w:val="0"/>
        <w:spacing w:before="240" w:after="0"/>
        <w:jc w:val="left"/>
        <w:rPr>
          <w:rFonts w:ascii="Times New Roman" w:hAnsi="Times New Roman"/>
          <w:sz w:val="20"/>
        </w:rPr>
      </w:pPr>
      <w:r>
        <w:rPr>
          <w:rFonts w:ascii="Times New Roman" w:hAnsi="Times New Roman"/>
          <w:sz w:val="20"/>
        </w:rPr>
        <w:t xml:space="preserve">Upon obtaining the requisite stockholder approval, the Company will comply with the conditions described above in connection with any offering undertaken pursuant to this proposal. See below for a discussion of the risks of dilution. </w:t>
      </w:r>
    </w:p>
    <w:p>
      <w:pPr>
        <w:pStyle w:val="TextBody"/>
        <w:bidi w:val="0"/>
        <w:spacing w:before="360" w:after="0"/>
        <w:jc w:val="left"/>
        <w:rPr>
          <w:rFonts w:ascii="Times New Roman" w:hAnsi="Times New Roman"/>
          <w:b/>
          <w:sz w:val="20"/>
        </w:rPr>
      </w:pPr>
      <w:r>
        <w:rPr>
          <w:rFonts w:ascii="Times New Roman" w:hAnsi="Times New Roman"/>
          <w:b/>
          <w:sz w:val="20"/>
        </w:rPr>
        <w:t xml:space="preserve">Background and Reasons to Offer Common Stock Below NAV </w:t>
      </w:r>
    </w:p>
    <w:p>
      <w:pPr>
        <w:pStyle w:val="TextBody"/>
        <w:bidi w:val="0"/>
        <w:spacing w:before="120" w:after="0"/>
        <w:jc w:val="left"/>
        <w:rPr>
          <w:rFonts w:ascii="Times New Roman" w:hAnsi="Times New Roman"/>
          <w:sz w:val="20"/>
        </w:rPr>
      </w:pPr>
      <w:r>
        <w:rPr>
          <w:rFonts w:ascii="Times New Roman" w:hAnsi="Times New Roman"/>
          <w:sz w:val="20"/>
        </w:rPr>
        <w:t xml:space="preserve">The Board believes that having the flexibility for the Company to sell its common stock below NAV in certain instances is in the Companys best interests and the best interests of its stockholders. The Board believes this would, among other things, provide access to the capital markets to pursue attractive investment opportunities during periods of volatility and improve capital resources to enable the Company to compete more effectively for high- quality investment opportunities (which may include acquisitions of other companies or investment portfolios) and to add financial flexibility to comply with regulatory requirements and debt facility covenants, including the 2:1 debt-to-equity ratio that is imposed through the 150% asset coverage requirement applicable to the Company under the 1940 Act. In reaching that conclusion, the Board considered the following potential benefits to the Companys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Market Conditions Have Created, and May in the Future Create, Attractive Investment and Acquisition Opportunities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capital markets may experience periods of disruption and instability. For example, monetary policies of the Federal Reserve and political uncertainty resulting from recent events, including changes to U.S. trade policies, the impact of the end of the transition period following United Kingdoms exit from the European Union in January 2020 (Brexit), the provisional application of the EU-UK Trade and Cooperation Agreement and ongoing conflicts between Russia and Ukraine and Israel and Hamas and related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responses, has led to, from time to time, disruption and instability in the global markets. Disruptions in the capital markets may increase the spread between the yields realized on risk-free and higher risk securities, resulting in illiquidity in parts of the capital markets. As a result of the disruption and volatility in the credit markets, there may be a reduction in capital available to certain specialty finance companies and other capital providers, causing a reduction in competition. These conditions may coincide with lower stock prices for BDCs, resulting in BDCs trading below NAV. The Company believes that favorable investment opportunities to invest at attractive risk-adjusted returns, including opportunities to make acquisitions of other companies or investment portfolios at attractive values, may be created during these periods of disruption and volatility. </w:t>
      </w:r>
    </w:p>
    <w:p>
      <w:pPr>
        <w:pStyle w:val="TextBody"/>
        <w:bidi w:val="0"/>
        <w:spacing w:before="240" w:after="0"/>
        <w:jc w:val="left"/>
        <w:rPr>
          <w:rFonts w:ascii="Times New Roman" w:hAnsi="Times New Roman"/>
          <w:sz w:val="20"/>
        </w:rPr>
      </w:pPr>
      <w:r>
        <w:rPr>
          <w:rFonts w:ascii="Times New Roman" w:hAnsi="Times New Roman"/>
          <w:sz w:val="20"/>
        </w:rPr>
        <w:t xml:space="preserve">There have been continuing periods of volatility, some lasting longer and with a greater degree of magnitude than others, including recent market conditions, including those driven by the impact of COVID-19 and the ongoing conflicts between Russia and Ukraine and Israel and Hamas, and the widespread interruption to the functioning of the U.S. and global economies and recent market volatility driven by instability in the banking sector. In addition to the recent environment, the Company has seen periods during the last few years where BDCs, including the Company, have traded below NAV due to such market volatility. If adverse market conditions increase in severity and duration or recur, the Company and other companies in the financial services sector may not have access to sufficient debt capital in order to take advantage of attractive investment opportunities that are created during these periods. In addition, the debt capital that will be available, if any, may be at a higher cost and on less favorable terms and conditions in the future. Stockholder approval of the proposal to sell shares of the Companys common stock below NAV, subject to the conditions set forth in this proposal, would provide the Company with the flexibility to raise equity capital to invest in such attractive investment opportunities, which typically need to be made expeditiously. </w:t>
      </w:r>
    </w:p>
    <w:p>
      <w:pPr>
        <w:pStyle w:val="TextBody"/>
        <w:bidi w:val="0"/>
        <w:spacing w:before="360" w:after="0"/>
        <w:jc w:val="left"/>
        <w:rPr>
          <w:rFonts w:ascii="Times New Roman" w:hAnsi="Times New Roman"/>
          <w:b/>
          <w:i/>
          <w:sz w:val="20"/>
        </w:rPr>
      </w:pPr>
      <w:r>
        <w:rPr>
          <w:rFonts w:ascii="Times New Roman" w:hAnsi="Times New Roman"/>
          <w:b/>
          <w:i/>
          <w:sz w:val="20"/>
        </w:rPr>
        <w:t xml:space="preserve">Greater Investment Opportunities Due to Larger Capital Resources </w:t>
      </w:r>
    </w:p>
    <w:p>
      <w:pPr>
        <w:pStyle w:val="TextBody"/>
        <w:bidi w:val="0"/>
        <w:spacing w:before="120" w:after="0"/>
        <w:jc w:val="left"/>
        <w:rPr>
          <w:rFonts w:ascii="Times New Roman" w:hAnsi="Times New Roman"/>
          <w:sz w:val="20"/>
        </w:rPr>
      </w:pPr>
      <w:r>
        <w:rPr>
          <w:rFonts w:ascii="Times New Roman" w:hAnsi="Times New Roman"/>
          <w:sz w:val="20"/>
        </w:rPr>
        <w:t xml:space="preserve">The additional capital raised through an offering of the Companys common stock may help the Company generate additional investment opportunities. With more capital to make investments, the Company could be a more meaningful capital provider and such additional capital would allow it to compete more effectively for high-quality investment opportunities. Such investment opportunities may be funded with proceeds of an offering of shares of the Companys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Higher Market Capitalization and Liquidity May Make the Companys Common Stock More Attractive to Investors </w:t>
      </w:r>
    </w:p>
    <w:p>
      <w:pPr>
        <w:pStyle w:val="TextBody"/>
        <w:bidi w:val="0"/>
        <w:spacing w:before="120" w:after="0"/>
        <w:jc w:val="left"/>
        <w:rPr>
          <w:rFonts w:ascii="Times New Roman" w:hAnsi="Times New Roman"/>
          <w:sz w:val="20"/>
        </w:rPr>
      </w:pPr>
      <w:r>
        <w:rPr>
          <w:rFonts w:ascii="Times New Roman" w:hAnsi="Times New Roman"/>
          <w:sz w:val="20"/>
        </w:rPr>
        <w:t xml:space="preserve">If the Company issues additional shares, its market capitalization and the amount of its publicly tradable common stock may increase, which may afford all holders of its common stock greater liquidity. A larger market capitalization may make the Companys stock more attractive to a larger number of investors who have limitations of the size of companies in which they invest. Furthermore, a larger number of shares outstanding may increase the Companys trading volume, which could decrease the volatility in the secondary market price of its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Maintenance or Possible Increase of Dividends </w:t>
      </w:r>
    </w:p>
    <w:p>
      <w:pPr>
        <w:pStyle w:val="TextBody"/>
        <w:bidi w:val="0"/>
        <w:spacing w:before="120" w:after="0"/>
        <w:jc w:val="left"/>
        <w:rPr>
          <w:rFonts w:ascii="Times New Roman" w:hAnsi="Times New Roman"/>
          <w:sz w:val="20"/>
        </w:rPr>
      </w:pPr>
      <w:r>
        <w:rPr>
          <w:rFonts w:ascii="Times New Roman" w:hAnsi="Times New Roman"/>
          <w:sz w:val="20"/>
        </w:rPr>
        <w:t xml:space="preserve">A larger and more diversified portfolio could provide the Company with more consistent cash flow, which may support the maintenance and growth of its dividend. The Company generally distributes dividends to its stockholders quarterly. From the earnings generated during the year ended December 31, 2023, the Company declared total dividends of $2.09 per share of its common stock (including a fourth quarter supplemental dividend of $0.08 declared in the first quarter of 2024). Although the Company will continue to seek to generate income sufficient to pay dividends in the future, the proceeds of future offerings, and the investments thereof, could enable the Company to maintain and possibly grow its dividends, which may include a return of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Reduced Expenses Per Share </w:t>
      </w:r>
    </w:p>
    <w:p>
      <w:pPr>
        <w:pStyle w:val="TextBody"/>
        <w:bidi w:val="0"/>
        <w:spacing w:before="120" w:after="0"/>
        <w:jc w:val="left"/>
        <w:rPr>
          <w:rFonts w:ascii="Times New Roman" w:hAnsi="Times New Roman"/>
          <w:sz w:val="20"/>
        </w:rPr>
      </w:pPr>
      <w:r>
        <w:rPr>
          <w:rFonts w:ascii="Times New Roman" w:hAnsi="Times New Roman"/>
          <w:sz w:val="20"/>
        </w:rPr>
        <w:t xml:space="preserve">An offering that increases the Companys total assets may reduce its overall expenses per share due to the spreading of fixed expenses over a larger asset base. The Company must bear certain fixed expenses, such as certain administrative, governance and compliance costs that do not generally vary based on its size. On a per share basis, these fixed expenses will be reduced when supported by a larger asset base.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Status as a BDC and RIC and Maintaining a Favorable Debt-to-Equity Ratio </w:t>
      </w:r>
    </w:p>
    <w:p>
      <w:pPr>
        <w:pStyle w:val="TextBody"/>
        <w:bidi w:val="0"/>
        <w:spacing w:before="120" w:after="0"/>
        <w:jc w:val="left"/>
        <w:rPr>
          <w:rFonts w:ascii="Times New Roman" w:hAnsi="Times New Roman"/>
          <w:sz w:val="20"/>
        </w:rPr>
      </w:pPr>
      <w:r>
        <w:rPr>
          <w:rFonts w:ascii="Times New Roman" w:hAnsi="Times New Roman"/>
          <w:sz w:val="20"/>
        </w:rPr>
        <w:t xml:space="preserve">As a BDC and a regulated investment company (RIC) for tax purposes, the Company is dependent on its ability to raise capital through the issuance of its common stock. RICs generally must distribute substantially all of their earnings to stockholders as dividends in order to achieve pass-through tax treatment, which prevents the Company from retaining any meaningful amount of earnings to support operations, which may include making new investments (including investments into existing portfolio companies). Further, BDCs that have adopted the lower asset coverage requirement of 150% must meet a debt-to-equity ratio of less than 2:1 in order to incur debt or issue senior securities. In addition, the terms of the Companys credit facilities also require that it maintain a debt-to-equity ratio of less than 2:1 in accordance with the 150% asset coverage requirement. Therefore, to continue to build the Companys investment portfolio, the Company endeavors to maintain consistent access to capital through the public and private debt markets and the public equity markets enabling it to take advantage of investment opportunities as they arise. </w:t>
      </w:r>
    </w:p>
    <w:p>
      <w:pPr>
        <w:pStyle w:val="TextBody"/>
        <w:bidi w:val="0"/>
        <w:spacing w:before="240" w:after="0"/>
        <w:jc w:val="left"/>
        <w:rPr>
          <w:rFonts w:ascii="Times New Roman" w:hAnsi="Times New Roman"/>
          <w:sz w:val="20"/>
        </w:rPr>
      </w:pPr>
      <w:r>
        <w:rPr>
          <w:rFonts w:ascii="Times New Roman" w:hAnsi="Times New Roman"/>
          <w:sz w:val="20"/>
        </w:rPr>
        <w:t xml:space="preserve">Exceeding the 2:1 debt-to-equity ratio could have severe negative consequences for the Company, including the inability to pay dividends, breach of debt covenants and failure to qualify for tax treatment as a RIC. Although the Company does not currently expect that it will exceed this 2:1 debt-to-equity ratio, the markets it operates in and the general economy may be volatile and uncertain. Even though the underlying performance of a particular portfolio company may not indicate an impairment or its inability to repay all principal and interest in full, volatility in the capital markets may negatively impact the valuations of investments and create unrealized losses on certain investments. Any such write-downs in value, as well as unrealized losses based on the underlying performance of the Companys portfolio companies, if any, will negatively impact stockholders equity and the resulting debt-to-equity ratio. Issuing additional equity would allow the Company to realign its debt-to-equity ratio and avoid these negative consequences. In addition to meeting legal requirements applicable to BDCs, having a more favorable debt-to-equity ratio would also generally strengthen the Companys balance sheet and give it more flexibility to fully execute its business strategy.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Trading History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for each fiscal quarter during the last three fiscal years and the first quarter of the current fiscal year, the NAV of the Companys common stock, the range of high and low closing sales prices of its common stock as reported on the NYSE and the closing sales price as a premium (discount) to NAV. On March 28, 2024, the last reported closing sales price of the Companys common stock on the NYSE was $21.43 per share, which represented a premium of approximately 26.0% to the NAV reported by the Company as of December 31, 2023.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67"/>
        <w:gridCol w:w="212"/>
        <w:gridCol w:w="140"/>
        <w:gridCol w:w="596"/>
        <w:gridCol w:w="60"/>
        <w:gridCol w:w="212"/>
        <w:gridCol w:w="140"/>
        <w:gridCol w:w="560"/>
        <w:gridCol w:w="60"/>
        <w:gridCol w:w="212"/>
        <w:gridCol w:w="140"/>
        <w:gridCol w:w="560"/>
        <w:gridCol w:w="60"/>
        <w:gridCol w:w="212"/>
        <w:gridCol w:w="130"/>
        <w:gridCol w:w="976"/>
        <w:gridCol w:w="275"/>
        <w:gridCol w:w="159"/>
        <w:gridCol w:w="126"/>
        <w:gridCol w:w="953"/>
        <w:gridCol w:w="275"/>
        <w:gridCol w:w="160"/>
        <w:gridCol w:w="254"/>
        <w:gridCol w:w="795"/>
        <w:gridCol w:w="71"/>
      </w:tblGrid>
      <w:tr>
        <w:trPr/>
        <w:tc>
          <w:tcPr>
            <w:tcW w:w="2867"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0"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r>
      <w:tr>
        <w:trPr/>
        <w:tc>
          <w:tcPr>
            <w:tcW w:w="2867"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73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67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Price Range</w:t>
            </w:r>
          </w:p>
        </w:tc>
        <w:tc>
          <w:tcPr>
            <w:tcW w:w="60" w:type="dxa"/>
            <w:tcBorders/>
            <w:vAlign w:val="bottom"/>
          </w:tcPr>
          <w:p>
            <w:pPr>
              <w:pStyle w:val="TableContents"/>
              <w:bidi w:val="0"/>
              <w:spacing w:before="0" w:after="283"/>
              <w:jc w:val="left"/>
              <w:rPr/>
            </w:pPr>
            <w:r>
              <w:rPr/>
              <w:t> </w:t>
            </w:r>
          </w:p>
        </w:tc>
        <w:tc>
          <w:tcPr>
            <w:tcW w:w="212" w:type="dxa"/>
            <w:vMerge w:val="restart"/>
            <w:tcBorders/>
            <w:vAlign w:val="bottom"/>
          </w:tcPr>
          <w:p>
            <w:pPr>
              <w:pStyle w:val="TableContents"/>
              <w:bidi w:val="0"/>
              <w:spacing w:before="0" w:after="283"/>
              <w:jc w:val="left"/>
              <w:rPr/>
            </w:pPr>
            <w:r>
              <w:rPr/>
              <w:t>  </w:t>
            </w:r>
          </w:p>
        </w:tc>
        <w:tc>
          <w:tcPr>
            <w:tcW w:w="1106"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High Sales</w:t>
              <w:br/>
              <w:t>Price to</w:t>
              <w:br/>
              <w:t>Net Asset</w:t>
              <w:br/>
              <w:t>Value(2)</w:t>
            </w:r>
          </w:p>
        </w:tc>
        <w:tc>
          <w:tcPr>
            <w:tcW w:w="275" w:type="dxa"/>
            <w:vMerge w:val="restart"/>
            <w:tcBorders/>
            <w:vAlign w:val="bottom"/>
          </w:tcPr>
          <w:p>
            <w:pPr>
              <w:pStyle w:val="TableContents"/>
              <w:bidi w:val="0"/>
              <w:spacing w:before="0" w:after="283"/>
              <w:jc w:val="left"/>
              <w:rPr/>
            </w:pPr>
            <w:r>
              <w:rPr/>
              <w:t> </w:t>
            </w:r>
          </w:p>
        </w:tc>
        <w:tc>
          <w:tcPr>
            <w:tcW w:w="159" w:type="dxa"/>
            <w:vMerge w:val="restart"/>
            <w:tcBorders/>
            <w:vAlign w:val="bottom"/>
          </w:tcPr>
          <w:p>
            <w:pPr>
              <w:pStyle w:val="TableContents"/>
              <w:bidi w:val="0"/>
              <w:spacing w:before="0" w:after="283"/>
              <w:jc w:val="left"/>
              <w:rPr/>
            </w:pPr>
            <w:r>
              <w:rPr/>
              <w:t> </w:t>
            </w:r>
          </w:p>
        </w:tc>
        <w:tc>
          <w:tcPr>
            <w:tcW w:w="1079"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Low Sales</w:t>
              <w:br/>
              <w:t>Price to</w:t>
              <w:br/>
              <w:t>Net Asset</w:t>
              <w:br/>
              <w:t>Value(2)</w:t>
            </w:r>
          </w:p>
        </w:tc>
        <w:tc>
          <w:tcPr>
            <w:tcW w:w="275" w:type="dxa"/>
            <w:vMerge w:val="restart"/>
            <w:tcBorders/>
            <w:vAlign w:val="bottom"/>
          </w:tcPr>
          <w:p>
            <w:pPr>
              <w:pStyle w:val="TableContents"/>
              <w:bidi w:val="0"/>
              <w:spacing w:before="0" w:after="283"/>
              <w:jc w:val="left"/>
              <w:rPr/>
            </w:pPr>
            <w:r>
              <w:rPr/>
              <w:t> </w:t>
            </w:r>
          </w:p>
        </w:tc>
        <w:tc>
          <w:tcPr>
            <w:tcW w:w="160" w:type="dxa"/>
            <w:vMerge w:val="restart"/>
            <w:tcBorders/>
            <w:vAlign w:val="bottom"/>
          </w:tcPr>
          <w:p>
            <w:pPr>
              <w:pStyle w:val="TableContents"/>
              <w:bidi w:val="0"/>
              <w:spacing w:before="0" w:after="283"/>
              <w:jc w:val="left"/>
              <w:rPr/>
            </w:pPr>
            <w:r>
              <w:rPr/>
              <w:t> </w:t>
            </w:r>
          </w:p>
        </w:tc>
        <w:tc>
          <w:tcPr>
            <w:tcW w:w="1049"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Cash</w:t>
              <w:br/>
              <w:t>Dividends</w:t>
              <w:br/>
              <w:t>Per</w:t>
              <w:br/>
              <w:t>Share(3)</w:t>
            </w:r>
          </w:p>
        </w:tc>
        <w:tc>
          <w:tcPr>
            <w:tcW w:w="71" w:type="dxa"/>
            <w:vMerge w:val="restart"/>
            <w:tcBorders/>
            <w:vAlign w:val="bottom"/>
          </w:tcPr>
          <w:p>
            <w:pPr>
              <w:pStyle w:val="TableContents"/>
              <w:bidi w:val="0"/>
              <w:spacing w:before="0" w:after="283"/>
              <w:jc w:val="left"/>
              <w:rPr/>
            </w:pPr>
            <w:r>
              <w:rPr/>
              <w:t> </w:t>
            </w:r>
          </w:p>
        </w:tc>
      </w:tr>
      <w:tr>
        <w:trPr/>
        <w:tc>
          <w:tcPr>
            <w:tcW w:w="2867"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73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NAV(1)</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60" w:type="dxa"/>
            <w:tcBorders/>
            <w:vAlign w:val="bottom"/>
          </w:tcPr>
          <w:p>
            <w:pPr>
              <w:pStyle w:val="TableContents"/>
              <w:bidi w:val="0"/>
              <w:spacing w:before="0" w:after="283"/>
              <w:jc w:val="left"/>
              <w:rPr/>
            </w:pPr>
            <w:r>
              <w:rPr/>
              <w:t> </w:t>
            </w:r>
          </w:p>
        </w:tc>
        <w:tc>
          <w:tcPr>
            <w:tcW w:w="212" w:type="dxa"/>
            <w:vMerge w:val="continue"/>
            <w:tcBorders/>
            <w:vAlign w:val="bottom"/>
          </w:tcPr>
          <w:p>
            <w:pPr>
              <w:pStyle w:val="Normal"/>
              <w:bidi w:val="0"/>
              <w:jc w:val="left"/>
              <w:rPr/>
            </w:pPr>
            <w:r>
              <w:rPr/>
            </w:r>
          </w:p>
        </w:tc>
        <w:tc>
          <w:tcPr>
            <w:tcW w:w="1106" w:type="dxa"/>
            <w:gridSpan w:val="2"/>
            <w:vMerge w:val="continue"/>
            <w:tcBorders>
              <w:bottom w:val="single" w:sz="8" w:space="0" w:color="000000"/>
            </w:tcBorders>
            <w:tcMar>
              <w:bottom w:w="28" w:type="dxa"/>
            </w:tcMar>
            <w:vAlign w:val="bottom"/>
          </w:tcPr>
          <w:p>
            <w:pPr>
              <w:pStyle w:val="Normal"/>
              <w:bidi w:val="0"/>
              <w:jc w:val="left"/>
              <w:rPr/>
            </w:pPr>
            <w:r>
              <w:rPr/>
            </w:r>
          </w:p>
        </w:tc>
        <w:tc>
          <w:tcPr>
            <w:tcW w:w="275" w:type="dxa"/>
            <w:vMerge w:val="continue"/>
            <w:tcBorders/>
            <w:vAlign w:val="bottom"/>
          </w:tcPr>
          <w:p>
            <w:pPr>
              <w:pStyle w:val="Normal"/>
              <w:bidi w:val="0"/>
              <w:jc w:val="left"/>
              <w:rPr/>
            </w:pPr>
            <w:r>
              <w:rPr/>
            </w:r>
          </w:p>
        </w:tc>
        <w:tc>
          <w:tcPr>
            <w:tcW w:w="159" w:type="dxa"/>
            <w:vMerge w:val="continue"/>
            <w:tcBorders>
              <w:bottom w:val="single" w:sz="8" w:space="0" w:color="000000"/>
            </w:tcBorders>
            <w:tcMar>
              <w:bottom w:w="28" w:type="dxa"/>
            </w:tcMar>
            <w:vAlign w:val="bottom"/>
          </w:tcPr>
          <w:p>
            <w:pPr>
              <w:pStyle w:val="Normal"/>
              <w:bidi w:val="0"/>
              <w:jc w:val="left"/>
              <w:rPr/>
            </w:pPr>
            <w:r>
              <w:rPr/>
            </w:r>
          </w:p>
        </w:tc>
        <w:tc>
          <w:tcPr>
            <w:tcW w:w="1079" w:type="dxa"/>
            <w:gridSpan w:val="2"/>
            <w:vMerge w:val="continue"/>
            <w:tcBorders/>
            <w:vAlign w:val="bottom"/>
          </w:tcPr>
          <w:p>
            <w:pPr>
              <w:pStyle w:val="Normal"/>
              <w:bidi w:val="0"/>
              <w:jc w:val="left"/>
              <w:rPr/>
            </w:pPr>
            <w:r>
              <w:rPr/>
            </w:r>
          </w:p>
        </w:tc>
        <w:tc>
          <w:tcPr>
            <w:tcW w:w="275" w:type="dxa"/>
            <w:vMerge w:val="continue"/>
            <w:tcBorders>
              <w:bottom w:val="single" w:sz="8" w:space="0" w:color="000000"/>
            </w:tcBorders>
            <w:tcMar>
              <w:bottom w:w="28" w:type="dxa"/>
            </w:tcMar>
            <w:vAlign w:val="bottom"/>
          </w:tcPr>
          <w:p>
            <w:pPr>
              <w:pStyle w:val="Normal"/>
              <w:bidi w:val="0"/>
              <w:jc w:val="left"/>
              <w:rPr/>
            </w:pPr>
            <w:r>
              <w:rPr/>
            </w:r>
          </w:p>
        </w:tc>
        <w:tc>
          <w:tcPr>
            <w:tcW w:w="160" w:type="dxa"/>
            <w:vMerge w:val="continue"/>
            <w:tcBorders/>
            <w:vAlign w:val="bottom"/>
          </w:tcPr>
          <w:p>
            <w:pPr>
              <w:pStyle w:val="Normal"/>
              <w:bidi w:val="0"/>
              <w:jc w:val="left"/>
              <w:rPr/>
            </w:pPr>
            <w:r>
              <w:rPr/>
            </w:r>
          </w:p>
        </w:tc>
        <w:tc>
          <w:tcPr>
            <w:tcW w:w="1049" w:type="dxa"/>
            <w:gridSpan w:val="2"/>
            <w:vMerge w:val="continue"/>
            <w:tcBorders>
              <w:bottom w:val="single" w:sz="8" w:space="0" w:color="000000"/>
            </w:tcBorders>
            <w:tcMar>
              <w:bottom w:w="28" w:type="dxa"/>
            </w:tcMar>
            <w:vAlign w:val="bottom"/>
          </w:tcPr>
          <w:p>
            <w:pPr>
              <w:pStyle w:val="Normal"/>
              <w:bidi w:val="0"/>
              <w:jc w:val="left"/>
              <w:rPr/>
            </w:pPr>
            <w:r>
              <w:rPr/>
            </w:r>
          </w:p>
        </w:tc>
        <w:tc>
          <w:tcPr>
            <w:tcW w:w="71" w:type="dxa"/>
            <w:vMerge w:val="continue"/>
            <w:tcBorders/>
            <w:vAlign w:val="bottom"/>
          </w:tcPr>
          <w:p>
            <w:pPr>
              <w:pStyle w:val="Normal"/>
              <w:bidi w:val="0"/>
              <w:jc w:val="left"/>
              <w:rPr/>
            </w:pPr>
            <w:r>
              <w:rPr/>
            </w:r>
          </w:p>
        </w:tc>
      </w:tr>
      <w:tr>
        <w:trPr/>
        <w:tc>
          <w:tcPr>
            <w:tcW w:w="286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Year ended December 31, 2021</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9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2"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sz w:val="4"/>
                <w:szCs w:val="4"/>
              </w:rPr>
            </w:pPr>
            <w:r>
              <w:rPr>
                <w:sz w:val="4"/>
                <w:szCs w:val="4"/>
              </w:rPr>
            </w:r>
          </w:p>
        </w:tc>
        <w:tc>
          <w:tcPr>
            <w:tcW w:w="976"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sz w:val="4"/>
                <w:szCs w:val="4"/>
              </w:rPr>
            </w:pPr>
            <w:r>
              <w:rPr>
                <w:sz w:val="4"/>
                <w:szCs w:val="4"/>
              </w:rPr>
            </w:r>
          </w:p>
        </w:tc>
        <w:tc>
          <w:tcPr>
            <w:tcW w:w="953"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1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sz w:val="4"/>
                <w:szCs w:val="4"/>
              </w:rPr>
            </w:pPr>
            <w:r>
              <w:rPr>
                <w:sz w:val="4"/>
                <w:szCs w:val="4"/>
              </w:rPr>
            </w:r>
          </w:p>
        </w:tc>
        <w:tc>
          <w:tcPr>
            <w:tcW w:w="79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sz w:val="4"/>
                <w:szCs w:val="4"/>
              </w:rPr>
            </w:pPr>
            <w:r>
              <w:rPr>
                <w:sz w:val="4"/>
                <w:szCs w:val="4"/>
              </w:rPr>
            </w:r>
          </w:p>
        </w:tc>
      </w:tr>
      <w:tr>
        <w:trPr/>
        <w:tc>
          <w:tcPr>
            <w:tcW w:w="2867"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96" w:type="dxa"/>
            <w:tcBorders/>
            <w:vAlign w:val="bottom"/>
          </w:tcPr>
          <w:p>
            <w:pPr>
              <w:pStyle w:val="TableContents"/>
              <w:bidi w:val="0"/>
              <w:spacing w:before="0" w:after="283"/>
              <w:jc w:val="right"/>
              <w:rPr/>
            </w:pPr>
            <w:r>
              <w:rPr/>
              <w:t>16.47</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22.90</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20.16</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39.0</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22.4</w:t>
            </w:r>
          </w:p>
        </w:tc>
        <w:tc>
          <w:tcPr>
            <w:tcW w:w="27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w:t>
            </w:r>
          </w:p>
        </w:tc>
        <w:tc>
          <w:tcPr>
            <w:tcW w:w="795" w:type="dxa"/>
            <w:tcBorders/>
            <w:vAlign w:val="bottom"/>
          </w:tcPr>
          <w:p>
            <w:pPr>
              <w:pStyle w:val="TableContents"/>
              <w:bidi w:val="0"/>
              <w:spacing w:before="0" w:after="283"/>
              <w:jc w:val="right"/>
              <w:rPr/>
            </w:pPr>
            <w:r>
              <w:rPr/>
              <w:t>1.71</w:t>
            </w:r>
          </w:p>
        </w:tc>
        <w:tc>
          <w:tcPr>
            <w:tcW w:w="71" w:type="dxa"/>
            <w:tcBorders/>
            <w:vAlign w:val="bottom"/>
          </w:tcPr>
          <w:p>
            <w:pPr>
              <w:pStyle w:val="TableContents"/>
              <w:bidi w:val="0"/>
              <w:spacing w:before="0" w:after="283"/>
              <w:jc w:val="left"/>
              <w:rPr/>
            </w:pPr>
            <w:r>
              <w:rPr/>
              <w:t> </w:t>
            </w:r>
          </w:p>
        </w:tc>
      </w:tr>
      <w:tr>
        <w:trPr/>
        <w:tc>
          <w:tcPr>
            <w:tcW w:w="28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6" w:type="dxa"/>
            <w:tcBorders/>
            <w:shd w:fill="CCEEFF" w:val="clear"/>
            <w:vAlign w:val="bottom"/>
          </w:tcPr>
          <w:p>
            <w:pPr>
              <w:pStyle w:val="TableContents"/>
              <w:bidi w:val="0"/>
              <w:spacing w:before="0" w:after="283"/>
              <w:jc w:val="right"/>
              <w:rPr/>
            </w:pPr>
            <w:r>
              <w:rPr/>
              <w:t>16.85</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22.78</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20.80</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35.2</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23.4</w:t>
            </w:r>
          </w:p>
        </w:tc>
        <w:tc>
          <w:tcPr>
            <w:tcW w:w="27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w:t>
            </w:r>
          </w:p>
        </w:tc>
        <w:tc>
          <w:tcPr>
            <w:tcW w:w="795" w:type="dxa"/>
            <w:tcBorders/>
            <w:shd w:fill="CCEEFF" w:val="clear"/>
            <w:vAlign w:val="bottom"/>
          </w:tcPr>
          <w:p>
            <w:pPr>
              <w:pStyle w:val="TableContents"/>
              <w:bidi w:val="0"/>
              <w:spacing w:before="0" w:after="283"/>
              <w:jc w:val="right"/>
              <w:rPr/>
            </w:pPr>
            <w:r>
              <w:rPr/>
              <w:t>0.47</w:t>
            </w:r>
          </w:p>
        </w:tc>
        <w:tc>
          <w:tcPr>
            <w:tcW w:w="71" w:type="dxa"/>
            <w:tcBorders/>
            <w:shd w:fill="CCEEFF" w:val="clear"/>
            <w:vAlign w:val="bottom"/>
          </w:tcPr>
          <w:p>
            <w:pPr>
              <w:pStyle w:val="TableContents"/>
              <w:bidi w:val="0"/>
              <w:spacing w:before="0" w:after="283"/>
              <w:jc w:val="left"/>
              <w:rPr/>
            </w:pPr>
            <w:r>
              <w:rPr/>
              <w:t> </w:t>
            </w:r>
          </w:p>
        </w:tc>
      </w:tr>
      <w:tr>
        <w:trPr/>
        <w:tc>
          <w:tcPr>
            <w:tcW w:w="2867" w:type="dxa"/>
            <w:tcBorders/>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96" w:type="dxa"/>
            <w:tcBorders/>
            <w:vAlign w:val="bottom"/>
          </w:tcPr>
          <w:p>
            <w:pPr>
              <w:pStyle w:val="TableContents"/>
              <w:bidi w:val="0"/>
              <w:spacing w:before="0" w:after="283"/>
              <w:jc w:val="right"/>
              <w:rPr/>
            </w:pPr>
            <w:r>
              <w:rPr/>
              <w:t>17.18</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23.97</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21.13</w:t>
            </w:r>
          </w:p>
        </w:tc>
        <w:tc>
          <w:tcPr>
            <w:tcW w:w="60"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39.5</w:t>
            </w:r>
          </w:p>
        </w:tc>
        <w:tc>
          <w:tcPr>
            <w:tcW w:w="27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53" w:type="dxa"/>
            <w:tcBorders/>
            <w:vAlign w:val="bottom"/>
          </w:tcPr>
          <w:p>
            <w:pPr>
              <w:pStyle w:val="TableContents"/>
              <w:bidi w:val="0"/>
              <w:spacing w:before="0" w:after="283"/>
              <w:jc w:val="right"/>
              <w:rPr/>
            </w:pPr>
            <w:r>
              <w:rPr/>
              <w:t>23.0</w:t>
            </w:r>
          </w:p>
        </w:tc>
        <w:tc>
          <w:tcPr>
            <w:tcW w:w="275" w:type="dxa"/>
            <w:tcBorders/>
            <w:vAlign w:val="bottom"/>
          </w:tcPr>
          <w:p>
            <w:pPr>
              <w:pStyle w:val="TableContents"/>
              <w:bidi w:val="0"/>
              <w:spacing w:before="0" w:after="283"/>
              <w:jc w:val="left"/>
              <w:rPr/>
            </w:pPr>
            <w:r>
              <w:rPr/>
              <w:t>% </w:t>
            </w:r>
          </w:p>
        </w:tc>
        <w:tc>
          <w:tcPr>
            <w:tcW w:w="160"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w:t>
            </w:r>
          </w:p>
        </w:tc>
        <w:tc>
          <w:tcPr>
            <w:tcW w:w="795" w:type="dxa"/>
            <w:tcBorders/>
            <w:vAlign w:val="bottom"/>
          </w:tcPr>
          <w:p>
            <w:pPr>
              <w:pStyle w:val="TableContents"/>
              <w:bidi w:val="0"/>
              <w:spacing w:before="0" w:after="283"/>
              <w:jc w:val="right"/>
              <w:rPr/>
            </w:pPr>
            <w:r>
              <w:rPr/>
              <w:t>0.43</w:t>
            </w:r>
          </w:p>
        </w:tc>
        <w:tc>
          <w:tcPr>
            <w:tcW w:w="71" w:type="dxa"/>
            <w:tcBorders/>
            <w:vAlign w:val="bottom"/>
          </w:tcPr>
          <w:p>
            <w:pPr>
              <w:pStyle w:val="TableContents"/>
              <w:bidi w:val="0"/>
              <w:spacing w:before="0" w:after="283"/>
              <w:jc w:val="left"/>
              <w:rPr/>
            </w:pPr>
            <w:r>
              <w:rPr/>
              <w:t> </w:t>
            </w:r>
          </w:p>
        </w:tc>
      </w:tr>
      <w:tr>
        <w:trPr/>
        <w:tc>
          <w:tcPr>
            <w:tcW w:w="28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6" w:type="dxa"/>
            <w:tcBorders/>
            <w:shd w:fill="CCEEFF" w:val="clear"/>
            <w:vAlign w:val="bottom"/>
          </w:tcPr>
          <w:p>
            <w:pPr>
              <w:pStyle w:val="TableContents"/>
              <w:bidi w:val="0"/>
              <w:spacing w:before="0" w:after="283"/>
              <w:jc w:val="right"/>
              <w:rPr/>
            </w:pPr>
            <w:r>
              <w:rPr/>
              <w:t>16.84</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24.74</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21.97</w:t>
            </w:r>
          </w:p>
        </w:tc>
        <w:tc>
          <w:tcPr>
            <w:tcW w:w="60"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46.9</w:t>
            </w:r>
          </w:p>
        </w:tc>
        <w:tc>
          <w:tcPr>
            <w:tcW w:w="27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53" w:type="dxa"/>
            <w:tcBorders/>
            <w:shd w:fill="CCEEFF" w:val="clear"/>
            <w:vAlign w:val="bottom"/>
          </w:tcPr>
          <w:p>
            <w:pPr>
              <w:pStyle w:val="TableContents"/>
              <w:bidi w:val="0"/>
              <w:spacing w:before="0" w:after="283"/>
              <w:jc w:val="right"/>
              <w:rPr/>
            </w:pPr>
            <w:r>
              <w:rPr/>
              <w:t>30.5</w:t>
            </w:r>
          </w:p>
        </w:tc>
        <w:tc>
          <w:tcPr>
            <w:tcW w:w="275" w:type="dxa"/>
            <w:tcBorders/>
            <w:shd w:fill="CCEEFF" w:val="clear"/>
            <w:vAlign w:val="bottom"/>
          </w:tcPr>
          <w:p>
            <w:pPr>
              <w:pStyle w:val="TableContents"/>
              <w:bidi w:val="0"/>
              <w:spacing w:before="0" w:after="283"/>
              <w:jc w:val="left"/>
              <w:rPr/>
            </w:pPr>
            <w:r>
              <w:rPr/>
              <w:t>% </w:t>
            </w:r>
          </w:p>
        </w:tc>
        <w:tc>
          <w:tcPr>
            <w:tcW w:w="160" w:type="dxa"/>
            <w:tcBorders/>
            <w:shd w:fill="CCEEFF" w:val="clear"/>
            <w:vAlign w:val="bottom"/>
          </w:tcPr>
          <w:p>
            <w:pPr>
              <w:pStyle w:val="TableContents"/>
              <w:bidi w:val="0"/>
              <w:spacing w:before="0" w:after="283"/>
              <w:jc w:val="left"/>
              <w:rPr/>
            </w:pPr>
            <w:r>
              <w:rPr/>
              <w:t> </w:t>
            </w:r>
          </w:p>
        </w:tc>
        <w:tc>
          <w:tcPr>
            <w:tcW w:w="254" w:type="dxa"/>
            <w:tcBorders/>
            <w:shd w:fill="CCEEFF" w:val="clear"/>
            <w:vAlign w:val="bottom"/>
          </w:tcPr>
          <w:p>
            <w:pPr>
              <w:pStyle w:val="TableContents"/>
              <w:bidi w:val="0"/>
              <w:spacing w:before="0" w:after="283"/>
              <w:jc w:val="left"/>
              <w:rPr/>
            </w:pPr>
            <w:r>
              <w:rPr/>
              <w:t>$</w:t>
            </w:r>
          </w:p>
        </w:tc>
        <w:tc>
          <w:tcPr>
            <w:tcW w:w="795" w:type="dxa"/>
            <w:tcBorders/>
            <w:shd w:fill="CCEEFF" w:val="clear"/>
            <w:vAlign w:val="bottom"/>
          </w:tcPr>
          <w:p>
            <w:pPr>
              <w:pStyle w:val="TableContents"/>
              <w:bidi w:val="0"/>
              <w:spacing w:before="0" w:after="283"/>
              <w:jc w:val="right"/>
              <w:rPr/>
            </w:pPr>
            <w:r>
              <w:rPr/>
              <w:t>0.98</w:t>
            </w:r>
          </w:p>
        </w:tc>
        <w:tc>
          <w:tcPr>
            <w:tcW w:w="71"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2730"/>
        <w:gridCol w:w="205"/>
        <w:gridCol w:w="140"/>
        <w:gridCol w:w="606"/>
        <w:gridCol w:w="60"/>
        <w:gridCol w:w="205"/>
        <w:gridCol w:w="140"/>
        <w:gridCol w:w="574"/>
        <w:gridCol w:w="60"/>
        <w:gridCol w:w="205"/>
        <w:gridCol w:w="140"/>
        <w:gridCol w:w="574"/>
        <w:gridCol w:w="60"/>
        <w:gridCol w:w="205"/>
        <w:gridCol w:w="130"/>
        <w:gridCol w:w="998"/>
        <w:gridCol w:w="282"/>
        <w:gridCol w:w="150"/>
        <w:gridCol w:w="126"/>
        <w:gridCol w:w="973"/>
        <w:gridCol w:w="350"/>
        <w:gridCol w:w="150"/>
        <w:gridCol w:w="260"/>
        <w:gridCol w:w="814"/>
        <w:gridCol w:w="68"/>
      </w:tblGrid>
      <w:tr>
        <w:trPr/>
        <w:tc>
          <w:tcPr>
            <w:tcW w:w="273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c>
          <w:tcPr>
            <w:tcW w:w="273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46"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69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Price Range</w:t>
            </w:r>
          </w:p>
        </w:tc>
        <w:tc>
          <w:tcPr>
            <w:tcW w:w="60" w:type="dxa"/>
            <w:tcBorders/>
            <w:vAlign w:val="bottom"/>
          </w:tcPr>
          <w:p>
            <w:pPr>
              <w:pStyle w:val="TableContents"/>
              <w:bidi w:val="0"/>
              <w:spacing w:before="0" w:after="283"/>
              <w:jc w:val="left"/>
              <w:rPr/>
            </w:pPr>
            <w:r>
              <w:rPr/>
              <w:t> </w:t>
            </w:r>
          </w:p>
        </w:tc>
        <w:tc>
          <w:tcPr>
            <w:tcW w:w="205" w:type="dxa"/>
            <w:vMerge w:val="restart"/>
            <w:tcBorders/>
            <w:vAlign w:val="bottom"/>
          </w:tcPr>
          <w:p>
            <w:pPr>
              <w:pStyle w:val="TableContents"/>
              <w:bidi w:val="0"/>
              <w:spacing w:before="0" w:after="283"/>
              <w:jc w:val="left"/>
              <w:rPr/>
            </w:pPr>
            <w:r>
              <w:rPr/>
              <w:t>  </w:t>
            </w:r>
          </w:p>
        </w:tc>
        <w:tc>
          <w:tcPr>
            <w:tcW w:w="1128"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High Sales</w:t>
              <w:br/>
              <w:t>Price to</w:t>
              <w:br/>
              <w:t>Net Asset</w:t>
              <w:br/>
              <w:t>Value(2)</w:t>
            </w:r>
          </w:p>
        </w:tc>
        <w:tc>
          <w:tcPr>
            <w:tcW w:w="282" w:type="dxa"/>
            <w:vMerge w:val="restart"/>
            <w:tcBorders/>
            <w:vAlign w:val="bottom"/>
          </w:tcPr>
          <w:p>
            <w:pPr>
              <w:pStyle w:val="TableContents"/>
              <w:bidi w:val="0"/>
              <w:spacing w:before="0" w:after="283"/>
              <w:jc w:val="left"/>
              <w:rPr/>
            </w:pPr>
            <w:r>
              <w:rPr/>
              <w:t> </w:t>
            </w:r>
          </w:p>
        </w:tc>
        <w:tc>
          <w:tcPr>
            <w:tcW w:w="150" w:type="dxa"/>
            <w:vMerge w:val="restart"/>
            <w:tcBorders/>
            <w:vAlign w:val="bottom"/>
          </w:tcPr>
          <w:p>
            <w:pPr>
              <w:pStyle w:val="TableContents"/>
              <w:bidi w:val="0"/>
              <w:spacing w:before="0" w:after="283"/>
              <w:jc w:val="left"/>
              <w:rPr/>
            </w:pPr>
            <w:r>
              <w:rPr/>
              <w:t> </w:t>
            </w:r>
          </w:p>
        </w:tc>
        <w:tc>
          <w:tcPr>
            <w:tcW w:w="1099"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Low Sales</w:t>
              <w:br/>
              <w:t>Price to</w:t>
              <w:br/>
              <w:t>Net Asset</w:t>
              <w:br/>
              <w:t>Value(2)</w:t>
            </w:r>
          </w:p>
        </w:tc>
        <w:tc>
          <w:tcPr>
            <w:tcW w:w="350" w:type="dxa"/>
            <w:vMerge w:val="restart"/>
            <w:tcBorders/>
            <w:vAlign w:val="bottom"/>
          </w:tcPr>
          <w:p>
            <w:pPr>
              <w:pStyle w:val="TableContents"/>
              <w:bidi w:val="0"/>
              <w:spacing w:before="0" w:after="283"/>
              <w:jc w:val="left"/>
              <w:rPr/>
            </w:pPr>
            <w:r>
              <w:rPr/>
              <w:t> </w:t>
            </w:r>
          </w:p>
        </w:tc>
        <w:tc>
          <w:tcPr>
            <w:tcW w:w="150" w:type="dxa"/>
            <w:vMerge w:val="restart"/>
            <w:tcBorders/>
            <w:vAlign w:val="bottom"/>
          </w:tcPr>
          <w:p>
            <w:pPr>
              <w:pStyle w:val="TableContents"/>
              <w:bidi w:val="0"/>
              <w:spacing w:before="0" w:after="283"/>
              <w:jc w:val="left"/>
              <w:rPr/>
            </w:pPr>
            <w:r>
              <w:rPr/>
              <w:t> </w:t>
            </w:r>
          </w:p>
        </w:tc>
        <w:tc>
          <w:tcPr>
            <w:tcW w:w="1074" w:type="dxa"/>
            <w:gridSpan w:val="2"/>
            <w:vMerge w:val="restart"/>
            <w:tcBorders>
              <w:bottom w:val="single" w:sz="8" w:space="0" w:color="000000"/>
            </w:tcBorders>
            <w:tcMar>
              <w:bottom w:w="28" w:type="dxa"/>
            </w:tcMar>
            <w:vAlign w:val="bottom"/>
          </w:tcPr>
          <w:p>
            <w:pPr>
              <w:pStyle w:val="TableContents"/>
              <w:bidi w:val="0"/>
              <w:spacing w:before="0" w:after="283"/>
              <w:jc w:val="center"/>
              <w:rPr>
                <w:b/>
              </w:rPr>
            </w:pPr>
            <w:r>
              <w:rPr>
                <w:b/>
              </w:rPr>
              <w:t>Cash</w:t>
              <w:br/>
              <w:t>Dividends</w:t>
              <w:br/>
              <w:t>Per</w:t>
              <w:br/>
              <w:t>Share(3)</w:t>
            </w:r>
          </w:p>
        </w:tc>
        <w:tc>
          <w:tcPr>
            <w:tcW w:w="68" w:type="dxa"/>
            <w:vMerge w:val="restart"/>
            <w:tcBorders/>
            <w:vAlign w:val="bottom"/>
          </w:tcPr>
          <w:p>
            <w:pPr>
              <w:pStyle w:val="TableContents"/>
              <w:bidi w:val="0"/>
              <w:spacing w:before="0" w:after="283"/>
              <w:jc w:val="left"/>
              <w:rPr/>
            </w:pPr>
            <w:r>
              <w:rPr/>
              <w:t> </w:t>
            </w:r>
          </w:p>
        </w:tc>
      </w:tr>
      <w:tr>
        <w:trPr/>
        <w:tc>
          <w:tcPr>
            <w:tcW w:w="273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NAV(1)</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High</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71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Low</w:t>
            </w:r>
          </w:p>
        </w:tc>
        <w:tc>
          <w:tcPr>
            <w:tcW w:w="60" w:type="dxa"/>
            <w:tcBorders/>
            <w:vAlign w:val="bottom"/>
          </w:tcPr>
          <w:p>
            <w:pPr>
              <w:pStyle w:val="TableContents"/>
              <w:bidi w:val="0"/>
              <w:spacing w:before="0" w:after="283"/>
              <w:jc w:val="left"/>
              <w:rPr/>
            </w:pPr>
            <w:r>
              <w:rPr/>
              <w:t> </w:t>
            </w:r>
          </w:p>
        </w:tc>
        <w:tc>
          <w:tcPr>
            <w:tcW w:w="205" w:type="dxa"/>
            <w:vMerge w:val="continue"/>
            <w:tcBorders/>
            <w:vAlign w:val="bottom"/>
          </w:tcPr>
          <w:p>
            <w:pPr>
              <w:pStyle w:val="Normal"/>
              <w:bidi w:val="0"/>
              <w:jc w:val="left"/>
              <w:rPr/>
            </w:pPr>
            <w:r>
              <w:rPr/>
            </w:r>
          </w:p>
        </w:tc>
        <w:tc>
          <w:tcPr>
            <w:tcW w:w="1128" w:type="dxa"/>
            <w:gridSpan w:val="2"/>
            <w:vMerge w:val="continue"/>
            <w:tcBorders>
              <w:bottom w:val="single" w:sz="8" w:space="0" w:color="000000"/>
            </w:tcBorders>
            <w:tcMar>
              <w:bottom w:w="28" w:type="dxa"/>
            </w:tcMar>
            <w:vAlign w:val="bottom"/>
          </w:tcPr>
          <w:p>
            <w:pPr>
              <w:pStyle w:val="Normal"/>
              <w:bidi w:val="0"/>
              <w:jc w:val="left"/>
              <w:rPr/>
            </w:pPr>
            <w:r>
              <w:rPr/>
            </w:r>
          </w:p>
        </w:tc>
        <w:tc>
          <w:tcPr>
            <w:tcW w:w="282" w:type="dxa"/>
            <w:vMerge w:val="continue"/>
            <w:tcBorders/>
            <w:vAlign w:val="bottom"/>
          </w:tcPr>
          <w:p>
            <w:pPr>
              <w:pStyle w:val="Normal"/>
              <w:bidi w:val="0"/>
              <w:jc w:val="left"/>
              <w:rPr/>
            </w:pPr>
            <w:r>
              <w:rPr/>
            </w:r>
          </w:p>
        </w:tc>
        <w:tc>
          <w:tcPr>
            <w:tcW w:w="150" w:type="dxa"/>
            <w:vMerge w:val="continue"/>
            <w:tcBorders>
              <w:bottom w:val="single" w:sz="8" w:space="0" w:color="000000"/>
            </w:tcBorders>
            <w:tcMar>
              <w:bottom w:w="28" w:type="dxa"/>
            </w:tcMar>
            <w:vAlign w:val="bottom"/>
          </w:tcPr>
          <w:p>
            <w:pPr>
              <w:pStyle w:val="Normal"/>
              <w:bidi w:val="0"/>
              <w:jc w:val="left"/>
              <w:rPr/>
            </w:pPr>
            <w:r>
              <w:rPr/>
            </w:r>
          </w:p>
        </w:tc>
        <w:tc>
          <w:tcPr>
            <w:tcW w:w="1099" w:type="dxa"/>
            <w:gridSpan w:val="2"/>
            <w:vMerge w:val="continue"/>
            <w:tcBorders/>
            <w:vAlign w:val="bottom"/>
          </w:tcPr>
          <w:p>
            <w:pPr>
              <w:pStyle w:val="Normal"/>
              <w:bidi w:val="0"/>
              <w:jc w:val="left"/>
              <w:rPr/>
            </w:pPr>
            <w:r>
              <w:rPr/>
            </w:r>
          </w:p>
        </w:tc>
        <w:tc>
          <w:tcPr>
            <w:tcW w:w="350" w:type="dxa"/>
            <w:vMerge w:val="continue"/>
            <w:tcBorders>
              <w:bottom w:val="single" w:sz="8" w:space="0" w:color="000000"/>
            </w:tcBorders>
            <w:tcMar>
              <w:bottom w:w="28" w:type="dxa"/>
            </w:tcMar>
            <w:vAlign w:val="bottom"/>
          </w:tcPr>
          <w:p>
            <w:pPr>
              <w:pStyle w:val="Normal"/>
              <w:bidi w:val="0"/>
              <w:jc w:val="left"/>
              <w:rPr/>
            </w:pPr>
            <w:r>
              <w:rPr/>
            </w:r>
          </w:p>
        </w:tc>
        <w:tc>
          <w:tcPr>
            <w:tcW w:w="150" w:type="dxa"/>
            <w:vMerge w:val="continue"/>
            <w:tcBorders/>
            <w:vAlign w:val="bottom"/>
          </w:tcPr>
          <w:p>
            <w:pPr>
              <w:pStyle w:val="Normal"/>
              <w:bidi w:val="0"/>
              <w:jc w:val="left"/>
              <w:rPr/>
            </w:pPr>
            <w:r>
              <w:rPr/>
            </w:r>
          </w:p>
        </w:tc>
        <w:tc>
          <w:tcPr>
            <w:tcW w:w="1074" w:type="dxa"/>
            <w:gridSpan w:val="2"/>
            <w:vMerge w:val="continue"/>
            <w:tcBorders>
              <w:bottom w:val="single" w:sz="8" w:space="0" w:color="000000"/>
            </w:tcBorders>
            <w:tcMar>
              <w:bottom w:w="28" w:type="dxa"/>
            </w:tcMar>
            <w:vAlign w:val="bottom"/>
          </w:tcPr>
          <w:p>
            <w:pPr>
              <w:pStyle w:val="Normal"/>
              <w:bidi w:val="0"/>
              <w:jc w:val="left"/>
              <w:rPr/>
            </w:pPr>
            <w:r>
              <w:rPr/>
            </w:r>
          </w:p>
        </w:tc>
        <w:tc>
          <w:tcPr>
            <w:tcW w:w="68" w:type="dxa"/>
            <w:vMerge w:val="continue"/>
            <w:tcBorders/>
            <w:vAlign w:val="bottom"/>
          </w:tcPr>
          <w:p>
            <w:pPr>
              <w:pStyle w:val="Normal"/>
              <w:bidi w:val="0"/>
              <w:jc w:val="left"/>
              <w:rPr/>
            </w:pPr>
            <w:r>
              <w:rPr/>
            </w:r>
          </w:p>
        </w:tc>
      </w:tr>
      <w:tr>
        <w:trPr/>
        <w:tc>
          <w:tcPr>
            <w:tcW w:w="27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Year ended December 31, 2022</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sz w:val="4"/>
                <w:szCs w:val="4"/>
              </w:rPr>
            </w:pPr>
            <w:r>
              <w:rPr>
                <w:sz w:val="4"/>
                <w:szCs w:val="4"/>
              </w:rPr>
            </w:r>
          </w:p>
        </w:tc>
        <w:tc>
          <w:tcPr>
            <w:tcW w:w="97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06" w:type="dxa"/>
            <w:tcBorders/>
            <w:vAlign w:val="bottom"/>
          </w:tcPr>
          <w:p>
            <w:pPr>
              <w:pStyle w:val="TableContents"/>
              <w:bidi w:val="0"/>
              <w:spacing w:before="0" w:after="283"/>
              <w:jc w:val="right"/>
              <w:rPr/>
            </w:pPr>
            <w:r>
              <w:rPr/>
              <w:t>16.88</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4" w:type="dxa"/>
            <w:tcBorders/>
            <w:vAlign w:val="bottom"/>
          </w:tcPr>
          <w:p>
            <w:pPr>
              <w:pStyle w:val="TableContents"/>
              <w:bidi w:val="0"/>
              <w:spacing w:before="0" w:after="283"/>
              <w:jc w:val="right"/>
              <w:rPr/>
            </w:pPr>
            <w:r>
              <w:rPr/>
              <w:t>24.27</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4" w:type="dxa"/>
            <w:tcBorders/>
            <w:vAlign w:val="bottom"/>
          </w:tcPr>
          <w:p>
            <w:pPr>
              <w:pStyle w:val="TableContents"/>
              <w:bidi w:val="0"/>
              <w:spacing w:before="0" w:after="283"/>
              <w:jc w:val="right"/>
              <w:rPr/>
            </w:pPr>
            <w:r>
              <w:rPr/>
              <w:t>22.40</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43.8</w:t>
            </w:r>
          </w:p>
        </w:tc>
        <w:tc>
          <w:tcPr>
            <w:tcW w:w="28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32.7</w:t>
            </w:r>
          </w:p>
        </w:tc>
        <w:tc>
          <w:tcPr>
            <w:tcW w:w="3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w:t>
            </w:r>
          </w:p>
        </w:tc>
        <w:tc>
          <w:tcPr>
            <w:tcW w:w="814" w:type="dxa"/>
            <w:tcBorders/>
            <w:vAlign w:val="bottom"/>
          </w:tcPr>
          <w:p>
            <w:pPr>
              <w:pStyle w:val="TableContents"/>
              <w:bidi w:val="0"/>
              <w:spacing w:before="0" w:after="283"/>
              <w:jc w:val="right"/>
              <w:rPr/>
            </w:pPr>
            <w:r>
              <w:rPr/>
              <w:t>0.52</w:t>
            </w:r>
          </w:p>
        </w:tc>
        <w:tc>
          <w:tcPr>
            <w:tcW w:w="68" w:type="dxa"/>
            <w:tcBorders/>
            <w:vAlign w:val="bottom"/>
          </w:tcPr>
          <w:p>
            <w:pPr>
              <w:pStyle w:val="TableContents"/>
              <w:bidi w:val="0"/>
              <w:spacing w:before="0" w:after="283"/>
              <w:jc w:val="left"/>
              <w:rPr/>
            </w:pPr>
            <w:r>
              <w:rPr/>
              <w:t> </w:t>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6" w:type="dxa"/>
            <w:tcBorders/>
            <w:shd w:fill="CCEEFF" w:val="clear"/>
            <w:vAlign w:val="bottom"/>
          </w:tcPr>
          <w:p>
            <w:pPr>
              <w:pStyle w:val="TableContents"/>
              <w:bidi w:val="0"/>
              <w:spacing w:before="0" w:after="283"/>
              <w:jc w:val="right"/>
              <w:rPr/>
            </w:pPr>
            <w:r>
              <w:rPr/>
              <w:t>16.27</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4" w:type="dxa"/>
            <w:tcBorders/>
            <w:shd w:fill="CCEEFF" w:val="clear"/>
            <w:vAlign w:val="bottom"/>
          </w:tcPr>
          <w:p>
            <w:pPr>
              <w:pStyle w:val="TableContents"/>
              <w:bidi w:val="0"/>
              <w:spacing w:before="0" w:after="283"/>
              <w:jc w:val="right"/>
              <w:rPr/>
            </w:pPr>
            <w:r>
              <w:rPr/>
              <w:t>23.64</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4" w:type="dxa"/>
            <w:tcBorders/>
            <w:shd w:fill="CCEEFF" w:val="clear"/>
            <w:vAlign w:val="bottom"/>
          </w:tcPr>
          <w:p>
            <w:pPr>
              <w:pStyle w:val="TableContents"/>
              <w:bidi w:val="0"/>
              <w:spacing w:before="0" w:after="283"/>
              <w:jc w:val="right"/>
              <w:rPr/>
            </w:pPr>
            <w:r>
              <w:rPr/>
              <w:t>18.09</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45.3</w:t>
            </w:r>
          </w:p>
        </w:tc>
        <w:tc>
          <w:tcPr>
            <w:tcW w:w="28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11.2</w:t>
            </w:r>
          </w:p>
        </w:tc>
        <w:tc>
          <w:tcPr>
            <w:tcW w:w="3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0.45</w:t>
            </w:r>
          </w:p>
        </w:tc>
        <w:tc>
          <w:tcPr>
            <w:tcW w:w="68" w:type="dxa"/>
            <w:tcBorders/>
            <w:shd w:fill="CCEEFF" w:val="clear"/>
            <w:vAlign w:val="bottom"/>
          </w:tcPr>
          <w:p>
            <w:pPr>
              <w:pStyle w:val="TableContents"/>
              <w:bidi w:val="0"/>
              <w:spacing w:before="0" w:after="283"/>
              <w:jc w:val="left"/>
              <w:rPr/>
            </w:pPr>
            <w:r>
              <w:rPr/>
              <w:t> </w:t>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06" w:type="dxa"/>
            <w:tcBorders/>
            <w:vAlign w:val="bottom"/>
          </w:tcPr>
          <w:p>
            <w:pPr>
              <w:pStyle w:val="TableContents"/>
              <w:bidi w:val="0"/>
              <w:spacing w:before="0" w:after="283"/>
              <w:jc w:val="right"/>
              <w:rPr/>
            </w:pPr>
            <w:r>
              <w:rPr/>
              <w:t>16.36</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4" w:type="dxa"/>
            <w:tcBorders/>
            <w:vAlign w:val="bottom"/>
          </w:tcPr>
          <w:p>
            <w:pPr>
              <w:pStyle w:val="TableContents"/>
              <w:bidi w:val="0"/>
              <w:spacing w:before="0" w:after="283"/>
              <w:jc w:val="right"/>
              <w:rPr/>
            </w:pPr>
            <w:r>
              <w:rPr/>
              <w:t>19.62</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4" w:type="dxa"/>
            <w:tcBorders/>
            <w:vAlign w:val="bottom"/>
          </w:tcPr>
          <w:p>
            <w:pPr>
              <w:pStyle w:val="TableContents"/>
              <w:bidi w:val="0"/>
              <w:spacing w:before="0" w:after="283"/>
              <w:jc w:val="right"/>
              <w:rPr/>
            </w:pPr>
            <w:r>
              <w:rPr/>
              <w:t>16.13</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19.9</w:t>
            </w:r>
          </w:p>
        </w:tc>
        <w:tc>
          <w:tcPr>
            <w:tcW w:w="28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(1.4</w:t>
            </w:r>
          </w:p>
        </w:tc>
        <w:tc>
          <w:tcPr>
            <w:tcW w:w="3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w:t>
            </w:r>
          </w:p>
        </w:tc>
        <w:tc>
          <w:tcPr>
            <w:tcW w:w="814" w:type="dxa"/>
            <w:tcBorders/>
            <w:vAlign w:val="bottom"/>
          </w:tcPr>
          <w:p>
            <w:pPr>
              <w:pStyle w:val="TableContents"/>
              <w:bidi w:val="0"/>
              <w:spacing w:before="0" w:after="283"/>
              <w:jc w:val="right"/>
              <w:rPr/>
            </w:pPr>
            <w:r>
              <w:rPr/>
              <w:t>0.42</w:t>
            </w:r>
          </w:p>
        </w:tc>
        <w:tc>
          <w:tcPr>
            <w:tcW w:w="68" w:type="dxa"/>
            <w:tcBorders/>
            <w:vAlign w:val="bottom"/>
          </w:tcPr>
          <w:p>
            <w:pPr>
              <w:pStyle w:val="TableContents"/>
              <w:bidi w:val="0"/>
              <w:spacing w:before="0" w:after="283"/>
              <w:jc w:val="left"/>
              <w:rPr/>
            </w:pPr>
            <w:r>
              <w:rPr/>
              <w:t> </w:t>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6" w:type="dxa"/>
            <w:tcBorders/>
            <w:shd w:fill="CCEEFF" w:val="clear"/>
            <w:vAlign w:val="bottom"/>
          </w:tcPr>
          <w:p>
            <w:pPr>
              <w:pStyle w:val="TableContents"/>
              <w:bidi w:val="0"/>
              <w:spacing w:before="0" w:after="283"/>
              <w:jc w:val="right"/>
              <w:rPr/>
            </w:pPr>
            <w:r>
              <w:rPr/>
              <w:t>16.48</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4" w:type="dxa"/>
            <w:tcBorders/>
            <w:shd w:fill="CCEEFF" w:val="clear"/>
            <w:vAlign w:val="bottom"/>
          </w:tcPr>
          <w:p>
            <w:pPr>
              <w:pStyle w:val="TableContents"/>
              <w:bidi w:val="0"/>
              <w:spacing w:before="0" w:after="283"/>
              <w:jc w:val="right"/>
              <w:rPr/>
            </w:pPr>
            <w:r>
              <w:rPr/>
              <w:t>19.14</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4" w:type="dxa"/>
            <w:tcBorders/>
            <w:shd w:fill="CCEEFF" w:val="clear"/>
            <w:vAlign w:val="bottom"/>
          </w:tcPr>
          <w:p>
            <w:pPr>
              <w:pStyle w:val="TableContents"/>
              <w:bidi w:val="0"/>
              <w:spacing w:before="0" w:after="283"/>
              <w:jc w:val="right"/>
              <w:rPr/>
            </w:pPr>
            <w:r>
              <w:rPr/>
              <w:t>16.56</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16.1</w:t>
            </w:r>
          </w:p>
        </w:tc>
        <w:tc>
          <w:tcPr>
            <w:tcW w:w="28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0.5</w:t>
            </w:r>
          </w:p>
        </w:tc>
        <w:tc>
          <w:tcPr>
            <w:tcW w:w="3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0.45</w:t>
            </w:r>
          </w:p>
        </w:tc>
        <w:tc>
          <w:tcPr>
            <w:tcW w:w="68" w:type="dxa"/>
            <w:tcBorders/>
            <w:shd w:fill="CCEEFF" w:val="clear"/>
            <w:vAlign w:val="bottom"/>
          </w:tcPr>
          <w:p>
            <w:pPr>
              <w:pStyle w:val="TableContents"/>
              <w:bidi w:val="0"/>
              <w:spacing w:before="0" w:after="283"/>
              <w:jc w:val="left"/>
              <w:rPr/>
            </w:pPr>
            <w:r>
              <w:rPr/>
              <w:t> </w:t>
            </w:r>
          </w:p>
        </w:tc>
      </w:tr>
      <w:tr>
        <w:trPr/>
        <w:tc>
          <w:tcPr>
            <w:tcW w:w="2730" w:type="dxa"/>
            <w:tcBorders/>
          </w:tcPr>
          <w:p>
            <w:pPr>
              <w:pStyle w:val="TableContents"/>
              <w:bidi w:val="0"/>
              <w:spacing w:before="0" w:after="0"/>
              <w:jc w:val="left"/>
              <w:rPr>
                <w:rFonts w:ascii="Times New Roman" w:hAnsi="Times New Roman"/>
                <w:b/>
                <w:sz w:val="20"/>
              </w:rPr>
            </w:pPr>
            <w:r>
              <w:rPr>
                <w:rFonts w:ascii="Times New Roman" w:hAnsi="Times New Roman"/>
                <w:b/>
                <w:sz w:val="20"/>
              </w:rPr>
              <w:t>Year ended December 31, 2023</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0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sz w:val="4"/>
                <w:szCs w:val="4"/>
              </w:rPr>
            </w:pPr>
            <w:r>
              <w:rPr>
                <w:sz w:val="4"/>
                <w:szCs w:val="4"/>
              </w:rPr>
            </w:r>
          </w:p>
        </w:tc>
        <w:tc>
          <w:tcPr>
            <w:tcW w:w="998" w:type="dxa"/>
            <w:tcBorders/>
            <w:vAlign w:val="bottom"/>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sz w:val="4"/>
                <w:szCs w:val="4"/>
              </w:rPr>
            </w:pPr>
            <w:r>
              <w:rPr>
                <w:sz w:val="4"/>
                <w:szCs w:val="4"/>
              </w:rPr>
            </w:r>
          </w:p>
        </w:tc>
        <w:tc>
          <w:tcPr>
            <w:tcW w:w="973"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6" w:type="dxa"/>
            <w:tcBorders/>
            <w:shd w:fill="CCEEFF" w:val="clear"/>
            <w:vAlign w:val="bottom"/>
          </w:tcPr>
          <w:p>
            <w:pPr>
              <w:pStyle w:val="TableContents"/>
              <w:bidi w:val="0"/>
              <w:spacing w:before="0" w:after="283"/>
              <w:jc w:val="right"/>
              <w:rPr/>
            </w:pPr>
            <w:r>
              <w:rPr/>
              <w:t>16.59</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4" w:type="dxa"/>
            <w:tcBorders/>
            <w:shd w:fill="CCEEFF" w:val="clear"/>
            <w:vAlign w:val="bottom"/>
          </w:tcPr>
          <w:p>
            <w:pPr>
              <w:pStyle w:val="TableContents"/>
              <w:bidi w:val="0"/>
              <w:spacing w:before="0" w:after="283"/>
              <w:jc w:val="right"/>
              <w:rPr/>
            </w:pPr>
            <w:r>
              <w:rPr/>
              <w:t>19.54</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4" w:type="dxa"/>
            <w:tcBorders/>
            <w:shd w:fill="CCEEFF" w:val="clear"/>
            <w:vAlign w:val="bottom"/>
          </w:tcPr>
          <w:p>
            <w:pPr>
              <w:pStyle w:val="TableContents"/>
              <w:bidi w:val="0"/>
              <w:spacing w:before="0" w:after="283"/>
              <w:jc w:val="right"/>
              <w:rPr/>
            </w:pPr>
            <w:r>
              <w:rPr/>
              <w:t>17.10</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17.8</w:t>
            </w:r>
          </w:p>
        </w:tc>
        <w:tc>
          <w:tcPr>
            <w:tcW w:w="28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3.1</w:t>
            </w:r>
          </w:p>
        </w:tc>
        <w:tc>
          <w:tcPr>
            <w:tcW w:w="3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0.55</w:t>
            </w:r>
          </w:p>
        </w:tc>
        <w:tc>
          <w:tcPr>
            <w:tcW w:w="68" w:type="dxa"/>
            <w:tcBorders/>
            <w:shd w:fill="CCEEFF" w:val="clear"/>
            <w:vAlign w:val="bottom"/>
          </w:tcPr>
          <w:p>
            <w:pPr>
              <w:pStyle w:val="TableContents"/>
              <w:bidi w:val="0"/>
              <w:spacing w:before="0" w:after="283"/>
              <w:jc w:val="left"/>
              <w:rPr/>
            </w:pPr>
            <w:r>
              <w:rPr/>
              <w:t> </w:t>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Second Quarter</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06" w:type="dxa"/>
            <w:tcBorders/>
            <w:vAlign w:val="bottom"/>
          </w:tcPr>
          <w:p>
            <w:pPr>
              <w:pStyle w:val="TableContents"/>
              <w:bidi w:val="0"/>
              <w:spacing w:before="0" w:after="283"/>
              <w:jc w:val="right"/>
              <w:rPr/>
            </w:pPr>
            <w:r>
              <w:rPr/>
              <w:t>16.74</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4" w:type="dxa"/>
            <w:tcBorders/>
            <w:vAlign w:val="bottom"/>
          </w:tcPr>
          <w:p>
            <w:pPr>
              <w:pStyle w:val="TableContents"/>
              <w:bidi w:val="0"/>
              <w:spacing w:before="0" w:after="283"/>
              <w:jc w:val="right"/>
              <w:rPr/>
            </w:pPr>
            <w:r>
              <w:rPr/>
              <w:t>19.16</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4" w:type="dxa"/>
            <w:tcBorders/>
            <w:vAlign w:val="bottom"/>
          </w:tcPr>
          <w:p>
            <w:pPr>
              <w:pStyle w:val="TableContents"/>
              <w:bidi w:val="0"/>
              <w:spacing w:before="0" w:after="283"/>
              <w:jc w:val="right"/>
              <w:rPr/>
            </w:pPr>
            <w:r>
              <w:rPr/>
              <w:t>17.55</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14.5</w:t>
            </w:r>
          </w:p>
        </w:tc>
        <w:tc>
          <w:tcPr>
            <w:tcW w:w="28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4.8</w:t>
            </w:r>
          </w:p>
        </w:tc>
        <w:tc>
          <w:tcPr>
            <w:tcW w:w="3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w:t>
            </w:r>
          </w:p>
        </w:tc>
        <w:tc>
          <w:tcPr>
            <w:tcW w:w="814" w:type="dxa"/>
            <w:tcBorders/>
            <w:vAlign w:val="bottom"/>
          </w:tcPr>
          <w:p>
            <w:pPr>
              <w:pStyle w:val="TableContents"/>
              <w:bidi w:val="0"/>
              <w:spacing w:before="0" w:after="283"/>
              <w:jc w:val="right"/>
              <w:rPr/>
            </w:pPr>
            <w:r>
              <w:rPr/>
              <w:t>0.50</w:t>
            </w:r>
          </w:p>
        </w:tc>
        <w:tc>
          <w:tcPr>
            <w:tcW w:w="68" w:type="dxa"/>
            <w:tcBorders/>
            <w:vAlign w:val="bottom"/>
          </w:tcPr>
          <w:p>
            <w:pPr>
              <w:pStyle w:val="TableContents"/>
              <w:bidi w:val="0"/>
              <w:spacing w:before="0" w:after="283"/>
              <w:jc w:val="left"/>
              <w:rPr/>
            </w:pPr>
            <w:r>
              <w:rPr/>
              <w:t> </w:t>
            </w:r>
          </w:p>
        </w:tc>
      </w:tr>
      <w:tr>
        <w:trPr/>
        <w:tc>
          <w:tcPr>
            <w:tcW w:w="2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Third Quarter</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06" w:type="dxa"/>
            <w:tcBorders/>
            <w:shd w:fill="CCEEFF" w:val="clear"/>
            <w:vAlign w:val="bottom"/>
          </w:tcPr>
          <w:p>
            <w:pPr>
              <w:pStyle w:val="TableContents"/>
              <w:bidi w:val="0"/>
              <w:spacing w:before="0" w:after="283"/>
              <w:jc w:val="right"/>
              <w:rPr/>
            </w:pPr>
            <w:r>
              <w:rPr/>
              <w:t>16.97</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4" w:type="dxa"/>
            <w:tcBorders/>
            <w:shd w:fill="CCEEFF" w:val="clear"/>
            <w:vAlign w:val="bottom"/>
          </w:tcPr>
          <w:p>
            <w:pPr>
              <w:pStyle w:val="TableContents"/>
              <w:bidi w:val="0"/>
              <w:spacing w:before="0" w:after="283"/>
              <w:jc w:val="right"/>
              <w:rPr/>
            </w:pPr>
            <w:r>
              <w:rPr/>
              <w:t>20.90</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4" w:type="dxa"/>
            <w:tcBorders/>
            <w:shd w:fill="CCEEFF" w:val="clear"/>
            <w:vAlign w:val="bottom"/>
          </w:tcPr>
          <w:p>
            <w:pPr>
              <w:pStyle w:val="TableContents"/>
              <w:bidi w:val="0"/>
              <w:spacing w:before="0" w:after="283"/>
              <w:jc w:val="right"/>
              <w:rPr/>
            </w:pPr>
            <w:r>
              <w:rPr/>
              <w:t>18.72</w:t>
            </w:r>
          </w:p>
        </w:tc>
        <w:tc>
          <w:tcPr>
            <w:tcW w:w="60"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pPr>
            <w:r>
              <w:rPr/>
              <w:t> </w:t>
            </w:r>
          </w:p>
        </w:tc>
        <w:tc>
          <w:tcPr>
            <w:tcW w:w="998" w:type="dxa"/>
            <w:tcBorders/>
            <w:shd w:fill="CCEEFF" w:val="clear"/>
            <w:vAlign w:val="bottom"/>
          </w:tcPr>
          <w:p>
            <w:pPr>
              <w:pStyle w:val="TableContents"/>
              <w:bidi w:val="0"/>
              <w:spacing w:before="0" w:after="283"/>
              <w:jc w:val="right"/>
              <w:rPr/>
            </w:pPr>
            <w:r>
              <w:rPr/>
              <w:t>23.2</w:t>
            </w:r>
          </w:p>
        </w:tc>
        <w:tc>
          <w:tcPr>
            <w:tcW w:w="282"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973" w:type="dxa"/>
            <w:tcBorders/>
            <w:shd w:fill="CCEEFF" w:val="clear"/>
            <w:vAlign w:val="bottom"/>
          </w:tcPr>
          <w:p>
            <w:pPr>
              <w:pStyle w:val="TableContents"/>
              <w:bidi w:val="0"/>
              <w:spacing w:before="0" w:after="283"/>
              <w:jc w:val="right"/>
              <w:rPr/>
            </w:pPr>
            <w:r>
              <w:rPr/>
              <w:t>10.3</w:t>
            </w:r>
          </w:p>
        </w:tc>
        <w:tc>
          <w:tcPr>
            <w:tcW w:w="35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814" w:type="dxa"/>
            <w:tcBorders/>
            <w:shd w:fill="CCEEFF" w:val="clear"/>
            <w:vAlign w:val="bottom"/>
          </w:tcPr>
          <w:p>
            <w:pPr>
              <w:pStyle w:val="TableContents"/>
              <w:bidi w:val="0"/>
              <w:spacing w:before="0" w:after="283"/>
              <w:jc w:val="right"/>
              <w:rPr/>
            </w:pPr>
            <w:r>
              <w:rPr/>
              <w:t>0.52</w:t>
            </w:r>
          </w:p>
        </w:tc>
        <w:tc>
          <w:tcPr>
            <w:tcW w:w="68" w:type="dxa"/>
            <w:tcBorders/>
            <w:shd w:fill="CCEEFF" w:val="clear"/>
            <w:vAlign w:val="bottom"/>
          </w:tcPr>
          <w:p>
            <w:pPr>
              <w:pStyle w:val="TableContents"/>
              <w:bidi w:val="0"/>
              <w:spacing w:before="0" w:after="283"/>
              <w:jc w:val="left"/>
              <w:rPr/>
            </w:pPr>
            <w:r>
              <w:rPr/>
              <w:t> </w:t>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Fourth Quarter</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06" w:type="dxa"/>
            <w:tcBorders/>
            <w:vAlign w:val="bottom"/>
          </w:tcPr>
          <w:p>
            <w:pPr>
              <w:pStyle w:val="TableContents"/>
              <w:bidi w:val="0"/>
              <w:spacing w:before="0" w:after="283"/>
              <w:jc w:val="right"/>
              <w:rPr/>
            </w:pPr>
            <w:r>
              <w:rPr/>
              <w:t>17.04</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4" w:type="dxa"/>
            <w:tcBorders/>
            <w:vAlign w:val="bottom"/>
          </w:tcPr>
          <w:p>
            <w:pPr>
              <w:pStyle w:val="TableContents"/>
              <w:bidi w:val="0"/>
              <w:spacing w:before="0" w:after="283"/>
              <w:jc w:val="right"/>
              <w:rPr/>
            </w:pPr>
            <w:r>
              <w:rPr/>
              <w:t>21.94</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4" w:type="dxa"/>
            <w:tcBorders/>
            <w:vAlign w:val="bottom"/>
          </w:tcPr>
          <w:p>
            <w:pPr>
              <w:pStyle w:val="TableContents"/>
              <w:bidi w:val="0"/>
              <w:spacing w:before="0" w:after="283"/>
              <w:jc w:val="right"/>
              <w:rPr/>
            </w:pPr>
            <w:r>
              <w:rPr/>
              <w:t>19.05</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28.8</w:t>
            </w:r>
          </w:p>
        </w:tc>
        <w:tc>
          <w:tcPr>
            <w:tcW w:w="28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11.8</w:t>
            </w:r>
          </w:p>
        </w:tc>
        <w:tc>
          <w:tcPr>
            <w:tcW w:w="3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w:t>
            </w:r>
          </w:p>
        </w:tc>
        <w:tc>
          <w:tcPr>
            <w:tcW w:w="814" w:type="dxa"/>
            <w:tcBorders/>
            <w:vAlign w:val="bottom"/>
          </w:tcPr>
          <w:p>
            <w:pPr>
              <w:pStyle w:val="TableContents"/>
              <w:bidi w:val="0"/>
              <w:spacing w:before="0" w:after="283"/>
              <w:jc w:val="right"/>
              <w:rPr/>
            </w:pPr>
            <w:r>
              <w:rPr/>
              <w:t>0.53</w:t>
            </w:r>
          </w:p>
        </w:tc>
        <w:tc>
          <w:tcPr>
            <w:tcW w:w="68" w:type="dxa"/>
            <w:tcBorders/>
            <w:vAlign w:val="bottom"/>
          </w:tcPr>
          <w:p>
            <w:pPr>
              <w:pStyle w:val="TableContents"/>
              <w:bidi w:val="0"/>
              <w:spacing w:before="0" w:after="283"/>
              <w:jc w:val="left"/>
              <w:rPr/>
            </w:pPr>
            <w:r>
              <w:rPr/>
              <w:t> </w:t>
            </w:r>
          </w:p>
        </w:tc>
      </w:tr>
      <w:tr>
        <w:trPr/>
        <w:tc>
          <w:tcPr>
            <w:tcW w:w="273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Year ending December 31, 2024</w:t>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0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05" w:type="dxa"/>
            <w:tcBorders/>
            <w:shd w:fill="CCEEFF" w:val="clear"/>
            <w:vAlign w:val="bottom"/>
          </w:tcPr>
          <w:p>
            <w:pPr>
              <w:pStyle w:val="TableContents"/>
              <w:bidi w:val="0"/>
              <w:spacing w:before="0" w:after="283"/>
              <w:jc w:val="left"/>
              <w:rPr/>
            </w:pPr>
            <w:r>
              <w:rPr/>
              <w:t>  </w:t>
            </w:r>
          </w:p>
        </w:tc>
        <w:tc>
          <w:tcPr>
            <w:tcW w:w="130" w:type="dxa"/>
            <w:tcBorders/>
            <w:shd w:fill="CCEEFF" w:val="clear"/>
            <w:vAlign w:val="bottom"/>
          </w:tcPr>
          <w:p>
            <w:pPr>
              <w:pStyle w:val="TableContents"/>
              <w:bidi w:val="0"/>
              <w:spacing w:before="0" w:after="283"/>
              <w:jc w:val="left"/>
              <w:rPr>
                <w:sz w:val="4"/>
                <w:szCs w:val="4"/>
              </w:rPr>
            </w:pPr>
            <w:r>
              <w:rPr>
                <w:sz w:val="4"/>
                <w:szCs w:val="4"/>
              </w:rPr>
            </w:r>
          </w:p>
        </w:tc>
        <w:tc>
          <w:tcPr>
            <w:tcW w:w="998" w:type="dxa"/>
            <w:tcBorders/>
            <w:shd w:fill="CCEEFF" w:val="clear"/>
            <w:vAlign w:val="bottom"/>
          </w:tcPr>
          <w:p>
            <w:pPr>
              <w:pStyle w:val="TableContents"/>
              <w:bidi w:val="0"/>
              <w:spacing w:before="0" w:after="283"/>
              <w:jc w:val="left"/>
              <w:rPr>
                <w:sz w:val="4"/>
                <w:szCs w:val="4"/>
              </w:rPr>
            </w:pPr>
            <w:r>
              <w:rPr>
                <w:sz w:val="4"/>
                <w:szCs w:val="4"/>
              </w:rPr>
            </w:r>
          </w:p>
        </w:tc>
        <w:tc>
          <w:tcPr>
            <w:tcW w:w="282" w:type="dxa"/>
            <w:tcBorders/>
            <w:shd w:fill="CCEEFF" w:val="clear"/>
            <w:vAlign w:val="bottom"/>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sz w:val="4"/>
                <w:szCs w:val="4"/>
              </w:rPr>
            </w:pPr>
            <w:r>
              <w:rPr>
                <w:sz w:val="4"/>
                <w:szCs w:val="4"/>
              </w:rPr>
            </w:r>
          </w:p>
        </w:tc>
        <w:tc>
          <w:tcPr>
            <w:tcW w:w="973"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8" w:type="dxa"/>
            <w:tcBorders/>
            <w:shd w:fill="CCEEFF" w:val="clear"/>
            <w:vAlign w:val="bottom"/>
          </w:tcPr>
          <w:p>
            <w:pPr>
              <w:pStyle w:val="TableContents"/>
              <w:bidi w:val="0"/>
              <w:spacing w:before="0" w:after="283"/>
              <w:jc w:val="left"/>
              <w:rPr>
                <w:sz w:val="4"/>
                <w:szCs w:val="4"/>
              </w:rPr>
            </w:pPr>
            <w:r>
              <w:rPr>
                <w:sz w:val="4"/>
                <w:szCs w:val="4"/>
              </w:rPr>
            </w:r>
          </w:p>
        </w:tc>
      </w:tr>
      <w:tr>
        <w:trPr/>
        <w:tc>
          <w:tcPr>
            <w:tcW w:w="2730" w:type="dxa"/>
            <w:tcBorders/>
          </w:tcPr>
          <w:p>
            <w:pPr>
              <w:pStyle w:val="TableContents"/>
              <w:bidi w:val="0"/>
              <w:spacing w:before="0" w:after="0"/>
              <w:jc w:val="left"/>
              <w:rPr>
                <w:rFonts w:ascii="Times New Roman" w:hAnsi="Times New Roman"/>
                <w:sz w:val="20"/>
              </w:rPr>
            </w:pPr>
            <w:r>
              <w:rPr>
                <w:rFonts w:ascii="Times New Roman" w:hAnsi="Times New Roman"/>
                <w:sz w:val="20"/>
              </w:rPr>
              <w:t>First Quarter</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0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05"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998" w:type="dxa"/>
            <w:tcBorders/>
            <w:vAlign w:val="bottom"/>
          </w:tcPr>
          <w:p>
            <w:pPr>
              <w:pStyle w:val="TableContents"/>
              <w:bidi w:val="0"/>
              <w:spacing w:before="0" w:after="283"/>
              <w:jc w:val="right"/>
              <w:rPr/>
            </w:pPr>
            <w:r>
              <w:rPr/>
              <w:t>*</w:t>
            </w:r>
          </w:p>
        </w:tc>
        <w:tc>
          <w:tcPr>
            <w:tcW w:w="282"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73" w:type="dxa"/>
            <w:tcBorders/>
            <w:vAlign w:val="bottom"/>
          </w:tcPr>
          <w:p>
            <w:pPr>
              <w:pStyle w:val="TableContents"/>
              <w:bidi w:val="0"/>
              <w:spacing w:before="0" w:after="283"/>
              <w:jc w:val="right"/>
              <w:rPr/>
            </w:pPr>
            <w:r>
              <w:rPr/>
              <w:t>*</w:t>
            </w:r>
          </w:p>
        </w:tc>
        <w:tc>
          <w:tcPr>
            <w:tcW w:w="35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sz w:val="4"/>
                <w:szCs w:val="4"/>
              </w:rPr>
            </w:pPr>
            <w:r>
              <w:rPr>
                <w:sz w:val="4"/>
                <w:szCs w:val="4"/>
              </w:rPr>
            </w:r>
          </w:p>
        </w:tc>
        <w:tc>
          <w:tcPr>
            <w:tcW w:w="814"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NAV is determined as of the last day in the relevant quarter and therefore may not reflect NAV on the date of the high and low closing sales prices. The NAVs shown are based on outstanding shares at the end of the relevant quarter.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(2)</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Calculated as the respective high or low closing sales price less NAV, divided by NAV (in each case, as of the applicable quarter). Does not reflect intraday trading prices.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dividend or distribution declared in the relevant quarter.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NAV has not yet been calculated for this period. NAV for the first quarter of 2024 will be available with the filing of the Companys Quarterly Report on Form 10-Q for such quarter, which the Company estimates will be filed on or about May 1, 2024. </w:t>
            </w:r>
          </w:p>
        </w:tc>
      </w:tr>
    </w:tbl>
    <w:p>
      <w:pPr>
        <w:pStyle w:val="TextBody"/>
        <w:bidi w:val="0"/>
        <w:spacing w:before="240" w:after="0"/>
        <w:jc w:val="left"/>
        <w:rPr>
          <w:rFonts w:ascii="Times New Roman" w:hAnsi="Times New Roman"/>
          <w:sz w:val="20"/>
        </w:rPr>
      </w:pPr>
      <w:r>
        <w:rPr>
          <w:rFonts w:ascii="Times New Roman" w:hAnsi="Times New Roman"/>
          <w:sz w:val="20"/>
        </w:rPr>
        <w:t xml:space="preserve">Shares of BDCs may trade at a market price that is less than the value of the net assets attributable to those shares. The possibility that the Companys shares of common stock will trade at a discount from NAV, or at premiums that are unsustainable over the long term, is separate and distinct from the risk that the Companys net asset value will decrease. The Companys common stock has historically traded at prices both above and below its NAV. It is not possible to predict whether its common stock will trade at, above or below NAV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Key Stockholder Considerations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Dilution </w:t>
      </w:r>
    </w:p>
    <w:p>
      <w:pPr>
        <w:pStyle w:val="TextBody"/>
        <w:bidi w:val="0"/>
        <w:spacing w:before="120" w:after="0"/>
        <w:jc w:val="left"/>
        <w:rPr>
          <w:rFonts w:ascii="Times New Roman" w:hAnsi="Times New Roman"/>
          <w:sz w:val="20"/>
        </w:rPr>
      </w:pPr>
      <w:r>
        <w:rPr>
          <w:rFonts w:ascii="Times New Roman" w:hAnsi="Times New Roman"/>
          <w:sz w:val="20"/>
        </w:rPr>
        <w:t xml:space="preserve">Before voting on this proposal or giving proxies with regard to this matter, stockholders should consider the potentially dilutive effect of the issuance of shares of the Companys common stock at a price that is less than NAV and the expenses associated with such issuance. Any sale of common stock at a price below NAV would result in an immediate dilution to existing common stockholders who do not participate in such sale on at least a pro rata basis. This dilution would include reduction in NAV as a result of the issuance of shares at a price below NAV and a proportionately greater decrease in a stockholders interest in the earnings and assets of the Company and voting interest in the Company than the increase in the assets of the Company resulting from such issuance. </w:t>
      </w:r>
      <w:r>
        <w:rPr>
          <w:rFonts w:ascii="Times New Roman" w:hAnsi="Times New Roman"/>
          <w:b/>
          <w:sz w:val="20"/>
        </w:rPr>
        <w:t>There will be no limit on the percentage below net asset value per share at which shares may be sold by the Company or number of offerings, each for up to 25% of the Companys then-outstanding common stock, that the Company may conduct under this proposal for the one-year period that authorization is granted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stockholders should consider the risk that the approval of this proposal could cause the market price of the Companys common stock to decline in anticipation of sales of its common stock below NAV, thus causing the Companys shares to trade at a discount to NAV. The 1940 Act establishes a connection between common stock sale price and NAV because, when stock is sold or otherwise issued at a sale price below NAV, the resulting increase in the number of outstanding shares is not accompanied by a proportionate increase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net assets of the issuer. The Board will consider the potential dilutive effect of the issuance of shares at a price below NAV, including possible measures to avoid or reduce the potential dilutive effect on existing stockholders, such as conducting a rights offering, when considering whether to authorize any such issuance pursuant to the stockholder approval being sought here. </w:t>
      </w:r>
    </w:p>
    <w:p>
      <w:pPr>
        <w:pStyle w:val="TextBody"/>
        <w:bidi w:val="0"/>
        <w:spacing w:before="240" w:after="0"/>
        <w:jc w:val="left"/>
        <w:rPr>
          <w:rFonts w:ascii="Times New Roman" w:hAnsi="Times New Roman"/>
          <w:sz w:val="20"/>
        </w:rPr>
      </w:pPr>
      <w:r>
        <w:rPr>
          <w:rFonts w:ascii="Times New Roman" w:hAnsi="Times New Roman"/>
          <w:sz w:val="20"/>
        </w:rPr>
        <w:t xml:space="preserve">While the Board will consider anti-dilutive measures, stockholders should also consider that they currently have no subscription, preferential or preemptive rights to additional shares of the common stock proposed to be authorized for issuance pursuant to this proposal, and thus any future issuance of common stock at a price below NAV will dilute such stockholders holdings of common stock as a percentage of shares outstanding to the extent such stockholders do not purchase sufficient shares in the offering or otherwise to maintain their percentage interest. Further, if current stockholders of the Company do not purchase any shares to maintain their percentage interest, regardless of whether such offering is above or below the then-current NAV, their voting power will be diluted. </w:t>
      </w:r>
    </w:p>
    <w:p>
      <w:pPr>
        <w:pStyle w:val="TextBody"/>
        <w:bidi w:val="0"/>
        <w:spacing w:before="240" w:after="0"/>
        <w:jc w:val="left"/>
        <w:rPr>
          <w:rFonts w:ascii="Times New Roman" w:hAnsi="Times New Roman"/>
          <w:sz w:val="20"/>
        </w:rPr>
      </w:pPr>
      <w:r>
        <w:rPr>
          <w:rFonts w:ascii="Times New Roman" w:hAnsi="Times New Roman"/>
          <w:sz w:val="20"/>
        </w:rPr>
        <w:t xml:space="preserve">As discussed above, it should be noted that the maximum number of shares issuable below NAV that could result in such dilution is limited to a number of shares that does not exceed 25% of the Companys then-outstanding common stock, immediately prior to each such offering. As a result, the maximum amount of dilution to existing stockholders will be limited to no more than 20% of the Companys then-current NAV per each offering, assuming the Company were to issue the maximum number of shares at no more than par value, or $0.01 per share.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Examples of Dilutive Effect of the Issuance of Shares Below NAV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two headings and accompanying tables explain and provide hypothetical examples on the impact of a public offering of the Companys common stock at a price less than NAV on two different types of investors: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stockholders who do not purchase any shares in the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existing stockholders who purchase a relatively small amount of shares in the offering or a relatively large amount of shares in the offering.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placement of common stock at a price less than NAV to a third party in a private placement would have an impact substantially similar to the impact on existing stockholders who do not purchase any shares in the public offering described below. </w:t>
      </w:r>
    </w:p>
    <w:p>
      <w:pPr>
        <w:pStyle w:val="TextBody"/>
        <w:bidi w:val="0"/>
        <w:spacing w:before="360" w:after="0"/>
        <w:jc w:val="left"/>
        <w:rPr>
          <w:rFonts w:ascii="Times New Roman" w:hAnsi="Times New Roman"/>
          <w:i/>
          <w:sz w:val="20"/>
        </w:rPr>
      </w:pPr>
      <w:r>
        <w:rPr>
          <w:rFonts w:ascii="Times New Roman" w:hAnsi="Times New Roman"/>
          <w:i/>
          <w:sz w:val="20"/>
        </w:rPr>
        <w:t xml:space="preserve">Impact on Existing Stockholders Who Do Not Participate in the Offering </w:t>
      </w:r>
    </w:p>
    <w:p>
      <w:pPr>
        <w:pStyle w:val="TextBody"/>
        <w:bidi w:val="0"/>
        <w:spacing w:before="120" w:after="0"/>
        <w:jc w:val="left"/>
        <w:rPr>
          <w:rFonts w:ascii="Times New Roman" w:hAnsi="Times New Roman"/>
          <w:sz w:val="20"/>
        </w:rPr>
      </w:pPr>
      <w:r>
        <w:rPr>
          <w:rFonts w:ascii="Times New Roman" w:hAnsi="Times New Roman"/>
          <w:sz w:val="20"/>
        </w:rPr>
        <w:t xml:space="preserve">The Companys existing stockholders who do not participate in an offering below NAV per share or who do not buy additional shares in the secondary market at the same or lower price as the Company obtains in the offering (after expenses and commissions) face the greatest potential risks. These stockholders will experience an immediate decrease in the NAV of the shares they hold and their NAV per share. These stockholders will also experience a disproportionately greater decrease in their participation in the Companys earnings and assets and their voting power than the increase the Company will experience in its assets, potential earning power and voting interests due to the offering. These stockholders may also experience a decline in the market price of their shares, which often reflects to some degree announced or potential increases and decreases in NAV. This decrease could be more pronounced as the size of the offering and level of discounts increase. There is no maximum level of discount from NAV at which the Company may sell shares pursuant to this authority.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chart illustrates the level of NAV dilution that would be experienced by a nonparticipating stockholder in four different hypothetical offerings of different sizes and levels of discount from NAV. It is not possible to predict the level of market price decline that may occur. These examples are provided for illustrative purposes only.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example assumes that the issuer has 87.8 million shares outstanding, $3.3 billion in total assets and $1.8 billion in total liabilities. The current net asset value and NAV per share are thus $1.5 billion and $17.04 per share. The chart illustrates the dilutive effect on Stockholder A of (a) an offering of 4.4 million shares of common stock (5% of the outstanding shares) at $16.19 per share after offering expenses and commissions (a 5% discount from NAV per share), (b) an offering of 8.8 million shares of common stock (10% of the outstanding shares) at $15.34 per share after offering expenses and commissions (a 10% discount from NAV per share), (c) an offering of 17.6 million shares of common stock (20% of the outstanding shares) at $13.63 per share after offering expenses and commissions (a 20% discount from NAV per share), and (d) an offering of 22.0 million shares of common stock (25% of the outstanding shares) at $12.78 per share after offering expenses and commissions (a 25% discount from NAV per share). The prospectus pursuant to which any discounted offering is made will include a chart based on the actual number of shares of common stock in such offering and the actual discount to the most recently determined NAV. It is not possible to predict the level of market price decline that may occur. </w:t>
      </w:r>
    </w:p>
    <w:p>
      <w:pPr>
        <w:pStyle w:val="TextBody"/>
        <w:bidi w:val="0"/>
        <w:spacing w:before="0" w:after="0"/>
        <w:jc w:val="left"/>
        <w:rPr/>
      </w:pPr>
      <w:r>
        <w:rPr/>
        <w:t> </w:t>
      </w:r>
    </w:p>
    <w:tbl>
      <w:tblPr>
        <w:tblW w:w="14070" w:type="dxa"/>
        <w:jc w:val="center"/>
        <w:tblInd w:w="0" w:type="dxa"/>
        <w:tblLayout w:type="fixed"/>
        <w:tblCellMar>
          <w:top w:w="0" w:type="dxa"/>
          <w:left w:w="0" w:type="dxa"/>
          <w:bottom w:w="0" w:type="dxa"/>
          <w:right w:w="0" w:type="dxa"/>
        </w:tblCellMar>
      </w:tblPr>
      <w:tblGrid>
        <w:gridCol w:w="1055"/>
        <w:gridCol w:w="60"/>
        <w:gridCol w:w="140"/>
        <w:gridCol w:w="1100"/>
        <w:gridCol w:w="275"/>
        <w:gridCol w:w="60"/>
        <w:gridCol w:w="140"/>
        <w:gridCol w:w="1100"/>
        <w:gridCol w:w="275"/>
        <w:gridCol w:w="60"/>
        <w:gridCol w:w="85"/>
        <w:gridCol w:w="730"/>
        <w:gridCol w:w="350"/>
        <w:gridCol w:w="60"/>
        <w:gridCol w:w="140"/>
        <w:gridCol w:w="1100"/>
        <w:gridCol w:w="275"/>
        <w:gridCol w:w="60"/>
        <w:gridCol w:w="85"/>
        <w:gridCol w:w="730"/>
        <w:gridCol w:w="350"/>
        <w:gridCol w:w="60"/>
        <w:gridCol w:w="140"/>
        <w:gridCol w:w="1220"/>
        <w:gridCol w:w="275"/>
        <w:gridCol w:w="60"/>
        <w:gridCol w:w="70"/>
        <w:gridCol w:w="745"/>
        <w:gridCol w:w="350"/>
        <w:gridCol w:w="60"/>
        <w:gridCol w:w="140"/>
        <w:gridCol w:w="1220"/>
        <w:gridCol w:w="275"/>
        <w:gridCol w:w="60"/>
        <w:gridCol w:w="70"/>
        <w:gridCol w:w="745"/>
        <w:gridCol w:w="350"/>
      </w:tblGrid>
      <w:tr>
        <w:trPr/>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10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Example 1</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Example 2</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Example 3</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Example 4</w:t>
            </w:r>
          </w:p>
        </w:tc>
        <w:tc>
          <w:tcPr>
            <w:tcW w:w="350" w:type="dxa"/>
            <w:tcBorders/>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5% Offering at 5%</w:t>
              <w:br/>
              <w:t>Discount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9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10% Offering at 10%</w:t>
              <w:br/>
              <w:t>Discount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20% Offering at 20%</w:t>
              <w:br/>
              <w:t>Discount</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51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25% Offering at 25%</w:t>
              <w:br/>
              <w:t>Discount</w:t>
            </w:r>
          </w:p>
        </w:tc>
        <w:tc>
          <w:tcPr>
            <w:tcW w:w="350" w:type="dxa"/>
            <w:tcBorders/>
            <w:vAlign w:val="bottom"/>
          </w:tcPr>
          <w:p>
            <w:pPr>
              <w:pStyle w:val="TableContents"/>
              <w:bidi w:val="0"/>
              <w:spacing w:before="0" w:after="283"/>
              <w:jc w:val="left"/>
              <w:rPr/>
            </w:pPr>
            <w:r>
              <w:rPr/>
              <w:t> </w:t>
            </w:r>
          </w:p>
        </w:tc>
      </w:tr>
      <w:tr>
        <w:trPr/>
        <w:tc>
          <w:tcPr>
            <w:tcW w:w="10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Prior to Sale</w:t>
              <w:br/>
              <w:t>Below NAV</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pPr>
            <w:r>
              <w:rPr>
                <w:b/>
              </w:rPr>
              <w:t>Following</w:t>
            </w:r>
            <w:r>
              <w:rPr/>
              <w:br/>
            </w:r>
            <w:r>
              <w:rPr>
                <w:b/>
              </w:rPr>
              <w:t>Sale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bottom"/>
          </w:tcPr>
          <w:p>
            <w:pPr>
              <w:pStyle w:val="TableContents"/>
              <w:bidi w:val="0"/>
              <w:spacing w:before="0" w:after="283"/>
              <w:jc w:val="center"/>
              <w:rPr/>
            </w:pPr>
            <w:r>
              <w:rPr>
                <w:b/>
              </w:rPr>
              <w:t>Following</w:t>
            </w:r>
            <w:r>
              <w:rPr/>
              <w:br/>
            </w:r>
            <w:r>
              <w:rPr>
                <w:b/>
              </w:rPr>
              <w:t>Sale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pPr>
            <w:r>
              <w:rPr>
                <w:b/>
              </w:rPr>
              <w:t>Following</w:t>
            </w:r>
            <w:r>
              <w:rPr/>
              <w:br/>
            </w:r>
            <w:r>
              <w:rPr>
                <w:b/>
              </w:rPr>
              <w:t>Sale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60" w:type="dxa"/>
            <w:gridSpan w:val="2"/>
            <w:tcBorders>
              <w:bottom w:val="single" w:sz="8" w:space="0" w:color="000000"/>
            </w:tcBorders>
            <w:tcMar>
              <w:bottom w:w="28" w:type="dxa"/>
            </w:tcMar>
            <w:vAlign w:val="bottom"/>
          </w:tcPr>
          <w:p>
            <w:pPr>
              <w:pStyle w:val="TableContents"/>
              <w:bidi w:val="0"/>
              <w:spacing w:before="0" w:after="283"/>
              <w:jc w:val="center"/>
              <w:rPr/>
            </w:pPr>
            <w:r>
              <w:rPr>
                <w:b/>
              </w:rPr>
              <w:t>Following</w:t>
            </w:r>
            <w:r>
              <w:rPr/>
              <w:br/>
            </w:r>
            <w:r>
              <w:rPr>
                <w:b/>
              </w:rPr>
              <w:t>Sale</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350"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b/>
                <w:sz w:val="14"/>
              </w:rPr>
            </w:pPr>
            <w:r>
              <w:rPr>
                <w:rFonts w:ascii="Times New Roman" w:hAnsi="Times New Roman"/>
                <w:b/>
                <w:sz w:val="14"/>
              </w:rPr>
              <w:t>Offering Price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tcPr>
          <w:p>
            <w:pPr>
              <w:pStyle w:val="TableContents"/>
              <w:bidi w:val="0"/>
              <w:spacing w:before="0" w:after="0"/>
              <w:jc w:val="left"/>
              <w:rPr>
                <w:rFonts w:ascii="Times New Roman" w:hAnsi="Times New Roman"/>
                <w:sz w:val="14"/>
              </w:rPr>
            </w:pPr>
            <w:r>
              <w:rPr>
                <w:rFonts w:ascii="Times New Roman" w:hAnsi="Times New Roman"/>
                <w:sz w:val="14"/>
              </w:rPr>
              <w:t>Price per Share to Public</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17.04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16.14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14.35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13.45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Net Proceeds per Share to Issuer</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16.19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15.34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13.63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12.78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tcPr>
          <w:p>
            <w:pPr>
              <w:pStyle w:val="TableContents"/>
              <w:bidi w:val="0"/>
              <w:spacing w:before="0" w:after="0"/>
              <w:jc w:val="left"/>
              <w:rPr>
                <w:rFonts w:ascii="Times New Roman" w:hAnsi="Times New Roman"/>
                <w:b/>
                <w:sz w:val="14"/>
              </w:rPr>
            </w:pPr>
            <w:r>
              <w:rPr>
                <w:rFonts w:ascii="Times New Roman" w:hAnsi="Times New Roman"/>
                <w:b/>
                <w:sz w:val="14"/>
              </w:rPr>
              <w:t>Decrease/Increase to Net Asset Value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Shares Offered</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4,391,475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8,782,950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17,565,900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21,957,375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tcPr>
          <w:p>
            <w:pPr>
              <w:pStyle w:val="TableContents"/>
              <w:bidi w:val="0"/>
              <w:spacing w:before="0" w:after="0"/>
              <w:jc w:val="left"/>
              <w:rPr>
                <w:rFonts w:ascii="Times New Roman" w:hAnsi="Times New Roman"/>
                <w:sz w:val="14"/>
              </w:rPr>
            </w:pPr>
            <w:r>
              <w:rPr>
                <w:rFonts w:ascii="Times New Roman" w:hAnsi="Times New Roman"/>
                <w:sz w:val="14"/>
              </w:rPr>
              <w:t>Total Shares Outstanding</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87,829,499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92,220,974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96,612,449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105,395,399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109,786,874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Net Asset Value per Share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17.04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17.00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(0.25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16.88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(0.92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16.47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(3.35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16.19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(5.01</w:t>
            </w:r>
          </w:p>
        </w:tc>
        <w:tc>
          <w:tcPr>
            <w:tcW w:w="350"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b/>
                <w:sz w:val="14"/>
              </w:rPr>
            </w:pPr>
            <w:r>
              <w:rPr>
                <w:rFonts w:ascii="Times New Roman" w:hAnsi="Times New Roman"/>
                <w:b/>
                <w:sz w:val="14"/>
              </w:rPr>
              <w:t>Dilution to Nonparticipating Stockholder</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2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Shares Held by Stockholder 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87,829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87,829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0.00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87,829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0.00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87,829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0.00</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20" w:type="dxa"/>
            <w:tcBorders/>
            <w:shd w:fill="CCEEFF" w:val="clear"/>
            <w:vAlign w:val="bottom"/>
          </w:tcPr>
          <w:p>
            <w:pPr>
              <w:pStyle w:val="TableContents"/>
              <w:bidi w:val="0"/>
              <w:spacing w:before="0" w:after="283"/>
              <w:jc w:val="right"/>
              <w:rPr/>
            </w:pPr>
            <w:r>
              <w:rPr/>
              <w:t>87,829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0.00</w:t>
            </w:r>
          </w:p>
        </w:tc>
        <w:tc>
          <w:tcPr>
            <w:tcW w:w="350"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14"/>
              </w:rPr>
            </w:pPr>
            <w:r>
              <w:rPr>
                <w:rFonts w:ascii="Times New Roman" w:hAnsi="Times New Roman"/>
                <w:sz w:val="14"/>
              </w:rPr>
              <w:t>Percentage Held by Stockholder A</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0.10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0.10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(4.76</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0.09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(9.09</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0.08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(16.67</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20" w:type="dxa"/>
            <w:tcBorders/>
            <w:vAlign w:val="bottom"/>
          </w:tcPr>
          <w:p>
            <w:pPr>
              <w:pStyle w:val="TableContents"/>
              <w:bidi w:val="0"/>
              <w:spacing w:before="0" w:after="283"/>
              <w:jc w:val="right"/>
              <w:rPr/>
            </w:pPr>
            <w:r>
              <w:rPr/>
              <w:t>0.08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(20.00</w:t>
            </w:r>
          </w:p>
        </w:tc>
        <w:tc>
          <w:tcPr>
            <w:tcW w:w="350"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Total Net Asset Value Held by Stockholder 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1,496,375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1,492,815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(0.24</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1,482,783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(0.91</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1,446,520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(3.33</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1,421,584</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(5.00</w:t>
            </w:r>
          </w:p>
        </w:tc>
        <w:tc>
          <w:tcPr>
            <w:tcW w:w="350" w:type="dxa"/>
            <w:tcBorders/>
            <w:shd w:fill="CCEEFF" w:val="clear"/>
            <w:vAlign w:val="bottom"/>
          </w:tcPr>
          <w:p>
            <w:pPr>
              <w:pStyle w:val="TableContents"/>
              <w:bidi w:val="0"/>
              <w:spacing w:before="0" w:after="283"/>
              <w:jc w:val="left"/>
              <w:rPr/>
            </w:pPr>
            <w:r>
              <w:rPr/>
              <w:t>%) </w:t>
            </w:r>
          </w:p>
        </w:tc>
      </w:tr>
      <w:tr>
        <w:trPr/>
        <w:tc>
          <w:tcPr>
            <w:tcW w:w="1055" w:type="dxa"/>
            <w:tcBorders/>
          </w:tcPr>
          <w:p>
            <w:pPr>
              <w:pStyle w:val="TableContents"/>
              <w:bidi w:val="0"/>
              <w:spacing w:before="0" w:after="0"/>
              <w:jc w:val="left"/>
              <w:rPr>
                <w:rFonts w:ascii="Times New Roman" w:hAnsi="Times New Roman"/>
                <w:sz w:val="14"/>
              </w:rPr>
            </w:pPr>
            <w:r>
              <w:rPr>
                <w:rFonts w:ascii="Times New Roman" w:hAnsi="Times New Roman"/>
                <w:sz w:val="14"/>
              </w:rPr>
              <w:t>Total Investment by Stockholder A (Assumed to be $17.04 per Share)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1,496.375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1,496,375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1,496,375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1,496,375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1,496,375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Total Dilution to Stockholder A (Total Net Asset Value Less Total Investment)</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3,560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13,592</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49,855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74,791</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tcPr>
          <w:p>
            <w:pPr>
              <w:pStyle w:val="TableContents"/>
              <w:bidi w:val="0"/>
              <w:spacing w:before="0" w:after="0"/>
              <w:jc w:val="left"/>
              <w:rPr>
                <w:rFonts w:ascii="Times New Roman" w:hAnsi="Times New Roman"/>
                <w:sz w:val="14"/>
              </w:rPr>
            </w:pPr>
            <w:r>
              <w:rPr>
                <w:rFonts w:ascii="Times New Roman" w:hAnsi="Times New Roman"/>
                <w:sz w:val="14"/>
              </w:rPr>
              <w:t>Investment per Share Held by Stockholder A (Assumed to be $17.04 per Share on Shares Held Prior to Sale)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17.04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17.04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0.00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17.04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0.00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17.04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0.00</w:t>
            </w:r>
          </w:p>
        </w:tc>
        <w:tc>
          <w:tcPr>
            <w:tcW w:w="3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17.04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745" w:type="dxa"/>
            <w:tcBorders/>
            <w:vAlign w:val="bottom"/>
          </w:tcPr>
          <w:p>
            <w:pPr>
              <w:pStyle w:val="TableContents"/>
              <w:bidi w:val="0"/>
              <w:spacing w:before="0" w:after="283"/>
              <w:jc w:val="right"/>
              <w:rPr/>
            </w:pPr>
            <w:r>
              <w:rPr/>
              <w:t>0.00</w:t>
            </w:r>
          </w:p>
        </w:tc>
        <w:tc>
          <w:tcPr>
            <w:tcW w:w="350" w:type="dxa"/>
            <w:tcBorders/>
            <w:vAlign w:val="bottom"/>
          </w:tcPr>
          <w:p>
            <w:pPr>
              <w:pStyle w:val="TableContents"/>
              <w:bidi w:val="0"/>
              <w:spacing w:before="0" w:after="283"/>
              <w:jc w:val="left"/>
              <w:rPr/>
            </w:pPr>
            <w:r>
              <w:rPr/>
              <w:t>% </w:t>
            </w:r>
          </w:p>
        </w:tc>
      </w:tr>
      <w:tr>
        <w:trPr/>
        <w:tc>
          <w:tcPr>
            <w:tcW w:w="105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Net Asset Value per Share Held by Stockholder 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17.00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0" w:type="dxa"/>
            <w:tcBorders/>
            <w:shd w:fill="CCEEFF" w:val="clear"/>
            <w:vAlign w:val="bottom"/>
          </w:tcPr>
          <w:p>
            <w:pPr>
              <w:pStyle w:val="TableContents"/>
              <w:bidi w:val="0"/>
              <w:spacing w:before="0" w:after="283"/>
              <w:jc w:val="right"/>
              <w:rPr/>
            </w:pPr>
            <w:r>
              <w:rPr/>
              <w:t>16.88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30"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16.47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20" w:type="dxa"/>
            <w:tcBorders/>
            <w:shd w:fill="CCEEFF" w:val="clear"/>
            <w:vAlign w:val="bottom"/>
          </w:tcPr>
          <w:p>
            <w:pPr>
              <w:pStyle w:val="TableContents"/>
              <w:bidi w:val="0"/>
              <w:spacing w:before="0" w:after="283"/>
              <w:jc w:val="right"/>
              <w:rPr/>
            </w:pPr>
            <w:r>
              <w:rPr/>
              <w:t>16.19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sz w:val="4"/>
                <w:szCs w:val="4"/>
              </w:rPr>
            </w:pPr>
            <w:r>
              <w:rPr>
                <w:sz w:val="4"/>
                <w:szCs w:val="4"/>
              </w:rPr>
            </w:r>
          </w:p>
        </w:tc>
        <w:tc>
          <w:tcPr>
            <w:tcW w:w="74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sz w:val="4"/>
                <w:szCs w:val="4"/>
              </w:rPr>
            </w:pPr>
            <w:r>
              <w:rPr>
                <w:sz w:val="4"/>
                <w:szCs w:val="4"/>
              </w:rPr>
            </w:r>
          </w:p>
        </w:tc>
      </w:tr>
      <w:tr>
        <w:trPr/>
        <w:tc>
          <w:tcPr>
            <w:tcW w:w="1055" w:type="dxa"/>
            <w:tcBorders/>
          </w:tcPr>
          <w:p>
            <w:pPr>
              <w:pStyle w:val="TableContents"/>
              <w:bidi w:val="0"/>
              <w:spacing w:before="0" w:after="0"/>
              <w:jc w:val="left"/>
              <w:rPr>
                <w:rFonts w:ascii="Times New Roman" w:hAnsi="Times New Roman"/>
                <w:sz w:val="14"/>
              </w:rPr>
            </w:pPr>
            <w:r>
              <w:rPr>
                <w:rFonts w:ascii="Times New Roman" w:hAnsi="Times New Roman"/>
                <w:sz w:val="14"/>
              </w:rPr>
              <w:t>Dilution per Share Held by Stockholder A (Net Asset Value per Share Less Investment per Share)</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0" w:type="dxa"/>
            <w:tcBorders/>
            <w:vAlign w:val="bottom"/>
          </w:tcPr>
          <w:p>
            <w:pPr>
              <w:pStyle w:val="TableContents"/>
              <w:bidi w:val="0"/>
              <w:spacing w:before="0" w:after="283"/>
              <w:jc w:val="left"/>
              <w:rPr>
                <w:sz w:val="4"/>
                <w:szCs w:val="4"/>
              </w:rPr>
            </w:pPr>
            <w:r>
              <w:rPr>
                <w:sz w:val="4"/>
                <w:szCs w:val="4"/>
              </w:rPr>
            </w:r>
          </w:p>
        </w:tc>
        <w:tc>
          <w:tcPr>
            <w:tcW w:w="27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0.04</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0" w:type="dxa"/>
            <w:tcBorders/>
            <w:vAlign w:val="bottom"/>
          </w:tcPr>
          <w:p>
            <w:pPr>
              <w:pStyle w:val="TableContents"/>
              <w:bidi w:val="0"/>
              <w:spacing w:before="0" w:after="283"/>
              <w:jc w:val="right"/>
              <w:rPr/>
            </w:pPr>
            <w:r>
              <w:rPr/>
              <w:t>0.16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30"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0.57</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20" w:type="dxa"/>
            <w:tcBorders/>
            <w:vAlign w:val="bottom"/>
          </w:tcPr>
          <w:p>
            <w:pPr>
              <w:pStyle w:val="TableContents"/>
              <w:bidi w:val="0"/>
              <w:spacing w:before="0" w:after="283"/>
              <w:jc w:val="right"/>
              <w:rPr/>
            </w:pPr>
            <w:r>
              <w:rPr/>
              <w:t>0.85</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sz w:val="4"/>
                <w:szCs w:val="4"/>
              </w:rPr>
            </w:pPr>
            <w:r>
              <w:rPr>
                <w:sz w:val="4"/>
                <w:szCs w:val="4"/>
              </w:rPr>
            </w:r>
          </w:p>
        </w:tc>
        <w:tc>
          <w:tcPr>
            <w:tcW w:w="74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r>
      <w:tr>
        <w:trPr/>
        <w:tc>
          <w:tcPr>
            <w:tcW w:w="1055" w:type="dxa"/>
            <w:tcBorders/>
            <w:shd w:fill="CCEEFF" w:val="clear"/>
          </w:tcPr>
          <w:p>
            <w:pPr>
              <w:pStyle w:val="TableContents"/>
              <w:bidi w:val="0"/>
              <w:spacing w:before="0" w:after="0"/>
              <w:jc w:val="left"/>
              <w:rPr>
                <w:rFonts w:ascii="Times New Roman" w:hAnsi="Times New Roman"/>
                <w:sz w:val="14"/>
              </w:rPr>
            </w:pPr>
            <w:r>
              <w:rPr>
                <w:rFonts w:ascii="Times New Roman" w:hAnsi="Times New Roman"/>
                <w:sz w:val="14"/>
              </w:rPr>
              <w:t>Percentage Dilution to Stockholder A (Dilution per Share Divided by Investment per Share)</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(0.25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(0.92</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(3.35</w:t>
            </w:r>
          </w:p>
        </w:tc>
        <w:tc>
          <w:tcPr>
            <w:tcW w:w="3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20"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745" w:type="dxa"/>
            <w:tcBorders/>
            <w:shd w:fill="CCEEFF" w:val="clear"/>
            <w:vAlign w:val="bottom"/>
          </w:tcPr>
          <w:p>
            <w:pPr>
              <w:pStyle w:val="TableContents"/>
              <w:bidi w:val="0"/>
              <w:spacing w:before="0" w:after="283"/>
              <w:jc w:val="right"/>
              <w:rPr/>
            </w:pPr>
            <w:r>
              <w:rPr/>
              <w:t>(5.01</w:t>
            </w:r>
          </w:p>
        </w:tc>
        <w:tc>
          <w:tcPr>
            <w:tcW w:w="35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Impact on Existing Stockholders Who Do Participate in the Offering </w:t>
      </w:r>
    </w:p>
    <w:p>
      <w:pPr>
        <w:pStyle w:val="TextBody"/>
        <w:bidi w:val="0"/>
        <w:spacing w:before="120" w:after="0"/>
        <w:jc w:val="left"/>
        <w:rPr>
          <w:rFonts w:ascii="Times New Roman" w:hAnsi="Times New Roman"/>
          <w:sz w:val="20"/>
        </w:rPr>
      </w:pPr>
      <w:r>
        <w:rPr>
          <w:rFonts w:ascii="Times New Roman" w:hAnsi="Times New Roman"/>
          <w:sz w:val="20"/>
        </w:rPr>
        <w:t xml:space="preserve">The Companys existing stockholders who participate in an offering below NAV or who buy additional shares in the secondary market at the same or lower price as the Company obtains in the offering (after expenses and commissions) will experience the same types of NAV per share dilution as the nonparticipating stockholders, albeit at a lower level, to the extent they purchase less than the same percentage of the discounted offering as their interest in shares of the Companys common stock immediately prior to the offering. The level of NAV per share dilution will decrease as the number of shares such stockholders purchase increases. Existing stockholders who buy more than such percentage will experience NAV per share dilution on their existing shares but will, in contrast to existing stockholders who purchase less than their proportionate share of the offering, experience an increase (often called accretion) in average NAV per share over their investment per share and will also experience a disproportionately greater increase in their participation in the Companys earnings and assets and their voting power than the Companys increase in assets, potential earning power and voting interests due to the offering. The level of accretion will increase as the excess number of shares such stockholder purchases increases. Even a stockholder who overparticipates will, however, be subject to the risk that the Company may make additional discounted offerings in which such stockholder does not participate, in which case such a stockholder will experience NAV per share dilution as described above in such subsequent offerings. These stockholders may also experience a decline in the market price of their shares, which often reflects to some degree announced or potential decreases in NAV per share. This decrease could be more pronounced as the size of the offering and level of discounts increases. There is no maximum level of discount from NAV at which the Company may sell shares pursuant to this authority. </w:t>
      </w:r>
    </w:p>
    <w:p>
      <w:pPr>
        <w:pStyle w:val="TextBody"/>
        <w:bidi w:val="0"/>
        <w:spacing w:before="240" w:after="0"/>
        <w:jc w:val="left"/>
        <w:rPr>
          <w:rFonts w:ascii="Times New Roman" w:hAnsi="Times New Roman"/>
          <w:sz w:val="20"/>
        </w:rPr>
      </w:pPr>
      <w:r>
        <w:rPr>
          <w:rFonts w:ascii="Times New Roman" w:hAnsi="Times New Roman"/>
          <w:sz w:val="20"/>
        </w:rPr>
        <w:t xml:space="preserve">The following chart illustrates the level of dilution and accretion in the hypothetical 20% discount offering from the prior chart (Example 3) for a stockholder that acquires shares equal to (a) 50% of its proportionate share of the offering (i.e. 0.05% of an offering of 17.6 million shares) rather than its 0.10% proportionate share and (b) 150% of such percentage (i.e. 0.15% of an offering of 17.6 million shares rather than its proportionate 0.10% proportionate share). The prospectus pursuant to which any discounted offering is made will include a chart for these examples based on the actual number of shares in such offering and the actual discount from the most recently determined NAV. It is not possible to predict the level of market price decline that may occur. These examples are provided for illustrative purposes only.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78"/>
        <w:gridCol w:w="221"/>
        <w:gridCol w:w="140"/>
        <w:gridCol w:w="1120"/>
        <w:gridCol w:w="280"/>
        <w:gridCol w:w="165"/>
        <w:gridCol w:w="140"/>
        <w:gridCol w:w="1254"/>
        <w:gridCol w:w="280"/>
        <w:gridCol w:w="121"/>
        <w:gridCol w:w="78"/>
        <w:gridCol w:w="757"/>
        <w:gridCol w:w="372"/>
        <w:gridCol w:w="165"/>
        <w:gridCol w:w="140"/>
        <w:gridCol w:w="1254"/>
        <w:gridCol w:w="280"/>
        <w:gridCol w:w="165"/>
        <w:gridCol w:w="78"/>
        <w:gridCol w:w="756"/>
        <w:gridCol w:w="361"/>
      </w:tblGrid>
      <w:tr>
        <w:trPr/>
        <w:tc>
          <w:tcPr>
            <w:tcW w:w="2078"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7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60" w:type="dxa"/>
            <w:gridSpan w:val="2"/>
            <w:tcBorders/>
            <w:vAlign w:val="bottom"/>
          </w:tcPr>
          <w:p>
            <w:pPr>
              <w:pStyle w:val="TableContents"/>
              <w:bidi w:val="0"/>
              <w:spacing w:before="0" w:after="283"/>
              <w:jc w:val="left"/>
              <w:rPr/>
            </w:pPr>
            <w:r>
              <w:rPr/>
              <w:t> </w:t>
            </w:r>
          </w:p>
        </w:tc>
        <w:tc>
          <w:tcPr>
            <w:tcW w:w="28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263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50% Participation</w:t>
            </w:r>
          </w:p>
        </w:tc>
        <w:tc>
          <w:tcPr>
            <w:tcW w:w="37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267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150% Participation</w:t>
            </w:r>
          </w:p>
        </w:tc>
        <w:tc>
          <w:tcPr>
            <w:tcW w:w="361" w:type="dxa"/>
            <w:tcBorders/>
            <w:vAlign w:val="bottom"/>
          </w:tcPr>
          <w:p>
            <w:pPr>
              <w:pStyle w:val="TableContents"/>
              <w:bidi w:val="0"/>
              <w:spacing w:before="0" w:after="283"/>
              <w:jc w:val="left"/>
              <w:rPr/>
            </w:pPr>
            <w:r>
              <w:rPr/>
              <w:t> </w:t>
            </w:r>
          </w:p>
        </w:tc>
      </w:tr>
      <w:tr>
        <w:trPr/>
        <w:tc>
          <w:tcPr>
            <w:tcW w:w="2078"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Prior to Sale</w:t>
              <w:br/>
              <w:t>Below NAV</w:t>
            </w:r>
          </w:p>
        </w:tc>
        <w:tc>
          <w:tcPr>
            <w:tcW w:w="28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Following</w:t>
              <w:br/>
              <w:t>Sale</w:t>
            </w:r>
          </w:p>
        </w:tc>
        <w:tc>
          <w:tcPr>
            <w:tcW w:w="28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83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37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3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Following</w:t>
              <w:br/>
              <w:t>Sale</w:t>
            </w:r>
          </w:p>
        </w:tc>
        <w:tc>
          <w:tcPr>
            <w:tcW w:w="28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361" w:type="dxa"/>
            <w:tcBorders/>
            <w:vAlign w:val="bottom"/>
          </w:tcPr>
          <w:p>
            <w:pPr>
              <w:pStyle w:val="TableContents"/>
              <w:bidi w:val="0"/>
              <w:spacing w:before="0" w:after="283"/>
              <w:jc w:val="left"/>
              <w:rPr/>
            </w:pPr>
            <w:r>
              <w:rPr/>
              <w:t> </w:t>
            </w:r>
          </w:p>
        </w:tc>
      </w:tr>
      <w:tr>
        <w:trPr/>
        <w:tc>
          <w:tcPr>
            <w:tcW w:w="207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Offering Price</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54"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57" w:type="dxa"/>
            <w:tcBorders/>
            <w:shd w:fill="CCEEFF" w:val="clear"/>
            <w:vAlign w:val="bottom"/>
          </w:tcPr>
          <w:p>
            <w:pPr>
              <w:pStyle w:val="TableContents"/>
              <w:bidi w:val="0"/>
              <w:spacing w:before="0" w:after="283"/>
              <w:jc w:val="left"/>
              <w:rPr>
                <w:sz w:val="4"/>
                <w:szCs w:val="4"/>
              </w:rPr>
            </w:pPr>
            <w:r>
              <w:rPr>
                <w:sz w:val="4"/>
                <w:szCs w:val="4"/>
              </w:rPr>
            </w:r>
          </w:p>
        </w:tc>
        <w:tc>
          <w:tcPr>
            <w:tcW w:w="372"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254"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56" w:type="dxa"/>
            <w:tcBorders/>
            <w:shd w:fill="CCEEFF" w:val="clear"/>
            <w:vAlign w:val="bottom"/>
          </w:tcPr>
          <w:p>
            <w:pPr>
              <w:pStyle w:val="TableContents"/>
              <w:bidi w:val="0"/>
              <w:spacing w:before="0" w:after="283"/>
              <w:jc w:val="left"/>
              <w:rPr>
                <w:sz w:val="4"/>
                <w:szCs w:val="4"/>
              </w:rPr>
            </w:pPr>
            <w:r>
              <w:rPr>
                <w:sz w:val="4"/>
                <w:szCs w:val="4"/>
              </w:rPr>
            </w:r>
          </w:p>
        </w:tc>
        <w:tc>
          <w:tcPr>
            <w:tcW w:w="361" w:type="dxa"/>
            <w:tcBorders/>
            <w:shd w:fill="CCEEFF" w:val="clear"/>
            <w:vAlign w:val="bottom"/>
          </w:tcPr>
          <w:p>
            <w:pPr>
              <w:pStyle w:val="TableContents"/>
              <w:bidi w:val="0"/>
              <w:spacing w:before="0" w:after="283"/>
              <w:jc w:val="left"/>
              <w:rPr>
                <w:sz w:val="4"/>
                <w:szCs w:val="4"/>
              </w:rPr>
            </w:pPr>
            <w:r>
              <w:rPr>
                <w:sz w:val="4"/>
                <w:szCs w:val="4"/>
              </w:rPr>
            </w:r>
          </w:p>
        </w:tc>
      </w:tr>
      <w:tr>
        <w:trPr/>
        <w:tc>
          <w:tcPr>
            <w:tcW w:w="2078" w:type="dxa"/>
            <w:tcBorders/>
          </w:tcPr>
          <w:p>
            <w:pPr>
              <w:pStyle w:val="TableContents"/>
              <w:bidi w:val="0"/>
              <w:spacing w:before="0" w:after="0"/>
              <w:jc w:val="left"/>
              <w:rPr>
                <w:rFonts w:ascii="Times New Roman" w:hAnsi="Times New Roman"/>
                <w:sz w:val="20"/>
              </w:rPr>
            </w:pPr>
            <w:r>
              <w:rPr>
                <w:rFonts w:ascii="Times New Roman" w:hAnsi="Times New Roman"/>
                <w:sz w:val="20"/>
              </w:rPr>
              <w:t>Price per Share to Public</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0"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54" w:type="dxa"/>
            <w:tcBorders/>
            <w:vAlign w:val="bottom"/>
          </w:tcPr>
          <w:p>
            <w:pPr>
              <w:pStyle w:val="TableContents"/>
              <w:bidi w:val="0"/>
              <w:spacing w:before="0" w:after="283"/>
              <w:jc w:val="right"/>
              <w:rPr/>
            </w:pPr>
            <w:r>
              <w:rPr/>
              <w:t>14.35</w:t>
            </w:r>
          </w:p>
        </w:tc>
        <w:tc>
          <w:tcPr>
            <w:tcW w:w="28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57" w:type="dxa"/>
            <w:tcBorders/>
            <w:vAlign w:val="bottom"/>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54" w:type="dxa"/>
            <w:tcBorders/>
            <w:vAlign w:val="bottom"/>
          </w:tcPr>
          <w:p>
            <w:pPr>
              <w:pStyle w:val="TableContents"/>
              <w:bidi w:val="0"/>
              <w:spacing w:before="0" w:after="283"/>
              <w:jc w:val="right"/>
              <w:rPr/>
            </w:pPr>
            <w:r>
              <w:rPr/>
              <w:t>14.35</w:t>
            </w:r>
          </w:p>
        </w:tc>
        <w:tc>
          <w:tcPr>
            <w:tcW w:w="28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56"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r>
      <w:tr>
        <w:trPr/>
        <w:tc>
          <w:tcPr>
            <w:tcW w:w="20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Proceeds per Share to Issuer</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4" w:type="dxa"/>
            <w:tcBorders/>
            <w:shd w:fill="CCEEFF" w:val="clear"/>
            <w:vAlign w:val="bottom"/>
          </w:tcPr>
          <w:p>
            <w:pPr>
              <w:pStyle w:val="TableContents"/>
              <w:bidi w:val="0"/>
              <w:spacing w:before="0" w:after="283"/>
              <w:jc w:val="right"/>
              <w:rPr/>
            </w:pPr>
            <w:r>
              <w:rPr/>
              <w:t>13.63</w:t>
            </w:r>
          </w:p>
        </w:tc>
        <w:tc>
          <w:tcPr>
            <w:tcW w:w="28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57" w:type="dxa"/>
            <w:tcBorders/>
            <w:shd w:fill="CCEEFF" w:val="clear"/>
            <w:vAlign w:val="bottom"/>
          </w:tcPr>
          <w:p>
            <w:pPr>
              <w:pStyle w:val="TableContents"/>
              <w:bidi w:val="0"/>
              <w:spacing w:before="0" w:after="283"/>
              <w:jc w:val="left"/>
              <w:rPr>
                <w:sz w:val="4"/>
                <w:szCs w:val="4"/>
              </w:rPr>
            </w:pPr>
            <w:r>
              <w:rPr>
                <w:sz w:val="4"/>
                <w:szCs w:val="4"/>
              </w:rPr>
            </w:r>
          </w:p>
        </w:tc>
        <w:tc>
          <w:tcPr>
            <w:tcW w:w="372"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4" w:type="dxa"/>
            <w:tcBorders/>
            <w:shd w:fill="CCEEFF" w:val="clear"/>
            <w:vAlign w:val="bottom"/>
          </w:tcPr>
          <w:p>
            <w:pPr>
              <w:pStyle w:val="TableContents"/>
              <w:bidi w:val="0"/>
              <w:spacing w:before="0" w:after="283"/>
              <w:jc w:val="right"/>
              <w:rPr/>
            </w:pPr>
            <w:r>
              <w:rPr/>
              <w:t>13.63</w:t>
            </w:r>
          </w:p>
        </w:tc>
        <w:tc>
          <w:tcPr>
            <w:tcW w:w="28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56" w:type="dxa"/>
            <w:tcBorders/>
            <w:shd w:fill="CCEEFF" w:val="clear"/>
            <w:vAlign w:val="bottom"/>
          </w:tcPr>
          <w:p>
            <w:pPr>
              <w:pStyle w:val="TableContents"/>
              <w:bidi w:val="0"/>
              <w:spacing w:before="0" w:after="283"/>
              <w:jc w:val="left"/>
              <w:rPr>
                <w:sz w:val="4"/>
                <w:szCs w:val="4"/>
              </w:rPr>
            </w:pPr>
            <w:r>
              <w:rPr>
                <w:sz w:val="4"/>
                <w:szCs w:val="4"/>
              </w:rPr>
            </w:r>
          </w:p>
        </w:tc>
        <w:tc>
          <w:tcPr>
            <w:tcW w:w="361" w:type="dxa"/>
            <w:tcBorders/>
            <w:shd w:fill="CCEEFF" w:val="clear"/>
            <w:vAlign w:val="bottom"/>
          </w:tcPr>
          <w:p>
            <w:pPr>
              <w:pStyle w:val="TableContents"/>
              <w:bidi w:val="0"/>
              <w:spacing w:before="0" w:after="283"/>
              <w:jc w:val="left"/>
              <w:rPr>
                <w:sz w:val="4"/>
                <w:szCs w:val="4"/>
              </w:rPr>
            </w:pPr>
            <w:r>
              <w:rPr>
                <w:sz w:val="4"/>
                <w:szCs w:val="4"/>
              </w:rPr>
            </w:r>
          </w:p>
        </w:tc>
      </w:tr>
      <w:tr>
        <w:trPr/>
        <w:tc>
          <w:tcPr>
            <w:tcW w:w="2078" w:type="dxa"/>
            <w:tcBorders/>
          </w:tcPr>
          <w:p>
            <w:pPr>
              <w:pStyle w:val="TableContents"/>
              <w:bidi w:val="0"/>
              <w:spacing w:before="0" w:after="0"/>
              <w:jc w:val="left"/>
              <w:rPr>
                <w:rFonts w:ascii="Times New Roman" w:hAnsi="Times New Roman"/>
                <w:b/>
                <w:sz w:val="20"/>
              </w:rPr>
            </w:pPr>
            <w:r>
              <w:rPr>
                <w:rFonts w:ascii="Times New Roman" w:hAnsi="Times New Roman"/>
                <w:b/>
                <w:sz w:val="20"/>
              </w:rPr>
              <w:t>Decrease/Increase to Net Asset Value</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0"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54"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57" w:type="dxa"/>
            <w:tcBorders/>
            <w:vAlign w:val="bottom"/>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54"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56"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r>
      <w:tr>
        <w:trPr/>
        <w:tc>
          <w:tcPr>
            <w:tcW w:w="20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Offered</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17,565,900</w:t>
            </w:r>
          </w:p>
        </w:tc>
        <w:tc>
          <w:tcPr>
            <w:tcW w:w="28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57" w:type="dxa"/>
            <w:tcBorders/>
            <w:shd w:fill="CCEEFF" w:val="clear"/>
            <w:vAlign w:val="bottom"/>
          </w:tcPr>
          <w:p>
            <w:pPr>
              <w:pStyle w:val="TableContents"/>
              <w:bidi w:val="0"/>
              <w:spacing w:before="0" w:after="283"/>
              <w:jc w:val="left"/>
              <w:rPr>
                <w:sz w:val="4"/>
                <w:szCs w:val="4"/>
              </w:rPr>
            </w:pPr>
            <w:r>
              <w:rPr>
                <w:sz w:val="4"/>
                <w:szCs w:val="4"/>
              </w:rPr>
            </w:r>
          </w:p>
        </w:tc>
        <w:tc>
          <w:tcPr>
            <w:tcW w:w="372"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17,565,900</w:t>
            </w:r>
          </w:p>
        </w:tc>
        <w:tc>
          <w:tcPr>
            <w:tcW w:w="28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56" w:type="dxa"/>
            <w:tcBorders/>
            <w:shd w:fill="CCEEFF" w:val="clear"/>
            <w:vAlign w:val="bottom"/>
          </w:tcPr>
          <w:p>
            <w:pPr>
              <w:pStyle w:val="TableContents"/>
              <w:bidi w:val="0"/>
              <w:spacing w:before="0" w:after="283"/>
              <w:jc w:val="left"/>
              <w:rPr>
                <w:sz w:val="4"/>
                <w:szCs w:val="4"/>
              </w:rPr>
            </w:pPr>
            <w:r>
              <w:rPr>
                <w:sz w:val="4"/>
                <w:szCs w:val="4"/>
              </w:rPr>
            </w:r>
          </w:p>
        </w:tc>
        <w:tc>
          <w:tcPr>
            <w:tcW w:w="361" w:type="dxa"/>
            <w:tcBorders/>
            <w:shd w:fill="CCEEFF" w:val="clear"/>
            <w:vAlign w:val="bottom"/>
          </w:tcPr>
          <w:p>
            <w:pPr>
              <w:pStyle w:val="TableContents"/>
              <w:bidi w:val="0"/>
              <w:spacing w:before="0" w:after="283"/>
              <w:jc w:val="left"/>
              <w:rPr>
                <w:sz w:val="4"/>
                <w:szCs w:val="4"/>
              </w:rPr>
            </w:pPr>
            <w:r>
              <w:rPr>
                <w:sz w:val="4"/>
                <w:szCs w:val="4"/>
              </w:rPr>
            </w:r>
          </w:p>
        </w:tc>
      </w:tr>
      <w:tr>
        <w:trPr/>
        <w:tc>
          <w:tcPr>
            <w:tcW w:w="2078" w:type="dxa"/>
            <w:tcBorders/>
          </w:tcPr>
          <w:p>
            <w:pPr>
              <w:pStyle w:val="TableContents"/>
              <w:bidi w:val="0"/>
              <w:spacing w:before="0" w:after="0"/>
              <w:jc w:val="left"/>
              <w:rPr>
                <w:rFonts w:ascii="Times New Roman" w:hAnsi="Times New Roman"/>
                <w:sz w:val="20"/>
              </w:rPr>
            </w:pPr>
            <w:r>
              <w:rPr>
                <w:rFonts w:ascii="Times New Roman" w:hAnsi="Times New Roman"/>
                <w:sz w:val="20"/>
              </w:rPr>
              <w:t>Total Shares Outstanding</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87,829,499</w:t>
            </w:r>
          </w:p>
        </w:tc>
        <w:tc>
          <w:tcPr>
            <w:tcW w:w="28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105,395,399</w:t>
            </w:r>
          </w:p>
        </w:tc>
        <w:tc>
          <w:tcPr>
            <w:tcW w:w="28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20.00</w:t>
            </w:r>
          </w:p>
        </w:tc>
        <w:tc>
          <w:tcPr>
            <w:tcW w:w="37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105,395,399</w:t>
            </w:r>
          </w:p>
        </w:tc>
        <w:tc>
          <w:tcPr>
            <w:tcW w:w="28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20.00</w:t>
            </w:r>
          </w:p>
        </w:tc>
        <w:tc>
          <w:tcPr>
            <w:tcW w:w="361" w:type="dxa"/>
            <w:tcBorders/>
            <w:vAlign w:val="bottom"/>
          </w:tcPr>
          <w:p>
            <w:pPr>
              <w:pStyle w:val="TableContents"/>
              <w:bidi w:val="0"/>
              <w:spacing w:before="0" w:after="283"/>
              <w:jc w:val="left"/>
              <w:rPr/>
            </w:pPr>
            <w:r>
              <w:rPr/>
              <w:t>% </w:t>
            </w:r>
          </w:p>
        </w:tc>
      </w:tr>
      <w:tr>
        <w:trPr/>
        <w:tc>
          <w:tcPr>
            <w:tcW w:w="20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Asset Value per Share</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0" w:type="dxa"/>
            <w:tcBorders/>
            <w:shd w:fill="CCEEFF" w:val="clear"/>
            <w:vAlign w:val="bottom"/>
          </w:tcPr>
          <w:p>
            <w:pPr>
              <w:pStyle w:val="TableContents"/>
              <w:bidi w:val="0"/>
              <w:spacing w:before="0" w:after="283"/>
              <w:jc w:val="right"/>
              <w:rPr/>
            </w:pPr>
            <w:r>
              <w:rPr/>
              <w:t>17.04</w:t>
            </w:r>
          </w:p>
        </w:tc>
        <w:tc>
          <w:tcPr>
            <w:tcW w:w="28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4" w:type="dxa"/>
            <w:tcBorders/>
            <w:shd w:fill="CCEEFF" w:val="clear"/>
            <w:vAlign w:val="bottom"/>
          </w:tcPr>
          <w:p>
            <w:pPr>
              <w:pStyle w:val="TableContents"/>
              <w:bidi w:val="0"/>
              <w:spacing w:before="0" w:after="283"/>
              <w:jc w:val="right"/>
              <w:rPr/>
            </w:pPr>
            <w:r>
              <w:rPr/>
              <w:t>16.47</w:t>
            </w:r>
          </w:p>
        </w:tc>
        <w:tc>
          <w:tcPr>
            <w:tcW w:w="28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(3.35</w:t>
            </w:r>
          </w:p>
        </w:tc>
        <w:tc>
          <w:tcPr>
            <w:tcW w:w="37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4" w:type="dxa"/>
            <w:tcBorders/>
            <w:shd w:fill="CCEEFF" w:val="clear"/>
            <w:vAlign w:val="bottom"/>
          </w:tcPr>
          <w:p>
            <w:pPr>
              <w:pStyle w:val="TableContents"/>
              <w:bidi w:val="0"/>
              <w:spacing w:before="0" w:after="283"/>
              <w:jc w:val="right"/>
              <w:rPr/>
            </w:pPr>
            <w:r>
              <w:rPr/>
              <w:t>16.47</w:t>
            </w:r>
          </w:p>
        </w:tc>
        <w:tc>
          <w:tcPr>
            <w:tcW w:w="28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(3.35</w:t>
            </w:r>
          </w:p>
        </w:tc>
        <w:tc>
          <w:tcPr>
            <w:tcW w:w="361" w:type="dxa"/>
            <w:tcBorders/>
            <w:shd w:fill="CCEEFF" w:val="clear"/>
            <w:vAlign w:val="bottom"/>
          </w:tcPr>
          <w:p>
            <w:pPr>
              <w:pStyle w:val="TableContents"/>
              <w:bidi w:val="0"/>
              <w:spacing w:before="0" w:after="283"/>
              <w:jc w:val="left"/>
              <w:rPr/>
            </w:pPr>
            <w:r>
              <w:rPr/>
              <w:t>)% </w:t>
            </w:r>
          </w:p>
        </w:tc>
      </w:tr>
      <w:tr>
        <w:trPr/>
        <w:tc>
          <w:tcPr>
            <w:tcW w:w="2078" w:type="dxa"/>
            <w:tcBorders/>
          </w:tcPr>
          <w:p>
            <w:pPr>
              <w:pStyle w:val="TableContents"/>
              <w:bidi w:val="0"/>
              <w:spacing w:before="0" w:after="0"/>
              <w:jc w:val="left"/>
              <w:rPr>
                <w:rFonts w:ascii="Times New Roman" w:hAnsi="Times New Roman"/>
                <w:b/>
                <w:sz w:val="20"/>
              </w:rPr>
            </w:pPr>
            <w:r>
              <w:rPr>
                <w:rFonts w:ascii="Times New Roman" w:hAnsi="Times New Roman"/>
                <w:b/>
                <w:sz w:val="20"/>
              </w:rPr>
              <w:t>Dilution/Accretion to Participating Stockholder Shares Held by Stockholder A</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20"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54"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57" w:type="dxa"/>
            <w:tcBorders/>
            <w:vAlign w:val="bottom"/>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254"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56"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r>
      <w:tr>
        <w:trPr/>
        <w:tc>
          <w:tcPr>
            <w:tcW w:w="20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Shares Held by Stockholder A</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87,829</w:t>
            </w:r>
          </w:p>
        </w:tc>
        <w:tc>
          <w:tcPr>
            <w:tcW w:w="28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96,612</w:t>
            </w:r>
          </w:p>
        </w:tc>
        <w:tc>
          <w:tcPr>
            <w:tcW w:w="28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10.00</w:t>
            </w:r>
          </w:p>
        </w:tc>
        <w:tc>
          <w:tcPr>
            <w:tcW w:w="37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254" w:type="dxa"/>
            <w:tcBorders/>
            <w:shd w:fill="CCEEFF" w:val="clear"/>
            <w:vAlign w:val="bottom"/>
          </w:tcPr>
          <w:p>
            <w:pPr>
              <w:pStyle w:val="TableContents"/>
              <w:bidi w:val="0"/>
              <w:spacing w:before="0" w:after="283"/>
              <w:jc w:val="right"/>
              <w:rPr/>
            </w:pPr>
            <w:r>
              <w:rPr/>
              <w:t>114,178</w:t>
            </w:r>
          </w:p>
        </w:tc>
        <w:tc>
          <w:tcPr>
            <w:tcW w:w="28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30.00</w:t>
            </w:r>
          </w:p>
        </w:tc>
        <w:tc>
          <w:tcPr>
            <w:tcW w:w="361" w:type="dxa"/>
            <w:tcBorders/>
            <w:shd w:fill="CCEEFF" w:val="clear"/>
            <w:vAlign w:val="bottom"/>
          </w:tcPr>
          <w:p>
            <w:pPr>
              <w:pStyle w:val="TableContents"/>
              <w:bidi w:val="0"/>
              <w:spacing w:before="0" w:after="283"/>
              <w:jc w:val="left"/>
              <w:rPr/>
            </w:pPr>
            <w:r>
              <w:rPr/>
              <w:t>% </w:t>
            </w:r>
          </w:p>
        </w:tc>
      </w:tr>
      <w:tr>
        <w:trPr/>
        <w:tc>
          <w:tcPr>
            <w:tcW w:w="2078" w:type="dxa"/>
            <w:tcBorders/>
          </w:tcPr>
          <w:p>
            <w:pPr>
              <w:pStyle w:val="TableContents"/>
              <w:bidi w:val="0"/>
              <w:spacing w:before="0" w:after="0"/>
              <w:jc w:val="left"/>
              <w:rPr>
                <w:rFonts w:ascii="Times New Roman" w:hAnsi="Times New Roman"/>
                <w:sz w:val="20"/>
              </w:rPr>
            </w:pPr>
            <w:r>
              <w:rPr>
                <w:rFonts w:ascii="Times New Roman" w:hAnsi="Times New Roman"/>
                <w:sz w:val="20"/>
              </w:rPr>
              <w:t>Percentage Held by Stockholder A</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0.10</w:t>
            </w:r>
          </w:p>
        </w:tc>
        <w:tc>
          <w:tcPr>
            <w:tcW w:w="28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0.09</w:t>
            </w:r>
          </w:p>
        </w:tc>
        <w:tc>
          <w:tcPr>
            <w:tcW w:w="28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57" w:type="dxa"/>
            <w:tcBorders/>
            <w:vAlign w:val="bottom"/>
          </w:tcPr>
          <w:p>
            <w:pPr>
              <w:pStyle w:val="TableContents"/>
              <w:bidi w:val="0"/>
              <w:spacing w:before="0" w:after="283"/>
              <w:jc w:val="right"/>
              <w:rPr/>
            </w:pPr>
            <w:r>
              <w:rPr/>
              <w:t>(8.33</w:t>
            </w:r>
          </w:p>
        </w:tc>
        <w:tc>
          <w:tcPr>
            <w:tcW w:w="37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254" w:type="dxa"/>
            <w:tcBorders/>
            <w:vAlign w:val="bottom"/>
          </w:tcPr>
          <w:p>
            <w:pPr>
              <w:pStyle w:val="TableContents"/>
              <w:bidi w:val="0"/>
              <w:spacing w:before="0" w:after="283"/>
              <w:jc w:val="right"/>
              <w:rPr/>
            </w:pPr>
            <w:r>
              <w:rPr/>
              <w:t>0.11</w:t>
            </w:r>
          </w:p>
        </w:tc>
        <w:tc>
          <w:tcPr>
            <w:tcW w:w="28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8.33</w:t>
            </w:r>
          </w:p>
        </w:tc>
        <w:tc>
          <w:tcPr>
            <w:tcW w:w="361" w:type="dxa"/>
            <w:tcBorders/>
            <w:vAlign w:val="bottom"/>
          </w:tcPr>
          <w:p>
            <w:pPr>
              <w:pStyle w:val="TableContents"/>
              <w:bidi w:val="0"/>
              <w:spacing w:before="0" w:after="283"/>
              <w:jc w:val="left"/>
              <w:rPr/>
            </w:pPr>
            <w:r>
              <w:rPr/>
              <w:t>% </w:t>
            </w:r>
          </w:p>
        </w:tc>
      </w:tr>
      <w:tr>
        <w:trPr/>
        <w:tc>
          <w:tcPr>
            <w:tcW w:w="20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Net Asset Value Held by Stockholder A</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20" w:type="dxa"/>
            <w:tcBorders/>
            <w:shd w:fill="CCEEFF" w:val="clear"/>
            <w:vAlign w:val="bottom"/>
          </w:tcPr>
          <w:p>
            <w:pPr>
              <w:pStyle w:val="TableContents"/>
              <w:bidi w:val="0"/>
              <w:spacing w:before="0" w:after="283"/>
              <w:jc w:val="right"/>
              <w:rPr/>
            </w:pPr>
            <w:r>
              <w:rPr/>
              <w:t>1,496,375</w:t>
            </w:r>
          </w:p>
        </w:tc>
        <w:tc>
          <w:tcPr>
            <w:tcW w:w="28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4" w:type="dxa"/>
            <w:tcBorders/>
            <w:shd w:fill="CCEEFF" w:val="clear"/>
            <w:vAlign w:val="bottom"/>
          </w:tcPr>
          <w:p>
            <w:pPr>
              <w:pStyle w:val="TableContents"/>
              <w:bidi w:val="0"/>
              <w:spacing w:before="0" w:after="283"/>
              <w:jc w:val="right"/>
              <w:rPr/>
            </w:pPr>
            <w:r>
              <w:rPr/>
              <w:t>1,591,172</w:t>
            </w:r>
          </w:p>
        </w:tc>
        <w:tc>
          <w:tcPr>
            <w:tcW w:w="28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57" w:type="dxa"/>
            <w:tcBorders/>
            <w:shd w:fill="CCEEFF" w:val="clear"/>
            <w:vAlign w:val="bottom"/>
          </w:tcPr>
          <w:p>
            <w:pPr>
              <w:pStyle w:val="TableContents"/>
              <w:bidi w:val="0"/>
              <w:spacing w:before="0" w:after="283"/>
              <w:jc w:val="right"/>
              <w:rPr/>
            </w:pPr>
            <w:r>
              <w:rPr/>
              <w:t>6.34</w:t>
            </w:r>
          </w:p>
        </w:tc>
        <w:tc>
          <w:tcPr>
            <w:tcW w:w="37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4" w:type="dxa"/>
            <w:tcBorders/>
            <w:shd w:fill="CCEEFF" w:val="clear"/>
            <w:vAlign w:val="bottom"/>
          </w:tcPr>
          <w:p>
            <w:pPr>
              <w:pStyle w:val="TableContents"/>
              <w:bidi w:val="0"/>
              <w:spacing w:before="0" w:after="283"/>
              <w:jc w:val="right"/>
              <w:rPr/>
            </w:pPr>
            <w:r>
              <w:rPr/>
              <w:t>1,880,478</w:t>
            </w:r>
          </w:p>
        </w:tc>
        <w:tc>
          <w:tcPr>
            <w:tcW w:w="28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25.67</w:t>
            </w:r>
          </w:p>
        </w:tc>
        <w:tc>
          <w:tcPr>
            <w:tcW w:w="361" w:type="dxa"/>
            <w:tcBorders/>
            <w:shd w:fill="CCEEFF" w:val="clear"/>
            <w:vAlign w:val="bottom"/>
          </w:tcPr>
          <w:p>
            <w:pPr>
              <w:pStyle w:val="TableContents"/>
              <w:bidi w:val="0"/>
              <w:spacing w:before="0" w:after="283"/>
              <w:jc w:val="left"/>
              <w:rPr/>
            </w:pPr>
            <w:r>
              <w:rPr/>
              <w:t>% </w:t>
            </w:r>
          </w:p>
        </w:tc>
      </w:tr>
      <w:tr>
        <w:trPr/>
        <w:tc>
          <w:tcPr>
            <w:tcW w:w="2078" w:type="dxa"/>
            <w:tcBorders/>
          </w:tcPr>
          <w:p>
            <w:pPr>
              <w:pStyle w:val="TableContents"/>
              <w:bidi w:val="0"/>
              <w:spacing w:before="0" w:after="0"/>
              <w:jc w:val="left"/>
              <w:rPr>
                <w:rFonts w:ascii="Times New Roman" w:hAnsi="Times New Roman"/>
                <w:sz w:val="20"/>
              </w:rPr>
            </w:pPr>
            <w:r>
              <w:rPr>
                <w:rFonts w:ascii="Times New Roman" w:hAnsi="Times New Roman"/>
                <w:sz w:val="20"/>
              </w:rPr>
              <w:t>Total Investment by Stockholder A (Assumed to be $17.04 per Share on Shares Held Prior to Sale)</w:t>
            </w:r>
          </w:p>
        </w:tc>
        <w:tc>
          <w:tcPr>
            <w:tcW w:w="2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20" w:type="dxa"/>
            <w:tcBorders/>
            <w:vAlign w:val="bottom"/>
          </w:tcPr>
          <w:p>
            <w:pPr>
              <w:pStyle w:val="TableContents"/>
              <w:bidi w:val="0"/>
              <w:spacing w:before="0" w:after="283"/>
              <w:jc w:val="right"/>
              <w:rPr/>
            </w:pPr>
            <w:r>
              <w:rPr/>
              <w:t>1,496,375</w:t>
            </w:r>
          </w:p>
        </w:tc>
        <w:tc>
          <w:tcPr>
            <w:tcW w:w="28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54" w:type="dxa"/>
            <w:tcBorders/>
            <w:vAlign w:val="bottom"/>
          </w:tcPr>
          <w:p>
            <w:pPr>
              <w:pStyle w:val="TableContents"/>
              <w:bidi w:val="0"/>
              <w:spacing w:before="0" w:after="283"/>
              <w:jc w:val="right"/>
              <w:rPr/>
            </w:pPr>
            <w:r>
              <w:rPr/>
              <w:t>1,622,406</w:t>
            </w:r>
          </w:p>
        </w:tc>
        <w:tc>
          <w:tcPr>
            <w:tcW w:w="28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57" w:type="dxa"/>
            <w:tcBorders/>
            <w:vAlign w:val="bottom"/>
          </w:tcPr>
          <w:p>
            <w:pPr>
              <w:pStyle w:val="TableContents"/>
              <w:bidi w:val="0"/>
              <w:spacing w:before="0" w:after="283"/>
              <w:jc w:val="left"/>
              <w:rPr>
                <w:sz w:val="4"/>
                <w:szCs w:val="4"/>
              </w:rPr>
            </w:pPr>
            <w:r>
              <w:rPr>
                <w:sz w:val="4"/>
                <w:szCs w:val="4"/>
              </w:rPr>
            </w:r>
          </w:p>
        </w:tc>
        <w:tc>
          <w:tcPr>
            <w:tcW w:w="372"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254" w:type="dxa"/>
            <w:tcBorders/>
            <w:vAlign w:val="bottom"/>
          </w:tcPr>
          <w:p>
            <w:pPr>
              <w:pStyle w:val="TableContents"/>
              <w:bidi w:val="0"/>
              <w:spacing w:before="0" w:after="283"/>
              <w:jc w:val="right"/>
              <w:rPr/>
            </w:pPr>
            <w:r>
              <w:rPr/>
              <w:t>1,874,467</w:t>
            </w:r>
          </w:p>
        </w:tc>
        <w:tc>
          <w:tcPr>
            <w:tcW w:w="28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sz w:val="4"/>
                <w:szCs w:val="4"/>
              </w:rPr>
            </w:pPr>
            <w:r>
              <w:rPr>
                <w:sz w:val="4"/>
                <w:szCs w:val="4"/>
              </w:rPr>
            </w:r>
          </w:p>
        </w:tc>
        <w:tc>
          <w:tcPr>
            <w:tcW w:w="756"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r>
      <w:tr>
        <w:trPr/>
        <w:tc>
          <w:tcPr>
            <w:tcW w:w="207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Dilution/Accretion to Stockholder A (Total Net Asset Value Less Total Investment)</w:t>
            </w:r>
          </w:p>
        </w:tc>
        <w:tc>
          <w:tcPr>
            <w:tcW w:w="2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20"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4" w:type="dxa"/>
            <w:tcBorders/>
            <w:shd w:fill="CCEEFF" w:val="clear"/>
            <w:vAlign w:val="bottom"/>
          </w:tcPr>
          <w:p>
            <w:pPr>
              <w:pStyle w:val="TableContents"/>
              <w:bidi w:val="0"/>
              <w:spacing w:before="0" w:after="283"/>
              <w:jc w:val="right"/>
              <w:rPr/>
            </w:pPr>
            <w:r>
              <w:rPr/>
              <w:t>31,233</w:t>
            </w:r>
          </w:p>
        </w:tc>
        <w:tc>
          <w:tcPr>
            <w:tcW w:w="280" w:type="dxa"/>
            <w:tcBorders/>
            <w:shd w:fill="CCEEFF" w:val="clear"/>
            <w:vAlign w:val="bottom"/>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57" w:type="dxa"/>
            <w:tcBorders/>
            <w:shd w:fill="CCEEFF" w:val="clear"/>
            <w:vAlign w:val="bottom"/>
          </w:tcPr>
          <w:p>
            <w:pPr>
              <w:pStyle w:val="TableContents"/>
              <w:bidi w:val="0"/>
              <w:spacing w:before="0" w:after="283"/>
              <w:jc w:val="left"/>
              <w:rPr>
                <w:sz w:val="4"/>
                <w:szCs w:val="4"/>
              </w:rPr>
            </w:pPr>
            <w:r>
              <w:rPr>
                <w:sz w:val="4"/>
                <w:szCs w:val="4"/>
              </w:rPr>
            </w:r>
          </w:p>
        </w:tc>
        <w:tc>
          <w:tcPr>
            <w:tcW w:w="372"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254" w:type="dxa"/>
            <w:tcBorders/>
            <w:shd w:fill="CCEEFF" w:val="clear"/>
            <w:vAlign w:val="bottom"/>
          </w:tcPr>
          <w:p>
            <w:pPr>
              <w:pStyle w:val="TableContents"/>
              <w:bidi w:val="0"/>
              <w:spacing w:before="0" w:after="283"/>
              <w:jc w:val="right"/>
              <w:rPr/>
            </w:pPr>
            <w:r>
              <w:rPr/>
              <w:t>6,011</w:t>
            </w:r>
          </w:p>
        </w:tc>
        <w:tc>
          <w:tcPr>
            <w:tcW w:w="28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sz w:val="4"/>
                <w:szCs w:val="4"/>
              </w:rPr>
            </w:pPr>
            <w:r>
              <w:rPr>
                <w:sz w:val="4"/>
                <w:szCs w:val="4"/>
              </w:rPr>
            </w:r>
          </w:p>
        </w:tc>
        <w:tc>
          <w:tcPr>
            <w:tcW w:w="756" w:type="dxa"/>
            <w:tcBorders/>
            <w:shd w:fill="CCEEFF" w:val="clear"/>
            <w:vAlign w:val="bottom"/>
          </w:tcPr>
          <w:p>
            <w:pPr>
              <w:pStyle w:val="TableContents"/>
              <w:bidi w:val="0"/>
              <w:spacing w:before="0" w:after="283"/>
              <w:jc w:val="left"/>
              <w:rPr>
                <w:sz w:val="4"/>
                <w:szCs w:val="4"/>
              </w:rPr>
            </w:pPr>
            <w:r>
              <w:rPr>
                <w:sz w:val="4"/>
                <w:szCs w:val="4"/>
              </w:rPr>
            </w:r>
          </w:p>
        </w:tc>
        <w:tc>
          <w:tcPr>
            <w:tcW w:w="361" w:type="dxa"/>
            <w:tcBorders/>
            <w:shd w:fill="CCEEFF" w:val="clear"/>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tbl>
      <w:tblPr>
        <w:tblW w:w="5000" w:type="pct"/>
        <w:jc w:val="center"/>
        <w:tblInd w:w="0" w:type="dxa"/>
        <w:tblLayout w:type="fixed"/>
        <w:tblCellMar>
          <w:top w:w="0" w:type="dxa"/>
          <w:left w:w="0" w:type="dxa"/>
          <w:bottom w:w="0" w:type="dxa"/>
          <w:right w:w="0" w:type="dxa"/>
        </w:tblCellMar>
      </w:tblPr>
      <w:tblGrid>
        <w:gridCol w:w="3053"/>
        <w:gridCol w:w="365"/>
        <w:gridCol w:w="140"/>
        <w:gridCol w:w="632"/>
        <w:gridCol w:w="60"/>
        <w:gridCol w:w="365"/>
        <w:gridCol w:w="205"/>
        <w:gridCol w:w="823"/>
        <w:gridCol w:w="155"/>
        <w:gridCol w:w="182"/>
        <w:gridCol w:w="85"/>
        <w:gridCol w:w="742"/>
        <w:gridCol w:w="442"/>
        <w:gridCol w:w="311"/>
        <w:gridCol w:w="205"/>
        <w:gridCol w:w="823"/>
        <w:gridCol w:w="60"/>
        <w:gridCol w:w="365"/>
        <w:gridCol w:w="85"/>
        <w:gridCol w:w="742"/>
        <w:gridCol w:w="365"/>
      </w:tblGrid>
      <w:tr>
        <w:trPr/>
        <w:tc>
          <w:tcPr>
            <w:tcW w:w="3053"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053"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772"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219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50% Participation</w:t>
            </w:r>
          </w:p>
        </w:tc>
        <w:tc>
          <w:tcPr>
            <w:tcW w:w="442"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28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150% Participation</w:t>
            </w:r>
          </w:p>
        </w:tc>
        <w:tc>
          <w:tcPr>
            <w:tcW w:w="365" w:type="dxa"/>
            <w:tcBorders/>
            <w:vAlign w:val="bottom"/>
          </w:tcPr>
          <w:p>
            <w:pPr>
              <w:pStyle w:val="TableContents"/>
              <w:bidi w:val="0"/>
              <w:spacing w:before="0" w:after="283"/>
              <w:jc w:val="left"/>
              <w:rPr/>
            </w:pPr>
            <w:r>
              <w:rPr/>
              <w:t> </w:t>
            </w:r>
          </w:p>
        </w:tc>
      </w:tr>
      <w:tr>
        <w:trPr/>
        <w:tc>
          <w:tcPr>
            <w:tcW w:w="3053"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77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Prior to Sale</w:t>
              <w:br/>
              <w:t>Below NAV</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Following</w:t>
              <w:br/>
              <w:t>Sale</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442"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102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Following</w:t>
              <w:br/>
              <w:t>Sale</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82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t>
              <w:br/>
              <w:t>Change</w:t>
            </w:r>
          </w:p>
        </w:tc>
        <w:tc>
          <w:tcPr>
            <w:tcW w:w="365" w:type="dxa"/>
            <w:tcBorders/>
            <w:vAlign w:val="bottom"/>
          </w:tcPr>
          <w:p>
            <w:pPr>
              <w:pStyle w:val="TableContents"/>
              <w:bidi w:val="0"/>
              <w:spacing w:before="0" w:after="283"/>
              <w:jc w:val="left"/>
              <w:rPr/>
            </w:pPr>
            <w:r>
              <w:rPr/>
              <w:t> </w:t>
            </w:r>
          </w:p>
        </w:tc>
      </w:tr>
      <w:tr>
        <w:trPr/>
        <w:tc>
          <w:tcPr>
            <w:tcW w:w="30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Investment per Share Held by Stockholder A (Assumed to be $17.04 per Share on Shares Held Prior to Sale)</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2" w:type="dxa"/>
            <w:tcBorders/>
            <w:shd w:fill="CCEEFF" w:val="clear"/>
            <w:vAlign w:val="bottom"/>
          </w:tcPr>
          <w:p>
            <w:pPr>
              <w:pStyle w:val="TableContents"/>
              <w:bidi w:val="0"/>
              <w:spacing w:before="0" w:after="283"/>
              <w:jc w:val="right"/>
              <w:rPr/>
            </w:pPr>
            <w:r>
              <w:rPr/>
              <w:t>17.04</w:t>
            </w:r>
          </w:p>
        </w:tc>
        <w:tc>
          <w:tcPr>
            <w:tcW w:w="6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16.79</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(1.45</w:t>
            </w:r>
          </w:p>
        </w:tc>
        <w:tc>
          <w:tcPr>
            <w:tcW w:w="442" w:type="dxa"/>
            <w:tcBorders/>
            <w:shd w:fill="CCEEFF" w:val="clear"/>
            <w:vAlign w:val="bottom"/>
          </w:tcPr>
          <w:p>
            <w:pPr>
              <w:pStyle w:val="TableContents"/>
              <w:bidi w:val="0"/>
              <w:spacing w:before="0" w:after="283"/>
              <w:jc w:val="left"/>
              <w:rPr/>
            </w:pPr>
            <w:r>
              <w:rPr/>
              <w:t>)% </w:t>
            </w:r>
          </w:p>
        </w:tc>
        <w:tc>
          <w:tcPr>
            <w:tcW w:w="311"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16.42</w:t>
            </w:r>
          </w:p>
        </w:tc>
        <w:tc>
          <w:tcPr>
            <w:tcW w:w="6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742" w:type="dxa"/>
            <w:tcBorders/>
            <w:shd w:fill="CCEEFF" w:val="clear"/>
            <w:vAlign w:val="bottom"/>
          </w:tcPr>
          <w:p>
            <w:pPr>
              <w:pStyle w:val="TableContents"/>
              <w:bidi w:val="0"/>
              <w:spacing w:before="0" w:after="283"/>
              <w:jc w:val="right"/>
              <w:rPr/>
            </w:pPr>
            <w:r>
              <w:rPr/>
              <w:t>(3.66</w:t>
            </w:r>
          </w:p>
        </w:tc>
        <w:tc>
          <w:tcPr>
            <w:tcW w:w="365" w:type="dxa"/>
            <w:tcBorders/>
            <w:shd w:fill="CCEEFF" w:val="clear"/>
            <w:vAlign w:val="bottom"/>
          </w:tcPr>
          <w:p>
            <w:pPr>
              <w:pStyle w:val="TableContents"/>
              <w:bidi w:val="0"/>
              <w:spacing w:before="0" w:after="283"/>
              <w:jc w:val="left"/>
              <w:rPr/>
            </w:pPr>
            <w:r>
              <w:rPr/>
              <w:t>)% </w:t>
            </w:r>
          </w:p>
        </w:tc>
      </w:tr>
      <w:tr>
        <w:trPr/>
        <w:tc>
          <w:tcPr>
            <w:tcW w:w="3053" w:type="dxa"/>
            <w:tcBorders/>
          </w:tcPr>
          <w:p>
            <w:pPr>
              <w:pStyle w:val="TableContents"/>
              <w:bidi w:val="0"/>
              <w:spacing w:before="0" w:after="0"/>
              <w:jc w:val="left"/>
              <w:rPr>
                <w:rFonts w:ascii="Times New Roman" w:hAnsi="Times New Roman"/>
                <w:sz w:val="20"/>
              </w:rPr>
            </w:pPr>
            <w:r>
              <w:rPr>
                <w:rFonts w:ascii="Times New Roman" w:hAnsi="Times New Roman"/>
                <w:sz w:val="20"/>
              </w:rPr>
              <w:t>Net Asset Value per Share Held by Stockholder A</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16.47</w:t>
            </w:r>
          </w:p>
        </w:tc>
        <w:tc>
          <w:tcPr>
            <w:tcW w:w="155" w:type="dxa"/>
            <w:tcBorders/>
            <w:vAlign w:val="bottom"/>
          </w:tcPr>
          <w:p>
            <w:pPr>
              <w:pStyle w:val="TableContents"/>
              <w:bidi w:val="0"/>
              <w:spacing w:before="0" w:after="283"/>
              <w:jc w:val="left"/>
              <w:rPr/>
            </w:pPr>
            <w:r>
              <w:rPr/>
              <w:t> </w:t>
            </w:r>
          </w:p>
        </w:tc>
        <w:tc>
          <w:tcPr>
            <w:tcW w:w="182"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42" w:type="dxa"/>
            <w:tcBorders/>
            <w:vAlign w:val="bottom"/>
          </w:tcPr>
          <w:p>
            <w:pPr>
              <w:pStyle w:val="TableContents"/>
              <w:bidi w:val="0"/>
              <w:spacing w:before="0" w:after="283"/>
              <w:jc w:val="left"/>
              <w:rPr>
                <w:sz w:val="4"/>
                <w:szCs w:val="4"/>
              </w:rPr>
            </w:pPr>
            <w:r>
              <w:rPr>
                <w:sz w:val="4"/>
                <w:szCs w:val="4"/>
              </w:rPr>
            </w:r>
          </w:p>
        </w:tc>
        <w:tc>
          <w:tcPr>
            <w:tcW w:w="442" w:type="dxa"/>
            <w:tcBorders/>
            <w:vAlign w:val="bottom"/>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823" w:type="dxa"/>
            <w:tcBorders/>
            <w:vAlign w:val="bottom"/>
          </w:tcPr>
          <w:p>
            <w:pPr>
              <w:pStyle w:val="TableContents"/>
              <w:bidi w:val="0"/>
              <w:spacing w:before="0" w:after="283"/>
              <w:jc w:val="right"/>
              <w:rPr/>
            </w:pPr>
            <w:r>
              <w:rPr/>
              <w:t>16.47</w:t>
            </w:r>
          </w:p>
        </w:tc>
        <w:tc>
          <w:tcPr>
            <w:tcW w:w="60" w:type="dxa"/>
            <w:tcBorders/>
            <w:vAlign w:val="bottom"/>
          </w:tcPr>
          <w:p>
            <w:pPr>
              <w:pStyle w:val="TableContents"/>
              <w:bidi w:val="0"/>
              <w:spacing w:before="0" w:after="283"/>
              <w:jc w:val="left"/>
              <w:rPr/>
            </w:pPr>
            <w:r>
              <w:rPr/>
              <w:t> </w:t>
            </w:r>
          </w:p>
        </w:tc>
        <w:tc>
          <w:tcPr>
            <w:tcW w:w="36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sz w:val="4"/>
                <w:szCs w:val="4"/>
              </w:rPr>
            </w:pPr>
            <w:r>
              <w:rPr>
                <w:sz w:val="4"/>
                <w:szCs w:val="4"/>
              </w:rPr>
            </w:r>
          </w:p>
        </w:tc>
        <w:tc>
          <w:tcPr>
            <w:tcW w:w="742"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sz w:val="4"/>
                <w:szCs w:val="4"/>
              </w:rPr>
            </w:pPr>
            <w:r>
              <w:rPr>
                <w:sz w:val="4"/>
                <w:szCs w:val="4"/>
              </w:rPr>
            </w:r>
          </w:p>
        </w:tc>
      </w:tr>
      <w:tr>
        <w:trPr/>
        <w:tc>
          <w:tcPr>
            <w:tcW w:w="305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Dilution/Accretion per Share Held by Stockholder A (Net Asset Value per Share Less Investment per Share)</w:t>
            </w:r>
          </w:p>
        </w:tc>
        <w:tc>
          <w:tcPr>
            <w:tcW w:w="3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3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0.32</w:t>
            </w:r>
          </w:p>
        </w:tc>
        <w:tc>
          <w:tcPr>
            <w:tcW w:w="155" w:type="dxa"/>
            <w:tcBorders/>
            <w:shd w:fill="CCEEFF" w:val="clear"/>
            <w:vAlign w:val="bottom"/>
          </w:tcPr>
          <w:p>
            <w:pPr>
              <w:pStyle w:val="TableContents"/>
              <w:bidi w:val="0"/>
              <w:spacing w:before="0" w:after="283"/>
              <w:jc w:val="left"/>
              <w:rPr/>
            </w:pPr>
            <w:r>
              <w:rPr/>
              <w:t>) </w:t>
            </w:r>
          </w:p>
        </w:tc>
        <w:tc>
          <w:tcPr>
            <w:tcW w:w="182"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442" w:type="dxa"/>
            <w:tcBorders/>
            <w:shd w:fill="CCEEFF" w:val="clear"/>
            <w:vAlign w:val="bottom"/>
          </w:tcPr>
          <w:p>
            <w:pPr>
              <w:pStyle w:val="TableContents"/>
              <w:bidi w:val="0"/>
              <w:spacing w:before="0" w:after="283"/>
              <w:jc w:val="left"/>
              <w:rPr>
                <w:sz w:val="4"/>
                <w:szCs w:val="4"/>
              </w:rPr>
            </w:pPr>
            <w:r>
              <w:rPr>
                <w:sz w:val="4"/>
                <w:szCs w:val="4"/>
              </w:rPr>
            </w:r>
          </w:p>
        </w:tc>
        <w:tc>
          <w:tcPr>
            <w:tcW w:w="311"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823" w:type="dxa"/>
            <w:tcBorders/>
            <w:shd w:fill="CCEEFF" w:val="clear"/>
            <w:vAlign w:val="bottom"/>
          </w:tcPr>
          <w:p>
            <w:pPr>
              <w:pStyle w:val="TableContents"/>
              <w:bidi w:val="0"/>
              <w:spacing w:before="0" w:after="283"/>
              <w:jc w:val="right"/>
              <w:rPr/>
            </w:pPr>
            <w:r>
              <w:rPr/>
              <w:t>0.05</w:t>
            </w:r>
          </w:p>
        </w:tc>
        <w:tc>
          <w:tcPr>
            <w:tcW w:w="60" w:type="dxa"/>
            <w:tcBorders/>
            <w:shd w:fill="CCEEFF" w:val="clear"/>
            <w:vAlign w:val="bottom"/>
          </w:tcPr>
          <w:p>
            <w:pPr>
              <w:pStyle w:val="TableContents"/>
              <w:bidi w:val="0"/>
              <w:spacing w:before="0" w:after="283"/>
              <w:jc w:val="left"/>
              <w:rPr/>
            </w:pPr>
            <w:r>
              <w:rPr/>
              <w:t> </w:t>
            </w:r>
          </w:p>
        </w:tc>
        <w:tc>
          <w:tcPr>
            <w:tcW w:w="36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sz w:val="4"/>
                <w:szCs w:val="4"/>
              </w:rPr>
            </w:pPr>
            <w:r>
              <w:rPr>
                <w:sz w:val="4"/>
                <w:szCs w:val="4"/>
              </w:rPr>
            </w:r>
          </w:p>
        </w:tc>
        <w:tc>
          <w:tcPr>
            <w:tcW w:w="742" w:type="dxa"/>
            <w:tcBorders/>
            <w:shd w:fill="CCEEFF" w:val="clear"/>
            <w:vAlign w:val="bottom"/>
          </w:tcPr>
          <w:p>
            <w:pPr>
              <w:pStyle w:val="TableContents"/>
              <w:bidi w:val="0"/>
              <w:spacing w:before="0" w:after="283"/>
              <w:jc w:val="left"/>
              <w:rPr>
                <w:sz w:val="4"/>
                <w:szCs w:val="4"/>
              </w:rPr>
            </w:pPr>
            <w:r>
              <w:rPr>
                <w:sz w:val="4"/>
                <w:szCs w:val="4"/>
              </w:rPr>
            </w:r>
          </w:p>
        </w:tc>
        <w:tc>
          <w:tcPr>
            <w:tcW w:w="365" w:type="dxa"/>
            <w:tcBorders/>
            <w:shd w:fill="CCEEFF" w:val="clear"/>
            <w:vAlign w:val="bottom"/>
          </w:tcPr>
          <w:p>
            <w:pPr>
              <w:pStyle w:val="TableContents"/>
              <w:bidi w:val="0"/>
              <w:spacing w:before="0" w:after="283"/>
              <w:jc w:val="left"/>
              <w:rPr>
                <w:sz w:val="4"/>
                <w:szCs w:val="4"/>
              </w:rPr>
            </w:pPr>
            <w:r>
              <w:rPr>
                <w:sz w:val="4"/>
                <w:szCs w:val="4"/>
              </w:rPr>
            </w:r>
          </w:p>
        </w:tc>
      </w:tr>
      <w:tr>
        <w:trPr/>
        <w:tc>
          <w:tcPr>
            <w:tcW w:w="3053" w:type="dxa"/>
            <w:tcBorders/>
          </w:tcPr>
          <w:p>
            <w:pPr>
              <w:pStyle w:val="TableContents"/>
              <w:bidi w:val="0"/>
              <w:spacing w:before="0" w:after="0"/>
              <w:jc w:val="left"/>
              <w:rPr>
                <w:rFonts w:ascii="Times New Roman" w:hAnsi="Times New Roman"/>
                <w:sz w:val="20"/>
              </w:rPr>
            </w:pPr>
            <w:r>
              <w:rPr>
                <w:rFonts w:ascii="Times New Roman" w:hAnsi="Times New Roman"/>
                <w:sz w:val="20"/>
              </w:rPr>
              <w:t>Percentage Dilution/Accretion to Stockholder A (Dilution per Share Divided by Investment per Share)</w:t>
            </w:r>
          </w:p>
        </w:tc>
        <w:tc>
          <w:tcPr>
            <w:tcW w:w="3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3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82"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(1.93</w:t>
            </w:r>
          </w:p>
        </w:tc>
        <w:tc>
          <w:tcPr>
            <w:tcW w:w="442" w:type="dxa"/>
            <w:tcBorders/>
            <w:vAlign w:val="bottom"/>
          </w:tcPr>
          <w:p>
            <w:pPr>
              <w:pStyle w:val="TableContents"/>
              <w:bidi w:val="0"/>
              <w:spacing w:before="0" w:after="283"/>
              <w:jc w:val="left"/>
              <w:rPr/>
            </w:pPr>
            <w:r>
              <w:rPr/>
              <w:t>)% </w:t>
            </w:r>
          </w:p>
        </w:tc>
        <w:tc>
          <w:tcPr>
            <w:tcW w:w="311"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sz w:val="4"/>
                <w:szCs w:val="4"/>
              </w:rPr>
            </w:pPr>
            <w:r>
              <w:rPr>
                <w:sz w:val="4"/>
                <w:szCs w:val="4"/>
              </w:rPr>
            </w:r>
          </w:p>
        </w:tc>
        <w:tc>
          <w:tcPr>
            <w:tcW w:w="82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742" w:type="dxa"/>
            <w:tcBorders/>
            <w:vAlign w:val="bottom"/>
          </w:tcPr>
          <w:p>
            <w:pPr>
              <w:pStyle w:val="TableContents"/>
              <w:bidi w:val="0"/>
              <w:spacing w:before="0" w:after="283"/>
              <w:jc w:val="right"/>
              <w:rPr/>
            </w:pPr>
            <w:r>
              <w:rPr/>
              <w:t>0.32</w:t>
            </w:r>
          </w:p>
        </w:tc>
        <w:tc>
          <w:tcPr>
            <w:tcW w:w="365"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Other Considerations </w:t>
      </w:r>
    </w:p>
    <w:p>
      <w:pPr>
        <w:pStyle w:val="TextBody"/>
        <w:bidi w:val="0"/>
        <w:spacing w:before="120" w:after="0"/>
        <w:jc w:val="left"/>
        <w:rPr>
          <w:rFonts w:ascii="Times New Roman" w:hAnsi="Times New Roman"/>
          <w:i/>
          <w:sz w:val="20"/>
        </w:rPr>
      </w:pPr>
      <w:r>
        <w:rPr>
          <w:rFonts w:ascii="Times New Roman" w:hAnsi="Times New Roman"/>
          <w:i/>
          <w:sz w:val="20"/>
        </w:rPr>
        <w:t xml:space="preserve">Underwritten Offerings </w:t>
      </w:r>
    </w:p>
    <w:p>
      <w:pPr>
        <w:pStyle w:val="TextBody"/>
        <w:bidi w:val="0"/>
        <w:spacing w:before="120" w:after="0"/>
        <w:jc w:val="left"/>
        <w:rPr>
          <w:rFonts w:ascii="Times New Roman" w:hAnsi="Times New Roman"/>
          <w:sz w:val="20"/>
        </w:rPr>
      </w:pPr>
      <w:r>
        <w:rPr>
          <w:rFonts w:ascii="Times New Roman" w:hAnsi="Times New Roman"/>
          <w:sz w:val="20"/>
        </w:rPr>
        <w:t xml:space="preserve">Prior to the time of issuance, the Board may determine to issue shares of the Companys common stock below NAV in a registered public offering or in a private placement either with or without an obligation to seek to register their resale at the request of the holders. The Board may also determine to use an underwriter or placement agent to assist in selling such shares of common stock if it concludes that doing so would assist in marketing such securities on favorable terms. </w:t>
      </w:r>
    </w:p>
    <w:p>
      <w:pPr>
        <w:pStyle w:val="TextBody"/>
        <w:bidi w:val="0"/>
        <w:spacing w:before="360" w:after="0"/>
        <w:jc w:val="left"/>
        <w:rPr>
          <w:rFonts w:ascii="Times New Roman" w:hAnsi="Times New Roman"/>
          <w:i/>
          <w:sz w:val="20"/>
        </w:rPr>
      </w:pPr>
      <w:r>
        <w:rPr>
          <w:rFonts w:ascii="Times New Roman" w:hAnsi="Times New Roman"/>
          <w:i/>
          <w:sz w:val="20"/>
        </w:rPr>
        <w:t xml:space="preserve">Consideration of Potential Conflicts of Interest </w:t>
      </w:r>
    </w:p>
    <w:p>
      <w:pPr>
        <w:pStyle w:val="TextBody"/>
        <w:bidi w:val="0"/>
        <w:spacing w:before="120" w:after="0"/>
        <w:jc w:val="left"/>
        <w:rPr>
          <w:rFonts w:ascii="Times New Roman" w:hAnsi="Times New Roman"/>
          <w:sz w:val="20"/>
        </w:rPr>
      </w:pPr>
      <w:r>
        <w:rPr>
          <w:rFonts w:ascii="Times New Roman" w:hAnsi="Times New Roman"/>
          <w:sz w:val="20"/>
        </w:rPr>
        <w:t xml:space="preserve">In reaching its recommendation to the stockholders of the Company to approve this proposal, the Board considered a possible source of conflict of interest due to the fact that the proceeds from the issuance of additional shares of the Companys common stock will increase the management fees that the Company pays to Sixth Street Specialty Lending Advisers, as such fees are based on the amount of the Companys gross assets, and considered the effect of the following factors: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costs and benefits of a common stock offering below NAV compared to other possible means for raising capital or concluding not to raise capital;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size of a common stock offering in relation to the number of shares outstanding;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general condition of the securities markets;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impact on operating expenses associated with an increase in capital.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Board, including a majority of the non-interested directors who have no financial interest in this proposal, concluded that the benefits to the stockholders from increasing the Companys capital base outweighed any detriment, including from increased management fees, especially considering that the management fees would increase regardless of whether the Company offers shares of common stock below NAV or above NAV, or dilution to existing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Required Vote </w:t>
      </w:r>
    </w:p>
    <w:p>
      <w:pPr>
        <w:pStyle w:val="TextBody"/>
        <w:bidi w:val="0"/>
        <w:spacing w:before="120" w:after="0"/>
        <w:jc w:val="left"/>
        <w:rPr>
          <w:rFonts w:ascii="Times New Roman" w:hAnsi="Times New Roman"/>
          <w:sz w:val="20"/>
        </w:rPr>
      </w:pPr>
      <w:r>
        <w:rPr>
          <w:rFonts w:ascii="Times New Roman" w:hAnsi="Times New Roman"/>
          <w:sz w:val="20"/>
        </w:rPr>
        <w:t xml:space="preserve">The affirmative vote of holders of at least a majority, as defined in the 1940 Act, of (1) the outstanding shares of the Companys common stock entitled to vote at the Meeting and (2) the outstanding shares of the Companys common stock entitled to vote at the Meeting held by persons that are not affiliated persons of the Company, is required to approve this proposal. Under the 1940 Act, the vote of holders of a majority means the vote of the holders of the lesser of (a) 67% or more of the outstanding shares of the Companys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present or represented by proxy at the Special Meeting if the holders of more than 50% of the shares of the Companys common stock are present or represented by proxy or (b) more than 50% of the outstanding shares of the Companys common stock. Abstentions and broker non-votes, if any, will have the effect of a vote against this proposal. </w:t>
      </w:r>
    </w:p>
    <w:p>
      <w:pPr>
        <w:pStyle w:val="TextBody"/>
        <w:bidi w:val="0"/>
        <w:spacing w:before="360" w:after="0"/>
        <w:jc w:val="left"/>
        <w:rPr>
          <w:rFonts w:ascii="Times New Roman" w:hAnsi="Times New Roman"/>
          <w:b/>
          <w:sz w:val="20"/>
        </w:rPr>
      </w:pPr>
      <w:r>
        <w:rPr>
          <w:rFonts w:ascii="Times New Roman" w:hAnsi="Times New Roman"/>
          <w:b/>
          <w:sz w:val="20"/>
        </w:rPr>
        <w:t xml:space="preserve">The Board recommends voting FOR this proposal to authorize the Company to sell or otherwise issue shares of its common stock at a price below its then-current NAV in one or more offerings, in each case subject to the approval of the Board and subject to the conditions as set forth herein, including that the number of shares issued does not exceed 25% of its then-outstanding common stock immediately prior to each such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6" w:name="toc866866_4"/>
      <w:bookmarkEnd w:id="6"/>
      <w:r>
        <w:rPr>
          <w:rFonts w:ascii="Times New Roman" w:hAnsi="Times New Roman"/>
          <w:b/>
          <w:sz w:val="20"/>
        </w:rPr>
        <w:t xml:space="preserve">Other Business </w:t>
      </w:r>
    </w:p>
    <w:p>
      <w:pPr>
        <w:pStyle w:val="TextBody"/>
        <w:bidi w:val="0"/>
        <w:spacing w:before="240" w:after="0"/>
        <w:jc w:val="left"/>
        <w:rPr>
          <w:rFonts w:ascii="Times New Roman" w:hAnsi="Times New Roman"/>
          <w:sz w:val="20"/>
        </w:rPr>
      </w:pPr>
      <w:r>
        <w:rPr>
          <w:rFonts w:ascii="Times New Roman" w:hAnsi="Times New Roman"/>
          <w:sz w:val="20"/>
        </w:rPr>
        <w:t xml:space="preserve">Under our Bylaws, the only matters that may be acted on at a special meeting of stockholders are those stated in the Notice of Special Meeting. Accordingly, other than procedural matters relating to the proposal, no other business may properly come before the Special Meeting. Should any procedural matter requiring a vote of stockholders arise, it is the intention of the persons named in the proxy to vote in accordance with their discretion on such procedural matters. </w:t>
      </w:r>
    </w:p>
    <w:p>
      <w:pPr>
        <w:pStyle w:val="TextBody"/>
        <w:bidi w:val="0"/>
        <w:spacing w:before="480" w:after="0"/>
        <w:jc w:val="center"/>
        <w:rPr>
          <w:rFonts w:ascii="Times New Roman" w:hAnsi="Times New Roman"/>
          <w:b/>
          <w:sz w:val="20"/>
        </w:rPr>
      </w:pPr>
      <w:bookmarkStart w:id="7" w:name="toc866866_5"/>
      <w:bookmarkEnd w:id="7"/>
      <w:r>
        <w:rPr>
          <w:rFonts w:ascii="Times New Roman" w:hAnsi="Times New Roman"/>
          <w:b/>
          <w:sz w:val="20"/>
        </w:rPr>
        <w:t xml:space="preserve">Stockholder Proposals and Nominations for the 2024 Annual Meeting of Stockholders </w:t>
      </w:r>
    </w:p>
    <w:p>
      <w:pPr>
        <w:pStyle w:val="TextBody"/>
        <w:bidi w:val="0"/>
        <w:spacing w:before="120" w:after="0"/>
        <w:jc w:val="left"/>
        <w:rPr>
          <w:rFonts w:ascii="Times New Roman" w:hAnsi="Times New Roman"/>
          <w:b/>
          <w:sz w:val="20"/>
        </w:rPr>
      </w:pPr>
      <w:r>
        <w:rPr>
          <w:rFonts w:ascii="Times New Roman" w:hAnsi="Times New Roman"/>
          <w:b/>
          <w:sz w:val="20"/>
        </w:rPr>
        <w:t xml:space="preserve">Inclusion of Proposals in Our Proxy Statement and Proxy Card Under the SECs Rules </w:t>
      </w:r>
    </w:p>
    <w:p>
      <w:pPr>
        <w:pStyle w:val="TextBody"/>
        <w:bidi w:val="0"/>
        <w:spacing w:before="120" w:after="0"/>
        <w:jc w:val="left"/>
        <w:rPr>
          <w:rFonts w:ascii="Times New Roman" w:hAnsi="Times New Roman"/>
          <w:sz w:val="20"/>
        </w:rPr>
      </w:pPr>
      <w:r>
        <w:rPr>
          <w:rFonts w:ascii="Times New Roman" w:hAnsi="Times New Roman"/>
          <w:sz w:val="20"/>
        </w:rPr>
        <w:t xml:space="preserve">Any proposal of a stockholder intended to be included in our proxy statement and form of proxy/voting instruction card for the 2025 annual meeting of stockholders pursuant to Rule 14a-8 of the SECs rules must be received by us at our principal executive offices no later than December 12, 2024. Such proposals must also comply with the requirements as to form and substance established by the SEC if such proposals are to be included in the proxy statement and form of proxy. All proposals should be sent to our principal executive offices addressed to the Secretary of the Company, Anton Brett, Sixth Street Specialty Lending, Inc., 2100 McKinney Avenue, Suite 1500, Dallas, TX 75201. </w:t>
      </w:r>
    </w:p>
    <w:p>
      <w:pPr>
        <w:pStyle w:val="TextBody"/>
        <w:bidi w:val="0"/>
        <w:spacing w:before="360" w:after="0"/>
        <w:jc w:val="left"/>
        <w:rPr>
          <w:rFonts w:ascii="Times New Roman" w:hAnsi="Times New Roman"/>
          <w:b/>
          <w:sz w:val="20"/>
        </w:rPr>
      </w:pPr>
      <w:r>
        <w:rPr>
          <w:rFonts w:ascii="Times New Roman" w:hAnsi="Times New Roman"/>
          <w:b/>
          <w:sz w:val="20"/>
        </w:rPr>
        <w:t xml:space="preserve">Bylaw Requirements for Stockholder Submission of Nominations and Proposals </w:t>
      </w:r>
    </w:p>
    <w:p>
      <w:pPr>
        <w:pStyle w:val="TextBody"/>
        <w:bidi w:val="0"/>
        <w:spacing w:before="120" w:after="0"/>
        <w:jc w:val="left"/>
        <w:rPr>
          <w:rFonts w:ascii="Times New Roman" w:hAnsi="Times New Roman"/>
          <w:sz w:val="20"/>
        </w:rPr>
      </w:pPr>
      <w:r>
        <w:rPr>
          <w:rFonts w:ascii="Times New Roman" w:hAnsi="Times New Roman"/>
          <w:sz w:val="20"/>
        </w:rPr>
        <w:t xml:space="preserve">A stockholder recommendation for nomination of a person for election to our Board or a proposal for consideration at our 2025 annual meeting, other than stockholder proposals submitted pursuant to the SECs Rule 14a-8, must be submitted in accordance with the advance notice procedures and other requirements set forth in our Bylaws. These requirements are separate from the requirements discussed above to have the stockholder nomination or other proposal included in our proxy statement and form of proxy/voting instruction card pursuant to the SECs rules. The item to be brought before the meeting must be a proper subject for stockholder action. </w:t>
      </w:r>
    </w:p>
    <w:p>
      <w:pPr>
        <w:pStyle w:val="TextBody"/>
        <w:bidi w:val="0"/>
        <w:spacing w:before="240" w:after="0"/>
        <w:jc w:val="left"/>
        <w:rPr>
          <w:rFonts w:ascii="Times New Roman" w:hAnsi="Times New Roman"/>
          <w:sz w:val="20"/>
        </w:rPr>
      </w:pPr>
      <w:r>
        <w:rPr>
          <w:rFonts w:ascii="Times New Roman" w:hAnsi="Times New Roman"/>
          <w:sz w:val="20"/>
        </w:rPr>
        <w:t xml:space="preserve">Our Bylaws require that the proposal or recommendation for nomination must be received by our Secretary at our principal executive offices at the above address no later than February 22, 2025, unless the date of our 2025 annual meeting is more than 30 days before or more than 60 days after May 23, 2025, the anniversary of our 2024 annual meeting, in which case notice by the stockholder to be timely must be so received not later than the later of the close of business 90 days prior to such annual meeting or the 10th day following the day on which such notice of the date of the annual meeting was mailed or such public disclosure of the date of the annual meeting was made. </w:t>
      </w:r>
    </w:p>
    <w:p>
      <w:pPr>
        <w:pStyle w:val="TextBody"/>
        <w:bidi w:val="0"/>
        <w:spacing w:before="480" w:after="0"/>
        <w:jc w:val="center"/>
        <w:rPr>
          <w:rFonts w:ascii="Times New Roman" w:hAnsi="Times New Roman"/>
          <w:b/>
          <w:sz w:val="20"/>
        </w:rPr>
      </w:pPr>
      <w:bookmarkStart w:id="8" w:name="toc866866_6"/>
      <w:bookmarkEnd w:id="8"/>
      <w:r>
        <w:rPr>
          <w:rFonts w:ascii="Times New Roman" w:hAnsi="Times New Roman"/>
          <w:b/>
          <w:sz w:val="20"/>
        </w:rPr>
        <w:t xml:space="preserve">Annual Report </w:t>
      </w:r>
    </w:p>
    <w:p>
      <w:pPr>
        <w:pStyle w:val="TextBody"/>
        <w:bidi w:val="0"/>
        <w:spacing w:before="240" w:after="0"/>
        <w:jc w:val="left"/>
        <w:rPr>
          <w:rFonts w:ascii="Times New Roman" w:hAnsi="Times New Roman"/>
          <w:sz w:val="20"/>
        </w:rPr>
      </w:pPr>
      <w:r>
        <w:rPr>
          <w:rFonts w:ascii="Times New Roman" w:hAnsi="Times New Roman"/>
          <w:sz w:val="20"/>
        </w:rPr>
        <w:t xml:space="preserve">We will furnish, without charge, a copy of our Annual Report on Form 10-K for the fiscal year ended December 31, 2023 to any stockholder upon request. Requests should be directed to the Secretary of the Company, Anton Brett, Sixth Street Specialty Lending, Inc., 888 7th Avenue, 41st Floor, New York, NY 10106, Attention: TSLX Investor Relations, or by emailing us at IRTSLX@sixthstreet.com.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9" w:name="toc866866_7"/>
      <w:bookmarkEnd w:id="9"/>
      <w:r>
        <w:rPr>
          <w:rFonts w:ascii="Times New Roman" w:hAnsi="Times New Roman"/>
          <w:b/>
          <w:sz w:val="20"/>
        </w:rPr>
        <w:t xml:space="preserve">Householding of Proxy Materials </w:t>
      </w:r>
    </w:p>
    <w:p>
      <w:pPr>
        <w:pStyle w:val="TextBody"/>
        <w:bidi w:val="0"/>
        <w:spacing w:before="240" w:after="0"/>
        <w:jc w:val="left"/>
        <w:rPr>
          <w:rFonts w:ascii="Times New Roman" w:hAnsi="Times New Roman"/>
          <w:sz w:val="20"/>
        </w:rPr>
      </w:pPr>
      <w:r>
        <w:rPr>
          <w:rFonts w:ascii="Times New Roman" w:hAnsi="Times New Roman"/>
          <w:sz w:val="20"/>
        </w:rPr>
        <w:t xml:space="preserve">The SEC has adopted rules that permit companies and intermediaries (e.g., brokers) to satisfy the delivery requirements for the Notice of Internet Availability of Proxy Materials with respect to two or more stockholders sharing the same address by delivering a single Notice of Internet Availability of Proxy Materials addressed to those stockholders. This process, which is commonly referred to as householding, potentially means extra convenience for stockholders and cost savings for companies. </w:t>
      </w:r>
    </w:p>
    <w:p>
      <w:pPr>
        <w:pStyle w:val="TextBody"/>
        <w:bidi w:val="0"/>
        <w:spacing w:before="240" w:after="0"/>
        <w:jc w:val="left"/>
        <w:rPr>
          <w:rFonts w:ascii="Times New Roman" w:hAnsi="Times New Roman"/>
          <w:sz w:val="20"/>
        </w:rPr>
      </w:pPr>
      <w:r>
        <w:rPr>
          <w:rFonts w:ascii="Times New Roman" w:hAnsi="Times New Roman"/>
          <w:sz w:val="20"/>
        </w:rPr>
        <w:t xml:space="preserve">This year a number of brokers with account holders who are the Companys stockholders will be householding the Companys proxy materials. A single Notice of Internet Availability of Proxy Materials will be delivered to multiple stockholders sharing an address unless contrary instructions have been received from the affected stockholders.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by mail at Sixth Street Specialty Lending, Inc., 2100 McKinney Avenue, Suite 1500, Dallas, Texas 75201, Attention: TSLX Investor Relations, by email at IRTSLX@sixthstreet.com or by phone at 469-621-2033. If, at any time, you no longer wish to participate in householding and would prefer to receive a separate proxy statement, annual report and/or Notice of Internet Availability of Proxy Materials, please notify your broker. Stockholders who currently receive multiple copies of the proxy statement, annual report and/or Notice of Internet Availability of Proxy Materials at their addresses and would like to request householding of their communications should contact their brokers. </w:t>
      </w:r>
    </w:p>
    <w:p>
      <w:pPr>
        <w:pStyle w:val="TextBody"/>
        <w:bidi w:val="0"/>
        <w:spacing w:before="240" w:after="0"/>
        <w:jc w:val="left"/>
        <w:rPr>
          <w:rFonts w:ascii="Times New Roman" w:hAnsi="Times New Roman"/>
          <w:b/>
          <w:sz w:val="20"/>
        </w:rPr>
      </w:pPr>
      <w:r>
        <w:rPr>
          <w:rFonts w:ascii="Times New Roman" w:hAnsi="Times New Roman"/>
          <w:b/>
          <w:sz w:val="20"/>
        </w:rPr>
        <w:t xml:space="preserve">WHETHER OR NOT YOU PLAN TO ATTEND THE MEETING, WE URGE YOU TO VOTE OVER THE INTERNET, BY PHONE, OR BY MARKING, SIGNING AND RETURNING YOUR PROXY OR VOTING INSTRUCTION CARD AS SOON AS POSSIBLE. NO POSTAGE IS NECESSARY IF MAILED IN THE UNITED STATES.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By Order of the Board of Directors,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Anton Brett</w:t>
            </w:r>
          </w:p>
        </w:tc>
      </w:tr>
      <w:tr>
        <w:trPr/>
        <w:tc>
          <w:tcPr>
            <w:tcW w:w="4082" w:type="dxa"/>
            <w:tcBorders/>
            <w:vAlign w:val="bottom"/>
          </w:tcPr>
          <w:p>
            <w:pPr>
              <w:pStyle w:val="TableContents"/>
              <w:bidi w:val="0"/>
              <w:spacing w:before="0" w:after="283"/>
              <w:jc w:val="left"/>
              <w:rPr/>
            </w:pPr>
            <w:r>
              <w:rPr/>
              <w:t>Anton Brett</w:t>
            </w:r>
          </w:p>
        </w:tc>
      </w:tr>
      <w:tr>
        <w:trPr/>
        <w:tc>
          <w:tcPr>
            <w:tcW w:w="4082" w:type="dxa"/>
            <w:tcBorders/>
          </w:tcPr>
          <w:p>
            <w:pPr>
              <w:pStyle w:val="TableContents"/>
              <w:bidi w:val="0"/>
              <w:spacing w:before="0" w:after="283"/>
              <w:jc w:val="left"/>
              <w:rPr>
                <w:i/>
              </w:rPr>
            </w:pPr>
            <w:r>
              <w:rPr>
                <w:i/>
              </w:rPr>
              <w:t>Chief Compliance Officer and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rFonts w:ascii="Times New Roman" w:hAnsi="Times New Roman"/>
          <w:b/>
          <w:sz w:val="20"/>
        </w:rPr>
      </w:pPr>
      <w:bookmarkStart w:id="10" w:name="toc866866_8"/>
      <w:bookmarkEnd w:id="10"/>
      <w:r>
        <w:rPr>
          <w:rFonts w:ascii="Times New Roman" w:hAnsi="Times New Roman"/>
          <w:b/>
          <w:sz w:val="20"/>
        </w:rPr>
        <w:t xml:space="preserve">Privacy Principles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committed to maintaining the confidentiality, integrity and security of nonpublic personal information relating to investors. The following information is provided to help you understand what personal information the Company collects, how it protects that information and why, in certain cases, it may share information with select other parties.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collect nonpublic personal information regarding investors from sources such as subscription agreements, investor questionnaires and other forms; individual investors account histories; and correspondence between the Company and individual investors. The Company may share information that it collects regarding an investor with its affiliates and the employees of such affiliates for legitimate business purposes, for example, in order to service the investors accounts or provide the investor with information about other products and services offered by the Company or its affiliates that may be of interest to the investor. In addition, the Company may disclose information that it collects regarding investors to third parties who are not affiliated with the Company (i) as authorized by investors in investor subscription agreements or the Companys organizational documents, (ii) as required by law or in connection with regulatory or law enforcement inquiries, or (iii) as otherwise permitted by law to the extent necessary to effect, administer or enforce investor or Company transactions. </w:t>
      </w:r>
    </w:p>
    <w:p>
      <w:pPr>
        <w:pStyle w:val="TextBody"/>
        <w:bidi w:val="0"/>
        <w:spacing w:before="240" w:after="0"/>
        <w:jc w:val="left"/>
        <w:rPr>
          <w:rFonts w:ascii="Times New Roman" w:hAnsi="Times New Roman"/>
          <w:sz w:val="20"/>
        </w:rPr>
      </w:pPr>
      <w:r>
        <w:rPr>
          <w:rFonts w:ascii="Times New Roman" w:hAnsi="Times New Roman"/>
          <w:sz w:val="20"/>
        </w:rPr>
        <w:t xml:space="preserve">Any party that receives nonpublic personal information relating to investors from the Company is permitted to use the information only for legitimate business purposes or as otherwise required or permitted by applicable law or regulation. In this regard, for officers, employees and agents of the Company and its affiliates, access to such information is restricted to those who need such access to provide services to the Company and investors. The Company maintains physical, electronic and procedural safeguards to seek to guard investor nonpublic personal information. Third parties that handle this information shall agree to follow the standards the Company has established. All safeguards apply to nonpublic personal information of current, former and prospective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6248400" cy="80867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248400" cy="808672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SIXTH STREET SPECIALTY LENDING, INC. 2100 MCKINNEY AVENUE, SUITE 1500 DALLAS, TX 75201 SCAN TO VIEW MATERIALS &amp; VOTE VOTE BY INTERNET - www.proxyvote.com or scan the QR Barcode above Use the Internet to transmit your voting instructions and for electronic delivery of information up until 11:59 p.m. Eastern Time on May 22, 2024. Have your proxy card in hand when you access the web site and follow the instructions to obtain your records and to create an electronic voting instruction form. ELECTRONIC DELIVERY OF FUTURE PROXY MATERIALS 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up until 11:59 p.m. Eastern Time on May 22, 2024.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KEEP THIS PORTION FOR YOUR RECORDS DETACH AND RETURN THIS PORTION ONLY THIS PROXY CARD IS VALID ONLY WHEN SIGNED AND DATED. The Board of Directors recommends you vote FOR the following proposal: For Against Abstain 1. To approve a proposal to authorize the Company to sell or otherwise issue shares of its common stock at a 0 0 0 price below its then-current net asset value per share in one or more offerings, in each case subject to the approval of its Board of Directors and subject to the conditions set forth in the accompanying proxy statement. NOTE: The named proxies are also authorized to transact such other business as may properly come before the Special Meeting of Stockholders or any postponement or adjournment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 0000634939_1 R1.0.0.6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6334125" cy="82010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334125" cy="820102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Important Notice Regarding the Availability of Proxy Materials for the Special Meeting: The Notice and Proxy Statement is available at www.proxyvote.com SIXTH STREET SPECIALTY LENDING, INC. Special Meeting of Stockholders May 23, 2024 10:00 AM EDT This proxy is solicited by the Board of Directors The stockholders hereby appoints Ian Simmonds and Anton Brett, or either of them, as proxies, each with the power to appoint his/her substitute, and hereby authorize them to represent and to vote, as designated on the reverse side of this ballot, all of the shares of common stock of SIXTH STREET SPECIALTY LENDING, INC. that the stockholders are entitled to vote at a Special Meeting of Stockholders to be held at the offices of Simpson Thacher &amp; Bartlett LLP, located at 425 Lexington Avenue, 30th Floor, New York, NY 10017, at 10:00 AM EDT on May 23, 2024 and any adjournment or postponement thereof. This proxy, when properly executed, will be voted in the manner directed herein. If no such direction is made, this proxy will be voted in accordance with the Board of Directors recommendations. Continued and to be signed on reverse side 0000634939_2 R1.0.0.6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26</Pages>
  <Words>12120</Words>
  <Characters>60264</Characters>
  <CharactersWithSpaces>72640</CharactersWithSpaces>
  <Paragraphs>1739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 14A</dc:title>
</cp:coreProperties>
</file>