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Easterly Joshua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No securities are beneficially owned</w:t>
            </w:r>
            <w:r>
              <w:rPr>
                <w:rFonts w:ascii="Arial" w:cs="Arial" w:eastAsia="Arial" w:hAnsi="Arial"/>
                <w:sz w:val="22"/>
                <w:szCs w:val="22"/>
                <w:color w:val="008000"/>
                <w:w w:val="92"/>
                <w:vertAlign w:val="superscript"/>
              </w:rPr>
              <w:t>(1)(2)</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78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Joshua Easterly does not directly own any securities of TPG Specialty Lending, Inc. (the "Issuer").</w:t>
      </w:r>
    </w:p>
    <w:p>
      <w:pPr>
        <w:spacing w:after="0" w:line="41" w:lineRule="exact"/>
        <w:rPr>
          <w:rFonts w:ascii="Arial" w:cs="Arial" w:eastAsia="Arial" w:hAnsi="Arial"/>
          <w:sz w:val="14"/>
          <w:szCs w:val="14"/>
          <w:color w:val="008000"/>
        </w:rPr>
      </w:pPr>
    </w:p>
    <w:p>
      <w:pPr>
        <w:ind w:left="40" w:right="18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Easterly is a Managing Director of TPG Opportunities Partners, L.P., which is affiliated with Tarrant Advisors, Inc., a Texas corporation ("Tarrant"), which, as of the date hereof, directly holds 1,000 shares of Common Stock (the "Tarrant Stock") of the Issuer. Mr. Easterly disclaims beneficial ownership of the shares of Tarrant Stock that are or may be beneficially owned by Tarrant or any of its affiliates, including Tarrant Capital Advisors, Inc. and TPG Group Holdings (SBS) Advisors, Inc. Pursuant to Rule 16a-1(a)(4) under the Securities Exchange Act of 1934, as amended (the "Exchange Act"), this filing shall not be deemed an admission that Mr. Easterly is, for purposes of Section 16 of the Exchange Act or otherwise, the beneficial owner of any securities of the Issuer directly held by the Tarrant or any of its affiliates.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Ronald Cami is signing on behalf of Mr. Easterly pursuant to an authorization and designation letter dated March 10, 2011, which is filed herewith as Exhibit A.</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By: Ronald Cami,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Joshua Easterly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5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03/15/2011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88900</wp:posOffset>
            </wp:positionV>
            <wp:extent cx="1517650"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March 10,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159" w:firstLine="2187"/>
        <w:spacing w:after="0" w:line="297" w:lineRule="auto"/>
        <w:rPr>
          <w:sz w:val="20"/>
          <w:szCs w:val="20"/>
          <w:color w:val="auto"/>
        </w:rPr>
      </w:pPr>
      <w:r>
        <w:rPr>
          <w:rFonts w:ascii="Arial" w:cs="Arial" w:eastAsia="Arial" w:hAnsi="Arial"/>
          <w:sz w:val="19"/>
          <w:szCs w:val="19"/>
          <w:color w:val="auto"/>
        </w:rPr>
        <w:t>This letter confirms that Ronald Cami and John E. Viola are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134"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-17780</wp:posOffset>
            </wp:positionV>
            <wp:extent cx="1296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22"/>
          <w:szCs w:val="22"/>
          <w:color w:val="auto"/>
        </w:rPr>
        <w:t>Joshua Easterly</w:t>
      </w:r>
    </w:p>
    <w:sectPr>
      <w:pgSz w:w="11900" w:h="16838" w:orient="portrait"/>
      <w:cols w:equalWidth="0" w:num="1">
        <w:col w:w="9879"/>
      </w:cols>
      <w:pgMar w:left="5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1" Type="http://schemas.openxmlformats.org/officeDocument/2006/relationships/hyperlink" Target="http://www.sec.gov/cgi-bin/browse-edgar?action=getcompany&amp;CIK=0001515167"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2019-12-18T01:43:02Z</dcterms:created>
  <dcterms:modified xsi:type="dcterms:W3CDTF">2019-12-18T01:43:02Z</dcterms:modified>
</cp:coreProperties>
</file>