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4451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44512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Stiepleman David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TPG GLOBAL, LLC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301 COMMERCE ST., SUITE 3300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TPG Specialty Lending,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TSLX</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99"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11/14/2016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23"/>
        <w:spacing w:after="0"/>
        <w:rPr>
          <w:sz w:val="20"/>
          <w:szCs w:val="20"/>
          <w:color w:val="auto"/>
        </w:rPr>
      </w:pPr>
      <w:r>
        <w:rPr>
          <w:rFonts w:ascii="Arial" w:cs="Arial" w:eastAsia="Arial" w:hAnsi="Arial"/>
          <w:sz w:val="18"/>
          <w:szCs w:val="18"/>
          <w:color w:val="0000FF"/>
        </w:rPr>
        <w:t>Vice President</w:t>
      </w:r>
    </w:p>
    <w:p>
      <w:pPr>
        <w:spacing w:after="0" w:line="406"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580" w:type="dxa"/>
            <w:vAlign w:val="bottom"/>
            <w:gridSpan w:val="7"/>
          </w:tcPr>
          <w:p>
            <w:pPr>
              <w:ind w:left="160"/>
              <w:spacing w:after="0" w:line="146" w:lineRule="exact"/>
              <w:rPr>
                <w:sz w:val="20"/>
                <w:szCs w:val="20"/>
                <w:color w:val="auto"/>
              </w:rPr>
            </w:pPr>
            <w:r>
              <w:rPr>
                <w:rFonts w:ascii="Arial" w:cs="Arial" w:eastAsia="Arial" w:hAnsi="Arial"/>
                <w:sz w:val="14"/>
                <w:szCs w:val="14"/>
                <w:color w:val="auto"/>
                <w:w w:val="95"/>
              </w:rPr>
              <w:t>4. If Amendment, Date of Original Filed (Month/Day/Year)</w:t>
            </w:r>
          </w:p>
        </w:tc>
        <w:tc>
          <w:tcPr>
            <w:tcW w:w="3920" w:type="dxa"/>
            <w:vAlign w:val="bottom"/>
            <w:gridSpan w:val="10"/>
          </w:tcPr>
          <w:p>
            <w:pPr>
              <w:ind w:left="56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40" w:type="dxa"/>
            <w:vAlign w:val="bottom"/>
            <w:gridSpan w:val="4"/>
          </w:tcPr>
          <w:p>
            <w:pPr>
              <w:ind w:left="560"/>
              <w:spacing w:after="0"/>
              <w:rPr>
                <w:sz w:val="20"/>
                <w:szCs w:val="20"/>
                <w:color w:val="auto"/>
              </w:rPr>
            </w:pPr>
            <w:r>
              <w:rPr>
                <w:rFonts w:ascii="Arial" w:cs="Arial" w:eastAsia="Arial" w:hAnsi="Arial"/>
                <w:sz w:val="14"/>
                <w:szCs w:val="14"/>
                <w:color w:val="auto"/>
              </w:rPr>
              <w:t>Line)</w:t>
            </w: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8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0" w:type="dxa"/>
            <w:vAlign w:val="bottom"/>
            <w:gridSpan w:val="8"/>
            <w:vMerge w:val="restart"/>
          </w:tcPr>
          <w:p>
            <w:pPr>
              <w:ind w:left="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vMerge w:val="restart"/>
          </w:tcPr>
          <w:p>
            <w:pPr>
              <w:spacing w:after="0"/>
              <w:rPr>
                <w:sz w:val="20"/>
                <w:szCs w:val="20"/>
                <w:color w:val="auto"/>
              </w:rPr>
            </w:pPr>
            <w:r>
              <w:rPr>
                <w:rFonts w:ascii="Arial" w:cs="Arial" w:eastAsia="Arial" w:hAnsi="Arial"/>
                <w:sz w:val="18"/>
                <w:szCs w:val="18"/>
                <w:color w:val="0000FF"/>
                <w:w w:val="96"/>
              </w:rPr>
              <w:t>FORT WORTH  TX</w:t>
            </w:r>
          </w:p>
        </w:tc>
        <w:tc>
          <w:tcPr>
            <w:tcW w:w="102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76102</w:t>
            </w: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8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140" w:type="dxa"/>
            <w:vAlign w:val="bottom"/>
            <w:gridSpan w:val="7"/>
            <w:vMerge w:val="restart"/>
          </w:tcPr>
          <w:p>
            <w:pPr>
              <w:ind w:left="3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8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1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3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86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1240" w:type="dxa"/>
            <w:vAlign w:val="bottom"/>
            <w:gridSpan w:val="2"/>
            <w:vMerge w:val="restart"/>
          </w:tcPr>
          <w:p>
            <w:pPr>
              <w:ind w:left="340"/>
              <w:spacing w:after="0"/>
              <w:rPr>
                <w:sz w:val="20"/>
                <w:szCs w:val="20"/>
                <w:color w:val="auto"/>
              </w:rPr>
            </w:pPr>
            <w:r>
              <w:rPr>
                <w:rFonts w:ascii="Arial" w:cs="Arial" w:eastAsia="Arial" w:hAnsi="Arial"/>
                <w:sz w:val="14"/>
                <w:szCs w:val="14"/>
                <w:color w:val="auto"/>
              </w:rPr>
              <w:t>Person</w:t>
            </w: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3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860" w:type="dxa"/>
            <w:vAlign w:val="bottom"/>
          </w:tcPr>
          <w:p>
            <w:pPr>
              <w:spacing w:after="0"/>
              <w:rPr>
                <w:sz w:val="7"/>
                <w:szCs w:val="7"/>
                <w:color w:val="auto"/>
              </w:rPr>
            </w:pPr>
          </w:p>
        </w:tc>
        <w:tc>
          <w:tcPr>
            <w:tcW w:w="5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vMerge w:val="continue"/>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2840" w:type="dxa"/>
            <w:vAlign w:val="bottom"/>
            <w:tcBorders>
              <w:bottom w:val="single" w:sz="8" w:color="2C2C2C"/>
            </w:tcBorders>
            <w:gridSpan w:val="5"/>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1240" w:type="dxa"/>
            <w:vAlign w:val="bottom"/>
            <w:tcBorders>
              <w:bottom w:val="single" w:sz="8" w:color="2C2C2C"/>
            </w:tcBorders>
            <w:gridSpan w:val="2"/>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7880" w:type="dxa"/>
            <w:vAlign w:val="bottom"/>
            <w:tcBorders>
              <w:top w:val="single" w:sz="8" w:color="2C2C2C"/>
            </w:tcBorders>
            <w:gridSpan w:val="15"/>
          </w:tcPr>
          <w:p>
            <w:pPr>
              <w:jc w:val="center"/>
              <w:ind w:left="18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0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80" w:type="dxa"/>
            <w:vAlign w:val="bottom"/>
            <w:gridSpan w:val="3"/>
          </w:tcPr>
          <w:p>
            <w:pPr>
              <w:ind w:left="4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3"/>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32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58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10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0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40" w:type="dxa"/>
            <w:vAlign w:val="bottom"/>
            <w:gridSpan w:val="3"/>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8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62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62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jc w:val="right"/>
              <w:ind w:right="158"/>
              <w:spacing w:after="0"/>
              <w:rPr>
                <w:sz w:val="20"/>
                <w:szCs w:val="20"/>
                <w:color w:val="auto"/>
              </w:rPr>
            </w:pPr>
            <w:r>
              <w:rPr>
                <w:rFonts w:ascii="Arial" w:cs="Arial" w:eastAsia="Arial" w:hAnsi="Arial"/>
                <w:sz w:val="18"/>
                <w:szCs w:val="18"/>
                <w:color w:val="0000FF"/>
              </w:rPr>
              <w:t>11/14/2016</w:t>
            </w:r>
          </w:p>
        </w:tc>
        <w:tc>
          <w:tcPr>
            <w:tcW w:w="4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4"/>
                <w:szCs w:val="14"/>
                <w:color w:val="0000FF"/>
              </w:rPr>
              <w:t>P</w:t>
            </w:r>
          </w:p>
        </w:tc>
        <w:tc>
          <w:tcPr>
            <w:tcW w:w="86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5,535</w:t>
            </w:r>
          </w:p>
        </w:tc>
        <w:tc>
          <w:tcPr>
            <w:tcW w:w="50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A</w:t>
            </w:r>
          </w:p>
        </w:tc>
        <w:tc>
          <w:tcPr>
            <w:tcW w:w="720" w:type="dxa"/>
            <w:vAlign w:val="bottom"/>
            <w:tcBorders>
              <w:bottom w:val="single" w:sz="8" w:color="2C2C2C"/>
            </w:tcBorders>
            <w:gridSpan w:val="2"/>
          </w:tcPr>
          <w:p>
            <w:pP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17.988</w:t>
            </w:r>
            <w:r>
              <w:rPr>
                <w:rFonts w:ascii="Arial" w:cs="Arial" w:eastAsia="Arial" w:hAnsi="Arial"/>
                <w:sz w:val="22"/>
                <w:szCs w:val="22"/>
                <w:color w:val="008000"/>
                <w:w w:val="84"/>
                <w:vertAlign w:val="superscript"/>
              </w:rPr>
              <w:t>(1)</w:t>
            </w:r>
          </w:p>
        </w:tc>
        <w:tc>
          <w:tcPr>
            <w:tcW w:w="1300" w:type="dxa"/>
            <w:vAlign w:val="bottom"/>
            <w:tcBorders>
              <w:bottom w:val="single" w:sz="8" w:color="2C2C2C"/>
            </w:tcBorders>
            <w:gridSpan w:val="3"/>
          </w:tcPr>
          <w:p>
            <w:pPr>
              <w:jc w:val="right"/>
              <w:ind w:right="399"/>
              <w:spacing w:after="0"/>
              <w:rPr>
                <w:sz w:val="20"/>
                <w:szCs w:val="20"/>
                <w:color w:val="auto"/>
              </w:rPr>
            </w:pPr>
            <w:r>
              <w:rPr>
                <w:rFonts w:ascii="Arial" w:cs="Arial" w:eastAsia="Arial" w:hAnsi="Arial"/>
                <w:sz w:val="18"/>
                <w:szCs w:val="18"/>
                <w:color w:val="0000FF"/>
              </w:rPr>
              <w:t>5,535</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rPr>
              <w:t>D</w:t>
            </w:r>
          </w:p>
        </w:tc>
        <w:tc>
          <w:tcPr>
            <w:tcW w:w="2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40" w:type="dxa"/>
            <w:vAlign w:val="bottom"/>
            <w:gridSpan w:val="3"/>
          </w:tcPr>
          <w:p>
            <w:pPr>
              <w:ind w:left="8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00" w:type="dxa"/>
            <w:vAlign w:val="bottom"/>
            <w:gridSpan w:val="3"/>
            <w:vMerge w:val="restart"/>
          </w:tcPr>
          <w:p>
            <w:pPr>
              <w:jc w:val="right"/>
              <w:ind w:right="279"/>
              <w:spacing w:after="0"/>
              <w:rPr>
                <w:sz w:val="20"/>
                <w:szCs w:val="20"/>
                <w:color w:val="auto"/>
              </w:rPr>
            </w:pPr>
            <w:r>
              <w:rPr>
                <w:rFonts w:ascii="Arial" w:cs="Arial" w:eastAsia="Arial" w:hAnsi="Arial"/>
                <w:sz w:val="18"/>
                <w:szCs w:val="18"/>
                <w:color w:val="0000FF"/>
              </w:rPr>
              <w:t>5,544.11</w:t>
            </w:r>
          </w:p>
        </w:tc>
        <w:tc>
          <w:tcPr>
            <w:tcW w:w="300" w:type="dxa"/>
            <w:vAlign w:val="bottom"/>
          </w:tcPr>
          <w:p>
            <w:pPr>
              <w:spacing w:after="0"/>
              <w:rPr>
                <w:sz w:val="18"/>
                <w:szCs w:val="18"/>
                <w:color w:val="auto"/>
              </w:rPr>
            </w:pPr>
          </w:p>
        </w:tc>
        <w:tc>
          <w:tcPr>
            <w:tcW w:w="560" w:type="dxa"/>
            <w:vAlign w:val="bottom"/>
            <w:vMerge w:val="restart"/>
          </w:tcPr>
          <w:p>
            <w:pPr>
              <w:ind w:left="80"/>
              <w:spacing w:after="0"/>
              <w:rPr>
                <w:sz w:val="20"/>
                <w:szCs w:val="20"/>
                <w:color w:val="auto"/>
              </w:rPr>
            </w:pPr>
            <w:r>
              <w:rPr>
                <w:rFonts w:ascii="Arial" w:cs="Arial" w:eastAsia="Arial" w:hAnsi="Arial"/>
                <w:sz w:val="18"/>
                <w:szCs w:val="18"/>
                <w:color w:val="0000FF"/>
              </w:rPr>
              <w:t>I</w:t>
            </w:r>
          </w:p>
        </w:tc>
        <w:tc>
          <w:tcPr>
            <w:tcW w:w="1040" w:type="dxa"/>
            <w:vAlign w:val="bottom"/>
            <w:gridSpan w:val="3"/>
          </w:tcPr>
          <w:p>
            <w:pPr>
              <w:ind w:left="80"/>
              <w:spacing w:after="0"/>
              <w:rPr>
                <w:sz w:val="20"/>
                <w:szCs w:val="20"/>
                <w:color w:val="auto"/>
              </w:rPr>
            </w:pPr>
            <w:r>
              <w:rPr>
                <w:rFonts w:ascii="Arial" w:cs="Arial" w:eastAsia="Arial" w:hAnsi="Arial"/>
                <w:sz w:val="18"/>
                <w:szCs w:val="18"/>
                <w:color w:val="0000FF"/>
                <w:w w:val="99"/>
              </w:rPr>
              <w:t>Explanation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620" w:type="dxa"/>
            <w:vAlign w:val="bottom"/>
            <w:gridSpan w:val="3"/>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8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260" w:type="dxa"/>
            <w:vAlign w:val="bottom"/>
            <w:vMerge w:val="restart"/>
          </w:tcPr>
          <w:p>
            <w:pPr>
              <w:ind w:left="80"/>
              <w:spacing w:after="0"/>
              <w:rPr>
                <w:sz w:val="20"/>
                <w:szCs w:val="20"/>
                <w:color w:val="auto"/>
              </w:rPr>
            </w:pPr>
            <w:r>
              <w:rPr>
                <w:rFonts w:ascii="Arial" w:cs="Arial" w:eastAsia="Arial" w:hAnsi="Arial"/>
                <w:sz w:val="18"/>
                <w:szCs w:val="18"/>
                <w:color w:val="0000FF"/>
              </w:rPr>
              <w:t>of</w:t>
            </w: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8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gridSpan w:val="3"/>
          </w:tcPr>
          <w:p>
            <w:pPr>
              <w:ind w:left="80"/>
              <w:spacing w:after="0"/>
              <w:rPr>
                <w:sz w:val="20"/>
                <w:szCs w:val="20"/>
                <w:color w:val="auto"/>
              </w:rPr>
            </w:pPr>
            <w:r>
              <w:rPr>
                <w:rFonts w:ascii="Arial" w:cs="Arial" w:eastAsia="Arial" w:hAnsi="Arial"/>
                <w:sz w:val="18"/>
                <w:szCs w:val="18"/>
                <w:color w:val="0000FF"/>
                <w:w w:val="87"/>
              </w:rPr>
              <w:t>Responses</w:t>
            </w:r>
            <w:r>
              <w:rPr>
                <w:rFonts w:ascii="Arial" w:cs="Arial" w:eastAsia="Arial" w:hAnsi="Arial"/>
                <w:sz w:val="22"/>
                <w:szCs w:val="22"/>
                <w:color w:val="008000"/>
                <w:w w:val="87"/>
                <w:vertAlign w:val="superscript"/>
              </w:rPr>
              <w:t>(2)</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4"/>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60" w:type="dxa"/>
            <w:vAlign w:val="bottom"/>
            <w:gridSpan w:val="11"/>
          </w:tcPr>
          <w:p>
            <w:pPr>
              <w:jc w:val="center"/>
              <w:ind w:left="49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320" w:type="dxa"/>
            <w:vAlign w:val="bottom"/>
          </w:tcPr>
          <w:p>
            <w:pPr>
              <w:jc w:val="right"/>
              <w:ind w:right="158"/>
              <w:spacing w:after="0"/>
              <w:rPr>
                <w:sz w:val="20"/>
                <w:szCs w:val="20"/>
                <w:color w:val="auto"/>
              </w:rPr>
            </w:pPr>
            <w:r>
              <w:rPr>
                <w:rFonts w:ascii="Arial" w:cs="Arial" w:eastAsia="Arial" w:hAnsi="Arial"/>
                <w:sz w:val="12"/>
                <w:szCs w:val="12"/>
                <w:b w:val="1"/>
                <w:bCs w:val="1"/>
                <w:color w:val="auto"/>
                <w:w w:val="79"/>
              </w:rPr>
              <w:t>4.</w:t>
            </w:r>
          </w:p>
        </w:tc>
        <w:tc>
          <w:tcPr>
            <w:tcW w:w="46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620" w:type="dxa"/>
            <w:vAlign w:val="bottom"/>
            <w:gridSpan w:val="2"/>
          </w:tcPr>
          <w:p>
            <w:pPr>
              <w:ind w:left="1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8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Form:</w:t>
            </w:r>
          </w:p>
        </w:tc>
        <w:tc>
          <w:tcPr>
            <w:tcW w:w="2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320" w:type="dxa"/>
            <w:vAlign w:val="bottom"/>
          </w:tcPr>
          <w:p>
            <w:pPr>
              <w:jc w:val="right"/>
              <w:ind w:right="138"/>
              <w:spacing w:after="0" w:line="135" w:lineRule="exact"/>
              <w:rPr>
                <w:sz w:val="20"/>
                <w:szCs w:val="20"/>
                <w:color w:val="auto"/>
              </w:rPr>
            </w:pPr>
            <w:r>
              <w:rPr>
                <w:rFonts w:ascii="Arial" w:cs="Arial" w:eastAsia="Arial" w:hAnsi="Arial"/>
                <w:sz w:val="12"/>
                <w:szCs w:val="12"/>
                <w:b w:val="1"/>
                <w:bCs w:val="1"/>
                <w:color w:val="auto"/>
                <w:w w:val="93"/>
              </w:rPr>
              <w:t>8)</w:t>
            </w: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Security (Instr. 3</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8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and 4)</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Date</w:t>
            </w:r>
          </w:p>
        </w:tc>
        <w:tc>
          <w:tcPr>
            <w:tcW w:w="86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20"/>
                <w:szCs w:val="20"/>
                <w:color w:val="auto"/>
              </w:rPr>
            </w:pPr>
            <w:r>
              <w:rPr>
                <w:rFonts w:ascii="Arial" w:cs="Arial" w:eastAsia="Arial" w:hAnsi="Arial"/>
                <w:sz w:val="12"/>
                <w:szCs w:val="12"/>
                <w:b w:val="1"/>
                <w:bCs w:val="1"/>
                <w:color w:val="auto"/>
                <w:w w:val="99"/>
              </w:rPr>
              <w:t>Code</w:t>
            </w:r>
          </w:p>
        </w:tc>
        <w:tc>
          <w:tcPr>
            <w:tcW w:w="46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20" w:type="dxa"/>
            <w:vAlign w:val="bottom"/>
            <w:gridSpan w:val="2"/>
          </w:tcPr>
          <w:p>
            <w:pPr>
              <w:ind w:left="18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purchased in multiple transactions at prices ranging from $17.972 to $17.99, inclusive. The reporting person undertakes to provide to TPG Specialty Lending, Inc. (the "Issuer"), any security holder of the Issuer, or the staff of the Securities and Exchange Commission, upon request, full information regarding the number of shares sold at each separate price within the range set forth above.</w:t>
      </w:r>
    </w:p>
    <w:p>
      <w:pPr>
        <w:spacing w:after="0" w:line="30" w:lineRule="exact"/>
        <w:rPr>
          <w:rFonts w:ascii="Arial" w:cs="Arial" w:eastAsia="Arial" w:hAnsi="Arial"/>
          <w:sz w:val="14"/>
          <w:szCs w:val="14"/>
          <w:color w:val="008000"/>
        </w:rPr>
      </w:pPr>
    </w:p>
    <w:p>
      <w:pPr>
        <w:ind w:left="40" w:right="5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TSL Advisers, LLC ("TSL Advisers") directly holds 2,732,307 shares of Common Stock of the Issuer, including 5,544.11 shares of Common Stock of the Issuer indirectly beneficially owned by Mr. Stiepleman (through his limited partnership interest in TSL Equity Partners, L.P., which is a member of TSL Advisers).</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2"/>
          <w:szCs w:val="12"/>
          <w:color w:val="008000"/>
        </w:rPr>
        <w:t>(3) Jennifer Gordon is signing on behalf of Mr. Stiepleman pursuant to the authorization and designation letter dated May 20, 2015, which was previously filed with the Securities and Exchange Commission.</w:t>
      </w:r>
    </w:p>
    <w:p>
      <w:pPr>
        <w:spacing w:after="0" w:line="71"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8"/>
              </w:rPr>
              <w:t>/s/ Jennifer Gordon, on behalf</w:t>
            </w:r>
          </w:p>
        </w:tc>
        <w:tc>
          <w:tcPr>
            <w:tcW w:w="80" w:type="dxa"/>
            <w:vAlign w:val="bottom"/>
          </w:tcPr>
          <w:p>
            <w:pPr>
              <w:spacing w:after="0"/>
              <w:rPr>
                <w:sz w:val="18"/>
                <w:szCs w:val="18"/>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4"/>
              </w:rPr>
              <w:t>11/16/2016</w:t>
            </w:r>
          </w:p>
        </w:tc>
        <w:tc>
          <w:tcPr>
            <w:tcW w:w="0" w:type="dxa"/>
            <w:vAlign w:val="bottom"/>
          </w:tcPr>
          <w:p>
            <w:pPr>
              <w:spacing w:after="0"/>
              <w:rPr>
                <w:sz w:val="1"/>
                <w:szCs w:val="1"/>
                <w:color w:val="auto"/>
              </w:rPr>
            </w:pPr>
          </w:p>
        </w:tc>
      </w:tr>
      <w:tr>
        <w:trPr>
          <w:trHeight w:val="88"/>
        </w:trPr>
        <w:tc>
          <w:tcPr>
            <w:tcW w:w="1720" w:type="dxa"/>
            <w:vAlign w:val="bottom"/>
            <w:vMerge w:val="restart"/>
          </w:tcPr>
          <w:p>
            <w:pPr>
              <w:spacing w:after="0" w:line="196" w:lineRule="exact"/>
              <w:rPr>
                <w:sz w:val="20"/>
                <w:szCs w:val="20"/>
                <w:color w:val="auto"/>
              </w:rPr>
            </w:pPr>
            <w:r>
              <w:rPr>
                <w:rFonts w:ascii="Arial" w:cs="Arial" w:eastAsia="Arial" w:hAnsi="Arial"/>
                <w:sz w:val="18"/>
                <w:szCs w:val="18"/>
                <w:color w:val="0000FF"/>
                <w:w w:val="90"/>
              </w:rPr>
              <w:t>of David Stiepleman (3)</w:t>
            </w:r>
          </w:p>
        </w:tc>
        <w:tc>
          <w:tcPr>
            <w:tcW w:w="48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720" w:type="dxa"/>
            <w:vAlign w:val="bottom"/>
            <w:tcBorders>
              <w:bottom w:val="single" w:sz="8" w:color="auto"/>
            </w:tcBorders>
            <w:vMerge w:val="continue"/>
          </w:tcPr>
          <w:p>
            <w:pPr>
              <w:spacing w:after="0"/>
              <w:rPr>
                <w:sz w:val="7"/>
                <w:szCs w:val="7"/>
                <w:color w:val="auto"/>
              </w:rPr>
            </w:pPr>
          </w:p>
        </w:tc>
        <w:tc>
          <w:tcPr>
            <w:tcW w:w="4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2"/>
          <w:szCs w:val="22"/>
          <w:b w:val="1"/>
          <w:bCs w:val="1"/>
          <w:color w:val="auto"/>
        </w:rPr>
        <w:t>[TPG Logo]</w:t>
      </w:r>
    </w:p>
    <w:p>
      <w:pPr>
        <w:spacing w:after="0" w:line="348" w:lineRule="exact"/>
        <w:rPr>
          <w:sz w:val="20"/>
          <w:szCs w:val="20"/>
          <w:color w:val="auto"/>
        </w:rPr>
      </w:pPr>
    </w:p>
    <w:p>
      <w:pPr>
        <w:jc w:val="center"/>
        <w:ind w:right="-419"/>
        <w:spacing w:after="0"/>
        <w:rPr>
          <w:sz w:val="20"/>
          <w:szCs w:val="20"/>
          <w:color w:val="auto"/>
        </w:rPr>
      </w:pPr>
      <w:r>
        <w:rPr>
          <w:rFonts w:ascii="Arial" w:cs="Arial" w:eastAsia="Arial" w:hAnsi="Arial"/>
          <w:sz w:val="22"/>
          <w:szCs w:val="22"/>
          <w:color w:val="auto"/>
        </w:rPr>
        <w:t>May 20, 2015</w:t>
      </w:r>
    </w:p>
    <w:p>
      <w:pPr>
        <w:ind w:left="100"/>
        <w:spacing w:after="0" w:line="238" w:lineRule="auto"/>
        <w:rPr>
          <w:sz w:val="20"/>
          <w:szCs w:val="20"/>
          <w:color w:val="auto"/>
        </w:rPr>
      </w:pPr>
      <w:r>
        <w:rPr>
          <w:rFonts w:ascii="Arial" w:cs="Arial" w:eastAsia="Arial" w:hAnsi="Arial"/>
          <w:sz w:val="22"/>
          <w:szCs w:val="22"/>
          <w:color w:val="auto"/>
        </w:rPr>
        <w:t>Securities and Exchange Commission</w:t>
      </w:r>
    </w:p>
    <w:p>
      <w:pPr>
        <w:ind w:left="100"/>
        <w:spacing w:after="0" w:line="230" w:lineRule="auto"/>
        <w:rPr>
          <w:sz w:val="20"/>
          <w:szCs w:val="20"/>
          <w:color w:val="auto"/>
        </w:rPr>
      </w:pPr>
      <w:r>
        <w:rPr>
          <w:rFonts w:ascii="Arial" w:cs="Arial" w:eastAsia="Arial" w:hAnsi="Arial"/>
          <w:sz w:val="22"/>
          <w:szCs w:val="22"/>
          <w:color w:val="auto"/>
        </w:rPr>
        <w:t>100 F Street, NE</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22"/>
          <w:szCs w:val="22"/>
          <w:color w:val="auto"/>
        </w:rPr>
        <w:t>Washington, DC 20549</w:t>
      </w:r>
    </w:p>
    <w:p>
      <w:pPr>
        <w:spacing w:after="0" w:line="215" w:lineRule="exact"/>
        <w:rPr>
          <w:sz w:val="20"/>
          <w:szCs w:val="20"/>
          <w:color w:val="auto"/>
        </w:rPr>
      </w:pPr>
    </w:p>
    <w:p>
      <w:pPr>
        <w:ind w:firstLine="1297"/>
        <w:spacing w:after="0" w:line="287" w:lineRule="auto"/>
        <w:rPr>
          <w:sz w:val="20"/>
          <w:szCs w:val="20"/>
          <w:color w:val="auto"/>
        </w:rPr>
      </w:pPr>
      <w:r>
        <w:rPr>
          <w:rFonts w:ascii="Arial" w:cs="Arial" w:eastAsia="Arial" w:hAnsi="Arial"/>
          <w:sz w:val="19"/>
          <w:szCs w:val="19"/>
          <w:color w:val="auto"/>
        </w:rPr>
        <w:t>This letter confirms that Jennifer Mello and Jennifer Gordon are authorized and designated to sign all securities related filings under Sections 13 and 16 of the Securities Exchange Act of 1934, as amended, with the Securities and Exchange Commission, including Form ID Acknowledgements, on my behalf. This authorization and designation shall be valid until December 31, 2018 and supersedes the authorization and designation letter dated March 10, 2014.</w:t>
      </w:r>
    </w:p>
    <w:p>
      <w:pPr>
        <w:spacing w:after="0" w:line="143"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Very truly yours,</w:t>
      </w:r>
    </w:p>
    <w:p>
      <w:pPr>
        <w:spacing w:after="0" w:line="200" w:lineRule="exact"/>
        <w:rPr>
          <w:sz w:val="20"/>
          <w:szCs w:val="20"/>
          <w:color w:val="auto"/>
        </w:rPr>
      </w:pPr>
    </w:p>
    <w:p>
      <w:pPr>
        <w:spacing w:after="0" w:line="276"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/s/ David Stiepleman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3298190</wp:posOffset>
            </wp:positionH>
            <wp:positionV relativeFrom="paragraph">
              <wp:posOffset>-17780</wp:posOffset>
            </wp:positionV>
            <wp:extent cx="14255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25575" cy="8890"/>
                    </a:xfrm>
                    <a:prstGeom prst="rect">
                      <a:avLst/>
                    </a:prstGeom>
                    <a:noFill/>
                  </pic:spPr>
                </pic:pic>
              </a:graphicData>
            </a:graphic>
          </wp:anchor>
        </w:drawing>
      </w:r>
    </w:p>
    <w:p>
      <w:pPr>
        <w:ind w:left="5200"/>
        <w:spacing w:after="0"/>
        <w:rPr>
          <w:sz w:val="20"/>
          <w:szCs w:val="20"/>
          <w:color w:val="auto"/>
        </w:rPr>
      </w:pPr>
      <w:r>
        <w:rPr>
          <w:rFonts w:ascii="Arial" w:cs="Arial" w:eastAsia="Arial" w:hAnsi="Arial"/>
          <w:sz w:val="22"/>
          <w:szCs w:val="22"/>
          <w:color w:val="auto"/>
        </w:rPr>
        <w:t>David Stiepleman</w:t>
      </w:r>
    </w:p>
    <w:sectPr>
      <w:pgSz w:w="11900" w:h="16838" w:orient="portrait"/>
      <w:cols w:equalWidth="0" w:num="1">
        <w:col w:w="11000"/>
      </w:cols>
      <w:pgMar w:left="240" w:top="111"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15134" TargetMode="External"/><Relationship Id="rId13" Type="http://schemas.openxmlformats.org/officeDocument/2006/relationships/hyperlink" Target="http://www.sec.gov/cgi-bin/browse-edgar?action=getcompany&amp;CIK=0001508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2019-12-08T20:03:02Z</dcterms:created>
  <dcterms:modified xsi:type="dcterms:W3CDTF">2019-12-08T20:03:02Z</dcterms:modified>
</cp:coreProperties>
</file>