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15)</w:t>
      </w:r>
    </w:p>
    <w:p>
      <w:pPr>
        <w:spacing w:after="0" w:line="162" w:lineRule="exact"/>
        <w:rPr>
          <w:sz w:val="24"/>
          <w:szCs w:val="24"/>
          <w:color w:val="auto"/>
        </w:rPr>
      </w:pPr>
    </w:p>
    <w:p>
      <w:pPr>
        <w:spacing w:after="0" w:line="256" w:lineRule="auto"/>
        <w:rPr>
          <w:sz w:val="20"/>
          <w:szCs w:val="20"/>
          <w:color w:val="auto"/>
        </w:rPr>
      </w:pPr>
      <w:r>
        <w:rPr>
          <w:rFonts w:ascii="Arial" w:cs="Arial" w:eastAsia="Arial" w:hAnsi="Arial"/>
          <w:sz w:val="22"/>
          <w:szCs w:val="22"/>
          <w:b w:val="1"/>
          <w:bCs w:val="1"/>
          <w:color w:val="auto"/>
        </w:rPr>
        <w:t>INFORMATION TO BE INCLUDED IN STATEMENTS FILED PURSUANT TO § 240.13d-1(a) AND AMENDMENTS THERETO FILED PURSUANT TO 240.13d-2(a)</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87265K102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Michael LaGatta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14,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640" w:firstLine="324"/>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MS PGothic" w:cs="MS PGothic" w:eastAsia="MS PGothic" w:hAnsi="MS PGothic"/>
          <w:sz w:val="18"/>
          <w:szCs w:val="18"/>
          <w:color w:val="auto"/>
        </w:rPr>
        <w:t>☐</w:t>
      </w:r>
    </w:p>
    <w:p>
      <w:pPr>
        <w:spacing w:after="0" w:line="142"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 -7</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parties to whom copies are to be sent.</w:t>
      </w:r>
    </w:p>
    <w:p>
      <w:pPr>
        <w:spacing w:after="0" w:line="116"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(Continued on following pages)</w:t>
      </w:r>
    </w:p>
    <w:p>
      <w:pPr>
        <w:spacing w:after="0" w:line="171"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(Page 1 of 13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2440" w:type="dxa"/>
            <w:vAlign w:val="bottom"/>
            <w:tcBorders>
              <w:top w:val="single" w:sz="8" w:color="808080"/>
              <w:left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CUSIP No. 87265K102</w:t>
            </w:r>
          </w:p>
        </w:tc>
        <w:tc>
          <w:tcPr>
            <w:tcW w:w="22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160" w:type="dxa"/>
            <w:vAlign w:val="bottom"/>
            <w:tcBorders>
              <w:top w:val="single" w:sz="8" w:color="808080"/>
              <w:right w:val="single" w:sz="8" w:color="808080"/>
            </w:tcBorders>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Borders>
              <w:right w:val="single" w:sz="8" w:color="808080"/>
            </w:tcBorders>
          </w:tcPr>
          <w:p>
            <w:pPr>
              <w:ind w:left="40"/>
              <w:spacing w:after="0"/>
              <w:rPr>
                <w:sz w:val="20"/>
                <w:szCs w:val="20"/>
                <w:color w:val="auto"/>
              </w:rPr>
            </w:pPr>
            <w:r>
              <w:rPr>
                <w:rFonts w:ascii="Arial" w:cs="Arial" w:eastAsia="Arial" w:hAnsi="Arial"/>
                <w:sz w:val="18"/>
                <w:szCs w:val="18"/>
                <w:b w:val="1"/>
                <w:bCs w:val="1"/>
                <w:color w:val="auto"/>
              </w:rPr>
              <w:t>13D</w:t>
            </w:r>
          </w:p>
        </w:tc>
        <w:tc>
          <w:tcPr>
            <w:tcW w:w="2600" w:type="dxa"/>
            <w:vAlign w:val="bottom"/>
            <w:tcBorders>
              <w:top w:val="single" w:sz="8" w:color="808080"/>
              <w:right w:val="single" w:sz="8" w:color="808080"/>
            </w:tcBorders>
          </w:tcPr>
          <w:p>
            <w:pPr>
              <w:jc w:val="right"/>
              <w:spacing w:after="0"/>
              <w:rPr>
                <w:sz w:val="20"/>
                <w:szCs w:val="20"/>
                <w:color w:val="auto"/>
              </w:rPr>
            </w:pPr>
            <w:r>
              <w:rPr>
                <w:rFonts w:ascii="Arial" w:cs="Arial" w:eastAsia="Arial" w:hAnsi="Arial"/>
                <w:sz w:val="18"/>
                <w:szCs w:val="18"/>
                <w:b w:val="1"/>
                <w:bCs w:val="1"/>
                <w:color w:val="auto"/>
              </w:rPr>
              <w:t>Page 2 of 13 Pages</w:t>
            </w:r>
          </w:p>
        </w:tc>
      </w:tr>
      <w:tr>
        <w:trPr>
          <w:trHeight w:val="54"/>
        </w:trPr>
        <w:tc>
          <w:tcPr>
            <w:tcW w:w="2900" w:type="dxa"/>
            <w:vAlign w:val="bottom"/>
            <w:tcBorders>
              <w:left w:val="single" w:sz="8" w:color="808080"/>
              <w:bottom w:val="single" w:sz="8" w:color="808080"/>
              <w:right w:val="single" w:sz="8" w:color="808080"/>
            </w:tcBorders>
            <w:gridSpan w:val="5"/>
          </w:tcPr>
          <w:p>
            <w:pPr>
              <w:spacing w:after="0"/>
              <w:rPr>
                <w:sz w:val="4"/>
                <w:szCs w:val="4"/>
                <w:color w:val="auto"/>
              </w:rPr>
            </w:pPr>
          </w:p>
        </w:tc>
        <w:tc>
          <w:tcPr>
            <w:tcW w:w="2740" w:type="dxa"/>
            <w:vAlign w:val="bottom"/>
            <w:tcBorders>
              <w:bottom w:val="single" w:sz="8" w:color="808080"/>
            </w:tcBorders>
          </w:tcPr>
          <w:p>
            <w:pPr>
              <w:spacing w:after="0"/>
              <w:rPr>
                <w:sz w:val="4"/>
                <w:szCs w:val="4"/>
                <w:color w:val="auto"/>
              </w:rPr>
            </w:pPr>
          </w:p>
        </w:tc>
        <w:tc>
          <w:tcPr>
            <w:tcW w:w="3180" w:type="dxa"/>
            <w:vAlign w:val="bottom"/>
            <w:tcBorders>
              <w:bottom w:val="single" w:sz="8" w:color="808080"/>
              <w:right w:val="single" w:sz="8" w:color="808080"/>
            </w:tcBorders>
          </w:tcPr>
          <w:p>
            <w:pPr>
              <w:spacing w:after="0"/>
              <w:rPr>
                <w:sz w:val="4"/>
                <w:szCs w:val="4"/>
                <w:color w:val="auto"/>
              </w:rPr>
            </w:pPr>
          </w:p>
        </w:tc>
        <w:tc>
          <w:tcPr>
            <w:tcW w:w="2600" w:type="dxa"/>
            <w:vAlign w:val="bottom"/>
            <w:tcBorders>
              <w:bottom w:val="single" w:sz="8" w:color="808080"/>
              <w:right w:val="single" w:sz="8" w:color="808080"/>
            </w:tcBorders>
          </w:tcPr>
          <w:p>
            <w:pPr>
              <w:spacing w:after="0"/>
              <w:rPr>
                <w:sz w:val="4"/>
                <w:szCs w:val="4"/>
                <w:color w:val="auto"/>
              </w:rPr>
            </w:pPr>
          </w:p>
        </w:tc>
      </w:tr>
      <w:tr>
        <w:trPr>
          <w:trHeight w:val="249"/>
        </w:trPr>
        <w:tc>
          <w:tcPr>
            <w:tcW w:w="260" w:type="dxa"/>
            <w:vAlign w:val="bottom"/>
            <w:tcBorders>
              <w:left w:val="single" w:sz="8" w:color="808080"/>
              <w:right w:val="single" w:sz="8" w:color="808080"/>
            </w:tcBorders>
          </w:tcPr>
          <w:p>
            <w:pPr>
              <w:jc w:val="right"/>
              <w:spacing w:after="0"/>
              <w:rPr>
                <w:sz w:val="20"/>
                <w:szCs w:val="20"/>
                <w:color w:val="auto"/>
              </w:rPr>
            </w:pPr>
            <w:r>
              <w:rPr>
                <w:rFonts w:ascii="Arial" w:cs="Arial" w:eastAsia="Arial" w:hAnsi="Arial"/>
                <w:sz w:val="18"/>
                <w:szCs w:val="18"/>
                <w:color w:val="auto"/>
              </w:rPr>
              <w:t>1</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TPG Group Holdings (SBS) Advisors, Inc.</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189"/>
        </w:trPr>
        <w:tc>
          <w:tcPr>
            <w:tcW w:w="260" w:type="dxa"/>
            <w:vAlign w:val="bottom"/>
            <w:tcBorders>
              <w:left w:val="single" w:sz="8" w:color="808080"/>
              <w:bottom w:val="single" w:sz="8" w:color="808080"/>
              <w:right w:val="single" w:sz="8" w:color="808080"/>
            </w:tcBorders>
          </w:tcPr>
          <w:p>
            <w:pPr>
              <w:spacing w:after="0"/>
              <w:rPr>
                <w:sz w:val="16"/>
                <w:szCs w:val="16"/>
                <w:color w:val="auto"/>
              </w:rPr>
            </w:pPr>
          </w:p>
        </w:tc>
        <w:tc>
          <w:tcPr>
            <w:tcW w:w="2640" w:type="dxa"/>
            <w:vAlign w:val="bottom"/>
            <w:tcBorders>
              <w:bottom w:val="single" w:sz="8" w:color="808080"/>
            </w:tcBorders>
            <w:gridSpan w:val="4"/>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31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r>
      <w:tr>
        <w:trPr>
          <w:trHeight w:val="21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2</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spacing w:after="0"/>
              <w:rPr>
                <w:sz w:val="18"/>
                <w:szCs w:val="18"/>
                <w:color w:val="auto"/>
              </w:rPr>
            </w:pPr>
          </w:p>
        </w:tc>
        <w:tc>
          <w:tcPr>
            <w:tcW w:w="2600" w:type="dxa"/>
            <w:vAlign w:val="bottom"/>
            <w:tcBorders>
              <w:right w:val="single" w:sz="8" w:color="808080"/>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260" w:type="dxa"/>
            <w:vAlign w:val="bottom"/>
            <w:tcBorders>
              <w:left w:val="single" w:sz="8" w:color="808080"/>
              <w:right w:val="single" w:sz="8" w:color="808080"/>
            </w:tcBorders>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(see instructions)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0" w:type="dxa"/>
            <w:vAlign w:val="bottom"/>
            <w:tcBorders>
              <w:right w:val="single" w:sz="8" w:color="808080"/>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r>
      <w:tr>
        <w:trPr>
          <w:trHeight w:val="26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600" w:type="dxa"/>
            <w:vAlign w:val="bottom"/>
            <w:tcBorders>
              <w:right w:val="single" w:sz="8" w:color="808080"/>
            </w:tcBorders>
          </w:tcPr>
          <w:p>
            <w:pPr>
              <w:spacing w:after="0"/>
              <w:rPr>
                <w:sz w:val="22"/>
                <w:szCs w:val="22"/>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49"/>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4</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OO (See Item 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8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5380" w:type="dxa"/>
            <w:vAlign w:val="bottom"/>
            <w:gridSpan w:val="5"/>
          </w:tcPr>
          <w:p>
            <w:pPr>
              <w:spacing w:after="0"/>
              <w:rPr>
                <w:sz w:val="20"/>
                <w:szCs w:val="20"/>
                <w:color w:val="auto"/>
              </w:rPr>
            </w:pPr>
            <w:r>
              <w:rPr>
                <w:rFonts w:ascii="Arial" w:cs="Arial" w:eastAsia="Arial" w:hAnsi="Arial"/>
                <w:sz w:val="18"/>
                <w:szCs w:val="18"/>
                <w:color w:val="auto"/>
                <w:w w:val="95"/>
              </w:rPr>
              <w:t>CHECK IF DISCLOSURE OF LEGAL PROCEEDINGS IS REQUIRED</w:t>
            </w:r>
          </w:p>
        </w:tc>
        <w:tc>
          <w:tcPr>
            <w:tcW w:w="3180" w:type="dxa"/>
            <w:vAlign w:val="bottom"/>
          </w:tcPr>
          <w:p>
            <w:pPr>
              <w:ind w:left="160"/>
              <w:spacing w:after="0"/>
              <w:rPr>
                <w:sz w:val="20"/>
                <w:szCs w:val="20"/>
                <w:color w:val="auto"/>
              </w:rPr>
            </w:pPr>
            <w:r>
              <w:rPr>
                <w:rFonts w:ascii="Arial" w:cs="Arial" w:eastAsia="Arial" w:hAnsi="Arial"/>
                <w:sz w:val="18"/>
                <w:szCs w:val="18"/>
                <w:color w:val="auto"/>
              </w:rPr>
              <w:t>PURSUANT TO ITEM 2(d) or 2(e)</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260" w:type="dxa"/>
            <w:vAlign w:val="bottom"/>
            <w:tcBorders>
              <w:left w:val="single" w:sz="8" w:color="808080"/>
              <w:bottom w:val="single" w:sz="8" w:color="808080"/>
              <w:right w:val="single" w:sz="8" w:color="808080"/>
            </w:tcBorders>
          </w:tcPr>
          <w:p>
            <w:pPr>
              <w:spacing w:after="0"/>
              <w:rPr>
                <w:sz w:val="19"/>
                <w:szCs w:val="19"/>
                <w:color w:val="auto"/>
              </w:rPr>
            </w:pPr>
          </w:p>
        </w:tc>
        <w:tc>
          <w:tcPr>
            <w:tcW w:w="2640" w:type="dxa"/>
            <w:vAlign w:val="bottom"/>
            <w:tcBorders>
              <w:bottom w:val="single" w:sz="8" w:color="808080"/>
            </w:tcBorders>
            <w:gridSpan w:val="4"/>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right w:val="single" w:sz="8" w:color="808080"/>
            </w:tcBorders>
          </w:tcPr>
          <w:p>
            <w:pPr>
              <w:spacing w:after="0"/>
              <w:rPr>
                <w:sz w:val="19"/>
                <w:szCs w:val="19"/>
                <w:color w:val="auto"/>
              </w:rPr>
            </w:pPr>
          </w:p>
        </w:tc>
      </w:tr>
      <w:tr>
        <w:trPr>
          <w:trHeight w:val="249"/>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6</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49"/>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spacing w:after="0"/>
              <w:rPr>
                <w:sz w:val="21"/>
                <w:szCs w:val="21"/>
                <w:color w:val="auto"/>
              </w:rPr>
            </w:pPr>
          </w:p>
        </w:tc>
        <w:tc>
          <w:tcPr>
            <w:tcW w:w="220" w:type="dxa"/>
            <w:vAlign w:val="bottom"/>
            <w:tcBorders>
              <w:right w:val="single" w:sz="8" w:color="808080"/>
            </w:tcBorders>
          </w:tcPr>
          <w:p>
            <w:pPr>
              <w:jc w:val="center"/>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49"/>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spacing w:after="0"/>
              <w:rPr>
                <w:sz w:val="21"/>
                <w:szCs w:val="21"/>
                <w:color w:val="auto"/>
              </w:rPr>
            </w:pPr>
          </w:p>
        </w:tc>
        <w:tc>
          <w:tcPr>
            <w:tcW w:w="220" w:type="dxa"/>
            <w:vAlign w:val="bottom"/>
            <w:tcBorders>
              <w:right w:val="single" w:sz="8" w:color="808080"/>
            </w:tcBorders>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tcBorders>
          </w:tcPr>
          <w:p>
            <w:pPr>
              <w:spacing w:after="0"/>
              <w:rPr>
                <w:sz w:val="19"/>
                <w:szCs w:val="19"/>
                <w:color w:val="auto"/>
              </w:rPr>
            </w:pPr>
          </w:p>
        </w:tc>
        <w:tc>
          <w:tcPr>
            <w:tcW w:w="218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right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2,716,977 (See Items 3, 4 and 5)</w:t>
            </w:r>
          </w:p>
        </w:tc>
        <w:tc>
          <w:tcPr>
            <w:tcW w:w="3180" w:type="dxa"/>
            <w:vAlign w:val="bottom"/>
          </w:tcPr>
          <w:p>
            <w:pPr>
              <w:spacing w:after="0"/>
              <w:rPr>
                <w:sz w:val="19"/>
                <w:szCs w:val="19"/>
                <w:color w:val="auto"/>
              </w:rPr>
            </w:pPr>
          </w:p>
        </w:tc>
        <w:tc>
          <w:tcPr>
            <w:tcW w:w="2600" w:type="dxa"/>
            <w:vAlign w:val="bottom"/>
            <w:tcBorders>
              <w:right w:val="single" w:sz="8" w:color="808080"/>
            </w:tcBorders>
          </w:tcPr>
          <w:p>
            <w:pPr>
              <w:spacing w:after="0"/>
              <w:rPr>
                <w:sz w:val="19"/>
                <w:szCs w:val="19"/>
                <w:color w:val="auto"/>
              </w:rPr>
            </w:pPr>
          </w:p>
        </w:tc>
      </w:tr>
      <w:tr>
        <w:trPr>
          <w:trHeight w:val="190"/>
        </w:trPr>
        <w:tc>
          <w:tcPr>
            <w:tcW w:w="2440" w:type="dxa"/>
            <w:vAlign w:val="bottom"/>
            <w:tcBorders>
              <w:left w:val="single" w:sz="8" w:color="808080"/>
              <w:right w:val="single" w:sz="8" w:color="808080"/>
            </w:tcBorders>
            <w:gridSpan w:val="2"/>
          </w:tcPr>
          <w:p>
            <w:pPr>
              <w:jc w:val="center"/>
              <w:spacing w:after="0" w:line="190" w:lineRule="exact"/>
              <w:rPr>
                <w:sz w:val="20"/>
                <w:szCs w:val="20"/>
                <w:color w:val="auto"/>
              </w:rPr>
            </w:pPr>
            <w:r>
              <w:rPr>
                <w:rFonts w:ascii="Arial" w:cs="Arial" w:eastAsia="Arial" w:hAnsi="Arial"/>
                <w:sz w:val="18"/>
                <w:szCs w:val="18"/>
                <w:color w:val="auto"/>
                <w:w w:val="99"/>
              </w:rPr>
              <w:t>BENEFICIALLY OWNED BY</w:t>
            </w:r>
          </w:p>
        </w:tc>
        <w:tc>
          <w:tcPr>
            <w:tcW w:w="220" w:type="dxa"/>
            <w:vAlign w:val="bottom"/>
            <w:tcBorders>
              <w:bottom w:val="single" w:sz="8" w:color="808080"/>
              <w:right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31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r>
      <w:tr>
        <w:trPr>
          <w:trHeight w:val="222"/>
        </w:trPr>
        <w:tc>
          <w:tcPr>
            <w:tcW w:w="260" w:type="dxa"/>
            <w:vAlign w:val="bottom"/>
            <w:tcBorders>
              <w:left w:val="single" w:sz="8" w:color="808080"/>
            </w:tcBorders>
          </w:tcPr>
          <w:p>
            <w:pPr>
              <w:spacing w:after="0"/>
              <w:rPr>
                <w:sz w:val="19"/>
                <w:szCs w:val="19"/>
                <w:color w:val="auto"/>
              </w:rPr>
            </w:pPr>
          </w:p>
        </w:tc>
        <w:tc>
          <w:tcPr>
            <w:tcW w:w="218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5"/>
              </w:rPr>
              <w:t>EACH REPORTING</w:t>
            </w:r>
          </w:p>
        </w:tc>
        <w:tc>
          <w:tcPr>
            <w:tcW w:w="220" w:type="dxa"/>
            <w:vAlign w:val="bottom"/>
            <w:tcBorders>
              <w:right w:val="single" w:sz="8" w:color="808080"/>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3180" w:type="dxa"/>
            <w:vAlign w:val="bottom"/>
          </w:tcPr>
          <w:p>
            <w:pPr>
              <w:spacing w:after="0"/>
              <w:rPr>
                <w:sz w:val="19"/>
                <w:szCs w:val="19"/>
                <w:color w:val="auto"/>
              </w:rPr>
            </w:pPr>
          </w:p>
        </w:tc>
        <w:tc>
          <w:tcPr>
            <w:tcW w:w="2600" w:type="dxa"/>
            <w:vAlign w:val="bottom"/>
            <w:tcBorders>
              <w:right w:val="single" w:sz="8" w:color="808080"/>
            </w:tcBorders>
          </w:tcPr>
          <w:p>
            <w:pPr>
              <w:spacing w:after="0"/>
              <w:rPr>
                <w:sz w:val="19"/>
                <w:szCs w:val="19"/>
                <w:color w:val="auto"/>
              </w:rPr>
            </w:pPr>
          </w:p>
        </w:tc>
      </w:tr>
      <w:tr>
        <w:trPr>
          <w:trHeight w:val="257"/>
        </w:trPr>
        <w:tc>
          <w:tcPr>
            <w:tcW w:w="260" w:type="dxa"/>
            <w:vAlign w:val="bottom"/>
            <w:tcBorders>
              <w:left w:val="single" w:sz="8" w:color="808080"/>
            </w:tcBorders>
          </w:tcPr>
          <w:p>
            <w:pPr>
              <w:spacing w:after="0"/>
              <w:rPr>
                <w:sz w:val="22"/>
                <w:szCs w:val="22"/>
                <w:color w:val="auto"/>
              </w:rPr>
            </w:pPr>
          </w:p>
        </w:tc>
        <w:tc>
          <w:tcPr>
            <w:tcW w:w="218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right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2"/>
                <w:szCs w:val="22"/>
                <w:color w:val="auto"/>
              </w:rPr>
            </w:pPr>
          </w:p>
        </w:tc>
        <w:tc>
          <w:tcPr>
            <w:tcW w:w="2600" w:type="dxa"/>
            <w:vAlign w:val="bottom"/>
            <w:tcBorders>
              <w:right w:val="single" w:sz="8" w:color="808080"/>
            </w:tcBorders>
          </w:tcPr>
          <w:p>
            <w:pPr>
              <w:spacing w:after="0"/>
              <w:rPr>
                <w:sz w:val="22"/>
                <w:szCs w:val="22"/>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49"/>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spacing w:after="0"/>
              <w:rPr>
                <w:sz w:val="21"/>
                <w:szCs w:val="21"/>
                <w:color w:val="auto"/>
              </w:rPr>
            </w:pPr>
          </w:p>
        </w:tc>
        <w:tc>
          <w:tcPr>
            <w:tcW w:w="220" w:type="dxa"/>
            <w:vAlign w:val="bottom"/>
            <w:tcBorders>
              <w:right w:val="single" w:sz="8" w:color="808080"/>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2,716,977 (See Items 3, 4 and 5)</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440" w:type="dxa"/>
            <w:vAlign w:val="bottom"/>
            <w:tcBorders>
              <w:left w:val="single" w:sz="8" w:color="808080"/>
              <w:bottom w:val="single" w:sz="8" w:color="808080"/>
              <w:right w:val="single" w:sz="8" w:color="808080"/>
            </w:tcBorders>
            <w:gridSpan w:val="2"/>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5920" w:type="dxa"/>
            <w:vAlign w:val="bottom"/>
            <w:tcBorders>
              <w:bottom w:val="single" w:sz="8" w:color="808080"/>
            </w:tcBorders>
            <w:gridSpan w:val="2"/>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49"/>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11</w:t>
            </w:r>
          </w:p>
        </w:tc>
        <w:tc>
          <w:tcPr>
            <w:tcW w:w="856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w w:val="89"/>
              </w:rPr>
              <w:t>2,716,977 (See Items 3, 4 and 5)</w:t>
            </w: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8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5380" w:type="dxa"/>
            <w:vAlign w:val="bottom"/>
            <w:gridSpan w:val="5"/>
          </w:tcPr>
          <w:p>
            <w:pPr>
              <w:spacing w:after="0"/>
              <w:rPr>
                <w:sz w:val="20"/>
                <w:szCs w:val="20"/>
                <w:color w:val="auto"/>
              </w:rPr>
            </w:pPr>
            <w:r>
              <w:rPr>
                <w:rFonts w:ascii="Arial" w:cs="Arial" w:eastAsia="Arial" w:hAnsi="Arial"/>
                <w:sz w:val="18"/>
                <w:szCs w:val="18"/>
                <w:color w:val="auto"/>
                <w:w w:val="99"/>
              </w:rPr>
              <w:t>CHECK IF THE AGGREGATE AMOUNT IN ROW (11) EXCLUDES</w:t>
            </w:r>
          </w:p>
        </w:tc>
        <w:tc>
          <w:tcPr>
            <w:tcW w:w="3180" w:type="dxa"/>
            <w:vAlign w:val="bottom"/>
          </w:tcPr>
          <w:p>
            <w:pPr>
              <w:ind w:left="340"/>
              <w:spacing w:after="0"/>
              <w:rPr>
                <w:sz w:val="20"/>
                <w:szCs w:val="20"/>
                <w:color w:val="auto"/>
              </w:rPr>
            </w:pPr>
            <w:r>
              <w:rPr>
                <w:rFonts w:ascii="Arial" w:cs="Arial" w:eastAsia="Arial" w:hAnsi="Arial"/>
                <w:sz w:val="18"/>
                <w:szCs w:val="18"/>
                <w:color w:val="auto"/>
                <w:w w:val="93"/>
              </w:rPr>
              <w:t>CERTAIN SHARES (see instructions)</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260" w:type="dxa"/>
            <w:vAlign w:val="bottom"/>
            <w:tcBorders>
              <w:left w:val="single" w:sz="8" w:color="808080"/>
              <w:bottom w:val="single" w:sz="8" w:color="808080"/>
              <w:right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gridSpan w:val="2"/>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right w:val="single" w:sz="8" w:color="808080"/>
            </w:tcBorders>
          </w:tcPr>
          <w:p>
            <w:pPr>
              <w:spacing w:after="0"/>
              <w:rPr>
                <w:sz w:val="19"/>
                <w:szCs w:val="19"/>
                <w:color w:val="auto"/>
              </w:rPr>
            </w:pPr>
          </w:p>
        </w:tc>
      </w:tr>
      <w:tr>
        <w:trPr>
          <w:trHeight w:val="249"/>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w w:val="99"/>
              </w:rPr>
              <w:t>PERCENT OF CLASS REPRESENTED BY AMOUNT IN ROW 11</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4.1% (See Item 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49"/>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CO</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bl>
    <w:p>
      <w:pPr>
        <w:spacing w:after="0" w:line="269" w:lineRule="exact"/>
        <w:rPr>
          <w:sz w:val="20"/>
          <w:szCs w:val="20"/>
          <w:color w:val="auto"/>
        </w:rPr>
      </w:pPr>
    </w:p>
    <w:p>
      <w:pPr>
        <w:ind w:left="240" w:right="20" w:hanging="162"/>
        <w:spacing w:after="0" w:line="277" w:lineRule="auto"/>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calculation assumes that there are 66,719,061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based on information provided by the Issuer.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2440" w:type="dxa"/>
            <w:vAlign w:val="bottom"/>
            <w:tcBorders>
              <w:top w:val="single" w:sz="8" w:color="808080"/>
              <w:left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CUSIP No. 87265K102</w:t>
            </w:r>
          </w:p>
        </w:tc>
        <w:tc>
          <w:tcPr>
            <w:tcW w:w="220" w:type="dxa"/>
            <w:vAlign w:val="bottom"/>
            <w:tcBorders>
              <w:top w:val="single" w:sz="8" w:color="808080"/>
            </w:tcBorders>
          </w:tcPr>
          <w:p>
            <w:pPr>
              <w:spacing w:after="0"/>
              <w:rPr>
                <w:sz w:val="24"/>
                <w:szCs w:val="24"/>
                <w:color w:val="auto"/>
              </w:rPr>
            </w:pPr>
          </w:p>
        </w:tc>
        <w:tc>
          <w:tcPr>
            <w:tcW w:w="240" w:type="dxa"/>
            <w:vAlign w:val="bottom"/>
            <w:tcBorders>
              <w:top w:val="single" w:sz="8" w:color="808080"/>
              <w:right w:val="single" w:sz="8" w:color="808080"/>
            </w:tcBorders>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Borders>
              <w:right w:val="single" w:sz="8" w:color="808080"/>
            </w:tcBorders>
          </w:tcPr>
          <w:p>
            <w:pPr>
              <w:ind w:left="40"/>
              <w:spacing w:after="0"/>
              <w:rPr>
                <w:sz w:val="20"/>
                <w:szCs w:val="20"/>
                <w:color w:val="auto"/>
              </w:rPr>
            </w:pPr>
            <w:r>
              <w:rPr>
                <w:rFonts w:ascii="Arial" w:cs="Arial" w:eastAsia="Arial" w:hAnsi="Arial"/>
                <w:sz w:val="18"/>
                <w:szCs w:val="18"/>
                <w:b w:val="1"/>
                <w:bCs w:val="1"/>
                <w:color w:val="auto"/>
              </w:rPr>
              <w:t>13D</w:t>
            </w:r>
          </w:p>
        </w:tc>
        <w:tc>
          <w:tcPr>
            <w:tcW w:w="2600" w:type="dxa"/>
            <w:vAlign w:val="bottom"/>
            <w:tcBorders>
              <w:top w:val="single" w:sz="8" w:color="808080"/>
              <w:right w:val="single" w:sz="8" w:color="808080"/>
            </w:tcBorders>
          </w:tcPr>
          <w:p>
            <w:pPr>
              <w:jc w:val="right"/>
              <w:spacing w:after="0"/>
              <w:rPr>
                <w:sz w:val="20"/>
                <w:szCs w:val="20"/>
                <w:color w:val="auto"/>
              </w:rPr>
            </w:pPr>
            <w:r>
              <w:rPr>
                <w:rFonts w:ascii="Arial" w:cs="Arial" w:eastAsia="Arial" w:hAnsi="Arial"/>
                <w:sz w:val="18"/>
                <w:szCs w:val="18"/>
                <w:b w:val="1"/>
                <w:bCs w:val="1"/>
                <w:color w:val="auto"/>
              </w:rPr>
              <w:t>Page 3 of 13 Pages</w:t>
            </w:r>
          </w:p>
        </w:tc>
      </w:tr>
      <w:tr>
        <w:trPr>
          <w:trHeight w:val="54"/>
        </w:trPr>
        <w:tc>
          <w:tcPr>
            <w:tcW w:w="260" w:type="dxa"/>
            <w:vAlign w:val="bottom"/>
            <w:tcBorders>
              <w:left w:val="single" w:sz="8" w:color="808080"/>
              <w:bottom w:val="single" w:sz="8" w:color="808080"/>
            </w:tcBorders>
          </w:tcPr>
          <w:p>
            <w:pPr>
              <w:spacing w:after="0"/>
              <w:rPr>
                <w:sz w:val="4"/>
                <w:szCs w:val="4"/>
                <w:color w:val="auto"/>
              </w:rPr>
            </w:pPr>
          </w:p>
        </w:tc>
        <w:tc>
          <w:tcPr>
            <w:tcW w:w="2640" w:type="dxa"/>
            <w:vAlign w:val="bottom"/>
            <w:tcBorders>
              <w:bottom w:val="single" w:sz="8" w:color="808080"/>
              <w:right w:val="single" w:sz="8" w:color="808080"/>
            </w:tcBorders>
            <w:gridSpan w:val="3"/>
          </w:tcPr>
          <w:p>
            <w:pPr>
              <w:spacing w:after="0"/>
              <w:rPr>
                <w:sz w:val="4"/>
                <w:szCs w:val="4"/>
                <w:color w:val="auto"/>
              </w:rPr>
            </w:pPr>
          </w:p>
        </w:tc>
        <w:tc>
          <w:tcPr>
            <w:tcW w:w="2740" w:type="dxa"/>
            <w:vAlign w:val="bottom"/>
            <w:tcBorders>
              <w:bottom w:val="single" w:sz="8" w:color="808080"/>
            </w:tcBorders>
          </w:tcPr>
          <w:p>
            <w:pPr>
              <w:spacing w:after="0"/>
              <w:rPr>
                <w:sz w:val="4"/>
                <w:szCs w:val="4"/>
                <w:color w:val="auto"/>
              </w:rPr>
            </w:pPr>
          </w:p>
        </w:tc>
        <w:tc>
          <w:tcPr>
            <w:tcW w:w="3180" w:type="dxa"/>
            <w:vAlign w:val="bottom"/>
            <w:tcBorders>
              <w:bottom w:val="single" w:sz="8" w:color="808080"/>
              <w:right w:val="single" w:sz="8" w:color="808080"/>
            </w:tcBorders>
          </w:tcPr>
          <w:p>
            <w:pPr>
              <w:spacing w:after="0"/>
              <w:rPr>
                <w:sz w:val="4"/>
                <w:szCs w:val="4"/>
                <w:color w:val="auto"/>
              </w:rPr>
            </w:pPr>
          </w:p>
        </w:tc>
        <w:tc>
          <w:tcPr>
            <w:tcW w:w="2600" w:type="dxa"/>
            <w:vAlign w:val="bottom"/>
            <w:tcBorders>
              <w:bottom w:val="single" w:sz="8" w:color="808080"/>
              <w:right w:val="single" w:sz="8" w:color="808080"/>
            </w:tcBorders>
          </w:tcPr>
          <w:p>
            <w:pPr>
              <w:spacing w:after="0"/>
              <w:rPr>
                <w:sz w:val="4"/>
                <w:szCs w:val="4"/>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538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NAMES OF REPORTING PERSONS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w w:val="97"/>
              </w:rPr>
              <w:t>Tarrant Capital Advisors, Inc.</w:t>
            </w: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189"/>
        </w:trPr>
        <w:tc>
          <w:tcPr>
            <w:tcW w:w="260" w:type="dxa"/>
            <w:vAlign w:val="bottom"/>
            <w:tcBorders>
              <w:left w:val="single" w:sz="8" w:color="808080"/>
              <w:bottom w:val="single" w:sz="8" w:color="808080"/>
              <w:right w:val="single" w:sz="8" w:color="808080"/>
            </w:tcBorders>
          </w:tcPr>
          <w:p>
            <w:pPr>
              <w:spacing w:after="0"/>
              <w:rPr>
                <w:sz w:val="16"/>
                <w:szCs w:val="16"/>
                <w:color w:val="auto"/>
              </w:rPr>
            </w:pPr>
          </w:p>
        </w:tc>
        <w:tc>
          <w:tcPr>
            <w:tcW w:w="2640" w:type="dxa"/>
            <w:vAlign w:val="bottom"/>
            <w:tcBorders>
              <w:bottom w:val="single" w:sz="8" w:color="808080"/>
            </w:tcBorders>
            <w:gridSpan w:val="3"/>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31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r>
      <w:tr>
        <w:trPr>
          <w:trHeight w:val="163"/>
        </w:trPr>
        <w:tc>
          <w:tcPr>
            <w:tcW w:w="260" w:type="dxa"/>
            <w:vAlign w:val="bottom"/>
            <w:tcBorders>
              <w:left w:val="single" w:sz="8" w:color="808080"/>
              <w:right w:val="single" w:sz="8" w:color="808080"/>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5380" w:type="dxa"/>
            <w:vAlign w:val="bottom"/>
            <w:gridSpan w:val="4"/>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spacing w:after="0"/>
              <w:rPr>
                <w:sz w:val="14"/>
                <w:szCs w:val="14"/>
                <w:color w:val="auto"/>
              </w:rPr>
            </w:pPr>
          </w:p>
        </w:tc>
        <w:tc>
          <w:tcPr>
            <w:tcW w:w="2600" w:type="dxa"/>
            <w:vAlign w:val="bottom"/>
            <w:tcBorders>
              <w:right w:val="single" w:sz="8" w:color="808080"/>
            </w:tcBorders>
          </w:tcPr>
          <w:p>
            <w:pPr>
              <w:jc w:val="right"/>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260" w:type="dxa"/>
            <w:vAlign w:val="bottom"/>
            <w:tcBorders>
              <w:left w:val="single" w:sz="8" w:color="808080"/>
              <w:right w:val="single" w:sz="8" w:color="808080"/>
            </w:tcBorders>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(see instructions)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0" w:type="dxa"/>
            <w:vAlign w:val="bottom"/>
            <w:tcBorders>
              <w:right w:val="single" w:sz="8" w:color="808080"/>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r>
      <w:tr>
        <w:trPr>
          <w:trHeight w:val="22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Borders>
              <w:right w:val="single" w:sz="8" w:color="808080"/>
            </w:tcBorders>
          </w:tcPr>
          <w:p>
            <w:pPr>
              <w:spacing w:after="0"/>
              <w:rPr>
                <w:sz w:val="19"/>
                <w:szCs w:val="19"/>
                <w:color w:val="auto"/>
              </w:rPr>
            </w:pPr>
          </w:p>
        </w:tc>
      </w:tr>
      <w:tr>
        <w:trPr>
          <w:trHeight w:val="202"/>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640" w:type="dxa"/>
            <w:vAlign w:val="bottom"/>
            <w:tcBorders>
              <w:bottom w:val="single" w:sz="8" w:color="808080"/>
            </w:tcBorders>
            <w:gridSpan w:val="3"/>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4</w:t>
            </w:r>
          </w:p>
        </w:tc>
        <w:tc>
          <w:tcPr>
            <w:tcW w:w="538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SOURCE OF FUNDS (see instructions)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OO (See Item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3"/>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5380" w:type="dxa"/>
            <w:vAlign w:val="bottom"/>
            <w:gridSpan w:val="4"/>
          </w:tcPr>
          <w:p>
            <w:pPr>
              <w:spacing w:after="0"/>
              <w:rPr>
                <w:sz w:val="20"/>
                <w:szCs w:val="20"/>
                <w:color w:val="auto"/>
              </w:rPr>
            </w:pPr>
            <w:r>
              <w:rPr>
                <w:rFonts w:ascii="Arial" w:cs="Arial" w:eastAsia="Arial" w:hAnsi="Arial"/>
                <w:sz w:val="18"/>
                <w:szCs w:val="18"/>
                <w:color w:val="auto"/>
                <w:w w:val="95"/>
              </w:rPr>
              <w:t>CHECK IF DISCLOSURE OF LEGAL PROCEEDINGS IS REQUIRED</w:t>
            </w:r>
          </w:p>
        </w:tc>
        <w:tc>
          <w:tcPr>
            <w:tcW w:w="3180" w:type="dxa"/>
            <w:vAlign w:val="bottom"/>
          </w:tcPr>
          <w:p>
            <w:pPr>
              <w:ind w:left="300"/>
              <w:spacing w:after="0"/>
              <w:rPr>
                <w:sz w:val="20"/>
                <w:szCs w:val="20"/>
                <w:color w:val="auto"/>
              </w:rPr>
            </w:pPr>
            <w:r>
              <w:rPr>
                <w:rFonts w:ascii="Arial" w:cs="Arial" w:eastAsia="Arial" w:hAnsi="Arial"/>
                <w:sz w:val="18"/>
                <w:szCs w:val="18"/>
                <w:color w:val="auto"/>
                <w:w w:val="99"/>
              </w:rPr>
              <w:t>PURSUANT TO ITEMS 2(d) or 2(e)</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640" w:type="dxa"/>
            <w:vAlign w:val="bottom"/>
            <w:tcBorders>
              <w:bottom w:val="single" w:sz="8" w:color="808080"/>
            </w:tcBorders>
            <w:gridSpan w:val="3"/>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6</w:t>
            </w:r>
          </w:p>
        </w:tc>
        <w:tc>
          <w:tcPr>
            <w:tcW w:w="538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29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29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ind w:left="80"/>
              <w:spacing w:after="0"/>
              <w:rPr>
                <w:sz w:val="20"/>
                <w:szCs w:val="20"/>
                <w:color w:val="auto"/>
              </w:rPr>
            </w:pPr>
            <w:r>
              <w:rPr>
                <w:rFonts w:ascii="Arial" w:cs="Arial" w:eastAsia="Arial" w:hAnsi="Arial"/>
                <w:sz w:val="18"/>
                <w:szCs w:val="18"/>
                <w:color w:val="auto"/>
              </w:rPr>
              <w:t>NUMBER OF SHARES</w:t>
            </w:r>
          </w:p>
        </w:tc>
        <w:tc>
          <w:tcPr>
            <w:tcW w:w="220" w:type="dxa"/>
            <w:vAlign w:val="bottom"/>
            <w:tcBorders>
              <w:right w:val="single" w:sz="8" w:color="808080"/>
            </w:tcBorders>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66 (See Items 3, 4 and 5)</w:t>
            </w:r>
          </w:p>
        </w:tc>
        <w:tc>
          <w:tcPr>
            <w:tcW w:w="3180" w:type="dxa"/>
            <w:vAlign w:val="bottom"/>
          </w:tcPr>
          <w:p>
            <w:pPr>
              <w:spacing w:after="0"/>
              <w:rPr>
                <w:sz w:val="18"/>
                <w:szCs w:val="18"/>
                <w:color w:val="auto"/>
              </w:rPr>
            </w:pPr>
          </w:p>
        </w:tc>
        <w:tc>
          <w:tcPr>
            <w:tcW w:w="2600" w:type="dxa"/>
            <w:vAlign w:val="bottom"/>
            <w:tcBorders>
              <w:right w:val="single" w:sz="8" w:color="808080"/>
            </w:tcBorders>
          </w:tcPr>
          <w:p>
            <w:pPr>
              <w:spacing w:after="0"/>
              <w:rPr>
                <w:sz w:val="18"/>
                <w:szCs w:val="18"/>
                <w:color w:val="auto"/>
              </w:rPr>
            </w:pPr>
          </w:p>
        </w:tc>
      </w:tr>
      <w:tr>
        <w:trPr>
          <w:trHeight w:val="230"/>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220" w:type="dxa"/>
            <w:vAlign w:val="bottom"/>
            <w:tcBorders>
              <w:bottom w:val="single" w:sz="8" w:color="808080"/>
              <w:right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740" w:type="dxa"/>
            <w:vAlign w:val="bottom"/>
            <w:tcBorders>
              <w:bottom w:val="single" w:sz="8" w:color="808080"/>
            </w:tcBorders>
          </w:tcPr>
          <w:p>
            <w:pPr>
              <w:spacing w:after="0"/>
              <w:rPr>
                <w:sz w:val="20"/>
                <w:szCs w:val="20"/>
                <w:color w:val="auto"/>
              </w:rPr>
            </w:pPr>
          </w:p>
        </w:tc>
        <w:tc>
          <w:tcPr>
            <w:tcW w:w="318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right w:val="single" w:sz="8" w:color="808080"/>
            </w:tcBorders>
          </w:tcPr>
          <w:p>
            <w:pPr>
              <w:spacing w:after="0"/>
              <w:rPr>
                <w:sz w:val="20"/>
                <w:szCs w:val="20"/>
                <w:color w:val="auto"/>
              </w:rPr>
            </w:pPr>
          </w:p>
        </w:tc>
      </w:tr>
      <w:tr>
        <w:trPr>
          <w:trHeight w:val="182"/>
        </w:trPr>
        <w:tc>
          <w:tcPr>
            <w:tcW w:w="260" w:type="dxa"/>
            <w:vAlign w:val="bottom"/>
            <w:tcBorders>
              <w:left w:val="single" w:sz="8" w:color="808080"/>
            </w:tcBorders>
          </w:tcPr>
          <w:p>
            <w:pPr>
              <w:spacing w:after="0"/>
              <w:rPr>
                <w:sz w:val="15"/>
                <w:szCs w:val="15"/>
                <w:color w:val="auto"/>
              </w:rPr>
            </w:pPr>
          </w:p>
        </w:tc>
        <w:tc>
          <w:tcPr>
            <w:tcW w:w="2180" w:type="dxa"/>
            <w:vAlign w:val="bottom"/>
            <w:tcBorders>
              <w:right w:val="single" w:sz="8" w:color="808080"/>
            </w:tcBorders>
          </w:tcPr>
          <w:p>
            <w:pPr>
              <w:jc w:val="center"/>
              <w:ind w:right="190"/>
              <w:spacing w:after="0" w:line="182" w:lineRule="exact"/>
              <w:rPr>
                <w:sz w:val="20"/>
                <w:szCs w:val="20"/>
                <w:color w:val="auto"/>
              </w:rPr>
            </w:pPr>
            <w:r>
              <w:rPr>
                <w:rFonts w:ascii="Arial" w:cs="Arial" w:eastAsia="Arial" w:hAnsi="Arial"/>
                <w:sz w:val="18"/>
                <w:szCs w:val="18"/>
                <w:color w:val="auto"/>
                <w:w w:val="95"/>
              </w:rPr>
              <w:t>EACH REPORTING</w:t>
            </w:r>
          </w:p>
        </w:tc>
        <w:tc>
          <w:tcPr>
            <w:tcW w:w="220" w:type="dxa"/>
            <w:vAlign w:val="bottom"/>
            <w:tcBorders>
              <w:right w:val="single" w:sz="8" w:color="808080"/>
            </w:tcBorders>
          </w:tcPr>
          <w:p>
            <w:pPr>
              <w:jc w:val="center"/>
              <w:spacing w:after="0" w:line="182" w:lineRule="exact"/>
              <w:rPr>
                <w:sz w:val="20"/>
                <w:szCs w:val="20"/>
                <w:color w:val="auto"/>
              </w:rPr>
            </w:pPr>
            <w:r>
              <w:rPr>
                <w:rFonts w:ascii="Arial" w:cs="Arial" w:eastAsia="Arial" w:hAnsi="Arial"/>
                <w:sz w:val="18"/>
                <w:szCs w:val="18"/>
                <w:color w:val="auto"/>
                <w:w w:val="99"/>
              </w:rPr>
              <w:t>9</w:t>
            </w:r>
          </w:p>
        </w:tc>
        <w:tc>
          <w:tcPr>
            <w:tcW w:w="298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180" w:type="dxa"/>
            <w:vAlign w:val="bottom"/>
          </w:tcPr>
          <w:p>
            <w:pPr>
              <w:spacing w:after="0"/>
              <w:rPr>
                <w:sz w:val="15"/>
                <w:szCs w:val="15"/>
                <w:color w:val="auto"/>
              </w:rPr>
            </w:pPr>
          </w:p>
        </w:tc>
        <w:tc>
          <w:tcPr>
            <w:tcW w:w="2600" w:type="dxa"/>
            <w:vAlign w:val="bottom"/>
            <w:tcBorders>
              <w:right w:val="single" w:sz="8" w:color="808080"/>
            </w:tcBorders>
          </w:tcPr>
          <w:p>
            <w:pPr>
              <w:spacing w:after="0"/>
              <w:rPr>
                <w:sz w:val="15"/>
                <w:szCs w:val="15"/>
                <w:color w:val="auto"/>
              </w:rPr>
            </w:pPr>
          </w:p>
        </w:tc>
      </w:tr>
      <w:tr>
        <w:trPr>
          <w:trHeight w:val="244"/>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jc w:val="center"/>
              <w:ind w:right="17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right w:val="single" w:sz="8" w:color="808080"/>
            </w:tcBorders>
          </w:tcPr>
          <w:p>
            <w:pPr>
              <w:spacing w:after="0"/>
              <w:rPr>
                <w:sz w:val="21"/>
                <w:szCs w:val="21"/>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29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66 (See Items 3, 4 and 5)</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tcBorders>
          </w:tcPr>
          <w:p>
            <w:pPr>
              <w:spacing w:after="0"/>
              <w:rPr>
                <w:sz w:val="18"/>
                <w:szCs w:val="18"/>
                <w:color w:val="auto"/>
              </w:rPr>
            </w:pPr>
          </w:p>
        </w:tc>
        <w:tc>
          <w:tcPr>
            <w:tcW w:w="2180" w:type="dxa"/>
            <w:vAlign w:val="bottom"/>
            <w:tcBorders>
              <w:bottom w:val="single" w:sz="8" w:color="808080"/>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gridSpan w:val="2"/>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11</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66 (See Items 3, 4 and 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5380" w:type="dxa"/>
            <w:vAlign w:val="bottom"/>
            <w:gridSpan w:val="4"/>
          </w:tcPr>
          <w:p>
            <w:pPr>
              <w:spacing w:after="0"/>
              <w:rPr>
                <w:sz w:val="20"/>
                <w:szCs w:val="20"/>
                <w:color w:val="auto"/>
              </w:rPr>
            </w:pPr>
            <w:r>
              <w:rPr>
                <w:rFonts w:ascii="Arial" w:cs="Arial" w:eastAsia="Arial" w:hAnsi="Arial"/>
                <w:sz w:val="18"/>
                <w:szCs w:val="18"/>
                <w:color w:val="auto"/>
                <w:w w:val="99"/>
              </w:rPr>
              <w:t>CHECK IF THE AGGREGATE AMOUNT IN ROW (11) EXCLUDES</w:t>
            </w:r>
          </w:p>
        </w:tc>
        <w:tc>
          <w:tcPr>
            <w:tcW w:w="3180" w:type="dxa"/>
            <w:vAlign w:val="bottom"/>
          </w:tcPr>
          <w:p>
            <w:pPr>
              <w:ind w:left="300"/>
              <w:spacing w:after="0"/>
              <w:rPr>
                <w:sz w:val="20"/>
                <w:szCs w:val="20"/>
                <w:color w:val="auto"/>
              </w:rPr>
            </w:pPr>
            <w:r>
              <w:rPr>
                <w:rFonts w:ascii="Arial" w:cs="Arial" w:eastAsia="Arial" w:hAnsi="Arial"/>
                <w:sz w:val="18"/>
                <w:szCs w:val="18"/>
                <w:color w:val="auto"/>
                <w:w w:val="94"/>
              </w:rPr>
              <w:t>CERTAIN SHARES (see instructions)</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1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5380" w:type="dxa"/>
            <w:vAlign w:val="bottom"/>
            <w:gridSpan w:val="4"/>
          </w:tcPr>
          <w:p>
            <w:pPr>
              <w:ind w:left="100"/>
              <w:spacing w:after="0" w:line="195" w:lineRule="exact"/>
              <w:rPr>
                <w:sz w:val="20"/>
                <w:szCs w:val="20"/>
                <w:color w:val="auto"/>
              </w:rPr>
            </w:pPr>
            <w:r>
              <w:rPr>
                <w:rFonts w:ascii="Arial" w:cs="Arial" w:eastAsia="Arial" w:hAnsi="Arial"/>
                <w:sz w:val="18"/>
                <w:szCs w:val="18"/>
                <w:color w:val="auto"/>
                <w:w w:val="99"/>
              </w:rPr>
              <w:t>PERCENT OF CLASS REPRESENTED BY AMOUNT IN ROW 11</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0.0% (See Item 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538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CO</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r>
    </w:tbl>
    <w:p>
      <w:pPr>
        <w:spacing w:after="0" w:line="215" w:lineRule="exact"/>
        <w:rPr>
          <w:sz w:val="20"/>
          <w:szCs w:val="20"/>
          <w:color w:val="auto"/>
        </w:rPr>
      </w:pPr>
    </w:p>
    <w:p>
      <w:pPr>
        <w:ind w:left="240" w:right="120" w:hanging="162"/>
        <w:spacing w:after="0" w:line="277"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calculation assumes that there are 66,719,061 shares of Common Stock of the Issuer outstanding, based on information provided by the Issuer.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4"/>
        </w:trPr>
        <w:tc>
          <w:tcPr>
            <w:tcW w:w="2440" w:type="dxa"/>
            <w:vAlign w:val="bottom"/>
            <w:tcBorders>
              <w:top w:val="single" w:sz="8" w:color="808080"/>
              <w:left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CUSIP No. 87265K102</w:t>
            </w:r>
          </w:p>
        </w:tc>
        <w:tc>
          <w:tcPr>
            <w:tcW w:w="22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160" w:type="dxa"/>
            <w:vAlign w:val="bottom"/>
            <w:tcBorders>
              <w:top w:val="single" w:sz="8" w:color="808080"/>
              <w:right w:val="single" w:sz="8" w:color="808080"/>
            </w:tcBorders>
          </w:tcPr>
          <w:p>
            <w:pPr>
              <w:spacing w:after="0"/>
              <w:rPr>
                <w:sz w:val="24"/>
                <w:szCs w:val="24"/>
                <w:color w:val="auto"/>
              </w:rPr>
            </w:pPr>
          </w:p>
        </w:tc>
        <w:tc>
          <w:tcPr>
            <w:tcW w:w="5920" w:type="dxa"/>
            <w:vAlign w:val="bottom"/>
            <w:tcBorders>
              <w:right w:val="single" w:sz="8" w:color="808080"/>
            </w:tcBorders>
          </w:tcPr>
          <w:p>
            <w:pPr>
              <w:ind w:left="2780"/>
              <w:spacing w:after="0"/>
              <w:rPr>
                <w:sz w:val="20"/>
                <w:szCs w:val="20"/>
                <w:color w:val="auto"/>
              </w:rPr>
            </w:pPr>
            <w:r>
              <w:rPr>
                <w:rFonts w:ascii="Arial" w:cs="Arial" w:eastAsia="Arial" w:hAnsi="Arial"/>
                <w:sz w:val="18"/>
                <w:szCs w:val="18"/>
                <w:b w:val="1"/>
                <w:bCs w:val="1"/>
                <w:color w:val="auto"/>
              </w:rPr>
              <w:t>13D</w:t>
            </w:r>
          </w:p>
        </w:tc>
        <w:tc>
          <w:tcPr>
            <w:tcW w:w="2600" w:type="dxa"/>
            <w:vAlign w:val="bottom"/>
            <w:tcBorders>
              <w:top w:val="single" w:sz="8" w:color="808080"/>
              <w:right w:val="single" w:sz="8" w:color="808080"/>
            </w:tcBorders>
          </w:tcPr>
          <w:p>
            <w:pPr>
              <w:jc w:val="right"/>
              <w:spacing w:after="0"/>
              <w:rPr>
                <w:sz w:val="20"/>
                <w:szCs w:val="20"/>
                <w:color w:val="auto"/>
              </w:rPr>
            </w:pPr>
            <w:r>
              <w:rPr>
                <w:rFonts w:ascii="Arial" w:cs="Arial" w:eastAsia="Arial" w:hAnsi="Arial"/>
                <w:sz w:val="18"/>
                <w:szCs w:val="18"/>
                <w:b w:val="1"/>
                <w:bCs w:val="1"/>
                <w:color w:val="auto"/>
              </w:rPr>
              <w:t>Page 4 of 13 Pages</w:t>
            </w:r>
          </w:p>
        </w:tc>
        <w:tc>
          <w:tcPr>
            <w:tcW w:w="0" w:type="dxa"/>
            <w:vAlign w:val="bottom"/>
          </w:tcPr>
          <w:p>
            <w:pPr>
              <w:spacing w:after="0"/>
              <w:rPr>
                <w:sz w:val="1"/>
                <w:szCs w:val="1"/>
                <w:color w:val="auto"/>
              </w:rPr>
            </w:pPr>
          </w:p>
        </w:tc>
      </w:tr>
      <w:tr>
        <w:trPr>
          <w:trHeight w:val="54"/>
        </w:trPr>
        <w:tc>
          <w:tcPr>
            <w:tcW w:w="260" w:type="dxa"/>
            <w:vAlign w:val="bottom"/>
            <w:tcBorders>
              <w:left w:val="single" w:sz="8" w:color="808080"/>
              <w:bottom w:val="single" w:sz="8" w:color="808080"/>
            </w:tcBorders>
          </w:tcPr>
          <w:p>
            <w:pPr>
              <w:spacing w:after="0"/>
              <w:rPr>
                <w:sz w:val="4"/>
                <w:szCs w:val="4"/>
                <w:color w:val="auto"/>
              </w:rPr>
            </w:pPr>
          </w:p>
        </w:tc>
        <w:tc>
          <w:tcPr>
            <w:tcW w:w="2640" w:type="dxa"/>
            <w:vAlign w:val="bottom"/>
            <w:tcBorders>
              <w:bottom w:val="single" w:sz="8" w:color="808080"/>
              <w:right w:val="single" w:sz="8" w:color="808080"/>
            </w:tcBorders>
            <w:gridSpan w:val="4"/>
          </w:tcPr>
          <w:p>
            <w:pPr>
              <w:spacing w:after="0"/>
              <w:rPr>
                <w:sz w:val="4"/>
                <w:szCs w:val="4"/>
                <w:color w:val="auto"/>
              </w:rPr>
            </w:pPr>
          </w:p>
        </w:tc>
        <w:tc>
          <w:tcPr>
            <w:tcW w:w="5920" w:type="dxa"/>
            <w:vAlign w:val="bottom"/>
            <w:tcBorders>
              <w:bottom w:val="single" w:sz="8" w:color="808080"/>
              <w:right w:val="single" w:sz="8" w:color="808080"/>
            </w:tcBorders>
          </w:tcPr>
          <w:p>
            <w:pPr>
              <w:spacing w:after="0"/>
              <w:rPr>
                <w:sz w:val="4"/>
                <w:szCs w:val="4"/>
                <w:color w:val="auto"/>
              </w:rPr>
            </w:pPr>
          </w:p>
        </w:tc>
        <w:tc>
          <w:tcPr>
            <w:tcW w:w="2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NAMES OF REPORTING PERSONS</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David Bonderman</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0" w:type="dxa"/>
            <w:vAlign w:val="bottom"/>
            <w:tcBorders>
              <w:left w:val="single" w:sz="8" w:color="808080"/>
              <w:right w:val="single" w:sz="8" w:color="808080"/>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560" w:type="dxa"/>
            <w:vAlign w:val="bottom"/>
            <w:gridSpan w:val="5"/>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808080"/>
            </w:tcBorders>
          </w:tcPr>
          <w:p>
            <w:pPr>
              <w:jc w:val="right"/>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60" w:type="dxa"/>
            <w:vAlign w:val="bottom"/>
            <w:tcBorders>
              <w:left w:val="single" w:sz="8" w:color="808080"/>
              <w:right w:val="single" w:sz="8" w:color="808080"/>
            </w:tcBorders>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(see instructions)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600" w:type="dxa"/>
            <w:vAlign w:val="bottom"/>
            <w:tcBorders>
              <w:right w:val="single" w:sz="8" w:color="808080"/>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9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6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640" w:type="dxa"/>
            <w:vAlign w:val="bottom"/>
            <w:tcBorders>
              <w:bottom w:val="single" w:sz="8" w:color="808080"/>
            </w:tcBorders>
            <w:gridSpan w:val="4"/>
          </w:tcPr>
          <w:p>
            <w:pPr>
              <w:spacing w:after="0"/>
              <w:rPr>
                <w:sz w:val="17"/>
                <w:szCs w:val="17"/>
                <w:color w:val="auto"/>
              </w:rPr>
            </w:pPr>
          </w:p>
        </w:tc>
        <w:tc>
          <w:tcPr>
            <w:tcW w:w="59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4</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SOURCE OF FUNDS (see instructions)</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OO (See Item 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bottom w:val="single" w:sz="8" w:color="808080"/>
              <w:right w:val="single" w:sz="8" w:color="808080"/>
            </w:tcBorders>
          </w:tcPr>
          <w:p>
            <w:pPr>
              <w:spacing w:after="0"/>
              <w:rPr>
                <w:sz w:val="16"/>
                <w:szCs w:val="16"/>
                <w:color w:val="auto"/>
              </w:rPr>
            </w:pPr>
          </w:p>
        </w:tc>
        <w:tc>
          <w:tcPr>
            <w:tcW w:w="2640" w:type="dxa"/>
            <w:vAlign w:val="bottom"/>
            <w:tcBorders>
              <w:bottom w:val="single" w:sz="8" w:color="808080"/>
            </w:tcBorders>
            <w:gridSpan w:val="4"/>
          </w:tcPr>
          <w:p>
            <w:pPr>
              <w:spacing w:after="0"/>
              <w:rPr>
                <w:sz w:val="16"/>
                <w:szCs w:val="16"/>
                <w:color w:val="auto"/>
              </w:rPr>
            </w:pPr>
          </w:p>
        </w:tc>
        <w:tc>
          <w:tcPr>
            <w:tcW w:w="592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8560" w:type="dxa"/>
            <w:vAlign w:val="bottom"/>
            <w:gridSpan w:val="5"/>
          </w:tcPr>
          <w:p>
            <w:pPr>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640" w:type="dxa"/>
            <w:vAlign w:val="bottom"/>
            <w:tcBorders>
              <w:bottom w:val="single" w:sz="8" w:color="808080"/>
            </w:tcBorders>
            <w:gridSpan w:val="4"/>
          </w:tcPr>
          <w:p>
            <w:pPr>
              <w:spacing w:after="0"/>
              <w:rPr>
                <w:sz w:val="15"/>
                <w:szCs w:val="15"/>
                <w:color w:val="auto"/>
              </w:rPr>
            </w:pPr>
          </w:p>
        </w:tc>
        <w:tc>
          <w:tcPr>
            <w:tcW w:w="592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6</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0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vMerge w:val="restart"/>
          </w:tcPr>
          <w:p>
            <w:pPr>
              <w:ind w:left="80"/>
              <w:spacing w:after="0"/>
              <w:rPr>
                <w:sz w:val="20"/>
                <w:szCs w:val="20"/>
                <w:color w:val="auto"/>
              </w:rPr>
            </w:pPr>
            <w:r>
              <w:rPr>
                <w:rFonts w:ascii="Arial" w:cs="Arial" w:eastAsia="Arial" w:hAnsi="Arial"/>
                <w:sz w:val="18"/>
                <w:szCs w:val="18"/>
                <w:color w:val="auto"/>
              </w:rPr>
              <w:t>NUMBER OF SHARES</w:t>
            </w: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0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vMerge w:val="continue"/>
          </w:tcPr>
          <w:p>
            <w:pPr>
              <w:spacing w:after="0"/>
              <w:rPr>
                <w:sz w:val="16"/>
                <w:szCs w:val="16"/>
                <w:color w:val="auto"/>
              </w:rPr>
            </w:pPr>
          </w:p>
        </w:tc>
        <w:tc>
          <w:tcPr>
            <w:tcW w:w="22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60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2,717,043 (See Items 3, 4 and 5)</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220" w:type="dxa"/>
            <w:vAlign w:val="bottom"/>
            <w:tcBorders>
              <w:bottom w:val="single" w:sz="8" w:color="808080"/>
              <w:right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592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808080"/>
            </w:tcBorders>
          </w:tcPr>
          <w:p>
            <w:pPr>
              <w:spacing w:after="0"/>
              <w:rPr>
                <w:sz w:val="15"/>
                <w:szCs w:val="15"/>
                <w:color w:val="auto"/>
              </w:rPr>
            </w:pPr>
          </w:p>
        </w:tc>
        <w:tc>
          <w:tcPr>
            <w:tcW w:w="2180" w:type="dxa"/>
            <w:vAlign w:val="bottom"/>
            <w:tcBorders>
              <w:right w:val="single" w:sz="8" w:color="808080"/>
            </w:tcBorders>
          </w:tcPr>
          <w:p>
            <w:pPr>
              <w:jc w:val="center"/>
              <w:ind w:right="190"/>
              <w:spacing w:after="0" w:line="182" w:lineRule="exact"/>
              <w:rPr>
                <w:sz w:val="20"/>
                <w:szCs w:val="20"/>
                <w:color w:val="auto"/>
              </w:rPr>
            </w:pPr>
            <w:r>
              <w:rPr>
                <w:rFonts w:ascii="Arial" w:cs="Arial" w:eastAsia="Arial" w:hAnsi="Arial"/>
                <w:sz w:val="18"/>
                <w:szCs w:val="18"/>
                <w:color w:val="auto"/>
                <w:w w:val="95"/>
              </w:rPr>
              <w:t>EACH REPORTING</w:t>
            </w:r>
          </w:p>
        </w:tc>
        <w:tc>
          <w:tcPr>
            <w:tcW w:w="220" w:type="dxa"/>
            <w:vAlign w:val="bottom"/>
            <w:tcBorders>
              <w:right w:val="single" w:sz="8" w:color="808080"/>
            </w:tcBorders>
          </w:tcPr>
          <w:p>
            <w:pPr>
              <w:jc w:val="center"/>
              <w:spacing w:after="0" w:line="182" w:lineRule="exact"/>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5"/>
                <w:szCs w:val="15"/>
                <w:color w:val="auto"/>
              </w:rPr>
            </w:pPr>
          </w:p>
        </w:tc>
        <w:tc>
          <w:tcPr>
            <w:tcW w:w="60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right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6"/>
                <w:szCs w:val="16"/>
                <w:color w:val="auto"/>
              </w:rPr>
            </w:pPr>
          </w:p>
        </w:tc>
        <w:tc>
          <w:tcPr>
            <w:tcW w:w="60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2,717,043 (See Items 3, 4 and 5)</w:t>
            </w: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bottom w:val="single" w:sz="8" w:color="808080"/>
            </w:tcBorders>
          </w:tcPr>
          <w:p>
            <w:pPr>
              <w:spacing w:after="0"/>
              <w:rPr>
                <w:sz w:val="16"/>
                <w:szCs w:val="16"/>
                <w:color w:val="auto"/>
              </w:rPr>
            </w:pPr>
          </w:p>
        </w:tc>
        <w:tc>
          <w:tcPr>
            <w:tcW w:w="2180" w:type="dxa"/>
            <w:vAlign w:val="bottom"/>
            <w:tcBorders>
              <w:bottom w:val="single" w:sz="8" w:color="808080"/>
              <w:right w:val="single" w:sz="8" w:color="808080"/>
            </w:tcBorders>
          </w:tcPr>
          <w:p>
            <w:pPr>
              <w:spacing w:after="0"/>
              <w:rPr>
                <w:sz w:val="16"/>
                <w:szCs w:val="16"/>
                <w:color w:val="auto"/>
              </w:rPr>
            </w:pPr>
          </w:p>
        </w:tc>
        <w:tc>
          <w:tcPr>
            <w:tcW w:w="220" w:type="dxa"/>
            <w:vAlign w:val="bottom"/>
            <w:tcBorders>
              <w:bottom w:val="single" w:sz="8" w:color="808080"/>
              <w:right w:val="single" w:sz="8" w:color="808080"/>
            </w:tcBorders>
          </w:tcPr>
          <w:p>
            <w:pPr>
              <w:spacing w:after="0"/>
              <w:rPr>
                <w:sz w:val="16"/>
                <w:szCs w:val="16"/>
                <w:color w:val="auto"/>
              </w:rPr>
            </w:pPr>
          </w:p>
        </w:tc>
        <w:tc>
          <w:tcPr>
            <w:tcW w:w="240" w:type="dxa"/>
            <w:vAlign w:val="bottom"/>
            <w:tcBorders>
              <w:bottom w:val="single" w:sz="8" w:color="808080"/>
            </w:tcBorders>
            <w:gridSpan w:val="2"/>
          </w:tcPr>
          <w:p>
            <w:pPr>
              <w:spacing w:after="0"/>
              <w:rPr>
                <w:sz w:val="16"/>
                <w:szCs w:val="16"/>
                <w:color w:val="auto"/>
              </w:rPr>
            </w:pPr>
          </w:p>
        </w:tc>
        <w:tc>
          <w:tcPr>
            <w:tcW w:w="592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11</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w w:val="89"/>
              </w:rPr>
              <w:t>2,717,043 (See Items 3, 4 and 5)</w:t>
            </w:r>
          </w:p>
        </w:tc>
        <w:tc>
          <w:tcPr>
            <w:tcW w:w="1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8560" w:type="dxa"/>
            <w:vAlign w:val="bottom"/>
            <w:gridSpan w:val="5"/>
          </w:tcPr>
          <w:p>
            <w:pPr>
              <w:spacing w:after="0"/>
              <w:rPr>
                <w:sz w:val="20"/>
                <w:szCs w:val="20"/>
                <w:color w:val="auto"/>
              </w:rPr>
            </w:pPr>
            <w:r>
              <w:rPr>
                <w:rFonts w:ascii="Arial" w:cs="Arial" w:eastAsia="Arial" w:hAnsi="Arial"/>
                <w:sz w:val="18"/>
                <w:szCs w:val="18"/>
                <w:color w:val="auto"/>
                <w:w w:val="95"/>
              </w:rPr>
              <w:t>CHECK BOX IF THE AGGREGATE AMOUNT IN ROW (11) EXCLUDES  CERTAIN SHARES (see instructions)</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1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gridSpan w:val="2"/>
          </w:tcPr>
          <w:p>
            <w:pPr>
              <w:spacing w:after="0"/>
              <w:rPr>
                <w:sz w:val="15"/>
                <w:szCs w:val="15"/>
                <w:color w:val="auto"/>
              </w:rPr>
            </w:pPr>
          </w:p>
        </w:tc>
        <w:tc>
          <w:tcPr>
            <w:tcW w:w="592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4.1% (See Item 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85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IN</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0" w:right="20" w:hanging="151"/>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calculation assumes that there are 66,719,061 shares of Common Stock of the Issuer outstanding, based on information provided by the Issuer.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2440" w:type="dxa"/>
            <w:vAlign w:val="bottom"/>
            <w:tcBorders>
              <w:top w:val="single" w:sz="8" w:color="808080"/>
              <w:left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CUSIP No. 87265K102</w:t>
            </w:r>
          </w:p>
        </w:tc>
        <w:tc>
          <w:tcPr>
            <w:tcW w:w="22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160" w:type="dxa"/>
            <w:vAlign w:val="bottom"/>
            <w:tcBorders>
              <w:top w:val="single" w:sz="8" w:color="808080"/>
              <w:right w:val="single" w:sz="8" w:color="808080"/>
            </w:tcBorders>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Borders>
              <w:right w:val="single" w:sz="8" w:color="808080"/>
            </w:tcBorders>
          </w:tcPr>
          <w:p>
            <w:pPr>
              <w:ind w:left="40"/>
              <w:spacing w:after="0"/>
              <w:rPr>
                <w:sz w:val="20"/>
                <w:szCs w:val="20"/>
                <w:color w:val="auto"/>
              </w:rPr>
            </w:pPr>
            <w:r>
              <w:rPr>
                <w:rFonts w:ascii="Arial" w:cs="Arial" w:eastAsia="Arial" w:hAnsi="Arial"/>
                <w:sz w:val="18"/>
                <w:szCs w:val="18"/>
                <w:b w:val="1"/>
                <w:bCs w:val="1"/>
                <w:color w:val="auto"/>
              </w:rPr>
              <w:t>13D</w:t>
            </w:r>
          </w:p>
        </w:tc>
        <w:tc>
          <w:tcPr>
            <w:tcW w:w="2600" w:type="dxa"/>
            <w:vAlign w:val="bottom"/>
            <w:tcBorders>
              <w:top w:val="single" w:sz="8" w:color="808080"/>
              <w:right w:val="single" w:sz="8" w:color="808080"/>
            </w:tcBorders>
          </w:tcPr>
          <w:p>
            <w:pPr>
              <w:jc w:val="right"/>
              <w:spacing w:after="0"/>
              <w:rPr>
                <w:sz w:val="20"/>
                <w:szCs w:val="20"/>
                <w:color w:val="auto"/>
              </w:rPr>
            </w:pPr>
            <w:r>
              <w:rPr>
                <w:rFonts w:ascii="Arial" w:cs="Arial" w:eastAsia="Arial" w:hAnsi="Arial"/>
                <w:sz w:val="18"/>
                <w:szCs w:val="18"/>
                <w:b w:val="1"/>
                <w:bCs w:val="1"/>
                <w:color w:val="auto"/>
              </w:rPr>
              <w:t>Page 5 of 13 Pages</w:t>
            </w:r>
          </w:p>
        </w:tc>
        <w:tc>
          <w:tcPr>
            <w:tcW w:w="0" w:type="dxa"/>
            <w:vAlign w:val="bottom"/>
          </w:tcPr>
          <w:p>
            <w:pPr>
              <w:spacing w:after="0"/>
              <w:rPr>
                <w:sz w:val="1"/>
                <w:szCs w:val="1"/>
                <w:color w:val="auto"/>
              </w:rPr>
            </w:pPr>
          </w:p>
        </w:tc>
      </w:tr>
      <w:tr>
        <w:trPr>
          <w:trHeight w:val="54"/>
        </w:trPr>
        <w:tc>
          <w:tcPr>
            <w:tcW w:w="260" w:type="dxa"/>
            <w:vAlign w:val="bottom"/>
            <w:tcBorders>
              <w:left w:val="single" w:sz="8" w:color="808080"/>
              <w:bottom w:val="single" w:sz="8" w:color="808080"/>
            </w:tcBorders>
          </w:tcPr>
          <w:p>
            <w:pPr>
              <w:spacing w:after="0"/>
              <w:rPr>
                <w:sz w:val="4"/>
                <w:szCs w:val="4"/>
                <w:color w:val="auto"/>
              </w:rPr>
            </w:pPr>
          </w:p>
        </w:tc>
        <w:tc>
          <w:tcPr>
            <w:tcW w:w="2640" w:type="dxa"/>
            <w:vAlign w:val="bottom"/>
            <w:tcBorders>
              <w:bottom w:val="single" w:sz="8" w:color="808080"/>
              <w:right w:val="single" w:sz="8" w:color="808080"/>
            </w:tcBorders>
            <w:gridSpan w:val="4"/>
          </w:tcPr>
          <w:p>
            <w:pPr>
              <w:spacing w:after="0"/>
              <w:rPr>
                <w:sz w:val="4"/>
                <w:szCs w:val="4"/>
                <w:color w:val="auto"/>
              </w:rPr>
            </w:pPr>
          </w:p>
        </w:tc>
        <w:tc>
          <w:tcPr>
            <w:tcW w:w="2740" w:type="dxa"/>
            <w:vAlign w:val="bottom"/>
            <w:tcBorders>
              <w:bottom w:val="single" w:sz="8" w:color="808080"/>
            </w:tcBorders>
          </w:tcPr>
          <w:p>
            <w:pPr>
              <w:spacing w:after="0"/>
              <w:rPr>
                <w:sz w:val="4"/>
                <w:szCs w:val="4"/>
                <w:color w:val="auto"/>
              </w:rPr>
            </w:pPr>
          </w:p>
        </w:tc>
        <w:tc>
          <w:tcPr>
            <w:tcW w:w="3180" w:type="dxa"/>
            <w:vAlign w:val="bottom"/>
            <w:tcBorders>
              <w:bottom w:val="single" w:sz="8" w:color="808080"/>
              <w:right w:val="single" w:sz="8" w:color="808080"/>
            </w:tcBorders>
          </w:tcPr>
          <w:p>
            <w:pPr>
              <w:spacing w:after="0"/>
              <w:rPr>
                <w:sz w:val="4"/>
                <w:szCs w:val="4"/>
                <w:color w:val="auto"/>
              </w:rPr>
            </w:pPr>
          </w:p>
        </w:tc>
        <w:tc>
          <w:tcPr>
            <w:tcW w:w="2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right"/>
              <w:spacing w:after="0" w:line="195" w:lineRule="exact"/>
              <w:rPr>
                <w:sz w:val="20"/>
                <w:szCs w:val="20"/>
                <w:color w:val="auto"/>
              </w:rPr>
            </w:pPr>
            <w:r>
              <w:rPr>
                <w:rFonts w:ascii="Arial" w:cs="Arial" w:eastAsia="Arial" w:hAnsi="Arial"/>
                <w:sz w:val="18"/>
                <w:szCs w:val="18"/>
                <w:color w:val="auto"/>
              </w:rPr>
              <w:t>1</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NAMES OF REPORTING PERSONS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James G. Coulter</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0" w:type="dxa"/>
            <w:vAlign w:val="bottom"/>
            <w:tcBorders>
              <w:left w:val="single" w:sz="8" w:color="808080"/>
              <w:right w:val="single" w:sz="8" w:color="808080"/>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5380" w:type="dxa"/>
            <w:vAlign w:val="bottom"/>
            <w:gridSpan w:val="5"/>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spacing w:after="0"/>
              <w:rPr>
                <w:sz w:val="14"/>
                <w:szCs w:val="14"/>
                <w:color w:val="auto"/>
              </w:rPr>
            </w:pPr>
          </w:p>
        </w:tc>
        <w:tc>
          <w:tcPr>
            <w:tcW w:w="2600" w:type="dxa"/>
            <w:vAlign w:val="bottom"/>
            <w:tcBorders>
              <w:right w:val="single" w:sz="8" w:color="808080"/>
            </w:tcBorders>
          </w:tcPr>
          <w:p>
            <w:pPr>
              <w:jc w:val="right"/>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60" w:type="dxa"/>
            <w:vAlign w:val="bottom"/>
            <w:tcBorders>
              <w:left w:val="single" w:sz="8" w:color="808080"/>
              <w:right w:val="single" w:sz="8" w:color="808080"/>
            </w:tcBorders>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(see instructions)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0" w:type="dxa"/>
            <w:vAlign w:val="bottom"/>
            <w:tcBorders>
              <w:right w:val="single" w:sz="8" w:color="808080"/>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640" w:type="dxa"/>
            <w:vAlign w:val="bottom"/>
            <w:tcBorders>
              <w:bottom w:val="single" w:sz="8" w:color="808080"/>
            </w:tcBorders>
            <w:gridSpan w:val="4"/>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4</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SOURCE OF FUNDS (see instructions)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OO (See Item 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bottom w:val="single" w:sz="8" w:color="808080"/>
              <w:right w:val="single" w:sz="8" w:color="808080"/>
            </w:tcBorders>
          </w:tcPr>
          <w:p>
            <w:pPr>
              <w:spacing w:after="0"/>
              <w:rPr>
                <w:sz w:val="16"/>
                <w:szCs w:val="16"/>
                <w:color w:val="auto"/>
              </w:rPr>
            </w:pPr>
          </w:p>
        </w:tc>
        <w:tc>
          <w:tcPr>
            <w:tcW w:w="2640" w:type="dxa"/>
            <w:vAlign w:val="bottom"/>
            <w:tcBorders>
              <w:bottom w:val="single" w:sz="8" w:color="808080"/>
            </w:tcBorders>
            <w:gridSpan w:val="4"/>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31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5380" w:type="dxa"/>
            <w:vAlign w:val="bottom"/>
            <w:gridSpan w:val="5"/>
          </w:tcPr>
          <w:p>
            <w:pPr>
              <w:spacing w:after="0"/>
              <w:rPr>
                <w:sz w:val="20"/>
                <w:szCs w:val="20"/>
                <w:color w:val="auto"/>
              </w:rPr>
            </w:pPr>
            <w:r>
              <w:rPr>
                <w:rFonts w:ascii="Arial" w:cs="Arial" w:eastAsia="Arial" w:hAnsi="Arial"/>
                <w:sz w:val="18"/>
                <w:szCs w:val="18"/>
                <w:color w:val="auto"/>
                <w:w w:val="95"/>
              </w:rPr>
              <w:t>CHECK IF DISCLOSURE OF LEGAL PROCEEDINGS IS REQUIRED</w:t>
            </w:r>
          </w:p>
        </w:tc>
        <w:tc>
          <w:tcPr>
            <w:tcW w:w="3180" w:type="dxa"/>
            <w:vAlign w:val="bottom"/>
          </w:tcPr>
          <w:p>
            <w:pPr>
              <w:ind w:left="300"/>
              <w:spacing w:after="0"/>
              <w:rPr>
                <w:sz w:val="20"/>
                <w:szCs w:val="20"/>
                <w:color w:val="auto"/>
              </w:rPr>
            </w:pPr>
            <w:r>
              <w:rPr>
                <w:rFonts w:ascii="Arial" w:cs="Arial" w:eastAsia="Arial" w:hAnsi="Arial"/>
                <w:sz w:val="18"/>
                <w:szCs w:val="18"/>
                <w:color w:val="auto"/>
                <w:w w:val="99"/>
              </w:rPr>
              <w:t>PURSUANT TO ITEMS 2(d) or 2(e)</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640" w:type="dxa"/>
            <w:vAlign w:val="bottom"/>
            <w:tcBorders>
              <w:bottom w:val="single" w:sz="8" w:color="808080"/>
            </w:tcBorders>
            <w:gridSpan w:val="4"/>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6</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2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vMerge w:val="restart"/>
          </w:tcPr>
          <w:p>
            <w:pPr>
              <w:jc w:val="center"/>
              <w:ind w:right="190"/>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2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vMerge w:val="continue"/>
          </w:tcPr>
          <w:p>
            <w:pPr>
              <w:spacing w:after="0"/>
              <w:rPr>
                <w:sz w:val="16"/>
                <w:szCs w:val="16"/>
                <w:color w:val="auto"/>
              </w:rPr>
            </w:pPr>
          </w:p>
        </w:tc>
        <w:tc>
          <w:tcPr>
            <w:tcW w:w="22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2,717,043 (See Items 3, 4 and 5)</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220" w:type="dxa"/>
            <w:vAlign w:val="bottom"/>
            <w:tcBorders>
              <w:bottom w:val="single" w:sz="8" w:color="808080"/>
              <w:right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2740" w:type="dxa"/>
            <w:vAlign w:val="bottom"/>
            <w:tcBorders>
              <w:bottom w:val="single" w:sz="8" w:color="808080"/>
            </w:tcBorders>
          </w:tcPr>
          <w:p>
            <w:pPr>
              <w:spacing w:after="0"/>
              <w:rPr>
                <w:sz w:val="20"/>
                <w:szCs w:val="20"/>
                <w:color w:val="auto"/>
              </w:rPr>
            </w:pPr>
          </w:p>
        </w:tc>
        <w:tc>
          <w:tcPr>
            <w:tcW w:w="318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808080"/>
            </w:tcBorders>
          </w:tcPr>
          <w:p>
            <w:pPr>
              <w:spacing w:after="0"/>
              <w:rPr>
                <w:sz w:val="15"/>
                <w:szCs w:val="15"/>
                <w:color w:val="auto"/>
              </w:rPr>
            </w:pPr>
          </w:p>
        </w:tc>
        <w:tc>
          <w:tcPr>
            <w:tcW w:w="2180" w:type="dxa"/>
            <w:vAlign w:val="bottom"/>
            <w:tcBorders>
              <w:right w:val="single" w:sz="8" w:color="808080"/>
            </w:tcBorders>
          </w:tcPr>
          <w:p>
            <w:pPr>
              <w:jc w:val="center"/>
              <w:ind w:right="190"/>
              <w:spacing w:after="0" w:line="182" w:lineRule="exact"/>
              <w:rPr>
                <w:sz w:val="20"/>
                <w:szCs w:val="20"/>
                <w:color w:val="auto"/>
              </w:rPr>
            </w:pPr>
            <w:r>
              <w:rPr>
                <w:rFonts w:ascii="Arial" w:cs="Arial" w:eastAsia="Arial" w:hAnsi="Arial"/>
                <w:sz w:val="18"/>
                <w:szCs w:val="18"/>
                <w:color w:val="auto"/>
                <w:w w:val="95"/>
              </w:rPr>
              <w:t>EACH REPORTING</w:t>
            </w:r>
          </w:p>
        </w:tc>
        <w:tc>
          <w:tcPr>
            <w:tcW w:w="220" w:type="dxa"/>
            <w:vAlign w:val="bottom"/>
            <w:tcBorders>
              <w:right w:val="single" w:sz="8" w:color="808080"/>
            </w:tcBorders>
          </w:tcPr>
          <w:p>
            <w:pPr>
              <w:jc w:val="center"/>
              <w:spacing w:after="0" w:line="182" w:lineRule="exact"/>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5"/>
                <w:szCs w:val="15"/>
                <w:color w:val="auto"/>
              </w:rPr>
            </w:pPr>
          </w:p>
        </w:tc>
        <w:tc>
          <w:tcPr>
            <w:tcW w:w="29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3180" w:type="dxa"/>
            <w:vAlign w:val="bottom"/>
          </w:tcPr>
          <w:p>
            <w:pPr>
              <w:spacing w:after="0"/>
              <w:rPr>
                <w:sz w:val="15"/>
                <w:szCs w:val="15"/>
                <w:color w:val="auto"/>
              </w:rPr>
            </w:pPr>
          </w:p>
        </w:tc>
        <w:tc>
          <w:tcPr>
            <w:tcW w:w="2600" w:type="dxa"/>
            <w:vAlign w:val="bottom"/>
            <w:tcBorders>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right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bottom w:val="single" w:sz="8" w:color="808080"/>
              <w:right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31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6"/>
                <w:szCs w:val="16"/>
                <w:color w:val="auto"/>
              </w:rPr>
            </w:pPr>
          </w:p>
        </w:tc>
        <w:tc>
          <w:tcPr>
            <w:tcW w:w="2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2,717,043 (See Items 3, 4 and 5)</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tcBorders>
          </w:tcPr>
          <w:p>
            <w:pPr>
              <w:spacing w:after="0"/>
              <w:rPr>
                <w:sz w:val="18"/>
                <w:szCs w:val="18"/>
                <w:color w:val="auto"/>
              </w:rPr>
            </w:pPr>
          </w:p>
        </w:tc>
        <w:tc>
          <w:tcPr>
            <w:tcW w:w="2180" w:type="dxa"/>
            <w:vAlign w:val="bottom"/>
            <w:tcBorders>
              <w:bottom w:val="single" w:sz="8" w:color="808080"/>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5920" w:type="dxa"/>
            <w:vAlign w:val="bottom"/>
            <w:tcBorders>
              <w:bottom w:val="single" w:sz="8" w:color="808080"/>
            </w:tcBorders>
            <w:gridSpan w:val="2"/>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11</w:t>
            </w:r>
          </w:p>
        </w:tc>
        <w:tc>
          <w:tcPr>
            <w:tcW w:w="856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w w:val="89"/>
              </w:rPr>
              <w:t>2,717,043 (See Items 3, 4 and 5)</w:t>
            </w: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5380" w:type="dxa"/>
            <w:vAlign w:val="bottom"/>
            <w:gridSpan w:val="5"/>
          </w:tcPr>
          <w:p>
            <w:pPr>
              <w:spacing w:after="0"/>
              <w:rPr>
                <w:sz w:val="20"/>
                <w:szCs w:val="20"/>
                <w:color w:val="auto"/>
              </w:rPr>
            </w:pPr>
            <w:r>
              <w:rPr>
                <w:rFonts w:ascii="Arial" w:cs="Arial" w:eastAsia="Arial" w:hAnsi="Arial"/>
                <w:sz w:val="18"/>
                <w:szCs w:val="18"/>
                <w:color w:val="auto"/>
                <w:w w:val="99"/>
              </w:rPr>
              <w:t>CHECK IF THE AGGREGATE AMOUNT IN ROW (11) EXCLUDES</w:t>
            </w:r>
          </w:p>
        </w:tc>
        <w:tc>
          <w:tcPr>
            <w:tcW w:w="3180" w:type="dxa"/>
            <w:vAlign w:val="bottom"/>
          </w:tcPr>
          <w:p>
            <w:pPr>
              <w:ind w:left="300"/>
              <w:spacing w:after="0"/>
              <w:rPr>
                <w:sz w:val="20"/>
                <w:szCs w:val="20"/>
                <w:color w:val="auto"/>
              </w:rPr>
            </w:pPr>
            <w:r>
              <w:rPr>
                <w:rFonts w:ascii="Arial" w:cs="Arial" w:eastAsia="Arial" w:hAnsi="Arial"/>
                <w:sz w:val="18"/>
                <w:szCs w:val="18"/>
                <w:color w:val="auto"/>
                <w:w w:val="94"/>
              </w:rPr>
              <w:t>CERTAIN SHARES (see instructions)</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1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gridSpan w:val="2"/>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w w:val="99"/>
              </w:rPr>
              <w:t>PERCENT OF CLASS REPRESENTED BY AMOUNT IN ROW 11</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4.1% (See Item 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IN</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right="20" w:hanging="151"/>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calculation assumes that there are 66,719,061 shares of Common Stock of the Issuer outstanding, based on information provided by the Issuer.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2440" w:type="dxa"/>
            <w:vAlign w:val="bottom"/>
            <w:tcBorders>
              <w:top w:val="single" w:sz="8" w:color="808080"/>
              <w:left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CUSIP No. 87265K102</w:t>
            </w:r>
          </w:p>
        </w:tc>
        <w:tc>
          <w:tcPr>
            <w:tcW w:w="22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160" w:type="dxa"/>
            <w:vAlign w:val="bottom"/>
            <w:tcBorders>
              <w:top w:val="single" w:sz="8" w:color="808080"/>
              <w:right w:val="single" w:sz="8" w:color="808080"/>
            </w:tcBorders>
          </w:tcPr>
          <w:p>
            <w:pPr>
              <w:spacing w:after="0"/>
              <w:rPr>
                <w:sz w:val="24"/>
                <w:szCs w:val="24"/>
                <w:color w:val="auto"/>
              </w:rPr>
            </w:pPr>
          </w:p>
        </w:tc>
        <w:tc>
          <w:tcPr>
            <w:tcW w:w="2740" w:type="dxa"/>
            <w:vAlign w:val="bottom"/>
            <w:tcBorders>
              <w:top w:val="single" w:sz="8" w:color="808080"/>
            </w:tcBorders>
          </w:tcPr>
          <w:p>
            <w:pPr>
              <w:spacing w:after="0"/>
              <w:rPr>
                <w:sz w:val="24"/>
                <w:szCs w:val="24"/>
                <w:color w:val="auto"/>
              </w:rPr>
            </w:pPr>
          </w:p>
        </w:tc>
        <w:tc>
          <w:tcPr>
            <w:tcW w:w="3180" w:type="dxa"/>
            <w:vAlign w:val="bottom"/>
            <w:tcBorders>
              <w:top w:val="single" w:sz="8" w:color="808080"/>
              <w:right w:val="single" w:sz="8" w:color="808080"/>
            </w:tcBorders>
          </w:tcPr>
          <w:p>
            <w:pPr>
              <w:ind w:left="40"/>
              <w:spacing w:after="0"/>
              <w:rPr>
                <w:sz w:val="20"/>
                <w:szCs w:val="20"/>
                <w:color w:val="auto"/>
              </w:rPr>
            </w:pPr>
            <w:r>
              <w:rPr>
                <w:rFonts w:ascii="Arial" w:cs="Arial" w:eastAsia="Arial" w:hAnsi="Arial"/>
                <w:sz w:val="18"/>
                <w:szCs w:val="18"/>
                <w:b w:val="1"/>
                <w:bCs w:val="1"/>
                <w:color w:val="auto"/>
              </w:rPr>
              <w:t>13D</w:t>
            </w:r>
          </w:p>
        </w:tc>
        <w:tc>
          <w:tcPr>
            <w:tcW w:w="2600" w:type="dxa"/>
            <w:vAlign w:val="bottom"/>
            <w:tcBorders>
              <w:top w:val="single" w:sz="8" w:color="808080"/>
              <w:right w:val="single" w:sz="8" w:color="808080"/>
            </w:tcBorders>
          </w:tcPr>
          <w:p>
            <w:pPr>
              <w:jc w:val="right"/>
              <w:spacing w:after="0"/>
              <w:rPr>
                <w:sz w:val="20"/>
                <w:szCs w:val="20"/>
                <w:color w:val="auto"/>
              </w:rPr>
            </w:pPr>
            <w:r>
              <w:rPr>
                <w:rFonts w:ascii="Arial" w:cs="Arial" w:eastAsia="Arial" w:hAnsi="Arial"/>
                <w:sz w:val="18"/>
                <w:szCs w:val="18"/>
                <w:b w:val="1"/>
                <w:bCs w:val="1"/>
                <w:color w:val="auto"/>
              </w:rPr>
              <w:t>Page 6 of 13 Pages</w:t>
            </w:r>
          </w:p>
        </w:tc>
        <w:tc>
          <w:tcPr>
            <w:tcW w:w="0" w:type="dxa"/>
            <w:vAlign w:val="bottom"/>
          </w:tcPr>
          <w:p>
            <w:pPr>
              <w:spacing w:after="0"/>
              <w:rPr>
                <w:sz w:val="1"/>
                <w:szCs w:val="1"/>
                <w:color w:val="auto"/>
              </w:rPr>
            </w:pPr>
          </w:p>
        </w:tc>
      </w:tr>
      <w:tr>
        <w:trPr>
          <w:trHeight w:val="54"/>
        </w:trPr>
        <w:tc>
          <w:tcPr>
            <w:tcW w:w="260" w:type="dxa"/>
            <w:vAlign w:val="bottom"/>
            <w:tcBorders>
              <w:left w:val="single" w:sz="8" w:color="808080"/>
              <w:bottom w:val="single" w:sz="8" w:color="808080"/>
            </w:tcBorders>
          </w:tcPr>
          <w:p>
            <w:pPr>
              <w:spacing w:after="0"/>
              <w:rPr>
                <w:sz w:val="4"/>
                <w:szCs w:val="4"/>
                <w:color w:val="auto"/>
              </w:rPr>
            </w:pPr>
          </w:p>
        </w:tc>
        <w:tc>
          <w:tcPr>
            <w:tcW w:w="2640" w:type="dxa"/>
            <w:vAlign w:val="bottom"/>
            <w:tcBorders>
              <w:bottom w:val="single" w:sz="8" w:color="808080"/>
              <w:right w:val="single" w:sz="8" w:color="808080"/>
            </w:tcBorders>
            <w:gridSpan w:val="4"/>
          </w:tcPr>
          <w:p>
            <w:pPr>
              <w:spacing w:after="0"/>
              <w:rPr>
                <w:sz w:val="4"/>
                <w:szCs w:val="4"/>
                <w:color w:val="auto"/>
              </w:rPr>
            </w:pPr>
          </w:p>
        </w:tc>
        <w:tc>
          <w:tcPr>
            <w:tcW w:w="2740" w:type="dxa"/>
            <w:vAlign w:val="bottom"/>
            <w:tcBorders>
              <w:bottom w:val="single" w:sz="8" w:color="808080"/>
            </w:tcBorders>
          </w:tcPr>
          <w:p>
            <w:pPr>
              <w:spacing w:after="0"/>
              <w:rPr>
                <w:sz w:val="4"/>
                <w:szCs w:val="4"/>
                <w:color w:val="auto"/>
              </w:rPr>
            </w:pPr>
          </w:p>
        </w:tc>
        <w:tc>
          <w:tcPr>
            <w:tcW w:w="3180" w:type="dxa"/>
            <w:vAlign w:val="bottom"/>
            <w:tcBorders>
              <w:bottom w:val="single" w:sz="8" w:color="808080"/>
              <w:right w:val="single" w:sz="8" w:color="808080"/>
            </w:tcBorders>
          </w:tcPr>
          <w:p>
            <w:pPr>
              <w:spacing w:after="0"/>
              <w:rPr>
                <w:sz w:val="4"/>
                <w:szCs w:val="4"/>
                <w:color w:val="auto"/>
              </w:rPr>
            </w:pPr>
          </w:p>
        </w:tc>
        <w:tc>
          <w:tcPr>
            <w:tcW w:w="2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NAMES OF REPORTING PERSONS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Alan Waxman</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0" w:type="dxa"/>
            <w:vAlign w:val="bottom"/>
            <w:tcBorders>
              <w:left w:val="single" w:sz="8" w:color="808080"/>
              <w:right w:val="single" w:sz="8" w:color="808080"/>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5380" w:type="dxa"/>
            <w:vAlign w:val="bottom"/>
            <w:gridSpan w:val="5"/>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spacing w:after="0"/>
              <w:rPr>
                <w:sz w:val="14"/>
                <w:szCs w:val="14"/>
                <w:color w:val="auto"/>
              </w:rPr>
            </w:pPr>
          </w:p>
        </w:tc>
        <w:tc>
          <w:tcPr>
            <w:tcW w:w="2600" w:type="dxa"/>
            <w:vAlign w:val="bottom"/>
            <w:tcBorders>
              <w:right w:val="single" w:sz="8" w:color="808080"/>
            </w:tcBorders>
          </w:tcPr>
          <w:p>
            <w:pPr>
              <w:jc w:val="right"/>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60" w:type="dxa"/>
            <w:vAlign w:val="bottom"/>
            <w:tcBorders>
              <w:left w:val="single" w:sz="8" w:color="808080"/>
              <w:right w:val="single" w:sz="8" w:color="808080"/>
            </w:tcBorders>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(see instructions)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0" w:type="dxa"/>
            <w:vAlign w:val="bottom"/>
            <w:tcBorders>
              <w:right w:val="single" w:sz="8" w:color="808080"/>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tcBorders>
              <w:left w:val="single" w:sz="8" w:color="808080"/>
              <w:bottom w:val="single" w:sz="8" w:color="808080"/>
              <w:right w:val="single" w:sz="8" w:color="808080"/>
            </w:tcBorders>
          </w:tcPr>
          <w:p>
            <w:pPr>
              <w:spacing w:after="0"/>
              <w:rPr>
                <w:sz w:val="17"/>
                <w:szCs w:val="17"/>
                <w:color w:val="auto"/>
              </w:rPr>
            </w:pPr>
          </w:p>
        </w:tc>
        <w:tc>
          <w:tcPr>
            <w:tcW w:w="2640" w:type="dxa"/>
            <w:vAlign w:val="bottom"/>
            <w:tcBorders>
              <w:bottom w:val="single" w:sz="8" w:color="808080"/>
            </w:tcBorders>
            <w:gridSpan w:val="4"/>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4</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SOURCE OF FUNDS (see instructions)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OO (See Item 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5380" w:type="dxa"/>
            <w:vAlign w:val="bottom"/>
            <w:gridSpan w:val="5"/>
          </w:tcPr>
          <w:p>
            <w:pPr>
              <w:spacing w:after="0"/>
              <w:rPr>
                <w:sz w:val="20"/>
                <w:szCs w:val="20"/>
                <w:color w:val="auto"/>
              </w:rPr>
            </w:pPr>
            <w:r>
              <w:rPr>
                <w:rFonts w:ascii="Arial" w:cs="Arial" w:eastAsia="Arial" w:hAnsi="Arial"/>
                <w:sz w:val="18"/>
                <w:szCs w:val="18"/>
                <w:color w:val="auto"/>
                <w:w w:val="95"/>
              </w:rPr>
              <w:t>CHECK IF DISCLOSURE OF LEGAL PROCEEDINGS IS REQUIRED</w:t>
            </w:r>
          </w:p>
        </w:tc>
        <w:tc>
          <w:tcPr>
            <w:tcW w:w="3180" w:type="dxa"/>
            <w:vAlign w:val="bottom"/>
          </w:tcPr>
          <w:p>
            <w:pPr>
              <w:ind w:left="300"/>
              <w:spacing w:after="0"/>
              <w:rPr>
                <w:sz w:val="20"/>
                <w:szCs w:val="20"/>
                <w:color w:val="auto"/>
              </w:rPr>
            </w:pPr>
            <w:r>
              <w:rPr>
                <w:rFonts w:ascii="Arial" w:cs="Arial" w:eastAsia="Arial" w:hAnsi="Arial"/>
                <w:sz w:val="18"/>
                <w:szCs w:val="18"/>
                <w:color w:val="auto"/>
                <w:w w:val="99"/>
              </w:rPr>
              <w:t>PURSUANT TO ITEMS 2(d) or 2(e)</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640" w:type="dxa"/>
            <w:vAlign w:val="bottom"/>
            <w:tcBorders>
              <w:bottom w:val="single" w:sz="8" w:color="808080"/>
            </w:tcBorders>
            <w:gridSpan w:val="4"/>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6</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2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vMerge w:val="restart"/>
          </w:tcPr>
          <w:p>
            <w:pPr>
              <w:ind w:left="80"/>
              <w:spacing w:after="0"/>
              <w:rPr>
                <w:sz w:val="20"/>
                <w:szCs w:val="20"/>
                <w:color w:val="auto"/>
              </w:rPr>
            </w:pPr>
            <w:r>
              <w:rPr>
                <w:rFonts w:ascii="Arial" w:cs="Arial" w:eastAsia="Arial" w:hAnsi="Arial"/>
                <w:sz w:val="18"/>
                <w:szCs w:val="18"/>
                <w:color w:val="auto"/>
              </w:rPr>
              <w:t>NUMBER OF SHARES</w:t>
            </w: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2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vMerge w:val="continue"/>
          </w:tcPr>
          <w:p>
            <w:pPr>
              <w:spacing w:after="0"/>
              <w:rPr>
                <w:sz w:val="16"/>
                <w:szCs w:val="16"/>
                <w:color w:val="auto"/>
              </w:rPr>
            </w:pPr>
          </w:p>
        </w:tc>
        <w:tc>
          <w:tcPr>
            <w:tcW w:w="22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2,716,977 (See Items 3, 4 and 5)</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220" w:type="dxa"/>
            <w:vAlign w:val="bottom"/>
            <w:tcBorders>
              <w:bottom w:val="single" w:sz="8" w:color="808080"/>
              <w:right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2740" w:type="dxa"/>
            <w:vAlign w:val="bottom"/>
            <w:tcBorders>
              <w:bottom w:val="single" w:sz="8" w:color="808080"/>
            </w:tcBorders>
          </w:tcPr>
          <w:p>
            <w:pPr>
              <w:spacing w:after="0"/>
              <w:rPr>
                <w:sz w:val="20"/>
                <w:szCs w:val="20"/>
                <w:color w:val="auto"/>
              </w:rPr>
            </w:pPr>
          </w:p>
        </w:tc>
        <w:tc>
          <w:tcPr>
            <w:tcW w:w="318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808080"/>
            </w:tcBorders>
          </w:tcPr>
          <w:p>
            <w:pPr>
              <w:spacing w:after="0"/>
              <w:rPr>
                <w:sz w:val="15"/>
                <w:szCs w:val="15"/>
                <w:color w:val="auto"/>
              </w:rPr>
            </w:pPr>
          </w:p>
        </w:tc>
        <w:tc>
          <w:tcPr>
            <w:tcW w:w="2180" w:type="dxa"/>
            <w:vAlign w:val="bottom"/>
            <w:tcBorders>
              <w:right w:val="single" w:sz="8" w:color="808080"/>
            </w:tcBorders>
          </w:tcPr>
          <w:p>
            <w:pPr>
              <w:jc w:val="center"/>
              <w:ind w:right="190"/>
              <w:spacing w:after="0" w:line="182" w:lineRule="exact"/>
              <w:rPr>
                <w:sz w:val="20"/>
                <w:szCs w:val="20"/>
                <w:color w:val="auto"/>
              </w:rPr>
            </w:pPr>
            <w:r>
              <w:rPr>
                <w:rFonts w:ascii="Arial" w:cs="Arial" w:eastAsia="Arial" w:hAnsi="Arial"/>
                <w:sz w:val="18"/>
                <w:szCs w:val="18"/>
                <w:color w:val="auto"/>
                <w:w w:val="95"/>
              </w:rPr>
              <w:t>EACH REPORTING</w:t>
            </w:r>
          </w:p>
        </w:tc>
        <w:tc>
          <w:tcPr>
            <w:tcW w:w="220" w:type="dxa"/>
            <w:vAlign w:val="bottom"/>
            <w:tcBorders>
              <w:right w:val="single" w:sz="8" w:color="808080"/>
            </w:tcBorders>
          </w:tcPr>
          <w:p>
            <w:pPr>
              <w:jc w:val="center"/>
              <w:spacing w:after="0" w:line="182" w:lineRule="exact"/>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5"/>
                <w:szCs w:val="15"/>
                <w:color w:val="auto"/>
              </w:rPr>
            </w:pPr>
          </w:p>
        </w:tc>
        <w:tc>
          <w:tcPr>
            <w:tcW w:w="29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3180" w:type="dxa"/>
            <w:vAlign w:val="bottom"/>
          </w:tcPr>
          <w:p>
            <w:pPr>
              <w:spacing w:after="0"/>
              <w:rPr>
                <w:sz w:val="15"/>
                <w:szCs w:val="15"/>
                <w:color w:val="auto"/>
              </w:rPr>
            </w:pPr>
          </w:p>
        </w:tc>
        <w:tc>
          <w:tcPr>
            <w:tcW w:w="2600" w:type="dxa"/>
            <w:vAlign w:val="bottom"/>
            <w:tcBorders>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60" w:type="dxa"/>
            <w:vAlign w:val="bottom"/>
            <w:tcBorders>
              <w:left w:val="single" w:sz="8" w:color="808080"/>
            </w:tcBorders>
          </w:tcPr>
          <w:p>
            <w:pPr>
              <w:spacing w:after="0"/>
              <w:rPr>
                <w:sz w:val="21"/>
                <w:szCs w:val="21"/>
                <w:color w:val="auto"/>
              </w:rPr>
            </w:pPr>
          </w:p>
        </w:tc>
        <w:tc>
          <w:tcPr>
            <w:tcW w:w="2180" w:type="dxa"/>
            <w:vAlign w:val="bottom"/>
            <w:tcBorders>
              <w:right w:val="single" w:sz="8" w:color="808080"/>
            </w:tcBorders>
          </w:tcPr>
          <w:p>
            <w:pPr>
              <w:jc w:val="center"/>
              <w:ind w:right="17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right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3180" w:type="dxa"/>
            <w:vAlign w:val="bottom"/>
          </w:tcPr>
          <w:p>
            <w:pPr>
              <w:spacing w:after="0"/>
              <w:rPr>
                <w:sz w:val="21"/>
                <w:szCs w:val="21"/>
                <w:color w:val="auto"/>
              </w:rPr>
            </w:pPr>
          </w:p>
        </w:tc>
        <w:tc>
          <w:tcPr>
            <w:tcW w:w="26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tcBorders>
          </w:tcPr>
          <w:p>
            <w:pPr>
              <w:spacing w:after="0"/>
              <w:rPr>
                <w:sz w:val="18"/>
                <w:szCs w:val="18"/>
                <w:color w:val="auto"/>
              </w:rPr>
            </w:pPr>
          </w:p>
        </w:tc>
        <w:tc>
          <w:tcPr>
            <w:tcW w:w="2180" w:type="dxa"/>
            <w:vAlign w:val="bottom"/>
            <w:tcBorders>
              <w:right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tcBorders>
          </w:tcPr>
          <w:p>
            <w:pPr>
              <w:spacing w:after="0"/>
              <w:rPr>
                <w:sz w:val="16"/>
                <w:szCs w:val="16"/>
                <w:color w:val="auto"/>
              </w:rPr>
            </w:pPr>
          </w:p>
        </w:tc>
        <w:tc>
          <w:tcPr>
            <w:tcW w:w="2180" w:type="dxa"/>
            <w:vAlign w:val="bottom"/>
            <w:tcBorders>
              <w:right w:val="single" w:sz="8" w:color="808080"/>
            </w:tcBorders>
          </w:tcPr>
          <w:p>
            <w:pPr>
              <w:spacing w:after="0"/>
              <w:rPr>
                <w:sz w:val="16"/>
                <w:szCs w:val="16"/>
                <w:color w:val="auto"/>
              </w:rPr>
            </w:pPr>
          </w:p>
        </w:tc>
        <w:tc>
          <w:tcPr>
            <w:tcW w:w="2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6"/>
                <w:szCs w:val="16"/>
                <w:color w:val="auto"/>
              </w:rPr>
            </w:pPr>
          </w:p>
        </w:tc>
        <w:tc>
          <w:tcPr>
            <w:tcW w:w="2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tcBorders>
          </w:tcPr>
          <w:p>
            <w:pPr>
              <w:spacing w:after="0"/>
              <w:rPr>
                <w:sz w:val="20"/>
                <w:szCs w:val="20"/>
                <w:color w:val="auto"/>
              </w:rPr>
            </w:pPr>
          </w:p>
        </w:tc>
        <w:tc>
          <w:tcPr>
            <w:tcW w:w="2180" w:type="dxa"/>
            <w:vAlign w:val="bottom"/>
            <w:tcBorders>
              <w:righ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2,716,977 (See Items 3, 4 and 5)</w:t>
            </w: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808080"/>
              <w:bottom w:val="single" w:sz="8" w:color="808080"/>
            </w:tcBorders>
          </w:tcPr>
          <w:p>
            <w:pPr>
              <w:spacing w:after="0"/>
              <w:rPr>
                <w:sz w:val="16"/>
                <w:szCs w:val="16"/>
                <w:color w:val="auto"/>
              </w:rPr>
            </w:pPr>
          </w:p>
        </w:tc>
        <w:tc>
          <w:tcPr>
            <w:tcW w:w="2180" w:type="dxa"/>
            <w:vAlign w:val="bottom"/>
            <w:tcBorders>
              <w:bottom w:val="single" w:sz="8" w:color="808080"/>
              <w:right w:val="single" w:sz="8" w:color="808080"/>
            </w:tcBorders>
          </w:tcPr>
          <w:p>
            <w:pPr>
              <w:spacing w:after="0"/>
              <w:rPr>
                <w:sz w:val="16"/>
                <w:szCs w:val="16"/>
                <w:color w:val="auto"/>
              </w:rPr>
            </w:pPr>
          </w:p>
        </w:tc>
        <w:tc>
          <w:tcPr>
            <w:tcW w:w="220" w:type="dxa"/>
            <w:vAlign w:val="bottom"/>
            <w:tcBorders>
              <w:bottom w:val="single" w:sz="8" w:color="808080"/>
              <w:right w:val="single" w:sz="8" w:color="808080"/>
            </w:tcBorders>
          </w:tcPr>
          <w:p>
            <w:pPr>
              <w:spacing w:after="0"/>
              <w:rPr>
                <w:sz w:val="16"/>
                <w:szCs w:val="16"/>
                <w:color w:val="auto"/>
              </w:rPr>
            </w:pPr>
          </w:p>
        </w:tc>
        <w:tc>
          <w:tcPr>
            <w:tcW w:w="240" w:type="dxa"/>
            <w:vAlign w:val="bottom"/>
            <w:tcBorders>
              <w:bottom w:val="single" w:sz="8" w:color="808080"/>
            </w:tcBorders>
            <w:gridSpan w:val="2"/>
          </w:tcPr>
          <w:p>
            <w:pPr>
              <w:spacing w:after="0"/>
              <w:rPr>
                <w:sz w:val="16"/>
                <w:szCs w:val="16"/>
                <w:color w:val="auto"/>
              </w:rPr>
            </w:pPr>
          </w:p>
        </w:tc>
        <w:tc>
          <w:tcPr>
            <w:tcW w:w="5920" w:type="dxa"/>
            <w:vAlign w:val="bottom"/>
            <w:tcBorders>
              <w:bottom w:val="single" w:sz="8" w:color="808080"/>
            </w:tcBorders>
            <w:gridSpan w:val="2"/>
          </w:tcPr>
          <w:p>
            <w:pPr>
              <w:spacing w:after="0"/>
              <w:rPr>
                <w:sz w:val="16"/>
                <w:szCs w:val="16"/>
                <w:color w:val="auto"/>
              </w:rPr>
            </w:pPr>
          </w:p>
        </w:tc>
        <w:tc>
          <w:tcPr>
            <w:tcW w:w="2600" w:type="dxa"/>
            <w:vAlign w:val="bottom"/>
            <w:tcBorders>
              <w:bottom w:val="single" w:sz="8" w:color="808080"/>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11</w:t>
            </w:r>
          </w:p>
        </w:tc>
        <w:tc>
          <w:tcPr>
            <w:tcW w:w="856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w w:val="89"/>
              </w:rPr>
              <w:t>2,716,977 (See Items 3, 4 and 5)</w:t>
            </w: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5380" w:type="dxa"/>
            <w:vAlign w:val="bottom"/>
            <w:gridSpan w:val="5"/>
          </w:tcPr>
          <w:p>
            <w:pPr>
              <w:spacing w:after="0"/>
              <w:rPr>
                <w:sz w:val="20"/>
                <w:szCs w:val="20"/>
                <w:color w:val="auto"/>
              </w:rPr>
            </w:pPr>
            <w:r>
              <w:rPr>
                <w:rFonts w:ascii="Arial" w:cs="Arial" w:eastAsia="Arial" w:hAnsi="Arial"/>
                <w:sz w:val="18"/>
                <w:szCs w:val="18"/>
                <w:color w:val="auto"/>
                <w:w w:val="99"/>
              </w:rPr>
              <w:t>CHECK IF THE AGGREGATE AMOUNT IN ROW (11) EXCLUDES</w:t>
            </w:r>
          </w:p>
        </w:tc>
        <w:tc>
          <w:tcPr>
            <w:tcW w:w="3180" w:type="dxa"/>
            <w:vAlign w:val="bottom"/>
          </w:tcPr>
          <w:p>
            <w:pPr>
              <w:ind w:left="300"/>
              <w:spacing w:after="0"/>
              <w:rPr>
                <w:sz w:val="20"/>
                <w:szCs w:val="20"/>
                <w:color w:val="auto"/>
              </w:rPr>
            </w:pPr>
            <w:r>
              <w:rPr>
                <w:rFonts w:ascii="Arial" w:cs="Arial" w:eastAsia="Arial" w:hAnsi="Arial"/>
                <w:sz w:val="18"/>
                <w:szCs w:val="18"/>
                <w:color w:val="auto"/>
                <w:w w:val="94"/>
              </w:rPr>
              <w:t>CERTAIN SHARES (see instructions)</w:t>
            </w:r>
          </w:p>
        </w:tc>
        <w:tc>
          <w:tcPr>
            <w:tcW w:w="2600" w:type="dxa"/>
            <w:vAlign w:val="bottom"/>
            <w:tcBorders>
              <w:right w:val="single" w:sz="8" w:color="808080"/>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260" w:type="dxa"/>
            <w:vAlign w:val="bottom"/>
            <w:tcBorders>
              <w:left w:val="single" w:sz="8" w:color="808080"/>
              <w:bottom w:val="single" w:sz="8" w:color="808080"/>
              <w:right w:val="single" w:sz="8" w:color="808080"/>
            </w:tcBorders>
          </w:tcPr>
          <w:p>
            <w:pPr>
              <w:spacing w:after="0"/>
              <w:rPr>
                <w:sz w:val="15"/>
                <w:szCs w:val="15"/>
                <w:color w:val="auto"/>
              </w:rPr>
            </w:pPr>
          </w:p>
        </w:tc>
        <w:tc>
          <w:tcPr>
            <w:tcW w:w="21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gridSpan w:val="2"/>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w w:val="99"/>
              </w:rPr>
              <w:t>PERCENT OF CLASS REPRESENTED BY AMOUNT IN ROW 11</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4.1% (See Item 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gridSpan w:val="2"/>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808080"/>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538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3180" w:type="dxa"/>
            <w:vAlign w:val="bottom"/>
          </w:tcPr>
          <w:p>
            <w:pPr>
              <w:spacing w:after="0"/>
              <w:rPr>
                <w:sz w:val="16"/>
                <w:szCs w:val="16"/>
                <w:color w:val="auto"/>
              </w:rPr>
            </w:pPr>
          </w:p>
        </w:tc>
        <w:tc>
          <w:tcPr>
            <w:tcW w:w="26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808080"/>
              <w:right w:val="single" w:sz="8" w:color="808080"/>
            </w:tcBorders>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IN</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808080"/>
              <w:bottom w:val="single" w:sz="8" w:color="808080"/>
              <w:right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right="20" w:hanging="151"/>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assumes that there are 66,719,061 shares of Common Stock of the Issuer outstanding, based on information provided by the Issuer.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6" w:name="page7"/>
    <w:bookmarkEnd w:id="6"/>
    <w:p>
      <w:pPr>
        <w:ind w:right="260" w:firstLine="648"/>
        <w:spacing w:after="0" w:line="277" w:lineRule="auto"/>
        <w:rPr>
          <w:sz w:val="20"/>
          <w:szCs w:val="20"/>
          <w:color w:val="auto"/>
        </w:rPr>
      </w:pPr>
      <w:r>
        <w:rPr>
          <w:rFonts w:ascii="Arial" w:cs="Arial" w:eastAsia="Arial" w:hAnsi="Arial"/>
          <w:sz w:val="18"/>
          <w:szCs w:val="18"/>
          <w:color w:val="auto"/>
        </w:rPr>
        <w:t>This Amendment No. 15 (this “</w:t>
      </w:r>
      <w:r>
        <w:rPr>
          <w:rFonts w:ascii="Arial" w:cs="Arial" w:eastAsia="Arial" w:hAnsi="Arial"/>
          <w:sz w:val="18"/>
          <w:szCs w:val="18"/>
          <w:u w:val="single" w:color="auto"/>
          <w:color w:val="auto"/>
        </w:rPr>
        <w:t>Amendment</w:t>
      </w:r>
      <w:r>
        <w:rPr>
          <w:rFonts w:ascii="Arial" w:cs="Arial" w:eastAsia="Arial" w:hAnsi="Arial"/>
          <w:sz w:val="18"/>
          <w:szCs w:val="18"/>
          <w:color w:val="auto"/>
        </w:rPr>
        <w:t>”) is filed to report that, due to an increase in the number of shares of Common Stock outstanding, the Reporting Persons have ceased to be the beneficial owner of more than five percent of the shares of Common Stock.</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This Amendment amends the Schedule 13D filed on June 27, 2011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as amended by Amendment No. 1 filed on August 2, 2011, Amendment No. 2 filed on December 2, 2011 (“</w:t>
      </w:r>
      <w:r>
        <w:rPr>
          <w:rFonts w:ascii="Arial" w:cs="Arial" w:eastAsia="Arial" w:hAnsi="Arial"/>
          <w:sz w:val="16"/>
          <w:szCs w:val="16"/>
          <w:u w:val="single" w:color="auto"/>
          <w:color w:val="auto"/>
        </w:rPr>
        <w:t>Amendment No. 2</w:t>
      </w:r>
      <w:r>
        <w:rPr>
          <w:rFonts w:ascii="Arial" w:cs="Arial" w:eastAsia="Arial" w:hAnsi="Arial"/>
          <w:sz w:val="16"/>
          <w:szCs w:val="16"/>
          <w:color w:val="auto"/>
        </w:rPr>
        <w:t>”), Amendment No. 3 filed on December 20, 2011, Amendment No. 4 filed on February 3, 2012 (“</w:t>
      </w:r>
      <w:r>
        <w:rPr>
          <w:rFonts w:ascii="Arial" w:cs="Arial" w:eastAsia="Arial" w:hAnsi="Arial"/>
          <w:sz w:val="16"/>
          <w:szCs w:val="16"/>
          <w:u w:val="single" w:color="auto"/>
          <w:color w:val="auto"/>
        </w:rPr>
        <w:t>Amendment No. 4</w:t>
      </w:r>
      <w:r>
        <w:rPr>
          <w:rFonts w:ascii="Arial" w:cs="Arial" w:eastAsia="Arial" w:hAnsi="Arial"/>
          <w:sz w:val="16"/>
          <w:szCs w:val="16"/>
          <w:color w:val="auto"/>
        </w:rPr>
        <w:t>”), Amendment No. 5 filed on February 8, 2012, Amendment No. 6 filed on March 20, 2012, Amendment No.</w:t>
      </w:r>
    </w:p>
    <w:p>
      <w:pPr>
        <w:ind w:right="380"/>
        <w:spacing w:after="0" w:line="281" w:lineRule="auto"/>
        <w:rPr>
          <w:sz w:val="20"/>
          <w:szCs w:val="20"/>
          <w:color w:val="auto"/>
        </w:rPr>
      </w:pPr>
      <w:r>
        <w:rPr>
          <w:rFonts w:ascii="Arial" w:cs="Arial" w:eastAsia="Arial" w:hAnsi="Arial"/>
          <w:sz w:val="16"/>
          <w:szCs w:val="16"/>
          <w:color w:val="auto"/>
        </w:rPr>
        <w:t>7 filed on June 20, 2012, Amendment No. 8 filed on September 14, 2012, Amendment No. 9 filed on December 12, 2012, Amendment No. 10 filed on February 6, 2013, Amendment No. 11 filed on September 16, 2013, Amendment No. 12 filed on January 2, 2014, Amendment No. 13 filed on March 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2014 (“</w:t>
      </w:r>
      <w:r>
        <w:rPr>
          <w:rFonts w:ascii="Arial" w:cs="Arial" w:eastAsia="Arial" w:hAnsi="Arial"/>
          <w:sz w:val="17"/>
          <w:szCs w:val="17"/>
          <w:u w:val="single" w:color="auto"/>
          <w:color w:val="auto"/>
        </w:rPr>
        <w:t>Amendment No. 13</w:t>
      </w:r>
      <w:r>
        <w:rPr>
          <w:rFonts w:ascii="Arial" w:cs="Arial" w:eastAsia="Arial" w:hAnsi="Arial"/>
          <w:sz w:val="17"/>
          <w:szCs w:val="17"/>
          <w:color w:val="auto"/>
        </w:rPr>
        <w:t>”) and Amendment No. 14 filed on March 27, 2014 (“</w:t>
      </w:r>
      <w:r>
        <w:rPr>
          <w:rFonts w:ascii="Arial" w:cs="Arial" w:eastAsia="Arial" w:hAnsi="Arial"/>
          <w:sz w:val="17"/>
          <w:szCs w:val="17"/>
          <w:u w:val="single" w:color="auto"/>
          <w:color w:val="auto"/>
        </w:rPr>
        <w:t>Amendment No. 14</w:t>
      </w:r>
      <w:r>
        <w:rPr>
          <w:rFonts w:ascii="Arial" w:cs="Arial" w:eastAsia="Arial" w:hAnsi="Arial"/>
          <w:sz w:val="17"/>
          <w:szCs w:val="17"/>
          <w:color w:val="auto"/>
        </w:rPr>
        <w:t>, and as amended by this Amendment, the “</w:t>
      </w:r>
      <w:r>
        <w:rPr>
          <w:rFonts w:ascii="Arial" w:cs="Arial" w:eastAsia="Arial" w:hAnsi="Arial"/>
          <w:sz w:val="17"/>
          <w:szCs w:val="17"/>
          <w:u w:val="single" w:color="auto"/>
          <w:color w:val="auto"/>
        </w:rPr>
        <w:t>Schedule</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u w:val="single" w:color="auto"/>
          <w:color w:val="auto"/>
        </w:rPr>
        <w:t>13D</w:t>
      </w:r>
      <w:r>
        <w:rPr>
          <w:rFonts w:ascii="Arial" w:cs="Arial" w:eastAsia="Arial" w:hAnsi="Arial"/>
          <w:sz w:val="18"/>
          <w:szCs w:val="18"/>
          <w:color w:val="auto"/>
        </w:rPr>
        <w:t>”) by TPG Group Holdings (SBS) Advisors, Inc., Tarrant Capital Advisors, Inc. and Messrs. David Bonderman, James G. Coulter and Alan Waxman with respect to the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of the Schedule 13D is hereby amended and restated in its entirety as follows: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Group Advisors, Messrs. Bonderman and Coulter and Tarrant Capital is c/o TPG Global, LLC, 301 Commerce Street, Suite 3300, Fort Worth, TX 76102. The business address of Mr. Waxman is c/o Sixth Street Partners, LLC, Suite 3300, 345 California Street, San Francisco, CA 94104.</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2,716,977 shares of Common Stock of the Issuer (the “</w:t>
      </w:r>
      <w:r>
        <w:rPr>
          <w:rFonts w:ascii="Arial" w:cs="Arial" w:eastAsia="Arial" w:hAnsi="Arial"/>
          <w:sz w:val="18"/>
          <w:szCs w:val="18"/>
          <w:u w:val="single" w:color="auto"/>
          <w:color w:val="auto"/>
        </w:rPr>
        <w:t>TSL Shares</w:t>
      </w:r>
      <w:r>
        <w:rPr>
          <w:rFonts w:ascii="Arial" w:cs="Arial" w:eastAsia="Arial" w:hAnsi="Arial"/>
          <w:sz w:val="18"/>
          <w:szCs w:val="18"/>
          <w:color w:val="auto"/>
        </w:rPr>
        <w:t>”) reported herein. The business and affairs of TSL Advisers are managed by the board of directors of its managing member. The sole members of that board are Messrs. Bonderman, Coulter and Waxman.</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Group Advisors is the sole member of TPG Group Holdings (SBS) Advisors LLC, a Delaware limited liability company, which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 II</w:t>
      </w:r>
      <w:r>
        <w:rPr>
          <w:rFonts w:ascii="Arial" w:cs="Arial" w:eastAsia="Arial" w:hAnsi="Arial"/>
          <w:sz w:val="16"/>
          <w:szCs w:val="16"/>
          <w:color w:val="auto"/>
        </w:rPr>
        <w:t>”), which is the general partner of TPG Holdings</w:t>
      </w:r>
    </w:p>
    <w:p>
      <w:pPr>
        <w:ind w:right="140" w:firstLine="8"/>
        <w:spacing w:after="0" w:line="261"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 L.P., a Delaware limited partnership (“</w:t>
      </w:r>
      <w:r>
        <w:rPr>
          <w:rFonts w:ascii="Arial" w:cs="Arial" w:eastAsia="Arial" w:hAnsi="Arial"/>
          <w:sz w:val="18"/>
          <w:szCs w:val="18"/>
          <w:u w:val="single" w:color="auto"/>
          <w:color w:val="auto"/>
        </w:rPr>
        <w:t>Holdings II Sub</w:t>
      </w:r>
      <w:r>
        <w:rPr>
          <w:rFonts w:ascii="Arial" w:cs="Arial" w:eastAsia="Arial" w:hAnsi="Arial"/>
          <w:sz w:val="18"/>
          <w:szCs w:val="18"/>
          <w:color w:val="auto"/>
        </w:rPr>
        <w:t>”), which is a member of TSL Advisers. Because of the relationship between Holdings II Sub and TSL Advisers, Group Advisors may be deemed to beneficially own the TSL Shares.</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Tarrant Capital is the sole stockholder of Tarrant Advisors, Inc., a Texas corporation (“</w:t>
      </w:r>
      <w:r>
        <w:rPr>
          <w:rFonts w:ascii="Arial" w:cs="Arial" w:eastAsia="Arial" w:hAnsi="Arial"/>
          <w:sz w:val="18"/>
          <w:szCs w:val="18"/>
          <w:u w:val="single" w:color="auto"/>
          <w:color w:val="auto"/>
        </w:rPr>
        <w:t>Tarrant Advisors</w:t>
      </w:r>
      <w:r>
        <w:rPr>
          <w:rFonts w:ascii="Arial" w:cs="Arial" w:eastAsia="Arial" w:hAnsi="Arial"/>
          <w:sz w:val="18"/>
          <w:szCs w:val="18"/>
          <w:color w:val="auto"/>
        </w:rPr>
        <w:t>”), which is the former general partner of TSL Equity Partners, L.P., a Delaware limited partnership (“</w:t>
      </w:r>
      <w:r>
        <w:rPr>
          <w:rFonts w:ascii="Arial" w:cs="Arial" w:eastAsia="Arial" w:hAnsi="Arial"/>
          <w:sz w:val="18"/>
          <w:szCs w:val="18"/>
          <w:u w:val="single" w:color="auto"/>
          <w:color w:val="auto"/>
        </w:rPr>
        <w:t>Equity Partners</w:t>
      </w:r>
      <w:r>
        <w:rPr>
          <w:rFonts w:ascii="Arial" w:cs="Arial" w:eastAsia="Arial" w:hAnsi="Arial"/>
          <w:sz w:val="18"/>
          <w:szCs w:val="18"/>
          <w:color w:val="auto"/>
        </w:rPr>
        <w:t>”), which is a member of TSL Advisers. Tarrant Advisors directly holds 66 shares of Common Stock of the Issuer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Messrs. Bonderman and Coulter are sole stockholders of each of Group Advisors and Tarrant Capital. Because of the relationship of Messrs. Bonderman and Coulter to Group Advisors and Tarrant Capital, each of Messrs. Bonderman and Coulter may be deemed to beneficially own the TSL Shares and Tarrant Shares. Each of Messrs. Bonderman and Coulter disclaim beneficial ownership of the TSL Shares and Tarrant Shares except to the extent of his pecuniary interest therein. Because Mr. Waxman is a member of the board of directors of the managing member of TSL Advisers, he may be deemed to beneficially own the TSL Shares. Mr. Waxman disclaims beneficial ownership of the TSL Shares except to the extent of his pecuniary interest therein.</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engaged in making or recommending investments in securities of public and private companies. The principal business of Tarrant Capital is serving as the sole ultimate general partner, managing member or similar entity of related entities engaged in making or recommending investments in securities of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ind w:right="160" w:firstLine="648"/>
        <w:spacing w:after="0" w:line="277" w:lineRule="auto"/>
        <w:rPr>
          <w:sz w:val="20"/>
          <w:szCs w:val="20"/>
          <w:color w:val="auto"/>
        </w:rPr>
      </w:pPr>
      <w:r>
        <w:rPr>
          <w:rFonts w:ascii="Arial" w:cs="Arial" w:eastAsia="Arial" w:hAnsi="Arial"/>
          <w:sz w:val="18"/>
          <w:szCs w:val="18"/>
          <w:color w:val="auto"/>
        </w:rPr>
        <w:t>The present principal occupation of David Bonderman is President of Group Advisors and Tarrant Capital and officer, director or manager of other affiliated entities.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present principal occupation of James G. Coulter is Senior Vice President of Group Advisors, Executive Vice President of Tarrant Capital and officer, director or manager of other affiliated entities.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present principal occupation of Alan Waxman is Managing Partner of Sixth Street Partners, the investment platform through which TSL Advisers is operated; Vice President of the Issuer; and officer, director or manager of other affiliated entities.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agreement among the Reporting Persons relating to the joint filing of this Schedule 13D was attached as Exhibit 1 to Amendment No. 14.</w:t>
      </w:r>
    </w:p>
    <w:p>
      <w:pPr>
        <w:spacing w:after="0" w:line="2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and 6 are hereby incorporated herein by reference.</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(a)-(b) The following disclosure assumes that there are 66,719,061 shares of Common Stock of the Issuer outstanding, based on information provided by the Issuer. Pursuant to Rule 13d-3 of the Act, each of Messrs. Bonderman and Coulter may be deemed to beneficially own the TSL Shares and the Tarrant Shares, which constitute approximately 4.1% of the outstanding Common Stock. Each of Messrs. Bonderman and Coulter disclaim beneficial ownership of the TSL Shares and Tarrant Shares except to the extent of his pecuniary interest therein. Pursuant to Rule 13d-3 of the Act, Mr. Waxman may be deemed to beneficially own the TSL Shares, which constitute approximately 4.1% of the outstanding Common Stock. Mr. Waxman disclaims beneficial ownership of such shares of Common Stock except to the extent of his pecuniary interest therein.</w:t>
      </w:r>
    </w:p>
    <w:p>
      <w:pPr>
        <w:spacing w:after="0" w:line="178" w:lineRule="exact"/>
        <w:rPr>
          <w:sz w:val="20"/>
          <w:szCs w:val="20"/>
          <w:color w:val="auto"/>
        </w:rPr>
      </w:pPr>
    </w:p>
    <w:p>
      <w:pPr>
        <w:ind w:right="300" w:firstLine="820"/>
        <w:spacing w:after="0" w:line="277" w:lineRule="auto"/>
        <w:tabs>
          <w:tab w:leader="none" w:pos="105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within the past 60 days.</w:t>
      </w:r>
    </w:p>
    <w:p>
      <w:pPr>
        <w:spacing w:after="0" w:line="170" w:lineRule="exact"/>
        <w:rPr>
          <w:rFonts w:ascii="Arial" w:cs="Arial" w:eastAsia="Arial" w:hAnsi="Arial"/>
          <w:sz w:val="18"/>
          <w:szCs w:val="18"/>
          <w:color w:val="auto"/>
        </w:rPr>
      </w:pPr>
    </w:p>
    <w:p>
      <w:pPr>
        <w:ind w:right="600" w:firstLine="820"/>
        <w:spacing w:after="0" w:line="277" w:lineRule="auto"/>
        <w:tabs>
          <w:tab w:leader="none" w:pos="10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8" w:name="page9"/>
    <w:bookmarkEnd w:id="8"/>
    <w:p>
      <w:pPr>
        <w:ind w:firstLine="820"/>
        <w:spacing w:after="0" w:line="277" w:lineRule="auto"/>
        <w:tabs>
          <w:tab w:leader="none" w:pos="1102"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an increase in the number of shares of Common Stock outstanding, as of March 3, 2016 the Reporting Persons ceased to be the beneficial owner of more than five percent of the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7 of the Schedule 13D is amended and restated by adding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 Authorization and Designation Letter, dated February 14, 2020, by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476" w:right="87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Michael LaGatta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756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Sherri Conn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Sherri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756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Secretary and Assistant Treasurer</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Bradford Berenson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Bradford Berenson on behalf of David Bonderman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756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Bradford Berenson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Bradford Berenson on behalf of James G. Coulter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7560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Joshua Peck</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Joshua Peck on behalf of Alan Waxman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756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04" w:lineRule="exact"/>
        <w:rPr>
          <w:sz w:val="20"/>
          <w:szCs w:val="20"/>
          <w:color w:val="auto"/>
        </w:rPr>
      </w:pPr>
    </w:p>
    <w:p>
      <w:pPr>
        <w:ind w:left="360" w:right="640" w:hanging="352"/>
        <w:spacing w:after="0" w:line="342"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Bradford Berenson is signing on behalf of Mr. Bonderman pursuant to an authorization and designation letter dated March 13, 2018, which was previously filed with the Commission as an exhibit to a Schedule 13G filed by Mr. Bonderman on April 2, 2018 (SEC File No. 005-90172).</w:t>
      </w:r>
    </w:p>
    <w:p>
      <w:pPr>
        <w:spacing w:after="0" w:line="123" w:lineRule="exact"/>
        <w:rPr>
          <w:rFonts w:ascii="Arial" w:cs="Arial" w:eastAsia="Arial" w:hAnsi="Arial"/>
          <w:sz w:val="16"/>
          <w:szCs w:val="16"/>
          <w:color w:val="auto"/>
        </w:rPr>
      </w:pPr>
    </w:p>
    <w:p>
      <w:pPr>
        <w:ind w:left="360" w:right="120" w:hanging="352"/>
        <w:spacing w:after="0" w:line="308"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Bradford Berenson is signing on behalf of Mr. Coulter pursuant to an authorization and designation letter dated March 13, 2018, which was previously filed with the Commission as an exhibit to a Schedule 13G filed by Mr. Coulter on April 2, 2018 (SEC File No. 005-90172).</w:t>
      </w:r>
    </w:p>
    <w:p>
      <w:pPr>
        <w:spacing w:after="0" w:line="146" w:lineRule="exact"/>
        <w:rPr>
          <w:rFonts w:ascii="Arial" w:cs="Arial" w:eastAsia="Arial" w:hAnsi="Arial"/>
          <w:sz w:val="17"/>
          <w:szCs w:val="17"/>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Authorization and Designation Letter, dated February 14, 2020, by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35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7080" w:type="dxa"/>
            <w:vAlign w:val="bottom"/>
          </w:tcPr>
          <w:p>
            <w:pPr>
              <w:spacing w:after="0"/>
              <w:rPr>
                <w:sz w:val="17"/>
                <w:szCs w:val="17"/>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742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74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Jon Winkelried</w:t>
            </w:r>
          </w:p>
        </w:tc>
        <w:tc>
          <w:tcPr>
            <w:tcW w:w="74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Ken Murphy</w:t>
            </w:r>
          </w:p>
        </w:tc>
        <w:tc>
          <w:tcPr>
            <w:tcW w:w="7420" w:type="dxa"/>
            <w:vAlign w:val="bottom"/>
            <w:gridSpan w:val="2"/>
          </w:tcPr>
          <w:p>
            <w:pPr>
              <w:spacing w:after="0"/>
              <w:rPr>
                <w:sz w:val="20"/>
                <w:szCs w:val="20"/>
                <w:color w:val="auto"/>
              </w:rPr>
            </w:pPr>
            <w:r>
              <w:rPr>
                <w:rFonts w:ascii="Arial" w:cs="Arial" w:eastAsia="Arial" w:hAnsi="Arial"/>
                <w:sz w:val="18"/>
                <w:szCs w:val="18"/>
                <w:color w:val="auto"/>
              </w:rPr>
              <w:t>Vice President and Director</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Michael LaGatta</w:t>
            </w:r>
          </w:p>
        </w:tc>
        <w:tc>
          <w:tcPr>
            <w:tcW w:w="7420" w:type="dxa"/>
            <w:vAlign w:val="bottom"/>
            <w:gridSpan w:val="2"/>
          </w:tcPr>
          <w:p>
            <w:pPr>
              <w:spacing w:after="0"/>
              <w:rPr>
                <w:sz w:val="20"/>
                <w:szCs w:val="20"/>
                <w:color w:val="auto"/>
              </w:rPr>
            </w:pPr>
            <w:r>
              <w:rPr>
                <w:rFonts w:ascii="Arial" w:cs="Arial" w:eastAsia="Arial" w:hAnsi="Arial"/>
                <w:sz w:val="18"/>
                <w:szCs w:val="18"/>
                <w:color w:val="auto"/>
              </w:rPr>
              <w:t>Vice President and Director</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Joann Harris</w:t>
            </w:r>
          </w:p>
        </w:tc>
        <w:tc>
          <w:tcPr>
            <w:tcW w:w="742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7420" w:type="dxa"/>
            <w:vAlign w:val="bottom"/>
            <w:gridSpan w:val="2"/>
          </w:tcPr>
          <w:p>
            <w:pPr>
              <w:spacing w:after="0"/>
              <w:rPr>
                <w:sz w:val="20"/>
                <w:szCs w:val="20"/>
                <w:color w:val="auto"/>
              </w:rPr>
            </w:pPr>
            <w:r>
              <w:rPr>
                <w:rFonts w:ascii="Arial" w:cs="Arial" w:eastAsia="Arial" w:hAnsi="Arial"/>
                <w:sz w:val="18"/>
                <w:szCs w:val="18"/>
                <w:color w:val="auto"/>
              </w:rPr>
              <w:t>Treasurer</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Martin Davidson</w:t>
            </w:r>
          </w:p>
        </w:tc>
        <w:tc>
          <w:tcPr>
            <w:tcW w:w="74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r>
        <w:trPr>
          <w:trHeight w:val="675"/>
        </w:trPr>
        <w:tc>
          <w:tcPr>
            <w:tcW w:w="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35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7080" w:type="dxa"/>
            <w:vAlign w:val="bottom"/>
          </w:tcPr>
          <w:p>
            <w:pPr>
              <w:spacing w:after="0"/>
              <w:rPr>
                <w:sz w:val="17"/>
                <w:szCs w:val="17"/>
                <w:color w:val="auto"/>
              </w:rPr>
            </w:pP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74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7420" w:type="dxa"/>
            <w:vAlign w:val="bottom"/>
            <w:gridSpan w:val="2"/>
          </w:tcPr>
          <w:p>
            <w:pPr>
              <w:spacing w:after="0"/>
              <w:rPr>
                <w:sz w:val="20"/>
                <w:szCs w:val="20"/>
                <w:color w:val="auto"/>
              </w:rPr>
            </w:pPr>
            <w:r>
              <w:rPr>
                <w:rFonts w:ascii="Arial" w:cs="Arial" w:eastAsia="Arial" w:hAnsi="Arial"/>
                <w:sz w:val="18"/>
                <w:szCs w:val="18"/>
                <w:color w:val="auto"/>
              </w:rPr>
              <w:t>Senior Vice President and Director</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742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7420" w:type="dxa"/>
            <w:vAlign w:val="bottom"/>
            <w:gridSpan w:val="2"/>
          </w:tcPr>
          <w:p>
            <w:pPr>
              <w:spacing w:after="0"/>
              <w:rPr>
                <w:sz w:val="20"/>
                <w:szCs w:val="20"/>
                <w:color w:val="auto"/>
              </w:rPr>
            </w:pPr>
            <w:r>
              <w:rPr>
                <w:rFonts w:ascii="Arial" w:cs="Arial" w:eastAsia="Arial" w:hAnsi="Arial"/>
                <w:sz w:val="18"/>
                <w:szCs w:val="18"/>
                <w:color w:val="auto"/>
              </w:rPr>
              <w:t>Vice President and Assistant Treasurer</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Sherri Conn</w:t>
            </w:r>
          </w:p>
        </w:tc>
        <w:tc>
          <w:tcPr>
            <w:tcW w:w="7420" w:type="dxa"/>
            <w:vAlign w:val="bottom"/>
            <w:gridSpan w:val="2"/>
          </w:tcPr>
          <w:p>
            <w:pPr>
              <w:spacing w:after="0"/>
              <w:rPr>
                <w:sz w:val="20"/>
                <w:szCs w:val="20"/>
                <w:color w:val="auto"/>
              </w:rPr>
            </w:pPr>
            <w:r>
              <w:rPr>
                <w:rFonts w:ascii="Arial" w:cs="Arial" w:eastAsia="Arial" w:hAnsi="Arial"/>
                <w:sz w:val="18"/>
                <w:szCs w:val="18"/>
                <w:color w:val="auto"/>
              </w:rPr>
              <w:t>Secretary and Assistant Treasurer</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Joann Harris</w:t>
            </w:r>
          </w:p>
        </w:tc>
        <w:tc>
          <w:tcPr>
            <w:tcW w:w="742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r>
      <w:tr>
        <w:trPr>
          <w:trHeight w:val="675"/>
        </w:trPr>
        <w:tc>
          <w:tcPr>
            <w:tcW w:w="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12"/>
          </w:cols>
          <w:pgMar w:left="248" w:top="472" w:right="239" w:bottom="1440" w:gutter="0" w:footer="0" w:header="0"/>
        </w:sectPr>
      </w:pPr>
    </w:p>
    <w:p>
      <w:pPr>
        <w:spacing w:after="0" w:line="225" w:lineRule="exact"/>
        <w:rPr>
          <w:sz w:val="20"/>
          <w:szCs w:val="20"/>
          <w:color w:val="auto"/>
        </w:rPr>
      </w:pPr>
    </w:p>
    <w:p>
      <w:pPr>
        <w:ind w:left="92"/>
        <w:spacing w:after="0"/>
        <w:rPr>
          <w:sz w:val="20"/>
          <w:szCs w:val="20"/>
          <w:color w:val="auto"/>
        </w:rPr>
      </w:pP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50" w:lineRule="exact"/>
        <w:rPr>
          <w:sz w:val="20"/>
          <w:szCs w:val="20"/>
          <w:color w:val="auto"/>
        </w:rPr>
      </w:pPr>
    </w:p>
    <w:p>
      <w:pPr>
        <w:sectPr>
          <w:pgSz w:w="11900" w:h="16838" w:orient="portrait"/>
          <w:cols w:equalWidth="0" w:num="2">
            <w:col w:w="672" w:space="580"/>
            <w:col w:w="10160"/>
          </w:cols>
          <w:pgMar w:left="248" w:top="472" w:right="239" w:bottom="1440" w:gutter="0" w:footer="0" w:header="0"/>
          <w:type w:val="continuous"/>
        </w:sectPr>
      </w:pPr>
    </w:p>
    <w:p>
      <w:pPr>
        <w:ind w:left="92"/>
        <w:spacing w:after="0"/>
        <w:rPr>
          <w:sz w:val="20"/>
          <w:szCs w:val="20"/>
          <w:color w:val="auto"/>
        </w:rPr>
      </w:pPr>
      <w:r>
        <w:rPr>
          <w:rFonts w:ascii="Arial" w:cs="Arial" w:eastAsia="Arial" w:hAnsi="Arial"/>
          <w:sz w:val="16"/>
          <w:szCs w:val="16"/>
          <w:b w:val="1"/>
          <w:bCs w:val="1"/>
          <w:color w:val="auto"/>
        </w:rPr>
        <w:t>Number</w:t>
      </w:r>
    </w:p>
    <w:p>
      <w:pPr>
        <w:sectPr>
          <w:pgSz w:w="11900" w:h="16838" w:orient="portrait"/>
          <w:cols w:equalWidth="0" w:num="1">
            <w:col w:w="11412"/>
          </w:cols>
          <w:pgMar w:left="248" w:top="472" w:right="239" w:bottom="1440" w:gutter="0" w:footer="0" w:header="0"/>
          <w:type w:val="continuous"/>
        </w:sectPr>
      </w:pPr>
    </w:p>
    <w:p>
      <w:pPr>
        <w:spacing w:after="0" w:line="32" w:lineRule="exact"/>
        <w:rPr>
          <w:sz w:val="20"/>
          <w:szCs w:val="20"/>
          <w:color w:val="auto"/>
        </w:rPr>
      </w:pPr>
    </w:p>
    <w:p>
      <w:pPr>
        <w:ind w:left="1152" w:right="380" w:hanging="1152"/>
        <w:spacing w:after="0" w:line="263"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83" w:lineRule="exact"/>
        <w:rPr>
          <w:rFonts w:ascii="Arial" w:cs="Arial" w:eastAsia="Arial" w:hAnsi="Arial"/>
          <w:sz w:val="18"/>
          <w:szCs w:val="18"/>
          <w:color w:val="auto"/>
        </w:rPr>
      </w:pPr>
    </w:p>
    <w:p>
      <w:pPr>
        <w:ind w:left="1152" w:right="100" w:hanging="1152"/>
        <w:spacing w:after="0" w:line="277"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70" w:lineRule="exact"/>
        <w:rPr>
          <w:rFonts w:ascii="Arial" w:cs="Arial" w:eastAsia="Arial" w:hAnsi="Arial"/>
          <w:sz w:val="18"/>
          <w:szCs w:val="18"/>
          <w:color w:val="auto"/>
        </w:rPr>
      </w:pPr>
    </w:p>
    <w:p>
      <w:pPr>
        <w:ind w:left="1152" w:right="400" w:hanging="1152"/>
        <w:spacing w:after="0" w:line="277"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70" w:lineRule="exact"/>
        <w:rPr>
          <w:rFonts w:ascii="Arial" w:cs="Arial" w:eastAsia="Arial" w:hAnsi="Arial"/>
          <w:sz w:val="18"/>
          <w:szCs w:val="18"/>
          <w:color w:val="auto"/>
        </w:rPr>
      </w:pPr>
    </w:p>
    <w:p>
      <w:pPr>
        <w:ind w:left="1152" w:right="100" w:hanging="1152"/>
        <w:spacing w:after="0" w:line="277"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70" w:lineRule="exact"/>
        <w:rPr>
          <w:rFonts w:ascii="Arial" w:cs="Arial" w:eastAsia="Arial" w:hAnsi="Arial"/>
          <w:sz w:val="18"/>
          <w:szCs w:val="18"/>
          <w:color w:val="auto"/>
        </w:rPr>
      </w:pPr>
    </w:p>
    <w:p>
      <w:pPr>
        <w:ind w:left="1152" w:right="600" w:hanging="1152"/>
        <w:spacing w:after="0" w:line="277"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170" w:lineRule="exact"/>
        <w:rPr>
          <w:rFonts w:ascii="Arial" w:cs="Arial" w:eastAsia="Arial" w:hAnsi="Arial"/>
          <w:sz w:val="18"/>
          <w:szCs w:val="18"/>
          <w:color w:val="auto"/>
        </w:rPr>
      </w:pPr>
    </w:p>
    <w:p>
      <w:pPr>
        <w:ind w:left="1152" w:right="40" w:hanging="1152"/>
        <w:spacing w:after="0" w:line="277"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Agreement, dated as of March 11, 2014 between TSL Advisers, LLC and Goldman, Sachs &amp; Co. (previously filed with Amendment No. 13).</w:t>
      </w:r>
    </w:p>
    <w:p>
      <w:pPr>
        <w:spacing w:after="0" w:line="170" w:lineRule="exact"/>
        <w:rPr>
          <w:rFonts w:ascii="Arial" w:cs="Arial" w:eastAsia="Arial" w:hAnsi="Arial"/>
          <w:sz w:val="18"/>
          <w:szCs w:val="18"/>
          <w:color w:val="auto"/>
        </w:rPr>
      </w:pPr>
    </w:p>
    <w:p>
      <w:pPr>
        <w:ind w:left="1152" w:right="80" w:hanging="1152"/>
        <w:spacing w:after="0" w:line="264"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Private Placement Agreement by and among TPG Specialty Lending, Inc., TSL Advisers, LLC and certain other stockholders of TPG Specialty Lending, Inc. (previously filed with the Commission as Exhibit (d)(3) to Form N-2/A filed by TPG Specialty Lending, Inc. on March 12, 2014).</w:t>
      </w:r>
    </w:p>
    <w:p>
      <w:pPr>
        <w:spacing w:after="0" w:line="181" w:lineRule="exact"/>
        <w:rPr>
          <w:rFonts w:ascii="Arial" w:cs="Arial" w:eastAsia="Arial" w:hAnsi="Arial"/>
          <w:sz w:val="18"/>
          <w:szCs w:val="18"/>
          <w:color w:val="auto"/>
        </w:rPr>
      </w:pPr>
    </w:p>
    <w:p>
      <w:pPr>
        <w:ind w:left="1152" w:right="180" w:hanging="1152"/>
        <w:spacing w:after="0" w:line="259"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Underwriting Agreement by and among TPG Specialty Lending, Inc., TSL Advisers, LLC and J.P. Morgan Securities LLC, Merrill Lynch, Pierce, Fenner &amp; Smith Incorporated, Goldman, Sachs &amp; Co., Citigroup Global Markets Inc., Wells Fargo Securities, LLC and Barclays Capital Inc., as representatives of the several underwriters named in Schedule I thereto (previously filed with the Commission as Exhibit (h) to Form N-2/A filed by TPG Specialty Lending, Inc. on March 17, 2014).</w:t>
      </w:r>
    </w:p>
    <w:p>
      <w:pPr>
        <w:spacing w:after="0" w:line="186" w:lineRule="exact"/>
        <w:rPr>
          <w:rFonts w:ascii="Arial" w:cs="Arial" w:eastAsia="Arial" w:hAnsi="Arial"/>
          <w:sz w:val="18"/>
          <w:szCs w:val="18"/>
          <w:color w:val="auto"/>
        </w:rPr>
      </w:pPr>
    </w:p>
    <w:p>
      <w:pPr>
        <w:ind w:left="1152" w:right="360" w:hanging="1152"/>
        <w:spacing w:after="0" w:line="279" w:lineRule="auto"/>
        <w:tabs>
          <w:tab w:leader="none" w:pos="11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Form of Lock-Up Agreement by and among TSL Advisers, LLC and J.P. Morgan Securities LLC, Merrill Lynch, Pierce, Fenner &amp; Smith Incorporated, Goldman, Sachs &amp; Co., Citigroup Global Markets Inc., Wells Fargo Securities, LLC and Barclays Capital Inc., as representatives of the several underwriters named in Schedule I to the Underwriting Agreement (previously filed with the Commission as Exhibit A-2 to Exhibit (h) to Form N-2/A filed by TPG Specialty Lending, Inc. on March 17, 2014).</w:t>
      </w:r>
    </w:p>
    <w:p>
      <w:pPr>
        <w:spacing w:after="0" w:line="171" w:lineRule="exact"/>
        <w:rPr>
          <w:rFonts w:ascii="Arial" w:cs="Arial" w:eastAsia="Arial" w:hAnsi="Arial"/>
          <w:sz w:val="17"/>
          <w:szCs w:val="17"/>
          <w:color w:val="auto"/>
        </w:rPr>
      </w:pPr>
    </w:p>
    <w:p>
      <w:pPr>
        <w:ind w:left="1152" w:hanging="1152"/>
        <w:spacing w:after="0" w:line="257"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Lock-Up Agreement by and among TSL FOF, L.P., certain stockholders and the directors and officers of TPG Specialty Lending, Inc. and J.P. Morgan Securities LLC, Merrill Lynch, Pierce, Fenner &amp; Smith Incorporated, Goldman, Sachs &amp; Co., Citigroup Global Markets Inc., Wells Fargo Securities, LLC and Barclays Capital Inc., as representatives of the several underwriters named in Schedule I to the Underwriting Agreement (previously filed with the Commission as Exhibit A-1 to Exhibit (h) to Form N-2/A filed by TPG Specialty Lending, Inc. on March 17, 2014).</w:t>
      </w:r>
    </w:p>
    <w:p>
      <w:pPr>
        <w:spacing w:after="0" w:line="188" w:lineRule="exact"/>
        <w:rPr>
          <w:rFonts w:ascii="Arial" w:cs="Arial" w:eastAsia="Arial" w:hAnsi="Arial"/>
          <w:sz w:val="18"/>
          <w:szCs w:val="18"/>
          <w:color w:val="auto"/>
        </w:rPr>
      </w:pPr>
    </w:p>
    <w:p>
      <w:pPr>
        <w:ind w:left="1152" w:hanging="1152"/>
        <w:spacing w:after="0"/>
        <w:tabs>
          <w:tab w:leader="none" w:pos="1152" w:val="left"/>
        </w:tabs>
        <w:numPr>
          <w:ilvl w:val="0"/>
          <w:numId w:val="10"/>
        </w:numPr>
        <w:rPr>
          <w:rFonts w:ascii="Arial" w:cs="Arial" w:eastAsia="Arial" w:hAnsi="Arial"/>
          <w:sz w:val="18"/>
          <w:szCs w:val="18"/>
          <w:u w:val="single" w:color="auto"/>
          <w:color w:val="0000EE"/>
        </w:rPr>
      </w:pPr>
      <w:r>
        <w:rPr>
          <w:rFonts w:ascii="Arial" w:cs="Arial" w:eastAsia="Arial" w:hAnsi="Arial"/>
          <w:sz w:val="18"/>
          <w:szCs w:val="18"/>
          <w:color w:val="auto"/>
        </w:rPr>
        <w:t>Authorization and Designation Letter, dated February 14, 2020, by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-5481320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472" w:right="2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letter confirms that Joshua Peck is authorized and designated to sign all securities-related filings under Sections 13 and 16 of the Securities Exchange Act of 1934, as amended, with the Securities and Exchange Commission, including Form ID, on my behalf. This authorization and designation shall be valid until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Waxman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35"/>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2020-02-15T05:23:06Z</dcterms:created>
  <dcterms:modified xsi:type="dcterms:W3CDTF">2020-02-15T05:23:06Z</dcterms:modified>
</cp:coreProperties>
</file>