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98091ddefa14a.htm"/>
      <w:bookmarkStart w:id="1" w:name="ksd498091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(RULE 14a-101)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5"/>
        <w:gridCol w:w="120"/>
        <w:gridCol w:w="9650"/>
      </w:tblGrid>
      <w:tr>
        <w:trPr/>
        <w:tc>
          <w:tcPr>
            <w:tcW w:w="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50" w:type="dxa"/>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Preliminary Proxy Statement</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b/>
              </w:rPr>
            </w:pPr>
            <w:r>
              <w:rPr>
                <w:b/>
              </w:rPr>
              <w:t>Confidential, for Use of the Commission Only (as permitted by Rule 14a-6(e)(2))</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Definitive Proxy Statement</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Definitive Additional Materials</w:t>
            </w:r>
          </w:p>
        </w:tc>
      </w:tr>
      <w:tr>
        <w:trPr>
          <w:trHeight w:val="120"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tcBorders/>
            <w:shd w:fill="auto" w:val="clear"/>
          </w:tcPr>
          <w:p>
            <w:pPr>
              <w:pStyle w:val="TableContents"/>
              <w:spacing w:before="0" w:after="283"/>
              <w:rPr/>
            </w:pPr>
            <w:r>
              <w:rPr/>
              <w:t>Soliciting Material Pursuant to §240.14a-12</w:t>
            </w:r>
          </w:p>
        </w:tc>
      </w:tr>
    </w:tbl>
    <w:p>
      <w:pPr>
        <w:pStyle w:val="TextBody"/>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3"/>
        <w:gridCol w:w="152"/>
        <w:gridCol w:w="532"/>
        <w:gridCol w:w="328"/>
        <w:gridCol w:w="8800"/>
      </w:tblGrid>
      <w:tr>
        <w:trPr/>
        <w:tc>
          <w:tcPr>
            <w:tcW w:w="39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8800" w:type="dxa"/>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9660" w:type="dxa"/>
            <w:gridSpan w:val="3"/>
            <w:tcBorders/>
            <w:shd w:fill="auto" w:val="clear"/>
          </w:tcPr>
          <w:p>
            <w:pPr>
              <w:pStyle w:val="TableContents"/>
              <w:spacing w:before="0" w:after="283"/>
              <w:rPr/>
            </w:pPr>
            <w:r>
              <w:rPr/>
              <w:t>No fee required.</w:t>
            </w:r>
          </w:p>
        </w:tc>
      </w:tr>
      <w:tr>
        <w:trPr>
          <w:trHeight w:val="75" w:hRule="atLeast"/>
        </w:trPr>
        <w:tc>
          <w:tcPr>
            <w:tcW w:w="393" w:type="dxa"/>
            <w:tcBorders/>
            <w:shd w:fill="auto" w:val="clear"/>
            <w:vAlign w:val="center"/>
          </w:tcPr>
          <w:p>
            <w:pPr>
              <w:pStyle w:val="TableContents"/>
              <w:spacing w:before="0" w:after="283"/>
              <w:rPr>
                <w:sz w:val="4"/>
                <w:szCs w:val="4"/>
              </w:rPr>
            </w:pPr>
            <w:r>
              <w:rPr>
                <w:sz w:val="4"/>
                <w:szCs w:val="4"/>
              </w:rPr>
            </w:r>
          </w:p>
        </w:tc>
        <w:tc>
          <w:tcPr>
            <w:tcW w:w="9812" w:type="dxa"/>
            <w:gridSpan w:val="4"/>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9660" w:type="dxa"/>
            <w:gridSpan w:val="3"/>
            <w:tcBorders/>
            <w:shd w:fill="auto" w:val="clear"/>
          </w:tcPr>
          <w:p>
            <w:pPr>
              <w:pStyle w:val="TableContents"/>
              <w:spacing w:before="0" w:after="283"/>
              <w:rPr/>
            </w:pPr>
            <w:r>
              <w:rPr/>
              <w:t>Fee paid previously with preliminary materials.</w:t>
            </w:r>
          </w:p>
        </w:tc>
      </w:tr>
      <w:tr>
        <w:trPr>
          <w:trHeight w:val="75" w:hRule="atLeast"/>
        </w:trPr>
        <w:tc>
          <w:tcPr>
            <w:tcW w:w="393" w:type="dxa"/>
            <w:tcBorders/>
            <w:shd w:fill="auto" w:val="clear"/>
            <w:vAlign w:val="center"/>
          </w:tcPr>
          <w:p>
            <w:pPr>
              <w:pStyle w:val="TableContents"/>
              <w:spacing w:before="0" w:after="283"/>
              <w:rPr>
                <w:sz w:val="4"/>
                <w:szCs w:val="4"/>
              </w:rPr>
            </w:pPr>
            <w:r>
              <w:rPr>
                <w:sz w:val="4"/>
                <w:szCs w:val="4"/>
              </w:rPr>
            </w:r>
          </w:p>
        </w:tc>
        <w:tc>
          <w:tcPr>
            <w:tcW w:w="9812" w:type="dxa"/>
            <w:gridSpan w:val="4"/>
            <w:tcBorders/>
            <w:shd w:fill="auto" w:val="clear"/>
            <w:vAlign w:val="center"/>
          </w:tcPr>
          <w:p>
            <w:pPr>
              <w:pStyle w:val="TableContents"/>
              <w:spacing w:before="0" w:after="283"/>
              <w:rPr>
                <w:sz w:val="4"/>
                <w:szCs w:val="4"/>
              </w:rPr>
            </w:pPr>
            <w:r>
              <w:rPr>
                <w:sz w:val="4"/>
                <w:szCs w:val="4"/>
              </w:rPr>
            </w:r>
          </w:p>
        </w:tc>
      </w:tr>
      <w:tr>
        <w:trPr/>
        <w:tc>
          <w:tcPr>
            <w:tcW w:w="393" w:type="dxa"/>
            <w:tcBorders/>
            <w:shd w:fill="auto" w:val="clear"/>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9660" w:type="dxa"/>
            <w:gridSpan w:val="3"/>
            <w:tcBorders/>
            <w:shd w:fill="auto" w:val="clear"/>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Counts! SIXTH STREET SPECIALTY LENDING, INC. - SIXITIH 2023 Special Meeting ---· Vote by May 24, 2023 ·- - - STREET 11 :59 PM ET -- SPECIA.LTY LEND,ING SIXTH STREET SPECIALTY LENDING, INC. 2100 MCKINNEY AVENUE, SUITE 1500 DALLAS, TX 75201 You invested in SIXTH STREET SPECIALTY LENDING, INC. and its time to vote! You have the right to vote on proposals being presented at the Special Meeting. This is an important notice regarding the availability of proxy material for the stockholder meeting to be held on May 25, 2023. Get informed before you vote View the Notice &amp; Proxy Statement online OR you can receive a free paper or email copy of the material(s) by requesting prior to May 11,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Smartphone users Vote in Person at the Meeting* Point your camera here and May 25, 2023 10:00 AM EDT vote without entering a ~Inumber The offices of Cleary Gottlieb Steen &amp; Hamilton LLP located at One Liberty Plaza New York, NY 10006 *Please check the meeting materials for any special requirements for meeting attendance. At the meeting, you will need to request a ballot to vote these shares. </w:t>
      </w:r>
      <w:r>
        <w:br w:type="page"/>
      </w:r>
    </w:p>
    <w:p>
      <w:pPr>
        <w:pStyle w:val="HorizontalLine"/>
        <w:pBdr>
          <w:bottom w:val="double" w:sz="6" w:space="0" w:color="808080"/>
        </w:pBdr>
        <w:rPr/>
      </w:pPr>
      <w:r>
        <w:rPr/>
      </w:r>
    </w:p>
    <w:p>
      <w:pPr>
        <w:pStyle w:val="TextBody"/>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these important matters. Board Voting Items Recommends 1. To approve a proposal to authorize the Company to sell or otherwise issue shares of its common stock at a price below its then-current net asset value per share in one or more offerings, in each case subject to the approval of its ~For Board of Directors and subject to the conditions set forth in the accompanying proxy statement. NOTE: The named proxies are also authorized to transact such other business as may properly come before the Special Meeting of Stockholders or any postponement or adjournment thereof. Prefer to receive an email instead? While voting on www.ProxyVote.com, be sure to click Sign up forE-delivery.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538</Words>
  <CharactersWithSpaces>3285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