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03/26/2014</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ind w:left="40"/>
              <w:spacing w:after="0"/>
              <w:rPr>
                <w:sz w:val="20"/>
                <w:szCs w:val="20"/>
                <w:color w:val="auto"/>
              </w:rPr>
            </w:pPr>
            <w:r>
              <w:rPr>
                <w:rFonts w:ascii="Arial" w:cs="Arial" w:eastAsia="Arial" w:hAnsi="Arial"/>
                <w:sz w:val="18"/>
                <w:szCs w:val="18"/>
                <w:color w:val="0000FF"/>
                <w:w w:val="86"/>
              </w:rPr>
              <w:t>2,527.91</w:t>
            </w:r>
            <w:r>
              <w:rPr>
                <w:rFonts w:ascii="Arial" w:cs="Arial" w:eastAsia="Arial" w:hAnsi="Arial"/>
                <w:sz w:val="22"/>
                <w:szCs w:val="22"/>
                <w:color w:val="008000"/>
                <w:w w:val="86"/>
                <w:vertAlign w:val="superscript"/>
              </w:rPr>
              <w:t>(1)</w:t>
            </w:r>
          </w:p>
        </w:tc>
        <w:tc>
          <w:tcPr>
            <w:tcW w:w="46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1360" w:type="dxa"/>
            <w:vAlign w:val="bottom"/>
            <w:gridSpan w:val="3"/>
            <w:vMerge w:val="restart"/>
          </w:tcPr>
          <w:p>
            <w:pPr>
              <w:ind w:left="340"/>
              <w:spacing w:after="0"/>
              <w:rPr>
                <w:sz w:val="20"/>
                <w:szCs w:val="20"/>
                <w:color w:val="auto"/>
              </w:rPr>
            </w:pPr>
            <w:r>
              <w:rPr>
                <w:rFonts w:ascii="Arial" w:cs="Arial" w:eastAsia="Arial" w:hAnsi="Arial"/>
                <w:sz w:val="18"/>
                <w:szCs w:val="18"/>
                <w:color w:val="0000FF"/>
              </w:rPr>
              <w:t>36,362.21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omitted from the original Form 4 filed by Mr. Fishman on March 27, 2014.</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2,799,517 shares of Common Stock of the Issuer, including 36,362.21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July 1, 2013, which was previously filed with the Securities and Exchange Commission as an exhibit to a Form 4 filed by Mr. Fishman on September 17, 2013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03/31/2014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(3)</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2019-12-16T08:48:37Z</dcterms:created>
  <dcterms:modified xsi:type="dcterms:W3CDTF">2019-12-16T08:48:37Z</dcterms:modified>
</cp:coreProperties>
</file>