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Stiepleman David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1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02/08/2012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52"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1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7880" w:type="dxa"/>
            <w:vAlign w:val="bottom"/>
            <w:tcBorders>
              <w:top w:val="single" w:sz="8" w:color="2C2C2C"/>
            </w:tcBorders>
            <w:gridSpan w:val="14"/>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8"/>
                <w:szCs w:val="18"/>
                <w:color w:val="0000FF"/>
              </w:rPr>
              <w:t>02/08/2012</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P</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2.8</w:t>
            </w: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68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987.23</w:t>
            </w:r>
          </w:p>
        </w:tc>
        <w:tc>
          <w:tcPr>
            <w:tcW w:w="13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0000FF"/>
              </w:rPr>
              <w:t>17.4</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60" w:type="dxa"/>
            <w:vAlign w:val="bottom"/>
            <w:gridSpan w:val="10"/>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TSL Advisers, LLC ("TSL Advisers") directly holds 13,987 shares of Common Stock of the Issuer, including 17.4 shares of Common Stock of the Issuer indirectly beneficially owned by Mr. Stiepleman (through his limited partnership interest in TSL Equity Partners, L.P., which is a member of TSL Advisers).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41" w:lineRule="auto"/>
        <w:tabs>
          <w:tab w:leader="none" w:pos="231"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02/10/2012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David Stiepleman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2019-12-17T04:15:52Z</dcterms:created>
  <dcterms:modified xsi:type="dcterms:W3CDTF">2019-12-17T04:15:52Z</dcterms:modified>
</cp:coreProperties>
</file>