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198755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215900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2746375</wp:posOffset>
            </wp:positionH>
            <wp:positionV relativeFrom="paragraph">
              <wp:posOffset>161925</wp:posOffset>
            </wp:positionV>
            <wp:extent cx="1650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31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2746375</wp:posOffset>
            </wp:positionH>
            <wp:positionV relativeFrom="paragraph">
              <wp:posOffset>156210</wp:posOffset>
            </wp:positionV>
            <wp:extent cx="1650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CURRENT REPORT</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Pursuant to Section 13 or 15(d)</w:t>
      </w:r>
    </w:p>
    <w:p>
      <w:pPr>
        <w:jc w:val="center"/>
        <w:ind w:right="-3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May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2746375</wp:posOffset>
            </wp:positionH>
            <wp:positionV relativeFrom="paragraph">
              <wp:posOffset>151765</wp:posOffset>
            </wp:positionV>
            <wp:extent cx="1650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TPG Specialty Lending, Inc.</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2746375</wp:posOffset>
            </wp:positionH>
            <wp:positionV relativeFrom="paragraph">
              <wp:posOffset>163830</wp:posOffset>
            </wp:positionV>
            <wp:extent cx="1650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326" w:lineRule="exact"/>
        <w:rPr>
          <w:sz w:val="24"/>
          <w:szCs w:val="24"/>
          <w:color w:val="auto"/>
        </w:rPr>
      </w:pPr>
    </w:p>
    <w:tbl>
      <w:tblPr>
        <w:tblLayout w:type="fixed"/>
        <w:tblInd w:w="580" w:type="dxa"/>
        <w:tblCellMar>
          <w:top w:w="0" w:type="dxa"/>
          <w:left w:w="0" w:type="dxa"/>
          <w:bottom w:w="0" w:type="dxa"/>
          <w:right w:w="0" w:type="dxa"/>
        </w:tblCellMar>
      </w:tblPr>
      <w:tr>
        <w:trPr>
          <w:trHeight w:val="209"/>
        </w:trPr>
        <w:tc>
          <w:tcPr>
            <w:tcW w:w="3720" w:type="dxa"/>
            <w:vAlign w:val="bottom"/>
          </w:tcPr>
          <w:p>
            <w:pPr>
              <w:jc w:val="center"/>
              <w:ind w:right="960"/>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2"/>
              <w:spacing w:after="0"/>
              <w:rPr>
                <w:sz w:val="20"/>
                <w:szCs w:val="20"/>
                <w:color w:val="auto"/>
              </w:rPr>
            </w:pPr>
            <w:r>
              <w:rPr>
                <w:rFonts w:ascii="Arial" w:cs="Arial" w:eastAsia="Arial" w:hAnsi="Arial"/>
                <w:sz w:val="18"/>
                <w:szCs w:val="18"/>
                <w:b w:val="1"/>
                <w:bCs w:val="1"/>
                <w:color w:val="auto"/>
              </w:rPr>
              <w:t>27-3380000</w:t>
            </w:r>
          </w:p>
        </w:tc>
      </w:tr>
      <w:tr>
        <w:trPr>
          <w:trHeight w:val="147"/>
        </w:trPr>
        <w:tc>
          <w:tcPr>
            <w:tcW w:w="3720" w:type="dxa"/>
            <w:vAlign w:val="bottom"/>
          </w:tcPr>
          <w:p>
            <w:pPr>
              <w:jc w:val="center"/>
              <w:ind w:right="960"/>
              <w:spacing w:after="0" w:line="147" w:lineRule="exact"/>
              <w:rPr>
                <w:sz w:val="20"/>
                <w:szCs w:val="20"/>
                <w:color w:val="auto"/>
              </w:rPr>
            </w:pPr>
            <w:r>
              <w:rPr>
                <w:rFonts w:ascii="Arial" w:cs="Arial" w:eastAsia="Arial" w:hAnsi="Arial"/>
                <w:sz w:val="14"/>
                <w:szCs w:val="14"/>
                <w:b w:val="1"/>
                <w:bCs w:val="1"/>
                <w:color w:val="auto"/>
                <w:w w:val="92"/>
              </w:rPr>
              <w:t>(State or Other Jurisdiction</w:t>
            </w:r>
          </w:p>
        </w:tc>
        <w:tc>
          <w:tcPr>
            <w:tcW w:w="3220" w:type="dxa"/>
            <w:vAlign w:val="bottom"/>
          </w:tcPr>
          <w:p>
            <w:pPr>
              <w:ind w:left="1040"/>
              <w:spacing w:after="0" w:line="147"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282"/>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3720" w:type="dxa"/>
            <w:vAlign w:val="bottom"/>
          </w:tcPr>
          <w:p>
            <w:pPr>
              <w:jc w:val="center"/>
              <w:ind w:right="980"/>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302"/>
              <w:spacing w:after="0"/>
              <w:rPr>
                <w:sz w:val="20"/>
                <w:szCs w:val="20"/>
                <w:color w:val="auto"/>
              </w:rPr>
            </w:pPr>
            <w:r>
              <w:rPr>
                <w:rFonts w:ascii="Arial" w:cs="Arial" w:eastAsia="Arial" w:hAnsi="Arial"/>
                <w:sz w:val="14"/>
                <w:szCs w:val="14"/>
                <w:b w:val="1"/>
                <w:bCs w:val="1"/>
                <w:color w:val="auto"/>
                <w:w w:val="94"/>
              </w:rPr>
              <w:t>Identification No.)</w:t>
            </w:r>
          </w:p>
        </w:tc>
      </w:tr>
      <w:tr>
        <w:trPr>
          <w:trHeight w:val="393"/>
        </w:trPr>
        <w:tc>
          <w:tcPr>
            <w:tcW w:w="3720" w:type="dxa"/>
            <w:vAlign w:val="bottom"/>
          </w:tcPr>
          <w:p>
            <w:pPr>
              <w:jc w:val="center"/>
              <w:ind w:right="960"/>
              <w:spacing w:after="0"/>
              <w:rPr>
                <w:sz w:val="20"/>
                <w:szCs w:val="20"/>
                <w:color w:val="auto"/>
              </w:rPr>
            </w:pPr>
            <w:r>
              <w:rPr>
                <w:rFonts w:ascii="Arial" w:cs="Arial" w:eastAsia="Arial" w:hAnsi="Arial"/>
                <w:sz w:val="18"/>
                <w:szCs w:val="18"/>
                <w:b w:val="1"/>
                <w:bCs w:val="1"/>
                <w:color w:val="auto"/>
                <w:w w:val="89"/>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09"/>
        </w:trPr>
        <w:tc>
          <w:tcPr>
            <w:tcW w:w="3720" w:type="dxa"/>
            <w:vAlign w:val="bottom"/>
          </w:tcPr>
          <w:p>
            <w:pPr>
              <w:jc w:val="center"/>
              <w:ind w:right="980"/>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2"/>
              <w:spacing w:after="0"/>
              <w:rPr>
                <w:sz w:val="20"/>
                <w:szCs w:val="20"/>
                <w:color w:val="auto"/>
              </w:rPr>
            </w:pPr>
            <w:r>
              <w:rPr>
                <w:rFonts w:ascii="Arial" w:cs="Arial" w:eastAsia="Arial" w:hAnsi="Arial"/>
                <w:sz w:val="18"/>
                <w:szCs w:val="18"/>
                <w:b w:val="1"/>
                <w:bCs w:val="1"/>
                <w:color w:val="auto"/>
              </w:rPr>
              <w:t>76102</w:t>
            </w:r>
          </w:p>
        </w:tc>
      </w:tr>
      <w:tr>
        <w:trPr>
          <w:trHeight w:val="185"/>
        </w:trPr>
        <w:tc>
          <w:tcPr>
            <w:tcW w:w="3720" w:type="dxa"/>
            <w:vAlign w:val="bottom"/>
          </w:tcPr>
          <w:p>
            <w:pPr>
              <w:jc w:val="center"/>
              <w:ind w:right="98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2"/>
              <w:spacing w:after="0"/>
              <w:rPr>
                <w:sz w:val="20"/>
                <w:szCs w:val="20"/>
                <w:color w:val="auto"/>
              </w:rPr>
            </w:pPr>
            <w:r>
              <w:rPr>
                <w:rFonts w:ascii="Arial" w:cs="Arial" w:eastAsia="Arial" w:hAnsi="Arial"/>
                <w:sz w:val="14"/>
                <w:szCs w:val="14"/>
                <w:b w:val="1"/>
                <w:bCs w:val="1"/>
                <w:color w:val="auto"/>
                <w:w w:val="88"/>
              </w:rPr>
              <w:t>(zip code)</w:t>
            </w:r>
          </w:p>
        </w:tc>
      </w:tr>
    </w:tbl>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2746375</wp:posOffset>
            </wp:positionH>
            <wp:positionV relativeFrom="paragraph">
              <wp:posOffset>49530</wp:posOffset>
            </wp:positionV>
            <wp:extent cx="1650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99" w:lineRule="exact"/>
        <w:rPr>
          <w:sz w:val="24"/>
          <w:szCs w:val="24"/>
          <w:color w:val="auto"/>
        </w:rPr>
      </w:pPr>
    </w:p>
    <w:p>
      <w:pPr>
        <w:ind w:right="60"/>
        <w:spacing w:after="0" w:line="26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6" w:lineRule="exact"/>
        <w:rPr>
          <w:sz w:val="24"/>
          <w:szCs w:val="24"/>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26"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26"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26"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62" w:lineRule="exact"/>
        <w:rPr>
          <w:sz w:val="24"/>
          <w:szCs w:val="24"/>
          <w:color w:val="auto"/>
        </w:rPr>
      </w:pPr>
    </w:p>
    <w:tbl>
      <w:tblPr>
        <w:tblLayout w:type="fixed"/>
        <w:tblInd w:w="620" w:type="dxa"/>
        <w:tblCellMar>
          <w:top w:w="0" w:type="dxa"/>
          <w:left w:w="0" w:type="dxa"/>
          <w:bottom w:w="0" w:type="dxa"/>
          <w:right w:w="0" w:type="dxa"/>
        </w:tblCellMar>
      </w:tblPr>
      <w:tr>
        <w:trPr>
          <w:trHeight w:val="161"/>
        </w:trPr>
        <w:tc>
          <w:tcPr>
            <w:tcW w:w="3500" w:type="dxa"/>
            <w:vAlign w:val="bottom"/>
          </w:tcPr>
          <w:p>
            <w:pPr>
              <w:jc w:val="center"/>
              <w:ind w:right="889"/>
              <w:spacing w:after="0"/>
              <w:rPr>
                <w:sz w:val="20"/>
                <w:szCs w:val="20"/>
                <w:color w:val="auto"/>
              </w:rPr>
            </w:pPr>
            <w:r>
              <w:rPr>
                <w:rFonts w:ascii="Arial" w:cs="Arial" w:eastAsia="Arial" w:hAnsi="Arial"/>
                <w:sz w:val="14"/>
                <w:szCs w:val="14"/>
                <w:b w:val="1"/>
                <w:bCs w:val="1"/>
                <w:color w:val="auto"/>
                <w:w w:val="87"/>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ind w:left="869"/>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85"/>
        </w:trPr>
        <w:tc>
          <w:tcPr>
            <w:tcW w:w="3500" w:type="dxa"/>
            <w:vAlign w:val="bottom"/>
          </w:tcPr>
          <w:p>
            <w:pPr>
              <w:jc w:val="center"/>
              <w:ind w:right="889"/>
              <w:spacing w:after="0"/>
              <w:rPr>
                <w:sz w:val="20"/>
                <w:szCs w:val="20"/>
                <w:color w:val="auto"/>
              </w:rPr>
            </w:pPr>
            <w:r>
              <w:rPr>
                <w:rFonts w:ascii="Arial" w:cs="Arial" w:eastAsia="Arial" w:hAnsi="Arial"/>
                <w:sz w:val="14"/>
                <w:szCs w:val="14"/>
                <w:b w:val="1"/>
                <w:bCs w:val="1"/>
                <w:color w:val="auto"/>
                <w:w w:val="91"/>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60" w:type="dxa"/>
            <w:vAlign w:val="bottom"/>
          </w:tcPr>
          <w:p>
            <w:pPr>
              <w:jc w:val="center"/>
              <w:ind w:left="869"/>
              <w:spacing w:after="0"/>
              <w:rPr>
                <w:sz w:val="20"/>
                <w:szCs w:val="20"/>
                <w:color w:val="auto"/>
              </w:rPr>
            </w:pPr>
            <w:r>
              <w:rPr>
                <w:rFonts w:ascii="Arial" w:cs="Arial" w:eastAsia="Arial" w:hAnsi="Arial"/>
                <w:sz w:val="14"/>
                <w:szCs w:val="14"/>
                <w:b w:val="1"/>
                <w:bCs w:val="1"/>
                <w:color w:val="auto"/>
                <w:w w:val="90"/>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4225" cy="2114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211455"/>
                    </a:xfrm>
                    <a:prstGeom prst="rect">
                      <a:avLst/>
                    </a:prstGeom>
                    <a:noFill/>
                  </pic:spPr>
                </pic:pic>
              </a:graphicData>
            </a:graphic>
          </wp:anchor>
        </w:drawing>
      </w:r>
    </w:p>
    <w:p>
      <w:pPr>
        <w:spacing w:after="0" w:line="72" w:lineRule="exact"/>
        <w:rPr>
          <w:sz w:val="24"/>
          <w:szCs w:val="24"/>
          <w:color w:val="auto"/>
        </w:rPr>
      </w:pPr>
    </w:p>
    <w:p>
      <w:pPr>
        <w:spacing w:after="0" w:line="26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7" w:lineRule="exact"/>
        <w:rPr>
          <w:sz w:val="24"/>
          <w:szCs w:val="24"/>
          <w:color w:val="auto"/>
        </w:rPr>
      </w:pPr>
    </w:p>
    <w:p>
      <w:pPr>
        <w:ind w:right="10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90170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250825</wp:posOffset>
            </wp:positionV>
            <wp:extent cx="7150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19"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On May 5, 2020, the registrant issued a press release announcing its financial results for the quarter ended March 31, 2020. The text of the press release is included as Exhibit 99.1 to this Form 8-K.</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May 5, 2020, the registrant issued a press release, included herewith as Exhibit 99.1, announcing the declaration of a second quarter 2020 base dividend per share of $0.41 to shareholders of record as of June 15, 2020, payable on July 15, 2020.</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80" w:lineRule="exact"/>
        <w:rPr>
          <w:sz w:val="20"/>
          <w:szCs w:val="20"/>
          <w:color w:val="auto"/>
        </w:rPr>
      </w:pPr>
    </w:p>
    <w:p>
      <w:pPr>
        <w:spacing w:after="0"/>
        <w:tabs>
          <w:tab w:leader="none" w:pos="860" w:val="left"/>
        </w:tabs>
        <w:rPr>
          <w:rFonts w:ascii="Arial" w:cs="Arial" w:eastAsia="Arial" w:hAnsi="Arial"/>
          <w:sz w:val="14"/>
          <w:szCs w:val="14"/>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4"/>
            <w:szCs w:val="14"/>
            <w:u w:val="single" w:color="auto"/>
            <w:color w:val="0000EE"/>
          </w:rPr>
          <w:t>Press Release, dated May 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19"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7900" w:type="dxa"/>
            <w:vAlign w:val="bottom"/>
            <w:gridSpan w:val="2"/>
          </w:tcPr>
          <w:p>
            <w:pPr>
              <w:jc w:val="center"/>
              <w:ind w:right="1211"/>
              <w:spacing w:after="0"/>
              <w:rPr>
                <w:sz w:val="20"/>
                <w:szCs w:val="20"/>
                <w:color w:val="auto"/>
              </w:rPr>
            </w:pPr>
            <w:r>
              <w:rPr>
                <w:rFonts w:ascii="Arial" w:cs="Arial" w:eastAsia="Arial" w:hAnsi="Arial"/>
                <w:sz w:val="18"/>
                <w:szCs w:val="18"/>
                <w:color w:val="auto"/>
                <w:w w:val="95"/>
              </w:rPr>
              <w:t>TPG SPECIALTY LENDING, INC.</w:t>
            </w:r>
          </w:p>
        </w:tc>
      </w:tr>
      <w:tr>
        <w:trPr>
          <w:trHeight w:val="224"/>
        </w:trPr>
        <w:tc>
          <w:tcPr>
            <w:tcW w:w="3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480" w:type="dxa"/>
            <w:vAlign w:val="bottom"/>
          </w:tcPr>
          <w:p>
            <w:pPr>
              <w:jc w:val="center"/>
              <w:ind w:right="3611"/>
              <w:spacing w:after="0"/>
              <w:rPr>
                <w:sz w:val="20"/>
                <w:szCs w:val="20"/>
                <w:color w:val="auto"/>
              </w:rPr>
            </w:pPr>
            <w:r>
              <w:rPr>
                <w:rFonts w:ascii="Arial" w:cs="Arial" w:eastAsia="Arial" w:hAnsi="Arial"/>
                <w:sz w:val="18"/>
                <w:szCs w:val="18"/>
                <w:color w:val="auto"/>
                <w:w w:val="91"/>
              </w:rPr>
              <w:t>(Registrant)</w:t>
            </w:r>
          </w:p>
        </w:tc>
      </w:tr>
      <w:tr>
        <w:trPr>
          <w:trHeight w:val="427"/>
        </w:trPr>
        <w:tc>
          <w:tcPr>
            <w:tcW w:w="3340" w:type="dxa"/>
            <w:vAlign w:val="bottom"/>
          </w:tcPr>
          <w:p>
            <w:pPr>
              <w:spacing w:after="0"/>
              <w:rPr>
                <w:sz w:val="20"/>
                <w:szCs w:val="20"/>
                <w:color w:val="auto"/>
              </w:rPr>
            </w:pPr>
            <w:r>
              <w:rPr>
                <w:rFonts w:ascii="Arial" w:cs="Arial" w:eastAsia="Arial" w:hAnsi="Arial"/>
                <w:sz w:val="18"/>
                <w:szCs w:val="18"/>
                <w:color w:val="auto"/>
              </w:rPr>
              <w:t>Date: May 5, 2020</w:t>
            </w:r>
          </w:p>
        </w:tc>
        <w:tc>
          <w:tcPr>
            <w:tcW w:w="7900" w:type="dxa"/>
            <w:vAlign w:val="bottom"/>
            <w:gridSpan w:val="2"/>
          </w:tcPr>
          <w:p>
            <w:pPr>
              <w:ind w:left="2000"/>
              <w:spacing w:after="0"/>
              <w:rPr>
                <w:sz w:val="20"/>
                <w:szCs w:val="20"/>
                <w:color w:val="auto"/>
              </w:rPr>
            </w:pPr>
            <w:r>
              <w:rPr>
                <w:rFonts w:ascii="Arial" w:cs="Arial" w:eastAsia="Arial" w:hAnsi="Arial"/>
                <w:sz w:val="18"/>
                <w:szCs w:val="18"/>
                <w:color w:val="auto"/>
              </w:rPr>
              <w:t>By:   /s/ Ian Simmonds</w:t>
            </w:r>
          </w:p>
        </w:tc>
      </w:tr>
      <w:tr>
        <w:trPr>
          <w:trHeight w:val="195"/>
        </w:trPr>
        <w:tc>
          <w:tcPr>
            <w:tcW w:w="33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4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Ian Simmonds</w:t>
            </w:r>
          </w:p>
        </w:tc>
      </w:tr>
      <w:tr>
        <w:trPr>
          <w:trHeight w:val="224"/>
        </w:trPr>
        <w:tc>
          <w:tcPr>
            <w:tcW w:w="3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480" w:type="dxa"/>
            <w:vAlign w:val="bottom"/>
          </w:tcPr>
          <w:p>
            <w:pPr>
              <w:jc w:val="center"/>
              <w:ind w:right="3651"/>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320" w:top="127" w:right="339" w:bottom="1440" w:gutter="0" w:footer="0" w:header="0"/>
        </w:sectPr>
      </w:pPr>
    </w:p>
    <w:bookmarkStart w:id="3" w:name="page4"/>
    <w:bookmarkEnd w:id="3"/>
    <w:p>
      <w:pPr>
        <w:jc w:val="right"/>
        <w:ind w:right="1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34225" cy="880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8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32"/>
          <w:szCs w:val="32"/>
          <w:b w:val="1"/>
          <w:bCs w:val="1"/>
          <w:color w:val="FFFFFF"/>
        </w:rPr>
        <w:t>First Quarter 2020 Earnings Results</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80"/>
        <w:spacing w:after="0" w:line="304" w:lineRule="auto"/>
        <w:rPr>
          <w:sz w:val="20"/>
          <w:szCs w:val="20"/>
          <w:color w:val="auto"/>
        </w:rPr>
      </w:pPr>
      <w:r>
        <w:rPr>
          <w:rFonts w:ascii="Arial" w:cs="Arial" w:eastAsia="Arial" w:hAnsi="Arial"/>
          <w:sz w:val="17"/>
          <w:szCs w:val="17"/>
          <w:b w:val="1"/>
          <w:bCs w:val="1"/>
          <w:color w:val="auto"/>
        </w:rPr>
        <w:t>TPG Specialty Lending, Inc. Reports First Quarter Net Investment Income Per Share of $0.51 and NAV Per Share of $15.57; Declares a Second Quarter Base Dividend Per Share of $0.41</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NEW YORK—May 5, 2020— TPG Specialty Lending, Inc. (NYSE: TSLX, or the “Company”) today reported net investment income of $33.7 million, or $0.51 per share, and net loss of $53.1 million, or $0.80 per share, for the first quarter ended March 31, 2020. Annualized return on equity (ROE) for the first quarter 2020 was 12.0% on a net investment income basis. The Company’s net loss this quarter was primarily driven by unrealized losses from the impact of credit spread widening on the valuation of the Company’s portfolio.</w:t>
      </w:r>
    </w:p>
    <w:p>
      <w:pPr>
        <w:spacing w:after="0" w:line="12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Reported net asset value per share was $15.57 at March 31, 2020 as compared to $16.83 at December 31, 2019. The primary driver of this decline was $1.21 per share of unrealized losses from the impact of credit spread widening on the valuation of the Company’s investments.</w:t>
      </w:r>
    </w:p>
    <w:p>
      <w:pPr>
        <w:spacing w:after="0" w:line="9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announced that its Board of Directors has declared a second quarter 2020 base dividend of $0.41 per share for shareholders of record as of June 15, 2020, payable on July 15, 2020. Given the decline in net asset value this quarter, in accordance with the existing mechanics of the Company’s supplemental dividend framework, no supplemental dividend was declared relating to Q1 earnings. The Company’s Board of Directors previously declared aggregate special cash dividends per share of $0.50 to be paid to shareholders during Q2 2020. Specifically, $0.25 per share was paid on April 30, 2020 to shareholders of record as of April 15, 2020 and $0.25 per share will be paid on June 30, 2020 to shareholders of record as of June 15,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88"/>
        </w:trPr>
        <w:tc>
          <w:tcPr>
            <w:tcW w:w="680" w:type="dxa"/>
            <w:vAlign w:val="bottom"/>
            <w:tcBorders>
              <w:left w:val="single" w:sz="8" w:color="003767"/>
            </w:tcBorders>
            <w:shd w:val="clear" w:color="auto" w:fill="003767"/>
          </w:tcPr>
          <w:p>
            <w:pPr>
              <w:spacing w:after="0"/>
              <w:rPr>
                <w:sz w:val="24"/>
                <w:szCs w:val="24"/>
                <w:color w:val="auto"/>
              </w:rPr>
            </w:pPr>
          </w:p>
        </w:tc>
        <w:tc>
          <w:tcPr>
            <w:tcW w:w="2100" w:type="dxa"/>
            <w:vAlign w:val="bottom"/>
            <w:shd w:val="clear" w:color="auto" w:fill="003767"/>
          </w:tcPr>
          <w:p>
            <w:pPr>
              <w:jc w:val="center"/>
              <w:spacing w:after="0"/>
              <w:rPr>
                <w:sz w:val="20"/>
                <w:szCs w:val="20"/>
                <w:color w:val="auto"/>
              </w:rPr>
            </w:pPr>
            <w:r>
              <w:rPr>
                <w:rFonts w:ascii="Arial" w:cs="Arial" w:eastAsia="Arial" w:hAnsi="Arial"/>
                <w:sz w:val="16"/>
                <w:szCs w:val="16"/>
                <w:b w:val="1"/>
                <w:bCs w:val="1"/>
                <w:color w:val="FFFFFF"/>
                <w:w w:val="90"/>
              </w:rPr>
              <w:t>Net Investment Income</w:t>
            </w:r>
          </w:p>
        </w:tc>
        <w:tc>
          <w:tcPr>
            <w:tcW w:w="460" w:type="dxa"/>
            <w:vAlign w:val="bottom"/>
            <w:shd w:val="clear" w:color="auto" w:fill="003767"/>
          </w:tcPr>
          <w:p>
            <w:pPr>
              <w:spacing w:after="0"/>
              <w:rPr>
                <w:sz w:val="24"/>
                <w:szCs w:val="24"/>
                <w:color w:val="auto"/>
              </w:rPr>
            </w:pPr>
          </w:p>
        </w:tc>
        <w:tc>
          <w:tcPr>
            <w:tcW w:w="240" w:type="dxa"/>
            <w:vAlign w:val="bottom"/>
            <w:shd w:val="clear" w:color="auto" w:fill="003767"/>
          </w:tcPr>
          <w:p>
            <w:pPr>
              <w:spacing w:after="0"/>
              <w:rPr>
                <w:sz w:val="24"/>
                <w:szCs w:val="24"/>
                <w:color w:val="auto"/>
              </w:rPr>
            </w:pPr>
          </w:p>
        </w:tc>
      </w:tr>
      <w:tr>
        <w:trPr>
          <w:trHeight w:val="99"/>
        </w:trPr>
        <w:tc>
          <w:tcPr>
            <w:tcW w:w="680" w:type="dxa"/>
            <w:vAlign w:val="bottom"/>
            <w:tcBorders>
              <w:left w:val="single" w:sz="8" w:color="003767"/>
            </w:tcBorders>
            <w:shd w:val="clear" w:color="auto" w:fill="003767"/>
          </w:tcPr>
          <w:p>
            <w:pPr>
              <w:spacing w:after="0"/>
              <w:rPr>
                <w:sz w:val="8"/>
                <w:szCs w:val="8"/>
                <w:color w:val="auto"/>
              </w:rPr>
            </w:pPr>
          </w:p>
        </w:tc>
        <w:tc>
          <w:tcPr>
            <w:tcW w:w="2100" w:type="dxa"/>
            <w:vAlign w:val="bottom"/>
            <w:shd w:val="clear" w:color="auto" w:fill="003767"/>
          </w:tcPr>
          <w:p>
            <w:pPr>
              <w:spacing w:after="0"/>
              <w:rPr>
                <w:sz w:val="8"/>
                <w:szCs w:val="8"/>
                <w:color w:val="auto"/>
              </w:rPr>
            </w:pPr>
          </w:p>
        </w:tc>
        <w:tc>
          <w:tcPr>
            <w:tcW w:w="460" w:type="dxa"/>
            <w:vAlign w:val="bottom"/>
            <w:shd w:val="clear" w:color="auto" w:fill="003767"/>
          </w:tcPr>
          <w:p>
            <w:pPr>
              <w:spacing w:after="0"/>
              <w:rPr>
                <w:sz w:val="8"/>
                <w:szCs w:val="8"/>
                <w:color w:val="auto"/>
              </w:rPr>
            </w:pPr>
          </w:p>
        </w:tc>
        <w:tc>
          <w:tcPr>
            <w:tcW w:w="240" w:type="dxa"/>
            <w:vAlign w:val="bottom"/>
            <w:shd w:val="clear" w:color="auto" w:fill="003767"/>
          </w:tcPr>
          <w:p>
            <w:pPr>
              <w:spacing w:after="0"/>
              <w:rPr>
                <w:sz w:val="8"/>
                <w:szCs w:val="8"/>
                <w:color w:val="auto"/>
              </w:rPr>
            </w:pPr>
          </w:p>
        </w:tc>
      </w:tr>
      <w:tr>
        <w:trPr>
          <w:trHeight w:val="22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Q1 2020</w:t>
            </w:r>
          </w:p>
        </w:tc>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$33.7</w:t>
            </w:r>
          </w:p>
        </w:tc>
      </w:tr>
      <w:tr>
        <w:trPr>
          <w:trHeight w:val="253"/>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Q1 2020</w:t>
            </w:r>
          </w:p>
        </w:tc>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$0.51</w:t>
            </w:r>
          </w:p>
        </w:tc>
      </w:tr>
      <w:tr>
        <w:trPr>
          <w:trHeight w:val="32"/>
        </w:trPr>
        <w:tc>
          <w:tcPr>
            <w:tcW w:w="680" w:type="dxa"/>
            <w:vAlign w:val="bottom"/>
            <w:tcBorders>
              <w:left w:val="single" w:sz="8" w:color="003767"/>
              <w:bottom w:val="single" w:sz="8" w:color="003767"/>
            </w:tcBorders>
          </w:tcPr>
          <w:p>
            <w:pPr>
              <w:spacing w:after="0"/>
              <w:rPr>
                <w:sz w:val="2"/>
                <w:szCs w:val="2"/>
                <w:color w:val="auto"/>
              </w:rPr>
            </w:pPr>
          </w:p>
        </w:tc>
        <w:tc>
          <w:tcPr>
            <w:tcW w:w="2100" w:type="dxa"/>
            <w:vAlign w:val="bottom"/>
            <w:tcBorders>
              <w:bottom w:val="single" w:sz="8" w:color="003767"/>
            </w:tcBorders>
          </w:tcPr>
          <w:p>
            <w:pPr>
              <w:spacing w:after="0"/>
              <w:rPr>
                <w:sz w:val="2"/>
                <w:szCs w:val="2"/>
                <w:color w:val="auto"/>
              </w:rPr>
            </w:pPr>
          </w:p>
        </w:tc>
        <w:tc>
          <w:tcPr>
            <w:tcW w:w="460" w:type="dxa"/>
            <w:vAlign w:val="bottom"/>
            <w:tcBorders>
              <w:bottom w:val="single" w:sz="8" w:color="003767"/>
            </w:tcBorders>
          </w:tcPr>
          <w:p>
            <w:pPr>
              <w:spacing w:after="0"/>
              <w:rPr>
                <w:sz w:val="2"/>
                <w:szCs w:val="2"/>
                <w:color w:val="auto"/>
              </w:rPr>
            </w:pPr>
          </w:p>
        </w:tc>
        <w:tc>
          <w:tcPr>
            <w:tcW w:w="240" w:type="dxa"/>
            <w:vAlign w:val="bottom"/>
            <w:tcBorders>
              <w:bottom w:val="single" w:sz="8" w:color="003767"/>
            </w:tcBorders>
          </w:tcPr>
          <w:p>
            <w:pPr>
              <w:spacing w:after="0"/>
              <w:rPr>
                <w:sz w:val="2"/>
                <w:szCs w:val="2"/>
                <w:color w:val="auto"/>
              </w:rPr>
            </w:pPr>
          </w:p>
        </w:tc>
      </w:tr>
      <w:tr>
        <w:trPr>
          <w:trHeight w:val="207"/>
        </w:trPr>
        <w:tc>
          <w:tcPr>
            <w:tcW w:w="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88"/>
        </w:trPr>
        <w:tc>
          <w:tcPr>
            <w:tcW w:w="680" w:type="dxa"/>
            <w:vAlign w:val="bottom"/>
            <w:tcBorders>
              <w:left w:val="single" w:sz="8" w:color="003767"/>
            </w:tcBorders>
            <w:shd w:val="clear" w:color="auto" w:fill="003767"/>
          </w:tcPr>
          <w:p>
            <w:pPr>
              <w:spacing w:after="0"/>
              <w:rPr>
                <w:sz w:val="24"/>
                <w:szCs w:val="24"/>
                <w:color w:val="auto"/>
              </w:rPr>
            </w:pPr>
          </w:p>
        </w:tc>
        <w:tc>
          <w:tcPr>
            <w:tcW w:w="2100" w:type="dxa"/>
            <w:vAlign w:val="bottom"/>
            <w:shd w:val="clear" w:color="auto" w:fill="003767"/>
          </w:tcPr>
          <w:p>
            <w:pPr>
              <w:jc w:val="center"/>
              <w:spacing w:after="0"/>
              <w:rPr>
                <w:sz w:val="20"/>
                <w:szCs w:val="20"/>
                <w:color w:val="auto"/>
              </w:rPr>
            </w:pPr>
            <w:r>
              <w:rPr>
                <w:rFonts w:ascii="Arial" w:cs="Arial" w:eastAsia="Arial" w:hAnsi="Arial"/>
                <w:sz w:val="16"/>
                <w:szCs w:val="16"/>
                <w:b w:val="1"/>
                <w:bCs w:val="1"/>
                <w:color w:val="FFFFFF"/>
                <w:w w:val="85"/>
              </w:rPr>
              <w:t>Net Loss</w:t>
            </w:r>
          </w:p>
        </w:tc>
        <w:tc>
          <w:tcPr>
            <w:tcW w:w="460" w:type="dxa"/>
            <w:vAlign w:val="bottom"/>
            <w:shd w:val="clear" w:color="auto" w:fill="003767"/>
          </w:tcPr>
          <w:p>
            <w:pPr>
              <w:spacing w:after="0"/>
              <w:rPr>
                <w:sz w:val="24"/>
                <w:szCs w:val="24"/>
                <w:color w:val="auto"/>
              </w:rPr>
            </w:pPr>
          </w:p>
        </w:tc>
        <w:tc>
          <w:tcPr>
            <w:tcW w:w="240" w:type="dxa"/>
            <w:vAlign w:val="bottom"/>
            <w:shd w:val="clear" w:color="auto" w:fill="003767"/>
          </w:tcPr>
          <w:p>
            <w:pPr>
              <w:spacing w:after="0"/>
              <w:rPr>
                <w:sz w:val="24"/>
                <w:szCs w:val="24"/>
                <w:color w:val="auto"/>
              </w:rPr>
            </w:pPr>
          </w:p>
        </w:tc>
      </w:tr>
      <w:tr>
        <w:trPr>
          <w:trHeight w:val="99"/>
        </w:trPr>
        <w:tc>
          <w:tcPr>
            <w:tcW w:w="680" w:type="dxa"/>
            <w:vAlign w:val="bottom"/>
            <w:tcBorders>
              <w:left w:val="single" w:sz="8" w:color="003767"/>
            </w:tcBorders>
            <w:shd w:val="clear" w:color="auto" w:fill="003767"/>
          </w:tcPr>
          <w:p>
            <w:pPr>
              <w:spacing w:after="0"/>
              <w:rPr>
                <w:sz w:val="8"/>
                <w:szCs w:val="8"/>
                <w:color w:val="auto"/>
              </w:rPr>
            </w:pPr>
          </w:p>
        </w:tc>
        <w:tc>
          <w:tcPr>
            <w:tcW w:w="2100" w:type="dxa"/>
            <w:vAlign w:val="bottom"/>
            <w:shd w:val="clear" w:color="auto" w:fill="003767"/>
          </w:tcPr>
          <w:p>
            <w:pPr>
              <w:spacing w:after="0"/>
              <w:rPr>
                <w:sz w:val="8"/>
                <w:szCs w:val="8"/>
                <w:color w:val="auto"/>
              </w:rPr>
            </w:pPr>
          </w:p>
        </w:tc>
        <w:tc>
          <w:tcPr>
            <w:tcW w:w="460" w:type="dxa"/>
            <w:vAlign w:val="bottom"/>
            <w:shd w:val="clear" w:color="auto" w:fill="003767"/>
          </w:tcPr>
          <w:p>
            <w:pPr>
              <w:spacing w:after="0"/>
              <w:rPr>
                <w:sz w:val="8"/>
                <w:szCs w:val="8"/>
                <w:color w:val="auto"/>
              </w:rPr>
            </w:pPr>
          </w:p>
        </w:tc>
        <w:tc>
          <w:tcPr>
            <w:tcW w:w="240" w:type="dxa"/>
            <w:vAlign w:val="bottom"/>
            <w:shd w:val="clear" w:color="auto" w:fill="003767"/>
          </w:tcPr>
          <w:p>
            <w:pPr>
              <w:spacing w:after="0"/>
              <w:rPr>
                <w:sz w:val="8"/>
                <w:szCs w:val="8"/>
                <w:color w:val="auto"/>
              </w:rPr>
            </w:pPr>
          </w:p>
        </w:tc>
      </w:tr>
      <w:tr>
        <w:trPr>
          <w:trHeight w:val="22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Q1 2020</w:t>
            </w:r>
          </w:p>
        </w:tc>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$53.1</w:t>
            </w:r>
          </w:p>
        </w:tc>
      </w:tr>
      <w:tr>
        <w:trPr>
          <w:trHeight w:val="253"/>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Q1 2020</w:t>
            </w:r>
          </w:p>
        </w:tc>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$0.80</w:t>
            </w:r>
          </w:p>
        </w:tc>
      </w:tr>
      <w:tr>
        <w:trPr>
          <w:trHeight w:val="32"/>
        </w:trPr>
        <w:tc>
          <w:tcPr>
            <w:tcW w:w="680" w:type="dxa"/>
            <w:vAlign w:val="bottom"/>
            <w:tcBorders>
              <w:left w:val="single" w:sz="8" w:color="003767"/>
              <w:bottom w:val="single" w:sz="8" w:color="003767"/>
            </w:tcBorders>
          </w:tcPr>
          <w:p>
            <w:pPr>
              <w:spacing w:after="0"/>
              <w:rPr>
                <w:sz w:val="2"/>
                <w:szCs w:val="2"/>
                <w:color w:val="auto"/>
              </w:rPr>
            </w:pPr>
          </w:p>
        </w:tc>
        <w:tc>
          <w:tcPr>
            <w:tcW w:w="2100" w:type="dxa"/>
            <w:vAlign w:val="bottom"/>
            <w:tcBorders>
              <w:bottom w:val="single" w:sz="8" w:color="003767"/>
            </w:tcBorders>
          </w:tcPr>
          <w:p>
            <w:pPr>
              <w:spacing w:after="0"/>
              <w:rPr>
                <w:sz w:val="2"/>
                <w:szCs w:val="2"/>
                <w:color w:val="auto"/>
              </w:rPr>
            </w:pPr>
          </w:p>
        </w:tc>
        <w:tc>
          <w:tcPr>
            <w:tcW w:w="460" w:type="dxa"/>
            <w:vAlign w:val="bottom"/>
            <w:tcBorders>
              <w:bottom w:val="single" w:sz="8" w:color="003767"/>
            </w:tcBorders>
          </w:tcPr>
          <w:p>
            <w:pPr>
              <w:spacing w:after="0"/>
              <w:rPr>
                <w:sz w:val="2"/>
                <w:szCs w:val="2"/>
                <w:color w:val="auto"/>
              </w:rPr>
            </w:pPr>
          </w:p>
        </w:tc>
        <w:tc>
          <w:tcPr>
            <w:tcW w:w="240" w:type="dxa"/>
            <w:vAlign w:val="bottom"/>
            <w:tcBorders>
              <w:bottom w:val="single" w:sz="8" w:color="003767"/>
            </w:tcBorders>
          </w:tcPr>
          <w:p>
            <w:pPr>
              <w:spacing w:after="0"/>
              <w:rPr>
                <w:sz w:val="2"/>
                <w:szCs w:val="2"/>
                <w:color w:val="auto"/>
              </w:rPr>
            </w:pPr>
          </w:p>
        </w:tc>
      </w:tr>
      <w:tr>
        <w:trPr>
          <w:trHeight w:val="207"/>
        </w:trPr>
        <w:tc>
          <w:tcPr>
            <w:tcW w:w="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88"/>
        </w:trPr>
        <w:tc>
          <w:tcPr>
            <w:tcW w:w="680" w:type="dxa"/>
            <w:vAlign w:val="bottom"/>
            <w:tcBorders>
              <w:left w:val="single" w:sz="8" w:color="003767"/>
            </w:tcBorders>
            <w:shd w:val="clear" w:color="auto" w:fill="003767"/>
          </w:tcPr>
          <w:p>
            <w:pPr>
              <w:spacing w:after="0"/>
              <w:rPr>
                <w:sz w:val="24"/>
                <w:szCs w:val="24"/>
                <w:color w:val="auto"/>
              </w:rPr>
            </w:pPr>
          </w:p>
        </w:tc>
        <w:tc>
          <w:tcPr>
            <w:tcW w:w="2100" w:type="dxa"/>
            <w:vAlign w:val="bottom"/>
            <w:shd w:val="clear" w:color="auto" w:fill="003767"/>
          </w:tcPr>
          <w:p>
            <w:pPr>
              <w:jc w:val="center"/>
              <w:spacing w:after="0"/>
              <w:rPr>
                <w:sz w:val="20"/>
                <w:szCs w:val="20"/>
                <w:color w:val="auto"/>
              </w:rPr>
            </w:pPr>
            <w:r>
              <w:rPr>
                <w:rFonts w:ascii="Arial" w:cs="Arial" w:eastAsia="Arial" w:hAnsi="Arial"/>
                <w:sz w:val="16"/>
                <w:szCs w:val="16"/>
                <w:b w:val="1"/>
                <w:bCs w:val="1"/>
                <w:color w:val="FFFFFF"/>
              </w:rPr>
              <w:t>NAV</w:t>
            </w:r>
          </w:p>
        </w:tc>
        <w:tc>
          <w:tcPr>
            <w:tcW w:w="460" w:type="dxa"/>
            <w:vAlign w:val="bottom"/>
            <w:shd w:val="clear" w:color="auto" w:fill="003767"/>
          </w:tcPr>
          <w:p>
            <w:pPr>
              <w:spacing w:after="0"/>
              <w:rPr>
                <w:sz w:val="24"/>
                <w:szCs w:val="24"/>
                <w:color w:val="auto"/>
              </w:rPr>
            </w:pPr>
          </w:p>
        </w:tc>
        <w:tc>
          <w:tcPr>
            <w:tcW w:w="240" w:type="dxa"/>
            <w:vAlign w:val="bottom"/>
            <w:shd w:val="clear" w:color="auto" w:fill="003767"/>
          </w:tcPr>
          <w:p>
            <w:pPr>
              <w:spacing w:after="0"/>
              <w:rPr>
                <w:sz w:val="24"/>
                <w:szCs w:val="24"/>
                <w:color w:val="auto"/>
              </w:rPr>
            </w:pPr>
          </w:p>
        </w:tc>
      </w:tr>
      <w:tr>
        <w:trPr>
          <w:trHeight w:val="99"/>
        </w:trPr>
        <w:tc>
          <w:tcPr>
            <w:tcW w:w="680" w:type="dxa"/>
            <w:vAlign w:val="bottom"/>
            <w:tcBorders>
              <w:left w:val="single" w:sz="8" w:color="003767"/>
            </w:tcBorders>
            <w:shd w:val="clear" w:color="auto" w:fill="003767"/>
          </w:tcPr>
          <w:p>
            <w:pPr>
              <w:spacing w:after="0"/>
              <w:rPr>
                <w:sz w:val="8"/>
                <w:szCs w:val="8"/>
                <w:color w:val="auto"/>
              </w:rPr>
            </w:pPr>
          </w:p>
        </w:tc>
        <w:tc>
          <w:tcPr>
            <w:tcW w:w="2100" w:type="dxa"/>
            <w:vAlign w:val="bottom"/>
            <w:shd w:val="clear" w:color="auto" w:fill="003767"/>
          </w:tcPr>
          <w:p>
            <w:pPr>
              <w:spacing w:after="0"/>
              <w:rPr>
                <w:sz w:val="8"/>
                <w:szCs w:val="8"/>
                <w:color w:val="auto"/>
              </w:rPr>
            </w:pPr>
          </w:p>
        </w:tc>
        <w:tc>
          <w:tcPr>
            <w:tcW w:w="460" w:type="dxa"/>
            <w:vAlign w:val="bottom"/>
            <w:shd w:val="clear" w:color="auto" w:fill="003767"/>
          </w:tcPr>
          <w:p>
            <w:pPr>
              <w:spacing w:after="0"/>
              <w:rPr>
                <w:sz w:val="8"/>
                <w:szCs w:val="8"/>
                <w:color w:val="auto"/>
              </w:rPr>
            </w:pPr>
          </w:p>
        </w:tc>
        <w:tc>
          <w:tcPr>
            <w:tcW w:w="240" w:type="dxa"/>
            <w:vAlign w:val="bottom"/>
            <w:shd w:val="clear" w:color="auto" w:fill="003767"/>
          </w:tcPr>
          <w:p>
            <w:pPr>
              <w:spacing w:after="0"/>
              <w:rPr>
                <w:sz w:val="8"/>
                <w:szCs w:val="8"/>
                <w:color w:val="auto"/>
              </w:rPr>
            </w:pPr>
          </w:p>
        </w:tc>
      </w:tr>
      <w:tr>
        <w:trPr>
          <w:trHeight w:val="235"/>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Q1 2020</w:t>
            </w:r>
          </w:p>
        </w:tc>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$1,037</w:t>
            </w:r>
          </w:p>
        </w:tc>
      </w:tr>
      <w:tr>
        <w:trPr>
          <w:trHeight w:val="267"/>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Q1 2020</w:t>
            </w:r>
          </w:p>
        </w:tc>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$15.57</w:t>
            </w:r>
          </w:p>
        </w:tc>
      </w:tr>
      <w:tr>
        <w:trPr>
          <w:trHeight w:val="253"/>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Q1 2020</w:t>
            </w:r>
          </w:p>
        </w:tc>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(per share, PF):</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$15.07</w:t>
            </w:r>
          </w:p>
        </w:tc>
      </w:tr>
      <w:tr>
        <w:trPr>
          <w:trHeight w:val="32"/>
        </w:trPr>
        <w:tc>
          <w:tcPr>
            <w:tcW w:w="680" w:type="dxa"/>
            <w:vAlign w:val="bottom"/>
            <w:tcBorders>
              <w:left w:val="single" w:sz="8" w:color="003767"/>
              <w:bottom w:val="single" w:sz="8" w:color="003767"/>
            </w:tcBorders>
          </w:tcPr>
          <w:p>
            <w:pPr>
              <w:spacing w:after="0"/>
              <w:rPr>
                <w:sz w:val="2"/>
                <w:szCs w:val="2"/>
                <w:color w:val="auto"/>
              </w:rPr>
            </w:pPr>
          </w:p>
        </w:tc>
        <w:tc>
          <w:tcPr>
            <w:tcW w:w="2100" w:type="dxa"/>
            <w:vAlign w:val="bottom"/>
            <w:tcBorders>
              <w:bottom w:val="single" w:sz="8" w:color="003767"/>
            </w:tcBorders>
          </w:tcPr>
          <w:p>
            <w:pPr>
              <w:spacing w:after="0"/>
              <w:rPr>
                <w:sz w:val="2"/>
                <w:szCs w:val="2"/>
                <w:color w:val="auto"/>
              </w:rPr>
            </w:pPr>
          </w:p>
        </w:tc>
        <w:tc>
          <w:tcPr>
            <w:tcW w:w="460" w:type="dxa"/>
            <w:vAlign w:val="bottom"/>
            <w:tcBorders>
              <w:bottom w:val="single" w:sz="8" w:color="003767"/>
            </w:tcBorders>
          </w:tcPr>
          <w:p>
            <w:pPr>
              <w:spacing w:after="0"/>
              <w:rPr>
                <w:sz w:val="2"/>
                <w:szCs w:val="2"/>
                <w:color w:val="auto"/>
              </w:rPr>
            </w:pPr>
          </w:p>
        </w:tc>
        <w:tc>
          <w:tcPr>
            <w:tcW w:w="240" w:type="dxa"/>
            <w:vAlign w:val="bottom"/>
            <w:tcBorders>
              <w:bottom w:val="single" w:sz="8" w:color="003767"/>
            </w:tcBorders>
          </w:tcPr>
          <w:p>
            <w:pPr>
              <w:spacing w:after="0"/>
              <w:rPr>
                <w:sz w:val="2"/>
                <w:szCs w:val="2"/>
                <w:color w:val="auto"/>
              </w:rPr>
            </w:pPr>
          </w:p>
        </w:tc>
      </w:tr>
      <w:tr>
        <w:trPr>
          <w:trHeight w:val="207"/>
        </w:trPr>
        <w:tc>
          <w:tcPr>
            <w:tcW w:w="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88"/>
        </w:trPr>
        <w:tc>
          <w:tcPr>
            <w:tcW w:w="680" w:type="dxa"/>
            <w:vAlign w:val="bottom"/>
            <w:tcBorders>
              <w:left w:val="single" w:sz="8" w:color="003767"/>
            </w:tcBorders>
            <w:shd w:val="clear" w:color="auto" w:fill="003767"/>
          </w:tcPr>
          <w:p>
            <w:pPr>
              <w:spacing w:after="0"/>
              <w:rPr>
                <w:sz w:val="24"/>
                <w:szCs w:val="24"/>
                <w:color w:val="auto"/>
              </w:rPr>
            </w:pPr>
          </w:p>
        </w:tc>
        <w:tc>
          <w:tcPr>
            <w:tcW w:w="2100" w:type="dxa"/>
            <w:vAlign w:val="bottom"/>
            <w:shd w:val="clear" w:color="auto" w:fill="003767"/>
          </w:tcPr>
          <w:p>
            <w:pPr>
              <w:ind w:left="240"/>
              <w:spacing w:after="0"/>
              <w:rPr>
                <w:sz w:val="20"/>
                <w:szCs w:val="20"/>
                <w:color w:val="auto"/>
              </w:rPr>
            </w:pPr>
            <w:r>
              <w:rPr>
                <w:rFonts w:ascii="Arial" w:cs="Arial" w:eastAsia="Arial" w:hAnsi="Arial"/>
                <w:sz w:val="16"/>
                <w:szCs w:val="16"/>
                <w:b w:val="1"/>
                <w:bCs w:val="1"/>
                <w:color w:val="FFFFFF"/>
              </w:rPr>
              <w:t>Dividend (per share)</w:t>
            </w:r>
          </w:p>
        </w:tc>
        <w:tc>
          <w:tcPr>
            <w:tcW w:w="460" w:type="dxa"/>
            <w:vAlign w:val="bottom"/>
            <w:shd w:val="clear" w:color="auto" w:fill="003767"/>
          </w:tcPr>
          <w:p>
            <w:pPr>
              <w:spacing w:after="0"/>
              <w:rPr>
                <w:sz w:val="24"/>
                <w:szCs w:val="24"/>
                <w:color w:val="auto"/>
              </w:rPr>
            </w:pPr>
          </w:p>
        </w:tc>
        <w:tc>
          <w:tcPr>
            <w:tcW w:w="240" w:type="dxa"/>
            <w:vAlign w:val="bottom"/>
          </w:tcPr>
          <w:p>
            <w:pPr>
              <w:spacing w:after="0"/>
              <w:rPr>
                <w:sz w:val="24"/>
                <w:szCs w:val="24"/>
                <w:color w:val="auto"/>
              </w:rPr>
            </w:pPr>
          </w:p>
        </w:tc>
      </w:tr>
      <w:tr>
        <w:trPr>
          <w:trHeight w:val="99"/>
        </w:trPr>
        <w:tc>
          <w:tcPr>
            <w:tcW w:w="680" w:type="dxa"/>
            <w:vAlign w:val="bottom"/>
            <w:tcBorders>
              <w:left w:val="single" w:sz="8" w:color="003767"/>
            </w:tcBorders>
            <w:shd w:val="clear" w:color="auto" w:fill="003767"/>
          </w:tcPr>
          <w:p>
            <w:pPr>
              <w:spacing w:after="0"/>
              <w:rPr>
                <w:sz w:val="8"/>
                <w:szCs w:val="8"/>
                <w:color w:val="auto"/>
              </w:rPr>
            </w:pPr>
          </w:p>
        </w:tc>
        <w:tc>
          <w:tcPr>
            <w:tcW w:w="2100" w:type="dxa"/>
            <w:vAlign w:val="bottom"/>
            <w:shd w:val="clear" w:color="auto" w:fill="003767"/>
          </w:tcPr>
          <w:p>
            <w:pPr>
              <w:spacing w:after="0"/>
              <w:rPr>
                <w:sz w:val="8"/>
                <w:szCs w:val="8"/>
                <w:color w:val="auto"/>
              </w:rPr>
            </w:pPr>
          </w:p>
        </w:tc>
        <w:tc>
          <w:tcPr>
            <w:tcW w:w="460" w:type="dxa"/>
            <w:vAlign w:val="bottom"/>
            <w:shd w:val="clear" w:color="auto" w:fill="003767"/>
          </w:tcPr>
          <w:p>
            <w:pPr>
              <w:spacing w:after="0"/>
              <w:rPr>
                <w:sz w:val="8"/>
                <w:szCs w:val="8"/>
                <w:color w:val="auto"/>
              </w:rPr>
            </w:pPr>
          </w:p>
        </w:tc>
        <w:tc>
          <w:tcPr>
            <w:tcW w:w="240" w:type="dxa"/>
            <w:vAlign w:val="bottom"/>
          </w:tcPr>
          <w:p>
            <w:pPr>
              <w:spacing w:after="0"/>
              <w:rPr>
                <w:sz w:val="8"/>
                <w:szCs w:val="8"/>
                <w:color w:val="auto"/>
              </w:rPr>
            </w:pPr>
          </w:p>
        </w:tc>
      </w:tr>
      <w:tr>
        <w:trPr>
          <w:trHeight w:val="235"/>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Q1 2020</w:t>
            </w:r>
          </w:p>
        </w:tc>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(Base):</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$0.41</w:t>
            </w:r>
          </w:p>
        </w:tc>
      </w:tr>
      <w:tr>
        <w:trPr>
          <w:trHeight w:val="325"/>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Q1 2020</w:t>
            </w:r>
          </w:p>
        </w:tc>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(Special)</w:t>
            </w:r>
            <w:r>
              <w:rPr>
                <w:rFonts w:ascii="Arial" w:cs="Arial" w:eastAsia="Arial" w:hAnsi="Arial"/>
                <w:sz w:val="27"/>
                <w:szCs w:val="27"/>
                <w:b w:val="1"/>
                <w:bCs w:val="1"/>
                <w:color w:val="auto"/>
                <w:vertAlign w:val="superscript"/>
              </w:rPr>
              <w:t>(1)</w:t>
            </w:r>
            <w:r>
              <w:rPr>
                <w:rFonts w:ascii="Arial" w:cs="Arial" w:eastAsia="Arial" w:hAnsi="Arial"/>
                <w:sz w:val="16"/>
                <w:szCs w:val="16"/>
                <w:b w:val="1"/>
                <w:bCs w:val="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$0.50</w:t>
            </w:r>
          </w:p>
        </w:tc>
      </w:tr>
      <w:tr>
        <w:trPr>
          <w:trHeight w:val="208"/>
        </w:trPr>
        <w:tc>
          <w:tcPr>
            <w:tcW w:w="278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rPr>
              <w:t>LTM Q1’20 (Base):</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$1.58</w:t>
            </w:r>
          </w:p>
        </w:tc>
      </w:tr>
      <w:tr>
        <w:trPr>
          <w:trHeight w:val="298"/>
        </w:trPr>
        <w:tc>
          <w:tcPr>
            <w:tcW w:w="2780" w:type="dxa"/>
            <w:vAlign w:val="bottom"/>
            <w:tcBorders>
              <w:left w:val="single" w:sz="8" w:color="003767"/>
            </w:tcBorders>
            <w:gridSpan w:val="2"/>
          </w:tcPr>
          <w:p>
            <w:pPr>
              <w:ind w:left="80"/>
              <w:spacing w:after="0" w:line="298" w:lineRule="exact"/>
              <w:rPr>
                <w:sz w:val="20"/>
                <w:szCs w:val="20"/>
                <w:color w:val="auto"/>
              </w:rPr>
            </w:pPr>
            <w:r>
              <w:rPr>
                <w:rFonts w:ascii="Arial" w:cs="Arial" w:eastAsia="Arial" w:hAnsi="Arial"/>
                <w:sz w:val="16"/>
                <w:szCs w:val="16"/>
                <w:b w:val="1"/>
                <w:bCs w:val="1"/>
                <w:color w:val="auto"/>
              </w:rPr>
              <w:t>LTM Q1’20 (Supp/Special)</w:t>
            </w:r>
            <w:r>
              <w:rPr>
                <w:rFonts w:ascii="Arial" w:cs="Arial" w:eastAsia="Arial" w:hAnsi="Arial"/>
                <w:sz w:val="27"/>
                <w:szCs w:val="27"/>
                <w:b w:val="1"/>
                <w:bCs w:val="1"/>
                <w:color w:val="auto"/>
                <w:vertAlign w:val="superscript"/>
              </w:rPr>
              <w:t>(1)</w:t>
            </w:r>
            <w:r>
              <w:rPr>
                <w:rFonts w:ascii="Arial" w:cs="Arial" w:eastAsia="Arial" w:hAnsi="Arial"/>
                <w:sz w:val="16"/>
                <w:szCs w:val="16"/>
                <w:b w:val="1"/>
                <w:bCs w:val="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$0.68</w:t>
            </w:r>
          </w:p>
        </w:tc>
      </w:tr>
      <w:tr>
        <w:trPr>
          <w:trHeight w:val="208"/>
        </w:trPr>
        <w:tc>
          <w:tcPr>
            <w:tcW w:w="278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rPr>
              <w:t>LTM Q1’20 (Total):</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$2.26</w:t>
            </w:r>
          </w:p>
        </w:tc>
      </w:tr>
      <w:tr>
        <w:trPr>
          <w:trHeight w:val="32"/>
        </w:trPr>
        <w:tc>
          <w:tcPr>
            <w:tcW w:w="680" w:type="dxa"/>
            <w:vAlign w:val="bottom"/>
            <w:tcBorders>
              <w:left w:val="single" w:sz="8" w:color="003767"/>
              <w:bottom w:val="single" w:sz="8" w:color="003767"/>
            </w:tcBorders>
          </w:tcPr>
          <w:p>
            <w:pPr>
              <w:spacing w:after="0"/>
              <w:rPr>
                <w:sz w:val="2"/>
                <w:szCs w:val="2"/>
                <w:color w:val="auto"/>
              </w:rPr>
            </w:pPr>
          </w:p>
        </w:tc>
        <w:tc>
          <w:tcPr>
            <w:tcW w:w="2100" w:type="dxa"/>
            <w:vAlign w:val="bottom"/>
            <w:tcBorders>
              <w:bottom w:val="single" w:sz="8" w:color="003767"/>
            </w:tcBorders>
          </w:tcPr>
          <w:p>
            <w:pPr>
              <w:spacing w:after="0"/>
              <w:rPr>
                <w:sz w:val="2"/>
                <w:szCs w:val="2"/>
                <w:color w:val="auto"/>
              </w:rPr>
            </w:pPr>
          </w:p>
        </w:tc>
        <w:tc>
          <w:tcPr>
            <w:tcW w:w="460" w:type="dxa"/>
            <w:vAlign w:val="bottom"/>
            <w:tcBorders>
              <w:bottom w:val="single" w:sz="8" w:color="003767"/>
            </w:tcBorders>
          </w:tcPr>
          <w:p>
            <w:pPr>
              <w:spacing w:after="0"/>
              <w:rPr>
                <w:sz w:val="2"/>
                <w:szCs w:val="2"/>
                <w:color w:val="auto"/>
              </w:rPr>
            </w:pPr>
          </w:p>
        </w:tc>
        <w:tc>
          <w:tcPr>
            <w:tcW w:w="240" w:type="dxa"/>
            <w:vAlign w:val="bottom"/>
            <w:tcBorders>
              <w:bottom w:val="single" w:sz="8" w:color="003767"/>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540" w:space="320"/>
            <w:col w:w="3480"/>
          </w:cols>
          <w:pgMar w:left="320" w:top="121" w:right="239" w:bottom="1440" w:gutter="0" w:footer="0" w:header="0"/>
          <w:type w:val="continuous"/>
        </w:sectPr>
      </w:pPr>
    </w:p>
    <w:p>
      <w:pPr>
        <w:spacing w:after="0" w:line="239" w:lineRule="exact"/>
        <w:rPr>
          <w:sz w:val="20"/>
          <w:szCs w:val="20"/>
          <w:color w:val="auto"/>
        </w:rPr>
      </w:pPr>
    </w:p>
    <w:p>
      <w:pPr>
        <w:ind w:left="440" w:hanging="393"/>
        <w:spacing w:after="0"/>
        <w:tabs>
          <w:tab w:leader="none" w:pos="44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Reflects special dividends per share that were declared in Q1 2020 and payable in Q2 2020.</w:t>
      </w:r>
    </w:p>
    <w:p>
      <w:pPr>
        <w:spacing w:after="0" w:line="21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1"/>
          <w:szCs w:val="21"/>
          <w:i w:val="1"/>
          <w:iCs w:val="1"/>
          <w:color w:val="FFFFFF"/>
        </w:rPr>
        <w:drawing>
          <wp:anchor simplePos="0" relativeHeight="251657728" behindDoc="1" locked="0" layoutInCell="0" allowOverlap="1">
            <wp:simplePos x="0" y="0"/>
            <wp:positionH relativeFrom="page">
              <wp:posOffset>207645</wp:posOffset>
            </wp:positionH>
            <wp:positionV relativeFrom="page">
              <wp:posOffset>698500</wp:posOffset>
            </wp:positionV>
            <wp:extent cx="7134225" cy="3384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3384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88900</wp:posOffset>
            </wp:positionV>
            <wp:extent cx="1116965" cy="465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16965" cy="465455"/>
                    </a:xfrm>
                    <a:prstGeom prst="rect">
                      <a:avLst/>
                    </a:prstGeom>
                    <a:noFill/>
                  </pic:spPr>
                </pic:pic>
              </a:graphicData>
            </a:graphic>
          </wp:anchor>
        </w:drawing>
        <w:t>Portfolio and Investment Activity</w:t>
      </w:r>
    </w:p>
    <w:p>
      <w:pPr>
        <w:spacing w:after="0" w:line="200" w:lineRule="exact"/>
        <w:rPr>
          <w:sz w:val="20"/>
          <w:szCs w:val="20"/>
          <w:color w:val="auto"/>
        </w:rPr>
      </w:pPr>
    </w:p>
    <w:p>
      <w:pPr>
        <w:spacing w:after="0" w:line="38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For the quarter ended March 31, 2020, new investment commitments totaled $134.0 million. This compares to $329.3 million for the quarter ended December 31, 2019.</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quarter ended March 31, 2020, the principal amount of new investments funded was $80.3 million in three new portfolio companies and four existing portfolio companies. For this period, the Company had $211.9 million aggregate principal amount in exits and repayments. For the quarter ended December 31, 2019, the principal amount of new investments funded was $289.1 million in nine new portfolio companies and four existing portfolio companies. For this period, the Company had $104.1 million aggregate principal amount in exits and repayments.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2020 and December 31, 2019, the Company had investments in 62 and 63 portfolio companies, respectively, with an aggregate fair value of $2,045.6 million and $2,245.9 million, respectively. As of March 31, 2020, the average investment size in each portfolio company was $33.0 million based on fair value.</w:t>
      </w:r>
    </w:p>
    <w:p>
      <w:pPr>
        <w:spacing w:after="0" w:line="12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As of March 31, 2020, the Company’s portfolio based on fair value consisted of 97.1% first-lien debt investments, 0.2% second-lien debt investments, 0.1% mezzanine investments, and 2.6% equity and other investments. As of December 31, 2019, the Company’s portfolio based on fair value consisted of 96.5% first-lien debt investments, 0.6% second-lien debt investments, 0.1% mezzanine investments, and 2.8% equity and other investments.</w:t>
      </w:r>
    </w:p>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As of March 31, 2020 and December 31, 2019, approximately 97.3% and 97.1% of the portfolio was invested in secured debt, respectively.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March 31, 2020, 99.4% of debt investments based on fair value in the portfolio bore interest at floating rates (when including investment specific hedges), with 95.1% of these subject to a weighted average LIBOR floor of approximately 1.2%. The Company’s credit facilities also bear interest at floating rates. In connection with the Company’s Convertible Notes and other Notes, which bear interest at fixed rates, the Company entered into fixed-to-floating interest rate swaps in order to align the nature of the interest rates of its liabilities with its investment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and December 31, 2019, the weighted average total yield</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of debt and income-producing securities at fair value (which includes interest income and amortization of fees and discounts) was 10.2% and 10.5%, respectively, and the weighted average total yield of debt and income-producing securities at amortized cost (which includes interest income and amortization of fees and discounts) was 9.9% and 10.7%, respectively.</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March 31, 2020, 99.9% of the portfolio at fair value was meeting all payment and covenant requirements, with Mississippi Resources, representing 0.1% of the portfolio at fair value, as the only investment on non-accrual status. Mississippi Resources made its regularly scheduled cash interest payment during the quarter, but the Company elected to apply it to the loan principal instead of recognizing it as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570230</wp:posOffset>
            </wp:positionV>
            <wp:extent cx="71507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-166370</wp:posOffset>
            </wp:positionV>
            <wp:extent cx="2132330" cy="457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2330" cy="457200"/>
                    </a:xfrm>
                    <a:prstGeom prst="rect">
                      <a:avLst/>
                    </a:prstGeom>
                    <a:noFill/>
                  </pic:spPr>
                </pic:pic>
              </a:graphicData>
            </a:graphic>
          </wp:anchor>
        </w:drawing>
      </w:r>
    </w:p>
    <w:p>
      <w:pPr>
        <w:spacing w:after="0" w:line="143"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$134.0MM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213360</wp:posOffset>
            </wp:positionV>
            <wp:extent cx="2132330" cy="457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2330" cy="457200"/>
                    </a:xfrm>
                    <a:prstGeom prst="rect">
                      <a:avLst/>
                    </a:prstGeom>
                    <a:noFill/>
                  </pic:spPr>
                </pic:pic>
              </a:graphicData>
            </a:graphic>
          </wp:anchor>
        </w:drawing>
      </w: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Fundings / Net Fundings (Paydowns)</w:t>
      </w:r>
    </w:p>
    <w:p>
      <w:pPr>
        <w:spacing w:after="0" w:line="163"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$80.3MM / ($131.6MM)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213360</wp:posOffset>
            </wp:positionV>
            <wp:extent cx="2132330" cy="541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2330" cy="541655"/>
                    </a:xfrm>
                    <a:prstGeom prst="rect">
                      <a:avLst/>
                    </a:prstGeom>
                    <a:noFill/>
                  </pic:spPr>
                </pic:pic>
              </a:graphicData>
            </a:graphic>
          </wp:anchor>
        </w:drawing>
      </w: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Average Investment Size</w:t>
      </w:r>
    </w:p>
    <w:p>
      <w:pPr>
        <w:spacing w:after="0" w:line="13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$33.0MM</w:t>
      </w:r>
    </w:p>
    <w:p>
      <w:pPr>
        <w:spacing w:after="0" w:line="25"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(1.6%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182880</wp:posOffset>
            </wp:positionV>
            <wp:extent cx="2132330" cy="457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2330" cy="457200"/>
                    </a:xfrm>
                    <a:prstGeom prst="rect">
                      <a:avLst/>
                    </a:prstGeom>
                    <a:noFill/>
                  </pic:spPr>
                </pic:pic>
              </a:graphicData>
            </a:graphic>
          </wp:anchor>
        </w:drawing>
      </w:r>
    </w:p>
    <w:p>
      <w:pPr>
        <w:spacing w:after="0" w:line="347"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First Lien Debt Investments (% FV)</w:t>
      </w:r>
    </w:p>
    <w:p>
      <w:pPr>
        <w:spacing w:after="0" w:line="163"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213360</wp:posOffset>
            </wp:positionV>
            <wp:extent cx="2132330" cy="457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2330" cy="457200"/>
                    </a:xfrm>
                    <a:prstGeom prst="rect">
                      <a:avLst/>
                    </a:prstGeom>
                    <a:noFill/>
                  </pic:spPr>
                </pic:pic>
              </a:graphicData>
            </a:graphic>
          </wp:anchor>
        </w:drawing>
      </w: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Secured Debt Investments (% FV)</w:t>
      </w:r>
    </w:p>
    <w:p>
      <w:pPr>
        <w:spacing w:after="0" w:line="163"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213360</wp:posOffset>
            </wp:positionV>
            <wp:extent cx="2132330" cy="457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2330" cy="457200"/>
                    </a:xfrm>
                    <a:prstGeom prst="rect">
                      <a:avLst/>
                    </a:prstGeom>
                    <a:noFill/>
                  </pic:spPr>
                </pic:pic>
              </a:graphicData>
            </a:graphic>
          </wp:anchor>
        </w:drawing>
      </w: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Floating Rate Investments (% FV)</w:t>
      </w:r>
    </w:p>
    <w:p>
      <w:pPr>
        <w:spacing w:after="0" w:line="163"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357505</wp:posOffset>
            </wp:positionV>
            <wp:extent cx="2132330" cy="660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233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FFFFFF"/>
        </w:rPr>
        <w:t>Weighted Average Portfolio Yields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20" w:type="dxa"/>
            <w:vAlign w:val="bottom"/>
          </w:tcPr>
          <w:p>
            <w:pPr>
              <w:spacing w:after="0"/>
              <w:rPr>
                <w:sz w:val="20"/>
                <w:szCs w:val="20"/>
                <w:color w:val="auto"/>
              </w:rPr>
            </w:pPr>
            <w:r>
              <w:rPr>
                <w:rFonts w:ascii="Arial" w:cs="Arial" w:eastAsia="Arial" w:hAnsi="Arial"/>
                <w:sz w:val="16"/>
                <w:szCs w:val="16"/>
                <w:b w:val="1"/>
                <w:bCs w:val="1"/>
                <w:color w:val="auto"/>
              </w:rPr>
              <w:t>Yield at Fair Value: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10.2%</w:t>
            </w:r>
          </w:p>
        </w:tc>
      </w:tr>
      <w:tr>
        <w:trPr>
          <w:trHeight w:val="320"/>
        </w:trPr>
        <w:tc>
          <w:tcPr>
            <w:tcW w:w="2220" w:type="dxa"/>
            <w:vAlign w:val="bottom"/>
          </w:tcPr>
          <w:p>
            <w:pPr>
              <w:spacing w:after="0"/>
              <w:rPr>
                <w:sz w:val="20"/>
                <w:szCs w:val="20"/>
                <w:color w:val="auto"/>
              </w:rPr>
            </w:pPr>
            <w:r>
              <w:rPr>
                <w:rFonts w:ascii="Arial" w:cs="Arial" w:eastAsia="Arial" w:hAnsi="Arial"/>
                <w:sz w:val="16"/>
                <w:szCs w:val="16"/>
                <w:b w:val="1"/>
                <w:bCs w:val="1"/>
                <w:color w:val="auto"/>
              </w:rPr>
              <w:t>Yield at Amortized Cost: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540" w:space="420"/>
            <w:col w:w="3280"/>
          </w:cols>
          <w:pgMar w:left="320" w:top="1224"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i w:val="1"/>
          <w:iCs w:val="1"/>
          <w:color w:val="FFFFFF"/>
        </w:rPr>
        <w:drawing>
          <wp:anchor simplePos="0" relativeHeight="251657728" behindDoc="1" locked="0" layoutInCell="0" allowOverlap="1">
            <wp:simplePos x="0" y="0"/>
            <wp:positionH relativeFrom="page">
              <wp:posOffset>207645</wp:posOffset>
            </wp:positionH>
            <wp:positionV relativeFrom="page">
              <wp:posOffset>698500</wp:posOffset>
            </wp:positionV>
            <wp:extent cx="7134225" cy="245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24511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88900</wp:posOffset>
            </wp:positionV>
            <wp:extent cx="1116965" cy="465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16965" cy="465455"/>
                    </a:xfrm>
                    <a:prstGeom prst="rect">
                      <a:avLst/>
                    </a:prstGeom>
                    <a:noFill/>
                  </pic:spPr>
                </pic:pic>
              </a:graphicData>
            </a:graphic>
          </wp:anchor>
        </w:drawing>
        <w:t>Results of Operations for the Three Months Ended March 31, 2020</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months ended March 31, 2020 and 2019, investment income totaled $66.3 million and $52.4 million, respectively. The increase in investment income primarily resulted from an increase in accelerated amortization of upfront fees from unscheduled paydowns, prepayment fees and an increase in the average size of the investment portfolio.</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Net expenses totaled $31.6 million and $25.5 million for the three months ended March 31, 2020 and 2019, respectively. The increase in expenses was driven by higher interest expense from an increase in the average debt outstanding, as well as higher management and incentive fees.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March 31, 2020, the Company had $19.8 million in cash and cash equivalents, including $14.3 million of restricted cash, total principal value of debt outstanding of $986.8 million, and $1,000.7 million of undrawn capacity on its revolving credit facility, subject to borrowing base and other limitations. The Company’s weighted average interest rate on debt outstanding was 3.9% and 4.1% for the three months ended March 31, 2020 and December 31, 2019, respectively. At March 31, 2020, the Company’s debt to equity ratio was 0.96x, compared to 1.00x at December 31, 2019. Average debt to equity was 0.99x and 0.97x during the three months ended March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280" w:right="20" w:hanging="273"/>
        <w:spacing w:after="0" w:line="248" w:lineRule="auto"/>
        <w:tabs>
          <w:tab w:leader="none" w:pos="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1463675</wp:posOffset>
            </wp:positionV>
            <wp:extent cx="71507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-166370</wp:posOffset>
            </wp:positionV>
            <wp:extent cx="2132330" cy="457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2330" cy="457200"/>
                    </a:xfrm>
                    <a:prstGeom prst="rect">
                      <a:avLst/>
                    </a:prstGeom>
                    <a:noFill/>
                  </pic:spPr>
                </pic:pic>
              </a:graphicData>
            </a:graphic>
          </wp:anchor>
        </w:drawing>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$66.3MM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772160</wp:posOffset>
            </wp:positionV>
            <wp:extent cx="2132330" cy="457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3233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Net Expenses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$31.6MM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535305</wp:posOffset>
            </wp:positionV>
            <wp:extent cx="2132330" cy="457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233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Total Principal Debt Outstanding</w:t>
      </w:r>
    </w:p>
    <w:p>
      <w:pPr>
        <w:spacing w:after="0" w:line="163"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$986.8MM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306705</wp:posOffset>
            </wp:positionV>
            <wp:extent cx="2132330" cy="5753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2330" cy="57531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FFFFFF"/>
        </w:rPr>
        <w:t>Debt-to-Equity Ratio</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b w:val="1"/>
                <w:bCs w:val="1"/>
                <w:color w:val="auto"/>
                <w:w w:val="93"/>
              </w:rPr>
              <w:t>Q1</w:t>
            </w:r>
          </w:p>
        </w:tc>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2020 Quarter End:</w:t>
            </w:r>
          </w:p>
        </w:tc>
        <w:tc>
          <w:tcPr>
            <w:tcW w:w="1020" w:type="dxa"/>
            <w:vAlign w:val="bottom"/>
          </w:tcPr>
          <w:p>
            <w:pPr>
              <w:ind w:left="660"/>
              <w:spacing w:after="0"/>
              <w:rPr>
                <w:sz w:val="20"/>
                <w:szCs w:val="20"/>
                <w:color w:val="auto"/>
              </w:rPr>
            </w:pPr>
            <w:r>
              <w:rPr>
                <w:rFonts w:ascii="Arial" w:cs="Arial" w:eastAsia="Arial" w:hAnsi="Arial"/>
                <w:sz w:val="16"/>
                <w:szCs w:val="16"/>
                <w:b w:val="1"/>
                <w:bCs w:val="1"/>
                <w:color w:val="auto"/>
                <w:w w:val="84"/>
              </w:rPr>
              <w:t>0.96x</w:t>
            </w:r>
          </w:p>
        </w:tc>
      </w:tr>
      <w:tr>
        <w:trPr>
          <w:trHeight w:val="400"/>
        </w:trPr>
        <w:tc>
          <w:tcPr>
            <w:tcW w:w="220" w:type="dxa"/>
            <w:vAlign w:val="bottom"/>
          </w:tcPr>
          <w:p>
            <w:pPr>
              <w:spacing w:after="0"/>
              <w:rPr>
                <w:sz w:val="20"/>
                <w:szCs w:val="20"/>
                <w:color w:val="auto"/>
              </w:rPr>
            </w:pPr>
            <w:r>
              <w:rPr>
                <w:rFonts w:ascii="Arial" w:cs="Arial" w:eastAsia="Arial" w:hAnsi="Arial"/>
                <w:sz w:val="16"/>
                <w:szCs w:val="16"/>
                <w:b w:val="1"/>
                <w:bCs w:val="1"/>
                <w:color w:val="auto"/>
                <w:w w:val="93"/>
              </w:rPr>
              <w:t>Q1</w:t>
            </w:r>
          </w:p>
        </w:tc>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2020 Average</w:t>
            </w:r>
            <w:r>
              <w:rPr>
                <w:rFonts w:ascii="Arial" w:cs="Arial" w:eastAsia="Arial" w:hAnsi="Arial"/>
                <w:sz w:val="27"/>
                <w:szCs w:val="27"/>
                <w:b w:val="1"/>
                <w:bCs w:val="1"/>
                <w:color w:val="auto"/>
                <w:vertAlign w:val="superscript"/>
              </w:rPr>
              <w:t>(1)</w:t>
            </w:r>
            <w:r>
              <w:rPr>
                <w:rFonts w:ascii="Arial" w:cs="Arial" w:eastAsia="Arial" w:hAnsi="Arial"/>
                <w:sz w:val="16"/>
                <w:szCs w:val="16"/>
                <w:b w:val="1"/>
                <w:bCs w:val="1"/>
                <w:color w:val="auto"/>
              </w:rPr>
              <w:t>:</w:t>
            </w:r>
          </w:p>
        </w:tc>
        <w:tc>
          <w:tcPr>
            <w:tcW w:w="1020" w:type="dxa"/>
            <w:vAlign w:val="bottom"/>
          </w:tcPr>
          <w:p>
            <w:pPr>
              <w:ind w:left="660"/>
              <w:spacing w:after="0"/>
              <w:rPr>
                <w:sz w:val="20"/>
                <w:szCs w:val="20"/>
                <w:color w:val="auto"/>
              </w:rPr>
            </w:pPr>
            <w:r>
              <w:rPr>
                <w:rFonts w:ascii="Arial" w:cs="Arial" w:eastAsia="Arial" w:hAnsi="Arial"/>
                <w:sz w:val="16"/>
                <w:szCs w:val="16"/>
                <w:b w:val="1"/>
                <w:bCs w:val="1"/>
                <w:color w:val="auto"/>
                <w:w w:val="84"/>
              </w:rPr>
              <w:t>0.99x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540" w:space="420"/>
            <w:col w:w="3280"/>
          </w:cols>
          <w:pgMar w:left="320" w:top="1224"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i w:val="1"/>
          <w:iCs w:val="1"/>
          <w:color w:val="FFFFFF"/>
        </w:rPr>
        <w:drawing>
          <wp:anchor simplePos="0" relativeHeight="251657728" behindDoc="1" locked="0" layoutInCell="0" allowOverlap="1">
            <wp:simplePos x="0" y="0"/>
            <wp:positionH relativeFrom="page">
              <wp:posOffset>207645</wp:posOffset>
            </wp:positionH>
            <wp:positionV relativeFrom="page">
              <wp:posOffset>698500</wp:posOffset>
            </wp:positionV>
            <wp:extent cx="7134225" cy="245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24511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88900</wp:posOffset>
            </wp:positionV>
            <wp:extent cx="1116965" cy="4654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16965" cy="465455"/>
                    </a:xfrm>
                    <a:prstGeom prst="rect">
                      <a:avLst/>
                    </a:prstGeom>
                    <a:noFill/>
                  </pic:spPr>
                </pic:pic>
              </a:graphicData>
            </a:graphic>
          </wp:anchor>
        </w:drawing>
        <w:t>Liquidity and Funding Profile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liquidity at March 31, 2020 and changes to unfunded commitments since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103505</wp:posOffset>
            </wp:positionV>
            <wp:extent cx="4646295" cy="12185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46295" cy="121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2020, the Company’s funding mix was comprised of 68% unsecured and 32% secured debt. As illustrated in the charts below, the Company’s earliest debt maturity is in August 2022 at $172.5 million, and the weighted average remaining life of investments funded with debt was approximately 2.3 years, compared to a weighted average remaining maturity on debt of approximately 4.4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85090</wp:posOffset>
            </wp:positionV>
            <wp:extent cx="5509260" cy="3943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0926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07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207645</wp:posOffset>
            </wp:positionH>
            <wp:positionV relativeFrom="page">
              <wp:posOffset>88900</wp:posOffset>
            </wp:positionV>
            <wp:extent cx="7134225" cy="880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80110"/>
                    </a:xfrm>
                    <a:prstGeom prst="rect">
                      <a:avLst/>
                    </a:prstGeom>
                    <a:noFill/>
                  </pic:spPr>
                </pic:pic>
              </a:graphicData>
            </a:graphic>
          </wp:anchor>
        </w:drawing>
        <w:t>Conference Call and Webcast</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conference call to discuss the Company’s financial results will be held live at 8:30 a.m. Eastern Time on May 6, 2020. Please visit TSLX’s webcast link located on the Events &amp; Presentations page of the Investor Resources section of TSLX’s website http://www.tpgspecialtylending.com for a slide presentation that complements the Earnings Conference Call. Please visit the website to test your connection before the webcast.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7764119</w:t>
      </w:r>
    </w:p>
    <w:p>
      <w:pPr>
        <w:spacing w:after="0" w:line="208"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146"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color w:val="auto"/>
        </w:rPr>
        <w:t>An archived replay will be available from approximately 12:00 p.m. Eastern Time on May 6 through May 13 via a webcast link located on the Investor Resources section of TSLX’s website, and via the dial-in numbers listed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7764119</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207645</wp:posOffset>
            </wp:positionH>
            <wp:positionV relativeFrom="page">
              <wp:posOffset>88900</wp:posOffset>
            </wp:positionV>
            <wp:extent cx="7134225" cy="880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80110"/>
                    </a:xfrm>
                    <a:prstGeom prst="rect">
                      <a:avLst/>
                    </a:prstGeom>
                    <a:noFill/>
                  </pic:spPr>
                </pic:pic>
              </a:graphicData>
            </a:graphic>
          </wp:anchor>
        </w:drawing>
        <w:t>Financial Highlights</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(Amounts in millions,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75"/>
        </w:trPr>
        <w:tc>
          <w:tcPr>
            <w:tcW w:w="3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(unaudited)</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69"/>
        </w:trPr>
        <w:tc>
          <w:tcPr>
            <w:tcW w:w="3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21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December 31, 2019</w:t>
            </w:r>
          </w:p>
        </w:tc>
        <w:tc>
          <w:tcPr>
            <w:tcW w:w="22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r>
      <w:tr>
        <w:trPr>
          <w:trHeight w:val="153"/>
        </w:trPr>
        <w:tc>
          <w:tcPr>
            <w:tcW w:w="3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227"/>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2,045.6</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2,245.9</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360" w:type="dxa"/>
            <w:vAlign w:val="bottom"/>
            <w:shd w:val="clear" w:color="auto" w:fill="CCEEFF"/>
          </w:tcPr>
          <w:p>
            <w:pPr>
              <w:spacing w:after="0"/>
              <w:rPr>
                <w:sz w:val="19"/>
                <w:szCs w:val="19"/>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2,081.7</w:t>
            </w:r>
          </w:p>
        </w:tc>
        <w:tc>
          <w:tcPr>
            <w:tcW w:w="6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2,280.9</w:t>
            </w:r>
          </w:p>
        </w:tc>
        <w:tc>
          <w:tcPr>
            <w:tcW w:w="6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1,849.5</w:t>
            </w:r>
          </w:p>
        </w:tc>
        <w:tc>
          <w:tcPr>
            <w:tcW w:w="360" w:type="dxa"/>
            <w:vAlign w:val="bottom"/>
          </w:tcPr>
          <w:p>
            <w:pPr>
              <w:spacing w:after="0"/>
              <w:rPr>
                <w:sz w:val="19"/>
                <w:szCs w:val="19"/>
                <w:color w:val="auto"/>
              </w:rPr>
            </w:pPr>
          </w:p>
        </w:tc>
      </w:tr>
      <w:tr>
        <w:trPr>
          <w:trHeight w:val="227"/>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360" w:type="dxa"/>
            <w:vAlign w:val="bottom"/>
            <w:shd w:val="clear" w:color="auto" w:fill="CCEEFF"/>
          </w:tcPr>
          <w:p>
            <w:pPr>
              <w:spacing w:after="0"/>
              <w:rPr>
                <w:sz w:val="19"/>
                <w:szCs w:val="19"/>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0.00</w:t>
            </w:r>
          </w:p>
        </w:tc>
        <w:tc>
          <w:tcPr>
            <w:tcW w:w="6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0.06</w:t>
            </w:r>
          </w:p>
        </w:tc>
        <w:tc>
          <w:tcPr>
            <w:tcW w:w="6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tcPr>
          <w:p>
            <w:pPr>
              <w:spacing w:after="0"/>
              <w:rPr>
                <w:sz w:val="19"/>
                <w:szCs w:val="19"/>
                <w:color w:val="auto"/>
              </w:rPr>
            </w:pPr>
          </w:p>
        </w:tc>
      </w:tr>
      <w:tr>
        <w:trPr>
          <w:trHeight w:val="254"/>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Special Dividend Per Share </w:t>
            </w:r>
            <w:r>
              <w:rPr>
                <w:rFonts w:ascii="Arial" w:cs="Arial" w:eastAsia="Arial" w:hAnsi="Arial"/>
                <w:sz w:val="15"/>
                <w:szCs w:val="15"/>
                <w:color w:val="auto"/>
              </w:rPr>
              <w:t>(1)</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6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FF0FC"/>
          </w:tcPr>
          <w:p>
            <w:pPr>
              <w:spacing w:after="0"/>
              <w:rPr>
                <w:sz w:val="22"/>
                <w:szCs w:val="22"/>
                <w:color w:val="auto"/>
              </w:rPr>
            </w:pPr>
          </w:p>
        </w:tc>
      </w:tr>
      <w:tr>
        <w:trPr>
          <w:trHeight w:val="239"/>
        </w:trPr>
        <w:tc>
          <w:tcPr>
            <w:tcW w:w="3800" w:type="dxa"/>
            <w:vAlign w:val="bottom"/>
          </w:tcPr>
          <w:p>
            <w:pPr>
              <w:spacing w:after="0"/>
              <w:rPr>
                <w:sz w:val="20"/>
                <w:szCs w:val="20"/>
                <w:color w:val="auto"/>
              </w:rPr>
            </w:pPr>
            <w:r>
              <w:rPr>
                <w:rFonts w:ascii="Arial" w:cs="Arial" w:eastAsia="Arial" w:hAnsi="Arial"/>
                <w:sz w:val="18"/>
                <w:szCs w:val="18"/>
                <w:color w:val="auto"/>
              </w:rPr>
              <w:t xml:space="preserve">Pro Forma Net Asset Value Per Share </w:t>
            </w:r>
            <w:r>
              <w:rPr>
                <w:rFonts w:ascii="Arial" w:cs="Arial" w:eastAsia="Arial" w:hAnsi="Arial"/>
                <w:sz w:val="15"/>
                <w:szCs w:val="15"/>
                <w:color w:val="auto"/>
              </w:rPr>
              <w:t>(2)</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15.07</w:t>
            </w:r>
          </w:p>
        </w:tc>
        <w:tc>
          <w:tcPr>
            <w:tcW w:w="6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16.77</w:t>
            </w:r>
          </w:p>
        </w:tc>
        <w:tc>
          <w:tcPr>
            <w:tcW w:w="6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16.33</w:t>
            </w:r>
          </w:p>
        </w:tc>
        <w:tc>
          <w:tcPr>
            <w:tcW w:w="360" w:type="dxa"/>
            <w:vAlign w:val="bottom"/>
          </w:tcPr>
          <w:p>
            <w:pPr>
              <w:spacing w:after="0"/>
              <w:rPr>
                <w:sz w:val="20"/>
                <w:szCs w:val="20"/>
                <w:color w:val="auto"/>
              </w:rPr>
            </w:pPr>
          </w:p>
        </w:tc>
      </w:tr>
      <w:tr>
        <w:trPr>
          <w:trHeight w:val="268"/>
        </w:trPr>
        <w:tc>
          <w:tcPr>
            <w:tcW w:w="38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27"/>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360" w:type="dxa"/>
            <w:vAlign w:val="bottom"/>
            <w:shd w:val="clear" w:color="auto" w:fill="CFF0FC"/>
          </w:tcPr>
          <w:p>
            <w:pPr>
              <w:spacing w:after="0"/>
              <w:rPr>
                <w:sz w:val="19"/>
                <w:szCs w:val="19"/>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33.7</w:t>
            </w:r>
          </w:p>
        </w:tc>
        <w:tc>
          <w:tcPr>
            <w:tcW w:w="6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33.8</w:t>
            </w:r>
          </w:p>
        </w:tc>
        <w:tc>
          <w:tcPr>
            <w:tcW w:w="6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26.6</w:t>
            </w:r>
          </w:p>
        </w:tc>
        <w:tc>
          <w:tcPr>
            <w:tcW w:w="360" w:type="dxa"/>
            <w:vAlign w:val="bottom"/>
          </w:tcPr>
          <w:p>
            <w:pPr>
              <w:spacing w:after="0"/>
              <w:rPr>
                <w:sz w:val="19"/>
                <w:szCs w:val="19"/>
                <w:color w:val="auto"/>
              </w:rPr>
            </w:pPr>
          </w:p>
        </w:tc>
      </w:tr>
      <w:tr>
        <w:trPr>
          <w:trHeight w:val="227"/>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36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134225"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Per Share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Net Realized and Unrealized Gains (and Losses)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Per Share</w:t>
      </w:r>
    </w:p>
    <w:p>
      <w:pPr>
        <w:spacing w:after="0" w:line="20" w:lineRule="exact"/>
        <w:rPr>
          <w:sz w:val="20"/>
          <w:szCs w:val="20"/>
          <w:color w:val="auto"/>
        </w:rPr>
      </w:pPr>
    </w:p>
    <w:p>
      <w:pPr>
        <w:ind w:right="680"/>
        <w:spacing w:after="0" w:line="254" w:lineRule="auto"/>
        <w:rPr>
          <w:sz w:val="20"/>
          <w:szCs w:val="20"/>
          <w:color w:val="auto"/>
        </w:rPr>
      </w:pPr>
      <w:r>
        <w:rPr>
          <w:rFonts w:ascii="Arial" w:cs="Arial" w:eastAsia="Arial" w:hAnsi="Arial"/>
          <w:sz w:val="18"/>
          <w:szCs w:val="18"/>
          <w:color w:val="auto"/>
        </w:rPr>
        <w:t xml:space="preserve">Annualized Return on Equity (Net Investment Income) </w:t>
      </w:r>
      <w:r>
        <w:rPr>
          <w:rFonts w:ascii="Arial" w:cs="Arial" w:eastAsia="Arial" w:hAnsi="Arial"/>
          <w:sz w:val="15"/>
          <w:szCs w:val="15"/>
          <w:color w:val="auto"/>
        </w:rPr>
        <w:t>(3)</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Annualized Return on Equity (Net Income (Loss))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660" w:type="dxa"/>
            <w:vAlign w:val="bottom"/>
          </w:tcPr>
          <w:p>
            <w:pPr>
              <w:jc w:val="right"/>
              <w:ind w:right="47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0.51</w:t>
            </w:r>
          </w:p>
        </w:tc>
        <w:tc>
          <w:tcPr>
            <w:tcW w:w="1280" w:type="dxa"/>
            <w:vAlign w:val="bottom"/>
          </w:tcPr>
          <w:p>
            <w:pPr>
              <w:jc w:val="right"/>
              <w:ind w:right="57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0.51</w:t>
            </w:r>
          </w:p>
        </w:tc>
        <w:tc>
          <w:tcPr>
            <w:tcW w:w="128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19"/>
                <w:szCs w:val="19"/>
                <w:color w:val="auto"/>
              </w:rPr>
            </w:pPr>
          </w:p>
        </w:tc>
      </w:tr>
      <w:tr>
        <w:trPr>
          <w:trHeight w:val="333"/>
        </w:trPr>
        <w:tc>
          <w:tcPr>
            <w:tcW w:w="660" w:type="dxa"/>
            <w:vAlign w:val="bottom"/>
          </w:tcPr>
          <w:p>
            <w:pPr>
              <w:jc w:val="right"/>
              <w:ind w:right="47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w:t>
            </w:r>
          </w:p>
        </w:tc>
        <w:tc>
          <w:tcPr>
            <w:tcW w:w="1280" w:type="dxa"/>
            <w:vAlign w:val="bottom"/>
          </w:tcPr>
          <w:p>
            <w:pPr>
              <w:jc w:val="right"/>
              <w:ind w:right="57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0.06</w:t>
            </w:r>
          </w:p>
        </w:tc>
        <w:tc>
          <w:tcPr>
            <w:tcW w:w="128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24"/>
                <w:szCs w:val="24"/>
                <w:color w:val="auto"/>
              </w:rPr>
            </w:pPr>
          </w:p>
        </w:tc>
      </w:tr>
      <w:tr>
        <w:trPr>
          <w:trHeight w:val="333"/>
        </w:trPr>
        <w:tc>
          <w:tcPr>
            <w:tcW w:w="660" w:type="dxa"/>
            <w:vAlign w:val="bottom"/>
          </w:tcPr>
          <w:p>
            <w:pPr>
              <w:jc w:val="right"/>
              <w:ind w:right="47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(0.80)</w:t>
            </w:r>
          </w:p>
        </w:tc>
        <w:tc>
          <w:tcPr>
            <w:tcW w:w="1280" w:type="dxa"/>
            <w:vAlign w:val="bottom"/>
          </w:tcPr>
          <w:p>
            <w:pPr>
              <w:jc w:val="right"/>
              <w:ind w:right="57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0.57</w:t>
            </w:r>
          </w:p>
        </w:tc>
        <w:tc>
          <w:tcPr>
            <w:tcW w:w="128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0.59</w:t>
            </w:r>
          </w:p>
        </w:tc>
        <w:tc>
          <w:tcPr>
            <w:tcW w:w="220" w:type="dxa"/>
            <w:vAlign w:val="bottom"/>
          </w:tcPr>
          <w:p>
            <w:pPr>
              <w:spacing w:after="0"/>
              <w:rPr>
                <w:sz w:val="24"/>
                <w:szCs w:val="24"/>
                <w:color w:val="auto"/>
              </w:rPr>
            </w:pPr>
          </w:p>
        </w:tc>
      </w:tr>
      <w:tr>
        <w:trPr>
          <w:trHeight w:val="333"/>
        </w:trPr>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128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w:t>
            </w:r>
          </w:p>
        </w:tc>
        <w:tc>
          <w:tcPr>
            <w:tcW w:w="12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3"/>
        </w:trPr>
        <w:tc>
          <w:tcPr>
            <w:tcW w:w="660" w:type="dxa"/>
            <w:vAlign w:val="bottom"/>
          </w:tcPr>
          <w:p>
            <w:pPr>
              <w:spacing w:after="0"/>
              <w:rPr>
                <w:sz w:val="24"/>
                <w:szCs w:val="24"/>
                <w:color w:val="auto"/>
              </w:rPr>
            </w:pPr>
          </w:p>
        </w:tc>
        <w:tc>
          <w:tcPr>
            <w:tcW w:w="2300" w:type="dxa"/>
            <w:vAlign w:val="bottom"/>
            <w:gridSpan w:val="2"/>
          </w:tcPr>
          <w:p>
            <w:pPr>
              <w:jc w:val="right"/>
              <w:ind w:right="1011"/>
              <w:spacing w:after="0"/>
              <w:rPr>
                <w:sz w:val="20"/>
                <w:szCs w:val="20"/>
                <w:color w:val="auto"/>
              </w:rPr>
            </w:pPr>
            <w:r>
              <w:rPr>
                <w:rFonts w:ascii="Arial" w:cs="Arial" w:eastAsia="Arial" w:hAnsi="Arial"/>
                <w:sz w:val="18"/>
                <w:szCs w:val="18"/>
                <w:color w:val="auto"/>
              </w:rPr>
              <w:t>(18.9) %</w:t>
            </w: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12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-616585</wp:posOffset>
            </wp:positionV>
            <wp:extent cx="7134225"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-2966720</wp:posOffset>
            </wp:positionH>
            <wp:positionV relativeFrom="paragraph">
              <wp:posOffset>-193040</wp:posOffset>
            </wp:positionV>
            <wp:extent cx="7134225" cy="254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254000"/>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3960" w:space="720"/>
            <w:col w:w="6560"/>
          </w:cols>
          <w:pgMar w:left="320" w:top="956" w:right="33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Yield of Debt and Income</w:t>
            </w:r>
          </w:p>
        </w:tc>
        <w:tc>
          <w:tcPr>
            <w:tcW w:w="1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80" w:type="dxa"/>
            <w:vAlign w:val="bottom"/>
            <w:vMerge w:val="restart"/>
            <w:shd w:val="clear" w:color="auto" w:fill="CFF0FC"/>
          </w:tcPr>
          <w:p>
            <w:pPr>
              <w:jc w:val="right"/>
              <w:ind w:right="791"/>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60" w:type="dxa"/>
            <w:vAlign w:val="bottom"/>
            <w:vMerge w:val="restart"/>
            <w:shd w:val="clear" w:color="auto" w:fill="CFF0FC"/>
          </w:tcPr>
          <w:p>
            <w:pPr>
              <w:jc w:val="right"/>
              <w:ind w:right="751"/>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32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4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Producing Securities at Fair Value</w:t>
            </w:r>
          </w:p>
        </w:tc>
        <w:tc>
          <w:tcPr>
            <w:tcW w:w="1640" w:type="dxa"/>
            <w:vAlign w:val="bottom"/>
            <w:vMerge w:val="continue"/>
            <w:shd w:val="clear" w:color="auto" w:fill="CFF0FC"/>
          </w:tcPr>
          <w:p>
            <w:pPr>
              <w:spacing w:after="0"/>
              <w:rPr>
                <w:sz w:val="10"/>
                <w:szCs w:val="10"/>
                <w:color w:val="auto"/>
              </w:rPr>
            </w:pPr>
          </w:p>
        </w:tc>
        <w:tc>
          <w:tcPr>
            <w:tcW w:w="1080" w:type="dxa"/>
            <w:vAlign w:val="bottom"/>
            <w:vMerge w:val="continue"/>
            <w:shd w:val="clear" w:color="auto" w:fill="CFF0FC"/>
          </w:tcPr>
          <w:p>
            <w:pPr>
              <w:spacing w:after="0"/>
              <w:rPr>
                <w:sz w:val="10"/>
                <w:szCs w:val="10"/>
                <w:color w:val="auto"/>
              </w:rPr>
            </w:pPr>
          </w:p>
        </w:tc>
        <w:tc>
          <w:tcPr>
            <w:tcW w:w="1240" w:type="dxa"/>
            <w:vAlign w:val="bottom"/>
            <w:vMerge w:val="continue"/>
            <w:shd w:val="clear" w:color="auto" w:fill="CFF0FC"/>
          </w:tcPr>
          <w:p>
            <w:pPr>
              <w:spacing w:after="0"/>
              <w:rPr>
                <w:sz w:val="10"/>
                <w:szCs w:val="10"/>
                <w:color w:val="auto"/>
              </w:rPr>
            </w:pPr>
          </w:p>
        </w:tc>
        <w:tc>
          <w:tcPr>
            <w:tcW w:w="1060" w:type="dxa"/>
            <w:vAlign w:val="bottom"/>
            <w:vMerge w:val="continue"/>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3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00" w:type="dxa"/>
            <w:vAlign w:val="bottom"/>
            <w:vMerge w:val="continue"/>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Weighted Average Yield of Debt and Income</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080" w:type="dxa"/>
            <w:vAlign w:val="bottom"/>
            <w:vMerge w:val="restart"/>
          </w:tcPr>
          <w:p>
            <w:pPr>
              <w:jc w:val="right"/>
              <w:ind w:right="791"/>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060" w:type="dxa"/>
            <w:vAlign w:val="bottom"/>
            <w:vMerge w:val="restart"/>
          </w:tcPr>
          <w:p>
            <w:pPr>
              <w:jc w:val="right"/>
              <w:ind w:right="751"/>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3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4700" w:type="dxa"/>
            <w:vAlign w:val="bottom"/>
            <w:vMerge w:val="restart"/>
          </w:tcPr>
          <w:p>
            <w:pPr>
              <w:spacing w:after="0"/>
              <w:rPr>
                <w:sz w:val="20"/>
                <w:szCs w:val="20"/>
                <w:color w:val="auto"/>
              </w:rPr>
            </w:pPr>
            <w:r>
              <w:rPr>
                <w:rFonts w:ascii="Arial" w:cs="Arial" w:eastAsia="Arial" w:hAnsi="Arial"/>
                <w:sz w:val="18"/>
                <w:szCs w:val="18"/>
                <w:color w:val="auto"/>
              </w:rPr>
              <w:t>Producing Securities at Amortized Cost</w:t>
            </w:r>
          </w:p>
        </w:tc>
        <w:tc>
          <w:tcPr>
            <w:tcW w:w="16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70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Percentage of Debt Investment Commitments at</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99.4</w:t>
            </w:r>
          </w:p>
        </w:tc>
        <w:tc>
          <w:tcPr>
            <w:tcW w:w="1080" w:type="dxa"/>
            <w:vAlign w:val="bottom"/>
            <w:vMerge w:val="restart"/>
          </w:tcPr>
          <w:p>
            <w:pPr>
              <w:jc w:val="right"/>
              <w:ind w:right="791"/>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99.2</w:t>
            </w:r>
          </w:p>
        </w:tc>
        <w:tc>
          <w:tcPr>
            <w:tcW w:w="1060" w:type="dxa"/>
            <w:vAlign w:val="bottom"/>
            <w:vMerge w:val="restart"/>
          </w:tcPr>
          <w:p>
            <w:pPr>
              <w:jc w:val="right"/>
              <w:ind w:right="751"/>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99.7</w:t>
            </w:r>
          </w:p>
        </w:tc>
        <w:tc>
          <w:tcPr>
            <w:tcW w:w="3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8"/>
                <w:szCs w:val="18"/>
                <w:color w:val="auto"/>
              </w:rPr>
              <w:t xml:space="preserve">Floating Rates </w:t>
            </w:r>
            <w:r>
              <w:rPr>
                <w:rFonts w:ascii="Arial" w:cs="Arial" w:eastAsia="Arial" w:hAnsi="Arial"/>
                <w:sz w:val="15"/>
                <w:szCs w:val="15"/>
                <w:color w:val="auto"/>
              </w:rPr>
              <w:t>(4)</w:t>
            </w:r>
          </w:p>
        </w:tc>
        <w:tc>
          <w:tcPr>
            <w:tcW w:w="16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70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-274320</wp:posOffset>
            </wp:positionV>
            <wp:extent cx="7134225" cy="279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279400"/>
                    </a:xfrm>
                    <a:prstGeom prst="rect">
                      <a:avLst/>
                    </a:prstGeom>
                    <a:noFill/>
                  </pic:spPr>
                </pic:pic>
              </a:graphicData>
            </a:graphic>
          </wp:anchor>
        </w:drawing>
      </w:r>
    </w:p>
    <w:p>
      <w:pPr>
        <w:ind w:left="800" w:hanging="793"/>
        <w:spacing w:after="0" w:line="218"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special dividends that were declared in Q1 2020 and payable in Q2 2020.</w:t>
      </w:r>
    </w:p>
    <w:p>
      <w:pPr>
        <w:ind w:left="800" w:hanging="793"/>
        <w:spacing w:after="0" w:line="218"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in the applicable period and/or special dividends.</w:t>
      </w:r>
    </w:p>
    <w:p>
      <w:pPr>
        <w:ind w:left="800" w:hanging="793"/>
        <w:spacing w:after="0" w:line="218"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ind w:left="800" w:hanging="793"/>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207645</wp:posOffset>
            </wp:positionH>
            <wp:positionV relativeFrom="page">
              <wp:posOffset>88900</wp:posOffset>
            </wp:positionV>
            <wp:extent cx="7134225" cy="880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80110"/>
                    </a:xfrm>
                    <a:prstGeom prst="rect">
                      <a:avLst/>
                    </a:prstGeom>
                    <a:noFill/>
                  </pic:spPr>
                </pic:pic>
              </a:graphicData>
            </a:graphic>
          </wp:anchor>
        </w:drawing>
        <w:t>Financial Statements and Tables</w:t>
      </w:r>
    </w:p>
    <w:p>
      <w:pPr>
        <w:spacing w:after="0" w:line="36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TPG Specialty Lending, Inc.</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Consolidated Balance Sheets</w:t>
      </w: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2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Non-controlled, non-affiliated investments (amortized cost of $2,007,756 and $2,099,781,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44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1,963,091</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2,147,876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0" w:type="dxa"/>
            <w:vAlign w:val="bottom"/>
          </w:tcPr>
          <w:p>
            <w:pPr>
              <w:ind w:left="260"/>
              <w:spacing w:after="0"/>
              <w:rPr>
                <w:sz w:val="20"/>
                <w:szCs w:val="20"/>
                <w:color w:val="auto"/>
              </w:rPr>
            </w:pPr>
            <w:r>
              <w:rPr>
                <w:rFonts w:ascii="Arial" w:cs="Arial" w:eastAsia="Arial" w:hAnsi="Arial"/>
                <w:sz w:val="18"/>
                <w:szCs w:val="18"/>
                <w:color w:val="auto"/>
                <w:w w:val="94"/>
              </w:rPr>
              <w:t>Non-controlled, affiliated investments (amortized cost of $49,186 and $49,445, respectively)</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50,136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Controlled, affiliated investments (amortized cost of $88,399 and $88,811, respectively)</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33,997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Pr>
          <w:p>
            <w:pPr>
              <w:spacing w:after="0"/>
              <w:rPr>
                <w:sz w:val="20"/>
                <w:szCs w:val="20"/>
                <w:color w:val="auto"/>
              </w:rPr>
            </w:pPr>
            <w:r>
              <w:rPr>
                <w:rFonts w:ascii="Arial" w:cs="Arial" w:eastAsia="Arial" w:hAnsi="Arial"/>
                <w:sz w:val="18"/>
                <w:szCs w:val="18"/>
                <w:color w:val="auto"/>
                <w:w w:val="99"/>
              </w:rPr>
              <w:t>Total investments at fair value (amortized cost of $2,145,341 and $2,238,037, respectively)</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2,045,572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2,245,928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$14,315 and $9,315, respectively)</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2,081,717</w:t>
            </w:r>
          </w:p>
        </w:tc>
        <w:tc>
          <w:tcPr>
            <w:tcW w:w="180" w:type="dxa"/>
            <w:vAlign w:val="bottom"/>
          </w:tcPr>
          <w:p>
            <w:pPr>
              <w:spacing w:after="0"/>
              <w:rPr>
                <w:sz w:val="22"/>
                <w:szCs w:val="22"/>
                <w:color w:val="auto"/>
              </w:rPr>
            </w:pPr>
          </w:p>
        </w:tc>
        <w:tc>
          <w:tcPr>
            <w:tcW w:w="38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2,280,931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200" w:type="dxa"/>
            <w:vAlign w:val="bottom"/>
            <w:tcBorders>
              <w:top w:val="single" w:sz="8" w:color="CFF0FC"/>
            </w:tcBorders>
            <w:shd w:val="clear" w:color="auto" w:fill="CFF0FC"/>
          </w:tcPr>
          <w:p>
            <w:pPr>
              <w:spacing w:after="0" w:line="206" w:lineRule="exact"/>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Arial" w:cs="Arial" w:eastAsia="Arial" w:hAnsi="Arial"/>
                <w:sz w:val="18"/>
                <w:szCs w:val="18"/>
                <w:color w:val="auto"/>
              </w:rPr>
              <w:t>Debt (net of deferred financing costs of $21,353 and $18,471, respectively)</w:t>
            </w:r>
          </w:p>
        </w:tc>
        <w:tc>
          <w:tcPr>
            <w:tcW w:w="44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980,158</w:t>
            </w:r>
          </w:p>
        </w:tc>
        <w:tc>
          <w:tcPr>
            <w:tcW w:w="180" w:type="dxa"/>
            <w:vAlign w:val="bottom"/>
          </w:tcPr>
          <w:p>
            <w:pPr>
              <w:spacing w:after="0"/>
              <w:rPr>
                <w:sz w:val="19"/>
                <w:szCs w:val="19"/>
                <w:color w:val="auto"/>
              </w:rPr>
            </w:pPr>
          </w:p>
        </w:tc>
        <w:tc>
          <w:tcPr>
            <w:tcW w:w="38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1,094,467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1,044,981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1,161,634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00" w:type="dxa"/>
            <w:vAlign w:val="bottom"/>
          </w:tcPr>
          <w:p>
            <w:pPr>
              <w:spacing w:after="0"/>
              <w:rPr>
                <w:sz w:val="20"/>
                <w:szCs w:val="20"/>
                <w:color w:val="auto"/>
              </w:rPr>
            </w:pPr>
            <w:r>
              <w:rPr>
                <w:rFonts w:ascii="Arial" w:cs="Arial" w:eastAsia="Arial" w:hAnsi="Arial"/>
                <w:sz w:val="18"/>
                <w:szCs w:val="18"/>
                <w:color w:val="auto"/>
                <w:w w:val="89"/>
              </w:rPr>
              <w:t>Common stock, $0.01 par value; 400,000,000 shares authorized, 66,865,815 and 66,613,671 shares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0" w:type="dxa"/>
            <w:vAlign w:val="bottom"/>
          </w:tcPr>
          <w:p>
            <w:pPr>
              <w:spacing w:after="0"/>
              <w:rPr>
                <w:sz w:val="20"/>
                <w:szCs w:val="20"/>
                <w:color w:val="auto"/>
              </w:rPr>
            </w:pPr>
            <w:r>
              <w:rPr>
                <w:rFonts w:ascii="Arial" w:cs="Arial" w:eastAsia="Arial" w:hAnsi="Arial"/>
                <w:sz w:val="18"/>
                <w:szCs w:val="18"/>
                <w:color w:val="auto"/>
              </w:rPr>
              <w:t>issued, respectively; and 66,569,771 and 66,524,591 shares outstanding, respectively</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1,013,079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Arial" w:cs="Arial" w:eastAsia="Arial" w:hAnsi="Arial"/>
                <w:sz w:val="18"/>
                <w:szCs w:val="18"/>
                <w:color w:val="auto"/>
              </w:rPr>
              <w:t>Treasury stock at cost; 296,044 and 89,080 shares held, respectively</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1,036,736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1,119,297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2,081,717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2,280,931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5"/>
        </w:trPr>
        <w:tc>
          <w:tcPr>
            <w:tcW w:w="7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956"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116965" cy="4654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16965" cy="465455"/>
                    </a:xfrm>
                    <a:prstGeom prst="rect">
                      <a:avLst/>
                    </a:prstGeom>
                    <a:noFill/>
                  </pic:spPr>
                </pic:pic>
              </a:graphicData>
            </a:graphic>
          </wp:anchor>
        </w:drawing>
        <w:t>TPG Specialty Lending,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Operations</w:t>
      </w: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51"/>
        </w:trPr>
        <w:tc>
          <w:tcPr>
            <w:tcW w:w="7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March 31, 2020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March 31, 2019</w:t>
            </w:r>
          </w:p>
        </w:tc>
        <w:tc>
          <w:tcPr>
            <w:tcW w:w="0" w:type="dxa"/>
            <w:vAlign w:val="bottom"/>
          </w:tcPr>
          <w:p>
            <w:pPr>
              <w:spacing w:after="0"/>
              <w:rPr>
                <w:sz w:val="1"/>
                <w:szCs w:val="1"/>
                <w:color w:val="auto"/>
              </w:rPr>
            </w:pPr>
          </w:p>
        </w:tc>
      </w:tr>
      <w:tr>
        <w:trPr>
          <w:trHeight w:val="153"/>
        </w:trPr>
        <w:tc>
          <w:tcPr>
            <w:tcW w:w="7140" w:type="dxa"/>
            <w:vAlign w:val="bottom"/>
            <w:tcBorders>
              <w:top w:val="single" w:sz="8" w:color="CFF0FC"/>
            </w:tcBorders>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Income</w:t>
            </w:r>
          </w:p>
        </w:tc>
        <w:tc>
          <w:tcPr>
            <w:tcW w:w="20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Pr>
          <w:p>
            <w:pPr>
              <w:spacing w:after="0" w:line="160" w:lineRule="exact"/>
              <w:rPr>
                <w:sz w:val="20"/>
                <w:szCs w:val="20"/>
                <w:color w:val="auto"/>
              </w:rPr>
            </w:pPr>
            <w:r>
              <w:rPr>
                <w:rFonts w:ascii="Arial" w:cs="Arial" w:eastAsia="Arial" w:hAnsi="Arial"/>
                <w:sz w:val="14"/>
                <w:szCs w:val="14"/>
                <w:color w:val="auto"/>
              </w:rPr>
              <w:t>Investment income from non-controlled, non-affiliated investments:</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ind w:left="260"/>
              <w:spacing w:after="0" w:line="160" w:lineRule="exact"/>
              <w:rPr>
                <w:sz w:val="20"/>
                <w:szCs w:val="20"/>
                <w:color w:val="auto"/>
              </w:rPr>
            </w:pPr>
            <w:r>
              <w:rPr>
                <w:rFonts w:ascii="Arial" w:cs="Arial" w:eastAsia="Arial" w:hAnsi="Arial"/>
                <w:sz w:val="14"/>
                <w:szCs w:val="14"/>
                <w:color w:val="auto"/>
              </w:rPr>
              <w:t>Interest from investments</w:t>
            </w:r>
          </w:p>
        </w:tc>
        <w:tc>
          <w:tcPr>
            <w:tcW w:w="200" w:type="dxa"/>
            <w:vAlign w:val="bottom"/>
            <w:shd w:val="clear" w:color="auto" w:fill="CFF0FC"/>
          </w:tcPr>
          <w:p>
            <w:pPr>
              <w:jc w:val="right"/>
              <w:ind w:right="49"/>
              <w:spacing w:after="0" w:line="160" w:lineRule="exact"/>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60,766</w:t>
            </w:r>
          </w:p>
        </w:tc>
        <w:tc>
          <w:tcPr>
            <w:tcW w:w="18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46,523</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Pr>
          <w:p>
            <w:pPr>
              <w:ind w:left="260"/>
              <w:spacing w:after="0" w:line="160" w:lineRule="exact"/>
              <w:rPr>
                <w:sz w:val="20"/>
                <w:szCs w:val="20"/>
                <w:color w:val="auto"/>
              </w:rPr>
            </w:pPr>
            <w:r>
              <w:rPr>
                <w:rFonts w:ascii="Arial" w:cs="Arial" w:eastAsia="Arial" w:hAnsi="Arial"/>
                <w:sz w:val="14"/>
                <w:szCs w:val="14"/>
                <w:color w:val="auto"/>
              </w:rPr>
              <w:t>Dividend income</w:t>
            </w:r>
          </w:p>
        </w:tc>
        <w:tc>
          <w:tcPr>
            <w:tcW w:w="200" w:type="dxa"/>
            <w:vAlign w:val="bottom"/>
          </w:tcPr>
          <w:p>
            <w:pPr>
              <w:spacing w:after="0"/>
              <w:rPr>
                <w:sz w:val="13"/>
                <w:szCs w:val="13"/>
                <w:color w:val="auto"/>
              </w:rPr>
            </w:pPr>
          </w:p>
        </w:tc>
        <w:tc>
          <w:tcPr>
            <w:tcW w:w="1540" w:type="dxa"/>
            <w:vAlign w:val="bottom"/>
          </w:tcPr>
          <w:p>
            <w:pPr>
              <w:jc w:val="right"/>
              <w:spacing w:after="0" w:line="160" w:lineRule="exact"/>
              <w:rPr>
                <w:sz w:val="20"/>
                <w:szCs w:val="20"/>
                <w:color w:val="auto"/>
              </w:rPr>
            </w:pPr>
            <w:r>
              <w:rPr>
                <w:rFonts w:ascii="Arial" w:cs="Arial" w:eastAsia="Arial" w:hAnsi="Arial"/>
                <w:sz w:val="14"/>
                <w:szCs w:val="14"/>
                <w:color w:val="auto"/>
              </w:rPr>
              <w:t>432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right"/>
              <w:ind w:right="32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ind w:left="260"/>
              <w:spacing w:after="0" w:line="160" w:lineRule="exact"/>
              <w:rPr>
                <w:sz w:val="20"/>
                <w:szCs w:val="20"/>
                <w:color w:val="auto"/>
              </w:rPr>
            </w:pPr>
            <w:r>
              <w:rPr>
                <w:rFonts w:ascii="Arial" w:cs="Arial" w:eastAsia="Arial" w:hAnsi="Arial"/>
                <w:sz w:val="14"/>
                <w:szCs w:val="14"/>
                <w:color w:val="auto"/>
              </w:rPr>
              <w:t>Other income</w:t>
            </w:r>
          </w:p>
        </w:tc>
        <w:tc>
          <w:tcPr>
            <w:tcW w:w="2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color w:val="auto"/>
              </w:rPr>
              <w:t>2,787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color w:val="auto"/>
              </w:rPr>
              <w:t>2,078</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tcPr>
          <w:p>
            <w:pPr>
              <w:ind w:left="500"/>
              <w:spacing w:after="0" w:line="153"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200" w:type="dxa"/>
            <w:vAlign w:val="bottom"/>
          </w:tcPr>
          <w:p>
            <w:pPr>
              <w:spacing w:after="0"/>
              <w:rPr>
                <w:sz w:val="13"/>
                <w:szCs w:val="13"/>
                <w:color w:val="auto"/>
              </w:rPr>
            </w:pPr>
          </w:p>
        </w:tc>
        <w:tc>
          <w:tcPr>
            <w:tcW w:w="1540" w:type="dxa"/>
            <w:vAlign w:val="bottom"/>
          </w:tcPr>
          <w:p>
            <w:pPr>
              <w:jc w:val="right"/>
              <w:spacing w:after="0" w:line="153" w:lineRule="exact"/>
              <w:rPr>
                <w:sz w:val="20"/>
                <w:szCs w:val="20"/>
                <w:color w:val="auto"/>
              </w:rPr>
            </w:pPr>
            <w:r>
              <w:rPr>
                <w:rFonts w:ascii="Arial" w:cs="Arial" w:eastAsia="Arial" w:hAnsi="Arial"/>
                <w:sz w:val="14"/>
                <w:szCs w:val="14"/>
                <w:color w:val="auto"/>
              </w:rPr>
              <w:t>63,985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right"/>
              <w:spacing w:after="0" w:line="153" w:lineRule="exact"/>
              <w:rPr>
                <w:sz w:val="20"/>
                <w:szCs w:val="20"/>
                <w:color w:val="auto"/>
              </w:rPr>
            </w:pPr>
            <w:r>
              <w:rPr>
                <w:rFonts w:ascii="Arial" w:cs="Arial" w:eastAsia="Arial" w:hAnsi="Arial"/>
                <w:sz w:val="14"/>
                <w:szCs w:val="14"/>
                <w:color w:val="auto"/>
              </w:rPr>
              <w:t>48,601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spacing w:after="0" w:line="160" w:lineRule="exact"/>
              <w:rPr>
                <w:sz w:val="20"/>
                <w:szCs w:val="20"/>
                <w:color w:val="auto"/>
              </w:rPr>
            </w:pPr>
            <w:r>
              <w:rPr>
                <w:rFonts w:ascii="Arial" w:cs="Arial" w:eastAsia="Arial" w:hAnsi="Arial"/>
                <w:sz w:val="14"/>
                <w:szCs w:val="14"/>
                <w:color w:val="auto"/>
              </w:rPr>
              <w:t>Investment income from non-controlled, affiliated investments:</w:t>
            </w:r>
          </w:p>
        </w:tc>
        <w:tc>
          <w:tcPr>
            <w:tcW w:w="20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Pr>
          <w:p>
            <w:pPr>
              <w:ind w:left="260"/>
              <w:spacing w:after="0" w:line="160" w:lineRule="exact"/>
              <w:rPr>
                <w:sz w:val="20"/>
                <w:szCs w:val="20"/>
                <w:color w:val="auto"/>
              </w:rPr>
            </w:pPr>
            <w:r>
              <w:rPr>
                <w:rFonts w:ascii="Arial" w:cs="Arial" w:eastAsia="Arial" w:hAnsi="Arial"/>
                <w:sz w:val="14"/>
                <w:szCs w:val="14"/>
                <w:color w:val="auto"/>
              </w:rPr>
              <w:t>Interest from investments</w:t>
            </w:r>
          </w:p>
        </w:tc>
        <w:tc>
          <w:tcPr>
            <w:tcW w:w="200" w:type="dxa"/>
            <w:vAlign w:val="bottom"/>
          </w:tcPr>
          <w:p>
            <w:pPr>
              <w:spacing w:after="0"/>
              <w:rPr>
                <w:sz w:val="13"/>
                <w:szCs w:val="13"/>
                <w:color w:val="auto"/>
              </w:rPr>
            </w:pPr>
          </w:p>
        </w:tc>
        <w:tc>
          <w:tcPr>
            <w:tcW w:w="1540" w:type="dxa"/>
            <w:vAlign w:val="bottom"/>
          </w:tcPr>
          <w:p>
            <w:pPr>
              <w:jc w:val="right"/>
              <w:spacing w:after="0" w:line="160" w:lineRule="exact"/>
              <w:rPr>
                <w:sz w:val="20"/>
                <w:szCs w:val="20"/>
                <w:color w:val="auto"/>
              </w:rPr>
            </w:pPr>
            <w:r>
              <w:rPr>
                <w:rFonts w:ascii="Arial" w:cs="Arial" w:eastAsia="Arial" w:hAnsi="Arial"/>
                <w:sz w:val="14"/>
                <w:szCs w:val="14"/>
                <w:color w:val="auto"/>
              </w:rPr>
              <w:t>1,236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right"/>
              <w:spacing w:after="0" w:line="160" w:lineRule="exact"/>
              <w:rPr>
                <w:sz w:val="20"/>
                <w:szCs w:val="20"/>
                <w:color w:val="auto"/>
              </w:rPr>
            </w:pPr>
            <w:r>
              <w:rPr>
                <w:rFonts w:ascii="Arial" w:cs="Arial" w:eastAsia="Arial" w:hAnsi="Arial"/>
                <w:sz w:val="14"/>
                <w:szCs w:val="14"/>
                <w:color w:val="auto"/>
              </w:rPr>
              <w:t>2,411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ind w:left="260"/>
              <w:spacing w:after="0" w:line="160" w:lineRule="exact"/>
              <w:rPr>
                <w:sz w:val="20"/>
                <w:szCs w:val="20"/>
                <w:color w:val="auto"/>
              </w:rPr>
            </w:pPr>
            <w:r>
              <w:rPr>
                <w:rFonts w:ascii="Arial" w:cs="Arial" w:eastAsia="Arial" w:hAnsi="Arial"/>
                <w:sz w:val="14"/>
                <w:szCs w:val="14"/>
                <w:color w:val="auto"/>
              </w:rPr>
              <w:t>Other income</w:t>
            </w:r>
          </w:p>
        </w:tc>
        <w:tc>
          <w:tcPr>
            <w:tcW w:w="2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color w:val="auto"/>
              </w:rPr>
              <w:t>19</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color w:val="auto"/>
              </w:rPr>
              <w:t>31</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tcPr>
          <w:p>
            <w:pPr>
              <w:ind w:left="500"/>
              <w:spacing w:after="0" w:line="153" w:lineRule="exact"/>
              <w:rPr>
                <w:sz w:val="20"/>
                <w:szCs w:val="20"/>
                <w:color w:val="auto"/>
              </w:rPr>
            </w:pPr>
            <w:r>
              <w:rPr>
                <w:rFonts w:ascii="Arial" w:cs="Arial" w:eastAsia="Arial" w:hAnsi="Arial"/>
                <w:sz w:val="14"/>
                <w:szCs w:val="14"/>
                <w:color w:val="auto"/>
              </w:rPr>
              <w:t>Total investment income from non-controlled, affiliated investments</w:t>
            </w:r>
          </w:p>
        </w:tc>
        <w:tc>
          <w:tcPr>
            <w:tcW w:w="200" w:type="dxa"/>
            <w:vAlign w:val="bottom"/>
          </w:tcPr>
          <w:p>
            <w:pPr>
              <w:spacing w:after="0"/>
              <w:rPr>
                <w:sz w:val="13"/>
                <w:szCs w:val="13"/>
                <w:color w:val="auto"/>
              </w:rPr>
            </w:pPr>
          </w:p>
        </w:tc>
        <w:tc>
          <w:tcPr>
            <w:tcW w:w="1540" w:type="dxa"/>
            <w:vAlign w:val="bottom"/>
          </w:tcPr>
          <w:p>
            <w:pPr>
              <w:jc w:val="right"/>
              <w:spacing w:after="0" w:line="153" w:lineRule="exact"/>
              <w:rPr>
                <w:sz w:val="20"/>
                <w:szCs w:val="20"/>
                <w:color w:val="auto"/>
              </w:rPr>
            </w:pPr>
            <w:r>
              <w:rPr>
                <w:rFonts w:ascii="Arial" w:cs="Arial" w:eastAsia="Arial" w:hAnsi="Arial"/>
                <w:sz w:val="14"/>
                <w:szCs w:val="14"/>
                <w:color w:val="auto"/>
              </w:rPr>
              <w:t>1,255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right"/>
              <w:spacing w:after="0" w:line="153" w:lineRule="exact"/>
              <w:rPr>
                <w:sz w:val="20"/>
                <w:szCs w:val="20"/>
                <w:color w:val="auto"/>
              </w:rPr>
            </w:pPr>
            <w:r>
              <w:rPr>
                <w:rFonts w:ascii="Arial" w:cs="Arial" w:eastAsia="Arial" w:hAnsi="Arial"/>
                <w:sz w:val="14"/>
                <w:szCs w:val="14"/>
                <w:color w:val="auto"/>
              </w:rPr>
              <w:t>2,442</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spacing w:after="0" w:line="160" w:lineRule="exact"/>
              <w:rPr>
                <w:sz w:val="20"/>
                <w:szCs w:val="20"/>
                <w:color w:val="auto"/>
              </w:rPr>
            </w:pPr>
            <w:r>
              <w:rPr>
                <w:rFonts w:ascii="Arial" w:cs="Arial" w:eastAsia="Arial" w:hAnsi="Arial"/>
                <w:sz w:val="14"/>
                <w:szCs w:val="14"/>
                <w:color w:val="auto"/>
              </w:rPr>
              <w:t>Investment income from controlled, affiliated investments:</w:t>
            </w:r>
          </w:p>
        </w:tc>
        <w:tc>
          <w:tcPr>
            <w:tcW w:w="20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Pr>
          <w:p>
            <w:pPr>
              <w:ind w:left="260"/>
              <w:spacing w:after="0" w:line="160" w:lineRule="exact"/>
              <w:rPr>
                <w:sz w:val="20"/>
                <w:szCs w:val="20"/>
                <w:color w:val="auto"/>
              </w:rPr>
            </w:pPr>
            <w:r>
              <w:rPr>
                <w:rFonts w:ascii="Arial" w:cs="Arial" w:eastAsia="Arial" w:hAnsi="Arial"/>
                <w:sz w:val="14"/>
                <w:szCs w:val="14"/>
                <w:color w:val="auto"/>
              </w:rPr>
              <w:t>Interest from investments</w:t>
            </w:r>
          </w:p>
        </w:tc>
        <w:tc>
          <w:tcPr>
            <w:tcW w:w="200" w:type="dxa"/>
            <w:vAlign w:val="bottom"/>
          </w:tcPr>
          <w:p>
            <w:pPr>
              <w:spacing w:after="0"/>
              <w:rPr>
                <w:sz w:val="13"/>
                <w:szCs w:val="13"/>
                <w:color w:val="auto"/>
              </w:rPr>
            </w:pPr>
          </w:p>
        </w:tc>
        <w:tc>
          <w:tcPr>
            <w:tcW w:w="1540" w:type="dxa"/>
            <w:vAlign w:val="bottom"/>
          </w:tcPr>
          <w:p>
            <w:pPr>
              <w:jc w:val="right"/>
              <w:spacing w:after="0" w:line="160" w:lineRule="exact"/>
              <w:rPr>
                <w:sz w:val="20"/>
                <w:szCs w:val="20"/>
                <w:color w:val="auto"/>
              </w:rPr>
            </w:pPr>
            <w:r>
              <w:rPr>
                <w:rFonts w:ascii="Arial" w:cs="Arial" w:eastAsia="Arial" w:hAnsi="Arial"/>
                <w:sz w:val="14"/>
                <w:szCs w:val="14"/>
                <w:color w:val="auto"/>
              </w:rPr>
              <w:t>1,027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right"/>
              <w:spacing w:after="0" w:line="160" w:lineRule="exact"/>
              <w:rPr>
                <w:sz w:val="20"/>
                <w:szCs w:val="20"/>
                <w:color w:val="auto"/>
              </w:rPr>
            </w:pPr>
            <w:r>
              <w:rPr>
                <w:rFonts w:ascii="Arial" w:cs="Arial" w:eastAsia="Arial" w:hAnsi="Arial"/>
                <w:sz w:val="14"/>
                <w:szCs w:val="14"/>
                <w:color w:val="auto"/>
              </w:rPr>
              <w:t>1,439</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ind w:left="260"/>
              <w:spacing w:after="0" w:line="160" w:lineRule="exact"/>
              <w:rPr>
                <w:sz w:val="20"/>
                <w:szCs w:val="20"/>
                <w:color w:val="auto"/>
              </w:rPr>
            </w:pPr>
            <w:r>
              <w:rPr>
                <w:rFonts w:ascii="Arial" w:cs="Arial" w:eastAsia="Arial" w:hAnsi="Arial"/>
                <w:sz w:val="14"/>
                <w:szCs w:val="14"/>
                <w:color w:val="auto"/>
              </w:rPr>
              <w:t>Other income</w:t>
            </w:r>
          </w:p>
        </w:tc>
        <w:tc>
          <w:tcPr>
            <w:tcW w:w="2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color w:val="auto"/>
              </w:rPr>
              <w:t>3</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color w:val="auto"/>
              </w:rPr>
              <w:t>5</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tcBorders>
              <w:bottom w:val="single" w:sz="8" w:color="CFF0FC"/>
            </w:tcBorders>
          </w:tcPr>
          <w:p>
            <w:pPr>
              <w:ind w:left="500"/>
              <w:spacing w:after="0" w:line="153" w:lineRule="exact"/>
              <w:rPr>
                <w:sz w:val="20"/>
                <w:szCs w:val="20"/>
                <w:color w:val="auto"/>
              </w:rPr>
            </w:pPr>
            <w:r>
              <w:rPr>
                <w:rFonts w:ascii="Arial" w:cs="Arial" w:eastAsia="Arial" w:hAnsi="Arial"/>
                <w:sz w:val="14"/>
                <w:szCs w:val="14"/>
                <w:color w:val="auto"/>
              </w:rPr>
              <w:t>Total investment income from controlled, affiliated investments</w:t>
            </w: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1,030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1,444</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shd w:val="clear" w:color="auto" w:fill="CFF0FC"/>
          </w:tcPr>
          <w:p>
            <w:pPr>
              <w:ind w:left="740"/>
              <w:spacing w:after="0" w:line="153" w:lineRule="exact"/>
              <w:rPr>
                <w:sz w:val="20"/>
                <w:szCs w:val="20"/>
                <w:color w:val="auto"/>
              </w:rPr>
            </w:pPr>
            <w:r>
              <w:rPr>
                <w:rFonts w:ascii="Arial" w:cs="Arial" w:eastAsia="Arial" w:hAnsi="Arial"/>
                <w:sz w:val="14"/>
                <w:szCs w:val="14"/>
                <w:b w:val="1"/>
                <w:bCs w:val="1"/>
                <w:color w:val="auto"/>
              </w:rPr>
              <w:t>Total Investment Income</w:t>
            </w:r>
          </w:p>
        </w:tc>
        <w:tc>
          <w:tcPr>
            <w:tcW w:w="2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66,270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52,487</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tcPr>
          <w:p>
            <w:pPr>
              <w:spacing w:after="0" w:line="153" w:lineRule="exact"/>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spacing w:after="0" w:line="160" w:lineRule="exact"/>
              <w:rPr>
                <w:sz w:val="20"/>
                <w:szCs w:val="20"/>
                <w:color w:val="auto"/>
              </w:rPr>
            </w:pPr>
            <w:r>
              <w:rPr>
                <w:rFonts w:ascii="Arial" w:cs="Arial" w:eastAsia="Arial" w:hAnsi="Arial"/>
                <w:sz w:val="14"/>
                <w:szCs w:val="14"/>
                <w:color w:val="auto"/>
              </w:rPr>
              <w:t>Interest</w:t>
            </w:r>
          </w:p>
        </w:tc>
        <w:tc>
          <w:tcPr>
            <w:tcW w:w="20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12,910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10,369</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Pr>
          <w:p>
            <w:pPr>
              <w:spacing w:after="0" w:line="160" w:lineRule="exact"/>
              <w:rPr>
                <w:sz w:val="20"/>
                <w:szCs w:val="20"/>
                <w:color w:val="auto"/>
              </w:rPr>
            </w:pPr>
            <w:r>
              <w:rPr>
                <w:rFonts w:ascii="Arial" w:cs="Arial" w:eastAsia="Arial" w:hAnsi="Arial"/>
                <w:sz w:val="14"/>
                <w:szCs w:val="14"/>
                <w:color w:val="auto"/>
              </w:rPr>
              <w:t>Management fees</w:t>
            </w:r>
          </w:p>
        </w:tc>
        <w:tc>
          <w:tcPr>
            <w:tcW w:w="200" w:type="dxa"/>
            <w:vAlign w:val="bottom"/>
          </w:tcPr>
          <w:p>
            <w:pPr>
              <w:spacing w:after="0"/>
              <w:rPr>
                <w:sz w:val="13"/>
                <w:szCs w:val="13"/>
                <w:color w:val="auto"/>
              </w:rPr>
            </w:pPr>
          </w:p>
        </w:tc>
        <w:tc>
          <w:tcPr>
            <w:tcW w:w="1540" w:type="dxa"/>
            <w:vAlign w:val="bottom"/>
          </w:tcPr>
          <w:p>
            <w:pPr>
              <w:jc w:val="right"/>
              <w:spacing w:after="0" w:line="160" w:lineRule="exact"/>
              <w:rPr>
                <w:sz w:val="20"/>
                <w:szCs w:val="20"/>
                <w:color w:val="auto"/>
              </w:rPr>
            </w:pPr>
            <w:r>
              <w:rPr>
                <w:rFonts w:ascii="Arial" w:cs="Arial" w:eastAsia="Arial" w:hAnsi="Arial"/>
                <w:sz w:val="14"/>
                <w:szCs w:val="14"/>
                <w:color w:val="auto"/>
              </w:rPr>
              <w:t>8,165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right"/>
              <w:spacing w:after="0" w:line="160" w:lineRule="exact"/>
              <w:rPr>
                <w:sz w:val="20"/>
                <w:szCs w:val="20"/>
                <w:color w:val="auto"/>
              </w:rPr>
            </w:pPr>
            <w:r>
              <w:rPr>
                <w:rFonts w:ascii="Arial" w:cs="Arial" w:eastAsia="Arial" w:hAnsi="Arial"/>
                <w:sz w:val="14"/>
                <w:szCs w:val="14"/>
                <w:color w:val="auto"/>
              </w:rPr>
              <w:t>6,622</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spacing w:after="0" w:line="160" w:lineRule="exact"/>
              <w:rPr>
                <w:sz w:val="20"/>
                <w:szCs w:val="20"/>
                <w:color w:val="auto"/>
              </w:rPr>
            </w:pPr>
            <w:r>
              <w:rPr>
                <w:rFonts w:ascii="Arial" w:cs="Arial" w:eastAsia="Arial" w:hAnsi="Arial"/>
                <w:sz w:val="14"/>
                <w:szCs w:val="14"/>
                <w:color w:val="auto"/>
              </w:rPr>
              <w:t>Incentive fees</w:t>
            </w:r>
          </w:p>
        </w:tc>
        <w:tc>
          <w:tcPr>
            <w:tcW w:w="20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7,140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5,650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Pr>
          <w:p>
            <w:pPr>
              <w:spacing w:after="0" w:line="160" w:lineRule="exact"/>
              <w:rPr>
                <w:sz w:val="20"/>
                <w:szCs w:val="20"/>
                <w:color w:val="auto"/>
              </w:rPr>
            </w:pPr>
            <w:r>
              <w:rPr>
                <w:rFonts w:ascii="Arial" w:cs="Arial" w:eastAsia="Arial" w:hAnsi="Arial"/>
                <w:sz w:val="14"/>
                <w:szCs w:val="14"/>
                <w:color w:val="auto"/>
              </w:rPr>
              <w:t>Professional fees</w:t>
            </w:r>
          </w:p>
        </w:tc>
        <w:tc>
          <w:tcPr>
            <w:tcW w:w="200" w:type="dxa"/>
            <w:vAlign w:val="bottom"/>
          </w:tcPr>
          <w:p>
            <w:pPr>
              <w:spacing w:after="0"/>
              <w:rPr>
                <w:sz w:val="13"/>
                <w:szCs w:val="13"/>
                <w:color w:val="auto"/>
              </w:rPr>
            </w:pPr>
          </w:p>
        </w:tc>
        <w:tc>
          <w:tcPr>
            <w:tcW w:w="1540" w:type="dxa"/>
            <w:vAlign w:val="bottom"/>
          </w:tcPr>
          <w:p>
            <w:pPr>
              <w:jc w:val="right"/>
              <w:spacing w:after="0" w:line="160" w:lineRule="exact"/>
              <w:rPr>
                <w:sz w:val="20"/>
                <w:szCs w:val="20"/>
                <w:color w:val="auto"/>
              </w:rPr>
            </w:pPr>
            <w:r>
              <w:rPr>
                <w:rFonts w:ascii="Arial" w:cs="Arial" w:eastAsia="Arial" w:hAnsi="Arial"/>
                <w:sz w:val="14"/>
                <w:szCs w:val="14"/>
                <w:color w:val="auto"/>
              </w:rPr>
              <w:t>1,645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right"/>
              <w:spacing w:after="0" w:line="160" w:lineRule="exact"/>
              <w:rPr>
                <w:sz w:val="20"/>
                <w:szCs w:val="20"/>
                <w:color w:val="auto"/>
              </w:rPr>
            </w:pPr>
            <w:r>
              <w:rPr>
                <w:rFonts w:ascii="Arial" w:cs="Arial" w:eastAsia="Arial" w:hAnsi="Arial"/>
                <w:sz w:val="14"/>
                <w:szCs w:val="14"/>
                <w:color w:val="auto"/>
              </w:rPr>
              <w:t>1,295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spacing w:after="0" w:line="160" w:lineRule="exact"/>
              <w:rPr>
                <w:sz w:val="20"/>
                <w:szCs w:val="20"/>
                <w:color w:val="auto"/>
              </w:rPr>
            </w:pPr>
            <w:r>
              <w:rPr>
                <w:rFonts w:ascii="Arial" w:cs="Arial" w:eastAsia="Arial" w:hAnsi="Arial"/>
                <w:sz w:val="14"/>
                <w:szCs w:val="14"/>
                <w:color w:val="auto"/>
              </w:rPr>
              <w:t>Directors’ fees</w:t>
            </w:r>
          </w:p>
        </w:tc>
        <w:tc>
          <w:tcPr>
            <w:tcW w:w="20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228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135</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Borders>
              <w:bottom w:val="single" w:sz="8" w:color="CFF0FC"/>
            </w:tcBorders>
          </w:tcPr>
          <w:p>
            <w:pPr>
              <w:spacing w:after="0" w:line="160" w:lineRule="exact"/>
              <w:rPr>
                <w:sz w:val="20"/>
                <w:szCs w:val="20"/>
                <w:color w:val="auto"/>
              </w:rPr>
            </w:pPr>
            <w:r>
              <w:rPr>
                <w:rFonts w:ascii="Arial" w:cs="Arial" w:eastAsia="Arial" w:hAnsi="Arial"/>
                <w:sz w:val="14"/>
                <w:szCs w:val="14"/>
                <w:color w:val="auto"/>
              </w:rPr>
              <w:t>Other general and administrative</w:t>
            </w: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1,510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1,478</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shd w:val="clear" w:color="auto" w:fill="CFF0FC"/>
          </w:tcPr>
          <w:p>
            <w:pPr>
              <w:ind w:left="500"/>
              <w:spacing w:after="0" w:line="153" w:lineRule="exact"/>
              <w:rPr>
                <w:sz w:val="20"/>
                <w:szCs w:val="20"/>
                <w:color w:val="auto"/>
              </w:rPr>
            </w:pPr>
            <w:r>
              <w:rPr>
                <w:rFonts w:ascii="Arial" w:cs="Arial" w:eastAsia="Arial" w:hAnsi="Arial"/>
                <w:sz w:val="14"/>
                <w:szCs w:val="14"/>
                <w:color w:val="auto"/>
              </w:rPr>
              <w:t>Total expenses</w:t>
            </w:r>
          </w:p>
        </w:tc>
        <w:tc>
          <w:tcPr>
            <w:tcW w:w="2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31,598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25,549</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tcBorders>
              <w:bottom w:val="single" w:sz="8" w:color="CFF0FC"/>
            </w:tcBorders>
          </w:tcPr>
          <w:p>
            <w:pPr>
              <w:spacing w:after="0" w:line="153" w:lineRule="exact"/>
              <w:rPr>
                <w:sz w:val="20"/>
                <w:szCs w:val="20"/>
                <w:color w:val="auto"/>
              </w:rPr>
            </w:pPr>
            <w:r>
              <w:rPr>
                <w:rFonts w:ascii="Arial" w:cs="Arial" w:eastAsia="Arial" w:hAnsi="Arial"/>
                <w:sz w:val="14"/>
                <w:szCs w:val="14"/>
                <w:color w:val="auto"/>
              </w:rPr>
              <w:t>Management and incentive fees waived</w:t>
            </w: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shd w:val="clear" w:color="auto" w:fill="CFF0FC"/>
          </w:tcPr>
          <w:p>
            <w:pPr>
              <w:ind w:left="740"/>
              <w:spacing w:after="0" w:line="153" w:lineRule="exact"/>
              <w:rPr>
                <w:sz w:val="20"/>
                <w:szCs w:val="20"/>
                <w:color w:val="auto"/>
              </w:rPr>
            </w:pPr>
            <w:r>
              <w:rPr>
                <w:rFonts w:ascii="Arial" w:cs="Arial" w:eastAsia="Arial" w:hAnsi="Arial"/>
                <w:sz w:val="14"/>
                <w:szCs w:val="14"/>
                <w:b w:val="1"/>
                <w:bCs w:val="1"/>
                <w:color w:val="auto"/>
              </w:rPr>
              <w:t>Net Expenses</w:t>
            </w:r>
          </w:p>
        </w:tc>
        <w:tc>
          <w:tcPr>
            <w:tcW w:w="2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31,598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25,549</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tcPr>
          <w:p>
            <w:pPr>
              <w:spacing w:after="0" w:line="153" w:lineRule="exact"/>
              <w:rPr>
                <w:sz w:val="20"/>
                <w:szCs w:val="20"/>
                <w:color w:val="auto"/>
              </w:rPr>
            </w:pPr>
            <w:r>
              <w:rPr>
                <w:rFonts w:ascii="Arial" w:cs="Arial" w:eastAsia="Arial" w:hAnsi="Arial"/>
                <w:sz w:val="14"/>
                <w:szCs w:val="14"/>
                <w:b w:val="1"/>
                <w:bCs w:val="1"/>
                <w:color w:val="auto"/>
              </w:rPr>
              <w:t>Net Investment Income Before Income Taxes</w:t>
            </w:r>
          </w:p>
        </w:tc>
        <w:tc>
          <w:tcPr>
            <w:tcW w:w="200" w:type="dxa"/>
            <w:vAlign w:val="bottom"/>
          </w:tcPr>
          <w:p>
            <w:pPr>
              <w:spacing w:after="0"/>
              <w:rPr>
                <w:sz w:val="13"/>
                <w:szCs w:val="13"/>
                <w:color w:val="auto"/>
              </w:rPr>
            </w:pPr>
          </w:p>
        </w:tc>
        <w:tc>
          <w:tcPr>
            <w:tcW w:w="1540" w:type="dxa"/>
            <w:vAlign w:val="bottom"/>
          </w:tcPr>
          <w:p>
            <w:pPr>
              <w:jc w:val="right"/>
              <w:spacing w:after="0" w:line="153" w:lineRule="exact"/>
              <w:rPr>
                <w:sz w:val="20"/>
                <w:szCs w:val="20"/>
                <w:color w:val="auto"/>
              </w:rPr>
            </w:pPr>
            <w:r>
              <w:rPr>
                <w:rFonts w:ascii="Arial" w:cs="Arial" w:eastAsia="Arial" w:hAnsi="Arial"/>
                <w:sz w:val="14"/>
                <w:szCs w:val="14"/>
                <w:color w:val="auto"/>
              </w:rPr>
              <w:t>34,672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right"/>
              <w:spacing w:after="0" w:line="153" w:lineRule="exact"/>
              <w:rPr>
                <w:sz w:val="20"/>
                <w:szCs w:val="20"/>
                <w:color w:val="auto"/>
              </w:rPr>
            </w:pPr>
            <w:r>
              <w:rPr>
                <w:rFonts w:ascii="Arial" w:cs="Arial" w:eastAsia="Arial" w:hAnsi="Arial"/>
                <w:sz w:val="14"/>
                <w:szCs w:val="14"/>
                <w:color w:val="auto"/>
              </w:rPr>
              <w:t>26,938</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spacing w:after="0" w:line="160" w:lineRule="exact"/>
              <w:rPr>
                <w:sz w:val="20"/>
                <w:szCs w:val="20"/>
                <w:color w:val="auto"/>
              </w:rPr>
            </w:pPr>
            <w:r>
              <w:rPr>
                <w:rFonts w:ascii="Arial" w:cs="Arial" w:eastAsia="Arial" w:hAnsi="Arial"/>
                <w:sz w:val="14"/>
                <w:szCs w:val="14"/>
                <w:color w:val="auto"/>
              </w:rPr>
              <w:t>Income taxes, including excise taxes</w:t>
            </w:r>
          </w:p>
        </w:tc>
        <w:tc>
          <w:tcPr>
            <w:tcW w:w="2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color w:val="auto"/>
              </w:rPr>
              <w:t>1,010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color w:val="auto"/>
              </w:rPr>
              <w:t>300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tcPr>
          <w:p>
            <w:pPr>
              <w:spacing w:after="0" w:line="153" w:lineRule="exact"/>
              <w:rPr>
                <w:sz w:val="20"/>
                <w:szCs w:val="20"/>
                <w:color w:val="auto"/>
              </w:rPr>
            </w:pPr>
            <w:r>
              <w:rPr>
                <w:rFonts w:ascii="Arial" w:cs="Arial" w:eastAsia="Arial" w:hAnsi="Arial"/>
                <w:sz w:val="14"/>
                <w:szCs w:val="14"/>
                <w:b w:val="1"/>
                <w:bCs w:val="1"/>
                <w:color w:val="auto"/>
              </w:rPr>
              <w:t>Net Investment Income</w:t>
            </w:r>
          </w:p>
        </w:tc>
        <w:tc>
          <w:tcPr>
            <w:tcW w:w="200" w:type="dxa"/>
            <w:vAlign w:val="bottom"/>
          </w:tcPr>
          <w:p>
            <w:pPr>
              <w:spacing w:after="0"/>
              <w:rPr>
                <w:sz w:val="13"/>
                <w:szCs w:val="13"/>
                <w:color w:val="auto"/>
              </w:rPr>
            </w:pPr>
          </w:p>
        </w:tc>
        <w:tc>
          <w:tcPr>
            <w:tcW w:w="1540" w:type="dxa"/>
            <w:vAlign w:val="bottom"/>
          </w:tcPr>
          <w:p>
            <w:pPr>
              <w:jc w:val="right"/>
              <w:spacing w:after="0" w:line="153" w:lineRule="exact"/>
              <w:rPr>
                <w:sz w:val="20"/>
                <w:szCs w:val="20"/>
                <w:color w:val="auto"/>
              </w:rPr>
            </w:pPr>
            <w:r>
              <w:rPr>
                <w:rFonts w:ascii="Arial" w:cs="Arial" w:eastAsia="Arial" w:hAnsi="Arial"/>
                <w:sz w:val="14"/>
                <w:szCs w:val="14"/>
                <w:color w:val="auto"/>
              </w:rPr>
              <w:t>33,662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right"/>
              <w:spacing w:after="0" w:line="153" w:lineRule="exact"/>
              <w:rPr>
                <w:sz w:val="20"/>
                <w:szCs w:val="20"/>
                <w:color w:val="auto"/>
              </w:rPr>
            </w:pPr>
            <w:r>
              <w:rPr>
                <w:rFonts w:ascii="Arial" w:cs="Arial" w:eastAsia="Arial" w:hAnsi="Arial"/>
                <w:sz w:val="14"/>
                <w:szCs w:val="14"/>
                <w:color w:val="auto"/>
              </w:rPr>
              <w:t>26,638</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spacing w:after="0" w:line="160" w:lineRule="exact"/>
              <w:rPr>
                <w:sz w:val="20"/>
                <w:szCs w:val="20"/>
                <w:color w:val="auto"/>
              </w:rPr>
            </w:pPr>
            <w:r>
              <w:rPr>
                <w:rFonts w:ascii="Arial" w:cs="Arial" w:eastAsia="Arial" w:hAnsi="Arial"/>
                <w:sz w:val="14"/>
                <w:szCs w:val="14"/>
                <w:b w:val="1"/>
                <w:bCs w:val="1"/>
                <w:color w:val="auto"/>
              </w:rPr>
              <w:t>Unrealized and Realized Gains (Losses)</w:t>
            </w:r>
          </w:p>
        </w:tc>
        <w:tc>
          <w:tcPr>
            <w:tcW w:w="20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Pr>
          <w:p>
            <w:pPr>
              <w:spacing w:after="0" w:line="160" w:lineRule="exact"/>
              <w:rPr>
                <w:sz w:val="20"/>
                <w:szCs w:val="20"/>
                <w:color w:val="auto"/>
              </w:rPr>
            </w:pPr>
            <w:r>
              <w:rPr>
                <w:rFonts w:ascii="Arial" w:cs="Arial" w:eastAsia="Arial" w:hAnsi="Arial"/>
                <w:sz w:val="14"/>
                <w:szCs w:val="14"/>
                <w:color w:val="auto"/>
              </w:rPr>
              <w:t>Net change in unrealized gains (losses):</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ind w:left="260"/>
              <w:spacing w:after="0" w:line="160" w:lineRule="exact"/>
              <w:rPr>
                <w:sz w:val="20"/>
                <w:szCs w:val="20"/>
                <w:color w:val="auto"/>
              </w:rPr>
            </w:pPr>
            <w:r>
              <w:rPr>
                <w:rFonts w:ascii="Arial" w:cs="Arial" w:eastAsia="Arial" w:hAnsi="Arial"/>
                <w:sz w:val="14"/>
                <w:szCs w:val="14"/>
                <w:color w:val="auto"/>
              </w:rPr>
              <w:t>Non-controlled, non-affiliated investments</w:t>
            </w:r>
          </w:p>
        </w:tc>
        <w:tc>
          <w:tcPr>
            <w:tcW w:w="20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140"/>
              <w:spacing w:after="0" w:line="160" w:lineRule="exact"/>
              <w:rPr>
                <w:sz w:val="20"/>
                <w:szCs w:val="20"/>
                <w:color w:val="auto"/>
              </w:rPr>
            </w:pPr>
            <w:r>
              <w:rPr>
                <w:rFonts w:ascii="Arial" w:cs="Arial" w:eastAsia="Arial" w:hAnsi="Arial"/>
                <w:sz w:val="14"/>
                <w:szCs w:val="14"/>
                <w:color w:val="auto"/>
              </w:rPr>
              <w:t>(92,759)</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12,813</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Pr>
          <w:p>
            <w:pPr>
              <w:ind w:left="260"/>
              <w:spacing w:after="0" w:line="160" w:lineRule="exact"/>
              <w:rPr>
                <w:sz w:val="20"/>
                <w:szCs w:val="20"/>
                <w:color w:val="auto"/>
              </w:rPr>
            </w:pPr>
            <w:r>
              <w:rPr>
                <w:rFonts w:ascii="Arial" w:cs="Arial" w:eastAsia="Arial" w:hAnsi="Arial"/>
                <w:sz w:val="14"/>
                <w:szCs w:val="14"/>
                <w:color w:val="auto"/>
              </w:rPr>
              <w:t>Non-controlled, affiliated investments</w:t>
            </w:r>
          </w:p>
        </w:tc>
        <w:tc>
          <w:tcPr>
            <w:tcW w:w="200" w:type="dxa"/>
            <w:vAlign w:val="bottom"/>
          </w:tcPr>
          <w:p>
            <w:pPr>
              <w:spacing w:after="0"/>
              <w:rPr>
                <w:sz w:val="13"/>
                <w:szCs w:val="13"/>
                <w:color w:val="auto"/>
              </w:rPr>
            </w:pPr>
          </w:p>
        </w:tc>
        <w:tc>
          <w:tcPr>
            <w:tcW w:w="172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(1,394)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right"/>
              <w:spacing w:after="0" w:line="160" w:lineRule="exact"/>
              <w:rPr>
                <w:sz w:val="20"/>
                <w:szCs w:val="20"/>
                <w:color w:val="auto"/>
              </w:rPr>
            </w:pPr>
            <w:r>
              <w:rPr>
                <w:rFonts w:ascii="Arial" w:cs="Arial" w:eastAsia="Arial" w:hAnsi="Arial"/>
                <w:sz w:val="14"/>
                <w:szCs w:val="14"/>
                <w:color w:val="auto"/>
              </w:rPr>
              <w:t>427</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ind w:left="260"/>
              <w:spacing w:after="0" w:line="160" w:lineRule="exact"/>
              <w:rPr>
                <w:sz w:val="20"/>
                <w:szCs w:val="20"/>
                <w:color w:val="auto"/>
              </w:rPr>
            </w:pPr>
            <w:r>
              <w:rPr>
                <w:rFonts w:ascii="Arial" w:cs="Arial" w:eastAsia="Arial" w:hAnsi="Arial"/>
                <w:sz w:val="14"/>
                <w:szCs w:val="14"/>
                <w:color w:val="auto"/>
              </w:rPr>
              <w:t>Controlled, affiliated investments</w:t>
            </w:r>
          </w:p>
        </w:tc>
        <w:tc>
          <w:tcPr>
            <w:tcW w:w="20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140"/>
              <w:spacing w:after="0" w:line="160" w:lineRule="exact"/>
              <w:rPr>
                <w:sz w:val="20"/>
                <w:szCs w:val="20"/>
                <w:color w:val="auto"/>
              </w:rPr>
            </w:pPr>
            <w:r>
              <w:rPr>
                <w:rFonts w:ascii="Arial" w:cs="Arial" w:eastAsia="Arial" w:hAnsi="Arial"/>
                <w:sz w:val="14"/>
                <w:szCs w:val="14"/>
                <w:color w:val="auto"/>
              </w:rPr>
              <w:t>(13,507)</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60"/>
              <w:spacing w:after="0" w:line="160" w:lineRule="exact"/>
              <w:rPr>
                <w:sz w:val="20"/>
                <w:szCs w:val="20"/>
                <w:color w:val="auto"/>
              </w:rPr>
            </w:pPr>
            <w:r>
              <w:rPr>
                <w:rFonts w:ascii="Arial" w:cs="Arial" w:eastAsia="Arial" w:hAnsi="Arial"/>
                <w:sz w:val="14"/>
                <w:szCs w:val="14"/>
                <w:color w:val="auto"/>
              </w:rPr>
              <w:t>(3,667)</w:t>
            </w:r>
          </w:p>
        </w:tc>
        <w:tc>
          <w:tcPr>
            <w:tcW w:w="0" w:type="dxa"/>
            <w:vAlign w:val="bottom"/>
          </w:tcPr>
          <w:p>
            <w:pPr>
              <w:spacing w:after="0"/>
              <w:rPr>
                <w:sz w:val="1"/>
                <w:szCs w:val="1"/>
                <w:color w:val="auto"/>
              </w:rPr>
            </w:pPr>
          </w:p>
        </w:tc>
      </w:tr>
      <w:tr>
        <w:trPr>
          <w:trHeight w:val="160"/>
        </w:trPr>
        <w:tc>
          <w:tcPr>
            <w:tcW w:w="7140" w:type="dxa"/>
            <w:vAlign w:val="bottom"/>
          </w:tcPr>
          <w:p>
            <w:pPr>
              <w:ind w:left="260"/>
              <w:spacing w:after="0" w:line="160" w:lineRule="exact"/>
              <w:rPr>
                <w:sz w:val="20"/>
                <w:szCs w:val="20"/>
                <w:color w:val="auto"/>
              </w:rPr>
            </w:pPr>
            <w:r>
              <w:rPr>
                <w:rFonts w:ascii="Arial" w:cs="Arial" w:eastAsia="Arial" w:hAnsi="Arial"/>
                <w:sz w:val="14"/>
                <w:szCs w:val="14"/>
                <w:color w:val="auto"/>
              </w:rPr>
              <w:t>Translation of other assets and liabilities in foreign currencies</w:t>
            </w:r>
          </w:p>
        </w:tc>
        <w:tc>
          <w:tcPr>
            <w:tcW w:w="200" w:type="dxa"/>
            <w:vAlign w:val="bottom"/>
          </w:tcPr>
          <w:p>
            <w:pPr>
              <w:spacing w:after="0"/>
              <w:rPr>
                <w:sz w:val="13"/>
                <w:szCs w:val="13"/>
                <w:color w:val="auto"/>
              </w:rPr>
            </w:pPr>
          </w:p>
        </w:tc>
        <w:tc>
          <w:tcPr>
            <w:tcW w:w="1540" w:type="dxa"/>
            <w:vAlign w:val="bottom"/>
          </w:tcPr>
          <w:p>
            <w:pPr>
              <w:jc w:val="right"/>
              <w:spacing w:after="0" w:line="160" w:lineRule="exact"/>
              <w:rPr>
                <w:sz w:val="20"/>
                <w:szCs w:val="20"/>
                <w:color w:val="auto"/>
              </w:rPr>
            </w:pPr>
            <w:r>
              <w:rPr>
                <w:rFonts w:ascii="Arial" w:cs="Arial" w:eastAsia="Arial" w:hAnsi="Arial"/>
                <w:sz w:val="14"/>
                <w:szCs w:val="14"/>
                <w:color w:val="auto"/>
              </w:rPr>
              <w:t>13,799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right"/>
              <w:ind w:right="260"/>
              <w:spacing w:after="0" w:line="160" w:lineRule="exact"/>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ind w:left="260"/>
              <w:spacing w:after="0" w:line="160" w:lineRule="exact"/>
              <w:rPr>
                <w:sz w:val="20"/>
                <w:szCs w:val="20"/>
                <w:color w:val="auto"/>
              </w:rPr>
            </w:pPr>
            <w:r>
              <w:rPr>
                <w:rFonts w:ascii="Arial" w:cs="Arial" w:eastAsia="Arial" w:hAnsi="Arial"/>
                <w:sz w:val="14"/>
                <w:szCs w:val="14"/>
                <w:color w:val="auto"/>
              </w:rPr>
              <w:t>Interest rate swaps</w:t>
            </w:r>
          </w:p>
        </w:tc>
        <w:tc>
          <w:tcPr>
            <w:tcW w:w="2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color w:val="auto"/>
              </w:rPr>
              <w:t>9,181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color w:val="auto"/>
              </w:rPr>
              <w:t>3,319</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tcBorders>
              <w:bottom w:val="single" w:sz="8" w:color="CFF0FC"/>
            </w:tcBorders>
          </w:tcPr>
          <w:p>
            <w:pPr>
              <w:ind w:left="740"/>
              <w:spacing w:after="0" w:line="153" w:lineRule="exact"/>
              <w:rPr>
                <w:sz w:val="20"/>
                <w:szCs w:val="20"/>
                <w:color w:val="auto"/>
              </w:rPr>
            </w:pPr>
            <w:r>
              <w:rPr>
                <w:rFonts w:ascii="Arial" w:cs="Arial" w:eastAsia="Arial" w:hAnsi="Arial"/>
                <w:sz w:val="14"/>
                <w:szCs w:val="14"/>
                <w:color w:val="auto"/>
              </w:rPr>
              <w:t>Total net change in unrealized gains (losses)</w:t>
            </w: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(84,680)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11,460</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Realized gains (losses):</w:t>
            </w:r>
          </w:p>
        </w:tc>
        <w:tc>
          <w:tcPr>
            <w:tcW w:w="20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Pr>
          <w:p>
            <w:pPr>
              <w:ind w:left="260"/>
              <w:spacing w:after="0" w:line="160" w:lineRule="exact"/>
              <w:rPr>
                <w:sz w:val="20"/>
                <w:szCs w:val="20"/>
                <w:color w:val="auto"/>
              </w:rPr>
            </w:pPr>
            <w:r>
              <w:rPr>
                <w:rFonts w:ascii="Arial" w:cs="Arial" w:eastAsia="Arial" w:hAnsi="Arial"/>
                <w:sz w:val="14"/>
                <w:szCs w:val="14"/>
                <w:color w:val="auto"/>
              </w:rPr>
              <w:t>Non-controlled, non-affiliated investments</w:t>
            </w:r>
          </w:p>
        </w:tc>
        <w:tc>
          <w:tcPr>
            <w:tcW w:w="200" w:type="dxa"/>
            <w:vAlign w:val="bottom"/>
          </w:tcPr>
          <w:p>
            <w:pPr>
              <w:spacing w:after="0"/>
              <w:rPr>
                <w:sz w:val="13"/>
                <w:szCs w:val="13"/>
                <w:color w:val="auto"/>
              </w:rPr>
            </w:pPr>
          </w:p>
        </w:tc>
        <w:tc>
          <w:tcPr>
            <w:tcW w:w="1540" w:type="dxa"/>
            <w:vAlign w:val="bottom"/>
          </w:tcPr>
          <w:p>
            <w:pPr>
              <w:jc w:val="right"/>
              <w:spacing w:after="0" w:line="160"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right"/>
              <w:spacing w:after="0" w:line="160" w:lineRule="exact"/>
              <w:rPr>
                <w:sz w:val="20"/>
                <w:szCs w:val="20"/>
                <w:color w:val="auto"/>
              </w:rPr>
            </w:pPr>
            <w:r>
              <w:rPr>
                <w:rFonts w:ascii="Arial" w:cs="Arial" w:eastAsia="Arial" w:hAnsi="Arial"/>
                <w:sz w:val="14"/>
                <w:szCs w:val="14"/>
                <w:color w:val="auto"/>
              </w:rPr>
              <w:t>180</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CFF0FC"/>
          </w:tcPr>
          <w:p>
            <w:pPr>
              <w:ind w:left="260"/>
              <w:spacing w:after="0" w:line="160" w:lineRule="exact"/>
              <w:rPr>
                <w:sz w:val="20"/>
                <w:szCs w:val="20"/>
                <w:color w:val="auto"/>
              </w:rPr>
            </w:pPr>
            <w:r>
              <w:rPr>
                <w:rFonts w:ascii="Arial" w:cs="Arial" w:eastAsia="Arial" w:hAnsi="Arial"/>
                <w:sz w:val="14"/>
                <w:szCs w:val="14"/>
                <w:color w:val="auto"/>
              </w:rPr>
              <w:t>Controlled, affiliated investments</w:t>
            </w:r>
          </w:p>
        </w:tc>
        <w:tc>
          <w:tcPr>
            <w:tcW w:w="20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140"/>
              <w:spacing w:after="0" w:line="160" w:lineRule="exact"/>
              <w:rPr>
                <w:sz w:val="20"/>
                <w:szCs w:val="20"/>
                <w:color w:val="auto"/>
              </w:rPr>
            </w:pPr>
            <w:r>
              <w:rPr>
                <w:rFonts w:ascii="Arial" w:cs="Arial" w:eastAsia="Arial" w:hAnsi="Arial"/>
                <w:sz w:val="14"/>
                <w:szCs w:val="14"/>
                <w:color w:val="auto"/>
              </w:rPr>
              <w:t>(2,097)</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570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Pr>
          <w:p>
            <w:pPr>
              <w:ind w:left="260"/>
              <w:spacing w:after="0" w:line="160" w:lineRule="exact"/>
              <w:rPr>
                <w:sz w:val="20"/>
                <w:szCs w:val="20"/>
                <w:color w:val="auto"/>
              </w:rPr>
            </w:pPr>
            <w:r>
              <w:rPr>
                <w:rFonts w:ascii="Arial" w:cs="Arial" w:eastAsia="Arial" w:hAnsi="Arial"/>
                <w:sz w:val="14"/>
                <w:szCs w:val="14"/>
                <w:color w:val="auto"/>
              </w:rPr>
              <w:t>Foreign currency transactions</w:t>
            </w:r>
          </w:p>
        </w:tc>
        <w:tc>
          <w:tcPr>
            <w:tcW w:w="200" w:type="dxa"/>
            <w:vAlign w:val="bottom"/>
          </w:tcPr>
          <w:p>
            <w:pPr>
              <w:spacing w:after="0"/>
              <w:rPr>
                <w:sz w:val="13"/>
                <w:szCs w:val="13"/>
                <w:color w:val="auto"/>
              </w:rPr>
            </w:pPr>
          </w:p>
        </w:tc>
        <w:tc>
          <w:tcPr>
            <w:tcW w:w="172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(59)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right"/>
              <w:ind w:right="260"/>
              <w:spacing w:after="0" w:line="160"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3"/>
        </w:trPr>
        <w:tc>
          <w:tcPr>
            <w:tcW w:w="7140" w:type="dxa"/>
            <w:vAlign w:val="bottom"/>
            <w:tcBorders>
              <w:top w:val="single" w:sz="8" w:color="CFF0FC"/>
            </w:tcBorders>
            <w:shd w:val="clear" w:color="auto" w:fill="CFF0FC"/>
          </w:tcPr>
          <w:p>
            <w:pPr>
              <w:ind w:left="740"/>
              <w:spacing w:after="0" w:line="153" w:lineRule="exact"/>
              <w:rPr>
                <w:sz w:val="20"/>
                <w:szCs w:val="20"/>
                <w:color w:val="auto"/>
              </w:rPr>
            </w:pPr>
            <w:r>
              <w:rPr>
                <w:rFonts w:ascii="Arial" w:cs="Arial" w:eastAsia="Arial" w:hAnsi="Arial"/>
                <w:sz w:val="14"/>
                <w:szCs w:val="14"/>
                <w:color w:val="auto"/>
              </w:rPr>
              <w:t>Total net realized gains (losses)</w:t>
            </w: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54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(2,081)</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56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647</w:t>
            </w:r>
          </w:p>
        </w:tc>
        <w:tc>
          <w:tcPr>
            <w:tcW w:w="3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tcBorders>
              <w:bottom w:val="single" w:sz="8" w:color="CFF0FC"/>
            </w:tcBorders>
          </w:tcPr>
          <w:p>
            <w:pPr>
              <w:ind w:left="980"/>
              <w:spacing w:after="0" w:line="153" w:lineRule="exact"/>
              <w:rPr>
                <w:sz w:val="20"/>
                <w:szCs w:val="20"/>
                <w:color w:val="auto"/>
              </w:rPr>
            </w:pPr>
            <w:r>
              <w:rPr>
                <w:rFonts w:ascii="Arial" w:cs="Arial" w:eastAsia="Arial" w:hAnsi="Arial"/>
                <w:sz w:val="14"/>
                <w:szCs w:val="14"/>
                <w:b w:val="1"/>
                <w:bCs w:val="1"/>
                <w:color w:val="auto"/>
              </w:rPr>
              <w:t>Total Net Unrealized and Realized Gains (Losses)</w:t>
            </w: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(86,761)</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12,107</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tcBorders>
              <w:bottom w:val="single" w:sz="8" w:color="CFF0FC"/>
            </w:tcBorders>
            <w:shd w:val="clear" w:color="auto" w:fill="CFF0FC"/>
          </w:tcPr>
          <w:p>
            <w:pPr>
              <w:ind w:left="980"/>
              <w:spacing w:after="0" w:line="153" w:lineRule="exact"/>
              <w:rPr>
                <w:sz w:val="20"/>
                <w:szCs w:val="20"/>
                <w:color w:val="auto"/>
              </w:rPr>
            </w:pPr>
            <w:r>
              <w:rPr>
                <w:rFonts w:ascii="Arial" w:cs="Arial" w:eastAsia="Arial" w:hAnsi="Arial"/>
                <w:sz w:val="14"/>
                <w:szCs w:val="14"/>
                <w:b w:val="1"/>
                <w:bCs w:val="1"/>
                <w:color w:val="auto"/>
              </w:rPr>
              <w:t>Increase (Decrease) in Net Assets Resulting from Operations</w:t>
            </w:r>
          </w:p>
        </w:tc>
        <w:tc>
          <w:tcPr>
            <w:tcW w:w="200" w:type="dxa"/>
            <w:vAlign w:val="bottom"/>
            <w:tcBorders>
              <w:bottom w:val="single" w:sz="8" w:color="auto"/>
            </w:tcBorders>
            <w:shd w:val="clear" w:color="auto" w:fill="CFF0FC"/>
          </w:tcPr>
          <w:p>
            <w:pPr>
              <w:jc w:val="right"/>
              <w:ind w:right="49"/>
              <w:spacing w:after="0" w:line="153"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(53,099)</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49"/>
              <w:spacing w:after="0" w:line="153"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38,745</w:t>
            </w:r>
          </w:p>
        </w:tc>
        <w:tc>
          <w:tcPr>
            <w:tcW w:w="3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Earnings (Loss) per common share—basic and diluted</w:t>
            </w:r>
          </w:p>
        </w:tc>
        <w:tc>
          <w:tcPr>
            <w:tcW w:w="2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140" w:type="dxa"/>
            <w:vAlign w:val="bottom"/>
            <w:tcBorders>
              <w:bottom w:val="single" w:sz="8" w:color="CFF0FC"/>
            </w:tcBorders>
            <w:vMerge w:val="continue"/>
          </w:tcPr>
          <w:p>
            <w:pPr>
              <w:spacing w:after="0"/>
              <w:rPr>
                <w:sz w:val="12"/>
                <w:szCs w:val="12"/>
                <w:color w:val="auto"/>
              </w:rPr>
            </w:pPr>
          </w:p>
        </w:tc>
        <w:tc>
          <w:tcPr>
            <w:tcW w:w="200" w:type="dxa"/>
            <w:vAlign w:val="bottom"/>
            <w:tcBorders>
              <w:top w:val="single" w:sz="8" w:color="auto"/>
              <w:bottom w:val="single" w:sz="8" w:color="auto"/>
            </w:tcBorders>
          </w:tcPr>
          <w:p>
            <w:pPr>
              <w:jc w:val="right"/>
              <w:ind w:right="49"/>
              <w:spacing w:after="0" w:line="140"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(0.80)</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9"/>
              <w:spacing w:after="0" w:line="140"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0.59</w:t>
            </w:r>
          </w:p>
        </w:tc>
        <w:tc>
          <w:tcPr>
            <w:tcW w:w="3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1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Weighted average shares of common stock outstanding—basic and diluted</w:t>
            </w:r>
          </w:p>
        </w:tc>
        <w:tc>
          <w:tcPr>
            <w:tcW w:w="2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66,656,280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65,595,441</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 w:name="page12"/>
    <w:bookmarkEnd w:id="11"/>
    <w:p>
      <w:pPr>
        <w:ind w:right="520"/>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116965" cy="4654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16965" cy="465455"/>
                    </a:xfrm>
                    <a:prstGeom prst="rect">
                      <a:avLst/>
                    </a:prstGeom>
                    <a:noFill/>
                  </pic:spPr>
                </pic:pic>
              </a:graphicData>
            </a:graphic>
          </wp:anchor>
        </w:drawing>
        <w:t>The Company’s investment activity for quarter ended March 31, 2020 and 2019 is presented below (information presented herein is at par value unless otherwise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gridSpan w:val="6"/>
          </w:tcPr>
          <w:p>
            <w:pPr>
              <w:jc w:val="right"/>
              <w:ind w:right="1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5660" w:type="dxa"/>
            <w:vAlign w:val="bottom"/>
            <w:vMerge w:val="continue"/>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right"/>
              <w:ind w:right="560"/>
              <w:spacing w:after="0" w:line="153" w:lineRule="exact"/>
              <w:rPr>
                <w:sz w:val="20"/>
                <w:szCs w:val="20"/>
                <w:color w:val="auto"/>
              </w:rPr>
            </w:pPr>
            <w:r>
              <w:rPr>
                <w:rFonts w:ascii="Arial" w:cs="Arial" w:eastAsia="Arial" w:hAnsi="Arial"/>
                <w:sz w:val="14"/>
                <w:szCs w:val="14"/>
                <w:b w:val="1"/>
                <w:bCs w:val="1"/>
                <w:color w:val="auto"/>
              </w:rPr>
              <w:t>March 31, 2020</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12"/>
              <w:spacing w:after="0" w:line="153" w:lineRule="exact"/>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9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6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247.9</w:t>
            </w:r>
          </w:p>
        </w:tc>
        <w:tc>
          <w:tcPr>
            <w:tcW w:w="2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9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6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134.0</w:t>
            </w:r>
          </w:p>
        </w:tc>
        <w:tc>
          <w:tcPr>
            <w:tcW w:w="2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6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6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60" w:type="dxa"/>
            <w:vAlign w:val="bottom"/>
          </w:tcPr>
          <w:p>
            <w:pPr>
              <w:ind w:left="500"/>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6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211.9</w:t>
            </w:r>
          </w:p>
        </w:tc>
        <w:tc>
          <w:tcPr>
            <w:tcW w:w="2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6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60" w:type="dxa"/>
            <w:vAlign w:val="bottom"/>
          </w:tcPr>
          <w:p>
            <w:pPr>
              <w:ind w:left="500"/>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211.9</w:t>
            </w:r>
          </w:p>
        </w:tc>
        <w:tc>
          <w:tcPr>
            <w:tcW w:w="2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6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Number of new investment commitments in</w:t>
            </w:r>
          </w:p>
        </w:tc>
        <w:tc>
          <w:tcPr>
            <w:tcW w:w="19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116965" cy="4654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16965" cy="465455"/>
                    </a:xfrm>
                    <a:prstGeom prst="rect">
                      <a:avLst/>
                    </a:prstGeom>
                    <a:noFill/>
                  </pic:spPr>
                </pic:pic>
              </a:graphicData>
            </a:graphic>
          </wp:anchor>
        </w:drawing>
        <w:t>About TPG Specialty Lending</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an affiliate of Sixth Street Partners and a Securities and Exchange Commission (“SEC”) registered investment adviser. TSLX leverages the deep investment, sector, and operating resources of Sixth Street Partners, a global finance and investment firm with over $34 billion of assets under management as of December 31, 2019. For more information, visit the Company’s website at www.tpgspecialtylending.com.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 Partners</w:t>
      </w:r>
    </w:p>
    <w:p>
      <w:pPr>
        <w:spacing w:after="0" w:line="15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Sixth Street Partners is a global multi-asset class investment business with over $34 billion in assets under management as of December 31, 2019. Sixth Street operates eight diversified, collaborative investment platforms across our growth investing, direct lending, par liquid credit, fundamental public strategies, infrastructure, agriculture, special situations and adjacencies businesses. Our long-term oriented, highly flexible capital base and “One Team” cultural philosophy allows us to invest thematically across sectors, geographies and asset classes. Founded in 2009, Sixth Street has more than 275 team members including over 140 investment professionals operating from nine locations around the world. For more information, visit www.tssp.com.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Sixth Street Partners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IRTSL@tssp.com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Sixth Street Partners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PClifford@tssp.com</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0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2020-05-05T15:09:03Z</dcterms:created>
  <dcterms:modified xsi:type="dcterms:W3CDTF">2020-05-05T15:09:03Z</dcterms:modified>
</cp:coreProperties>
</file>