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09627d8k.htm"/>
      <w:bookmarkStart w:id="1" w:name="ksd50962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Sixth Street Specialty Lending,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May 15, 2023, Sixth Street Specialty Lending, Inc. (the “Company”) issued 4,500,000 shares (the “Shares”) of the Company’s common stock, par value $0.01 per share (“Common Stock”), pursuant to an Underwriting Agreement, dated May 10, 2023 (the “Underwriting Agreement”), among the Company, Street Specialty Lending Advisers, LLC (the “Adviser”) and Wells Fargo Securities, LLC, as representative of the several underwriters named on Schedule 1 thereto (collectively, the “Underwriters”). In addition, under the terms of the Underwriting Agreement, the Company granted the Underwriters an option to purchase an additional 675,000 shares of Common Stock, exercisable for 30 days from the date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were purchased by the Underwriters from the Company at a price of $17.33 per share, resulting in net proceeds to the Company of approximately $77.5 million, after deducting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Shares were offered and sold pursuant to the Registration Statement on Form N-2 (File No. 333-269222) and a prospectus supplement and accompanying prospectus, dated May 10,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full text of the Underwriting Agreement, filed as Exhibit 1.1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09627dex11.htm">
              <w:r>
                <w:rPr>
                  <w:rStyle w:val="InternetLink"/>
                </w:rPr>
                <w:t xml:space="preserve">Underwriting Agreement, dated May 10, 2023, by and among the Company, the Adviser and the Wells Fargo Securities, LLC as representative of the several underwriters named in Schedule 1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09627dex51.htm">
              <w:r>
                <w:rPr>
                  <w:rStyle w:val="InternetLink"/>
                </w:rPr>
                <w:t xml:space="preserve">Opinion of Cleary Gottlieb Steen &amp; Hamilton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09627dex51.htm">
              <w:r>
                <w:rPr>
                  <w:rStyle w:val="InternetLink"/>
                </w:rPr>
                <w:t xml:space="preserve">Consent of Cleary Gottlieb Steen &amp; Hamilton LLP (included as part of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866" w:type="dxa"/>
        <w:jc w:val="left"/>
        <w:tblInd w:w="0" w:type="dxa"/>
        <w:tblLayout w:type="fixed"/>
        <w:tblCellMar>
          <w:top w:w="0" w:type="dxa"/>
          <w:left w:w="0" w:type="dxa"/>
          <w:bottom w:w="0" w:type="dxa"/>
          <w:right w:w="0" w:type="dxa"/>
        </w:tblCellMar>
      </w:tblPr>
      <w:tblGrid>
        <w:gridCol w:w="1940"/>
        <w:gridCol w:w="60"/>
        <w:gridCol w:w="23"/>
        <w:gridCol w:w="60"/>
        <w:gridCol w:w="521"/>
        <w:gridCol w:w="85"/>
        <w:gridCol w:w="3177"/>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09627dex11.htm"/>
      <w:bookmarkStart w:id="3" w:name="ksd509627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4,500,000 Shares of Common Stock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10, 2023 </w:t>
      </w:r>
    </w:p>
    <w:p>
      <w:pPr>
        <w:pStyle w:val="TextBody"/>
        <w:bidi w:val="0"/>
        <w:spacing w:before="24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500 West 33rd Street </w:t>
      </w:r>
    </w:p>
    <w:p>
      <w:pPr>
        <w:pStyle w:val="TextBody"/>
        <w:bidi w:val="0"/>
        <w:spacing w:before="0" w:after="0"/>
        <w:jc w:val="left"/>
        <w:rPr>
          <w:rFonts w:ascii="Times New Roman" w:hAnsi="Times New Roman"/>
          <w:sz w:val="20"/>
        </w:rPr>
      </w:pPr>
      <w:r>
        <w:rPr>
          <w:rFonts w:ascii="Times New Roman" w:hAnsi="Times New Roman"/>
          <w:sz w:val="20"/>
        </w:rPr>
        <w:t xml:space="preserve">14th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Inc., a Delaware corporation (the Company), confirms its agreement with you and each of the other Underwriters named in Schedule 1 hereto (collectively, the Underwriters), for whom you are acting as representative (the Representative), with respect to the sale by the Company and the purchase by the Underwriters, acting severally and not jointly, of (i) 4,500,000 shares of common stock, par value $0.01 per share, of the Company (the Common Stock) and (ii) the option described in Section 2(b) hereof to purchase all or any part of 675,000 additional shares of Common Stock. The aforesaid 4,500,000 shares of the Common Stock (the Initial Securities) to be purchased by the Underwriters and all or any part of the 675,000 shares of Common Stock subject to the option described in Section 2(b) hereof (the Option Securities) are herein called, collectively,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will be issued in book-entry form to Cede &amp; Co. as nominee of the Depository Trust Company (DTC) pursuant to a blanket letter of representations, dated as of March 24, 2014, between the Company and DTC.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 deems advisable after this Agreement has been executed and delivered.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an automatic shelf registration statement on Form N-2 (File No. 333-269222), relating to the Securities and certain of the Companys other securities, which registration statement became effective upon filing with the Commission on January 13, 2023. The Company has also prepared and filed with the Commission a preliminary prospectus supplement, dated May 10, 2023, as such prospectus may be amended (the Preliminary Prospectus Supplement), which contains a base prospectus, dated January 13, 2023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497 (Rule 497).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497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497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497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under the rules of the Commission promulgated thereunder or otherwise to be a part of or included in the Registration Statement or the Prospectus, as the case may be, as of any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entered into an Amended and Restated Administration Agreement, dated as of February 22, 2017 (the Administration Agreement)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Preliminary Prospectus, which together with the pricing information set forth on Schedule 1 hereto, comprises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Applicable Time means 4:05 P.M., New York City time, on May 10, 2023. </w:t>
      </w:r>
    </w:p>
    <w:p>
      <w:pPr>
        <w:pStyle w:val="TextBody"/>
        <w:bidi w:val="0"/>
        <w:spacing w:before="240" w:after="0"/>
        <w:jc w:val="left"/>
        <w:rPr>
          <w:rFonts w:ascii="Times New Roman" w:hAnsi="Times New Roman"/>
          <w:sz w:val="20"/>
        </w:rPr>
      </w:pPr>
      <w:r>
        <w:rPr>
          <w:rFonts w:ascii="Times New Roman" w:hAnsi="Times New Roman"/>
          <w:sz w:val="20"/>
        </w:rPr>
        <w:t xml:space="preserve">Testing-the-Waters Communication means any oral or written communication with potential investors undertaken in reliance on Section 5(d)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Written Testing-the-Waters Communication means any Testing-the-Waters Communication that is a written communication within the meaning of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Securities by the Underwriters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Initial Securities set forth opposite such Underwriters name in Schedule 1 hereto at the price per share (the Purchase Price) of $17.33. </w:t>
      </w:r>
    </w:p>
    <w:p>
      <w:pPr>
        <w:pStyle w:val="TextBody"/>
        <w:bidi w:val="0"/>
        <w:spacing w:before="120" w:after="0"/>
        <w:jc w:val="left"/>
        <w:rPr>
          <w:rFonts w:ascii="Times New Roman" w:hAnsi="Times New Roman"/>
          <w:sz w:val="20"/>
        </w:rPr>
      </w:pPr>
      <w:r>
        <w:rPr>
          <w:rFonts w:ascii="Times New Roman" w:hAnsi="Times New Roman"/>
          <w:sz w:val="20"/>
        </w:rPr>
        <w:t xml:space="preserve">(b) In addition, on the basis of the representations and warranties herein contained and subject to the terms and conditions herein set forth, the Company hereby grants an option to the Underwriters, severally and not jointly, to purchase up to an additional 675,000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 and may be the same date as the Closing Time, but shall not be later than seven full business days after the exercise of said option, nor in any event prior to the Closing Time (unless such time and date are postponed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hereof).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Wells Fargo Securities, LLC in its sole discretion shall make to eliminate any sales or purchases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(c) The Company understands that the Underwriters intend to make a public offering of the Securities as soon after the effectiveness of this Agreement as in the judgment of the Representative is advisable, and initially to offer the Securities on the terms set forth in the Prospectus. The Company acknowledges and agrees that the Underwriters may offer and sell Securities to or through any affiliate of an Underwriter. </w:t>
      </w:r>
    </w:p>
    <w:p>
      <w:pPr>
        <w:pStyle w:val="TextBody"/>
        <w:bidi w:val="0"/>
        <w:spacing w:before="120" w:after="0"/>
        <w:jc w:val="left"/>
        <w:rPr>
          <w:rFonts w:ascii="Times New Roman" w:hAnsi="Times New Roman"/>
          <w:sz w:val="20"/>
        </w:rPr>
      </w:pPr>
      <w:r>
        <w:rPr>
          <w:rFonts w:ascii="Times New Roman" w:hAnsi="Times New Roman"/>
          <w:sz w:val="20"/>
        </w:rPr>
        <w:t xml:space="preserve">(d) Payment for the Securities shall be made by wire transfer in immediately available funds to the account specified by the Company to the Representative, at the offices of Ropes &amp; Gray LLP, 1211 Avenue of the Americas, New York, NY 10036, at 10:00 A.M., New York City time, on May 15, 2023, or at such other time or place on the same or such other date, not later than the fifth business day thereafter, as the Representative and the Company may agree upon in writing; or, in the case of the Option Securities, on the date and at the time and place specified by the Representative in the written notice of the Underwriters election to purchase such Option Securities. The time and date of such payment for the Initial Securities is referred to herein as the Closing Date, and the time and date for such payment for the Option Securities, if other than the Closing Date, is herein referred to as the Additional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Payment for the Securities to be purchased on the Closing Date or the Additional Closing Date, as the case may be, shall be made against delivery to the Representative for the respective accounts of the several Underwriters of the Securities to be purchased on such date with any transfer taxes payable in connection with the sale of such Securities duly paid by the Company. Delivery of the Securities shall be made through the facilities of DTC unless the Representative shall otherwise instruct.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the Preliminary Prospectus has been issued by the Commission, 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 and Marketing Materials</w:t>
      </w:r>
      <w:r>
        <w:rPr>
          <w:rFonts w:ascii="Times New Roman" w:hAnsi="Times New Roman"/>
          <w:sz w:val="20"/>
        </w:rPr>
        <w:t xml:space="preserve">. The Pricing Disclosure Package and any Marketing Materials (as defined below), 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Issuer Free Writing Prospectus</w:t>
      </w:r>
      <w:r>
        <w:rPr>
          <w:rFonts w:ascii="Times New Roman" w:hAnsi="Times New Roman"/>
          <w:sz w:val="20"/>
        </w:rPr>
        <w:t xml:space="preserve">.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the pricing terms included in Schedule 1 hereto and (vi) any electronic road show or other written communications, in each case approved in writing in advance by the Representative, such approval not to be unreasonably withheld. Each such Issuer Free Writing Prospectus,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 however</w:t>
      </w:r>
      <w:r>
        <w:rPr>
          <w:rFonts w:ascii="Times New Roman" w:hAnsi="Times New Roman"/>
          <w:sz w:val="20"/>
        </w:rPr>
        <w:t xml:space="preserve">,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Documents Incorporated by Reference</w:t>
      </w:r>
      <w:r>
        <w:rPr>
          <w:rFonts w:ascii="Times New Roman" w:hAnsi="Times New Roman"/>
          <w:sz w:val="20"/>
        </w:rPr>
        <w:t xml:space="preserve">.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Securities Exchange Act of 1934, as amended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Registration Statement and Prospectus.</w:t>
      </w:r>
      <w:r>
        <w:rPr>
          <w:rFonts w:ascii="Times New Roman" w:hAnsi="Times New Roman"/>
          <w:sz w:val="20"/>
        </w:rPr>
        <w:t xml:space="preserve"> The Company is eligible to use Form N-2. The Registration Statement became effective upon filing 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any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Testing-the-Waters Materials.</w:t>
      </w:r>
      <w:r>
        <w:rPr>
          <w:rFonts w:ascii="Times New Roman" w:hAnsi="Times New Roman"/>
          <w:sz w:val="20"/>
        </w:rPr>
        <w:t xml:space="preserve"> The Company (i) has not engaged in any Testing-the-Waters Communication and (ii) has not authorized anyone other than the Representative to engage in Testing-the-Waters Communications. The Company has not distributed any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Material Adverse Change.</w:t>
      </w:r>
      <w:r>
        <w:rPr>
          <w:rFonts w:ascii="Times New Roman" w:hAnsi="Times New Roman"/>
          <w:sz w:val="20"/>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Securities, the Investment Management Agreement and the Administration Agreement (a Material Adverse Effect). The subsidiaries listed in Schedule 3 to this Agreement are the only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As of March 31, 2023, the Company had authorized and outstanding capital stock and material indebtedness as set forth in the 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Stock Options. </w:t>
      </w:r>
      <w:r>
        <w:rPr>
          <w:rFonts w:ascii="Times New Roman" w:hAnsi="Times New Roman"/>
          <w:sz w:val="20"/>
        </w:rPr>
        <w:t xml:space="preserve">The Company has not granted, and has no policy or expectation of granting stock options.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Due Authorization.</w:t>
      </w:r>
      <w:r>
        <w:rPr>
          <w:rFonts w:ascii="Times New Roman" w:hAnsi="Times New Roman"/>
          <w:sz w:val="20"/>
        </w:rPr>
        <w:t xml:space="preserve"> The Company has corporate power and authority to execute and deliver this Agreement 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Investment Management Agreement and Administration Agreement.</w:t>
      </w:r>
      <w:r>
        <w:rPr>
          <w:rFonts w:ascii="Times New Roman" w:hAnsi="Times New Roman"/>
          <w:sz w:val="20"/>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The Securities</w:t>
      </w:r>
      <w:r>
        <w:rPr>
          <w:rFonts w:ascii="Times New Roman" w:hAnsi="Times New Roman"/>
          <w:sz w:val="20"/>
        </w:rPr>
        <w:t xml:space="preserve">. The Securities to be issued and sold by the Company hereunder have been duly authorized and, when 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Securities is not subject to any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Descriptions of Investment Management Agreement and Administration Agreement</w:t>
      </w:r>
      <w:r>
        <w:rPr>
          <w:rFonts w:ascii="Times New Roman" w:hAnsi="Times New Roman"/>
          <w:sz w:val="20"/>
        </w:rPr>
        <w:t xml:space="preserve">. Both the Investment Management Agreement and Administration Agreement conform in all material respects to the descriptions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the issuance and sale of the Securities and the consummation of the 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Company of this Agreement, the issuance and sale of the Securities and the consummation of the transactions contemplated by this Agreement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Notification of Election</w:t>
      </w:r>
      <w:r>
        <w:rPr>
          <w:rFonts w:ascii="Times New Roman" w:hAnsi="Times New Roman"/>
          <w:sz w:val="20"/>
        </w:rPr>
        <w:t xml:space="preserve">.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Election to be Treated as a Business Development Company</w:t>
      </w:r>
      <w:r>
        <w:rPr>
          <w:rFonts w:ascii="Times New Roman" w:hAnsi="Times New Roman"/>
          <w:sz w:val="20"/>
        </w:rPr>
        <w:t xml:space="preserve">. (A) The Company has duly elected to be treated by the Commission under 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and as of any Additional Closing Date, the operations of the Company are in compliance in all material respects with the provisions of the Investment Company Act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Independent Accountants</w:t>
      </w:r>
      <w:r>
        <w:rPr>
          <w:rFonts w:ascii="Times New Roman" w:hAnsi="Times New Roman"/>
          <w:sz w:val="20"/>
        </w:rPr>
        <w:t xml:space="preserve">.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Title to Real and Personal Property</w:t>
      </w:r>
      <w:r>
        <w:rPr>
          <w:rFonts w:ascii="Times New Roman" w:hAnsi="Times New Roman"/>
          <w:sz w:val="20"/>
        </w:rPr>
        <w:t xml:space="preserve">. Except as would not reasonably be expected, individually or in the aggregate, to have a Material 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3(z))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Title to Intellectual Property</w:t>
      </w:r>
      <w:r>
        <w:rPr>
          <w:rFonts w:ascii="Times New Roman" w:hAnsi="Times New Roman"/>
          <w:sz w:val="20"/>
        </w:rPr>
        <w:t xml:space="preserve">.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Investment Company Act</w:t>
      </w:r>
      <w:r>
        <w:rPr>
          <w:rFonts w:ascii="Times New Roman" w:hAnsi="Times New Roman"/>
          <w:sz w:val="20"/>
        </w:rPr>
        <w:t xml:space="preserve">. The Company is not and its subsidiaries are not, and, after giving effect to the offering and sale of the Securities 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Taxes. </w:t>
      </w:r>
      <w:r>
        <w:rPr>
          <w:rFonts w:ascii="Times New Roman" w:hAnsi="Times New Roman"/>
          <w:sz w:val="20"/>
        </w:rPr>
        <w:t xml:space="preserve">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Licenses and Permits.</w:t>
      </w:r>
      <w:r>
        <w:rPr>
          <w:rFonts w:ascii="Times New Roman" w:hAnsi="Times New Roman"/>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Disclosure Controls</w:t>
      </w:r>
      <w:r>
        <w:rPr>
          <w:rFonts w:ascii="Times New Roman" w:hAnsi="Times New Roman"/>
          <w:sz w:val="20"/>
        </w:rPr>
        <w:t xml:space="preserve">.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Insurance. </w:t>
      </w:r>
      <w:r>
        <w:rPr>
          <w:rFonts w:ascii="Times New Roman" w:hAnsi="Times New Roman"/>
          <w:sz w:val="20"/>
        </w:rPr>
        <w:t xml:space="preserve">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Conflicts with Sanctions Laws.</w:t>
      </w:r>
      <w:r>
        <w:rPr>
          <w:rFonts w:ascii="Times New Roman" w:hAnsi="Times New Roman"/>
          <w:sz w:val="20"/>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currently Cuba, Iran, North Korea, Russia, Syria, and the occupied Donetsk, Luhansk, and Crimea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Company Not Ineligible Issuer and is a Well-Known Seasoned Issuer</w:t>
      </w:r>
      <w:r>
        <w:rPr>
          <w:rFonts w:ascii="Times New Roman" w:hAnsi="Times New Roman"/>
          <w:sz w:val="20"/>
        </w:rPr>
        <w:t xml:space="preserve">. The Company is not an ineligible issuer and is a well-known seasoned issuer, in each case as defined under the Securities Act, in each case at the times specified in the Securities Act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Stabilization or Manipulation.</w:t>
      </w:r>
      <w:r>
        <w:rPr>
          <w:rFonts w:ascii="Times New Roman" w:hAnsi="Times New Roman"/>
          <w:sz w:val="20"/>
        </w:rPr>
        <w:t xml:space="preserve"> The Company has not taken, directly or indirectly, without giving effect to any activities by the Underwriters, any action designed, or that would reasonably be expected, to cause or result in any stabilization or manipulation of the price of the Securities, other than permitted activity pursuant to Regulation M and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the Registration Statement, the Pricing Disclosure Package and the Prospectus is not based on or derived from sources that are reasonably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Rule 38a-1 Compliance</w:t>
      </w:r>
      <w:r>
        <w:rPr>
          <w:rFonts w:ascii="Times New Roman" w:hAnsi="Times New Roman"/>
          <w:sz w:val="20"/>
        </w:rPr>
        <w:t xml:space="preserve">.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Regulated Investment Company</w:t>
      </w:r>
      <w:r>
        <w:rPr>
          <w:rFonts w:ascii="Times New Roman" w:hAnsi="Times New Roman"/>
          <w:sz w:val="20"/>
        </w:rPr>
        <w:t xml:space="preserve">.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Cybersecurity</w:t>
      </w:r>
      <w:r>
        <w:rPr>
          <w:rFonts w:ascii="Times New Roman" w:hAnsi="Times New Roman"/>
          <w:sz w:val="20"/>
        </w:rPr>
        <w:t>. (A) To the Companys knowledge, in the last three years, there has been no material security breach or other material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hAnsi="Times New Roman"/>
          <w:sz w:val="20"/>
          <w:u w:val="single"/>
        </w:rPr>
        <w:t>IT Systems and Data</w:t>
      </w:r>
      <w:r>
        <w:rPr>
          <w:rFonts w:ascii="Times New Roman" w:hAnsi="Times New Roman"/>
          <w:sz w:val="20"/>
        </w:rPr>
        <w:t xml:space="preserve">);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Adviser</w:t>
      </w:r>
      <w:r>
        <w:rPr>
          <w:rFonts w:ascii="Times New Roman" w:hAnsi="Times New Roman"/>
          <w:sz w:val="20"/>
        </w:rPr>
        <w:t xml:space="preserve">. The Adviser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Material Adverse Change.</w:t>
      </w:r>
      <w:r>
        <w:rPr>
          <w:rFonts w:ascii="Times New Roman" w:hAnsi="Times New Roman"/>
          <w:sz w:val="20"/>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Organization and Good Standing.</w:t>
      </w:r>
      <w:r>
        <w:rPr>
          <w:rFonts w:ascii="Times New Roman" w:hAnsi="Times New Roman"/>
          <w:sz w:val="20"/>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Registration as an Investment Adviser</w:t>
      </w:r>
      <w:r>
        <w:rPr>
          <w:rFonts w:ascii="Times New Roman" w:hAnsi="Times New Roman"/>
          <w:sz w:val="20"/>
        </w:rPr>
        <w:t xml:space="preserve">.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Adviser.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Investment Management Agreement and the Administration Agreement.</w:t>
      </w:r>
      <w:r>
        <w:rPr>
          <w:rFonts w:ascii="Times New Roman" w:hAnsi="Times New Roman"/>
          <w:sz w:val="20"/>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Violation or Default.</w:t>
      </w:r>
      <w:r>
        <w:rPr>
          <w:rFonts w:ascii="Times New Roman" w:hAnsi="Times New Roman"/>
          <w:sz w:val="20"/>
        </w:rPr>
        <w:t xml:space="preserve"> 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Conflicts. </w:t>
      </w:r>
      <w:r>
        <w:rPr>
          <w:rFonts w:ascii="Times New Roman" w:hAnsi="Times New Roman"/>
          <w:sz w:val="20"/>
        </w:rPr>
        <w:t xml:space="preserve">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Licenses and Permits.</w:t>
      </w:r>
      <w:r>
        <w:rPr>
          <w:rFonts w:ascii="Times New Roman" w:hAnsi="Times New Roman"/>
          <w:sz w:val="20"/>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Description of the Adviser</w:t>
      </w:r>
      <w:r>
        <w:rPr>
          <w:rFonts w:ascii="Times New Roman" w:hAnsi="Times New Roman"/>
          <w:sz w:val="20"/>
        </w:rPr>
        <w:t xml:space="preserve">. The description of the Adviser and its respective principals and business in the Registration Statement, Pricing 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Resources</w:t>
      </w:r>
      <w:r>
        <w:rPr>
          <w:rFonts w:ascii="Times New Roman" w:hAnsi="Times New Roman"/>
          <w:sz w:val="20"/>
        </w:rPr>
        <w:t xml:space="preserve">. The Adviser has the financial resources available to it necessary for the performance of its services and obligations contemplated in the Pricing Disclosure Package, the Prospectus, and under this Agreement, the Investment Management Agreement and the Administration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Internal Controls</w:t>
      </w:r>
      <w:r>
        <w:rPr>
          <w:rFonts w:ascii="Times New Roman" w:hAnsi="Times New Roman"/>
          <w:sz w:val="20"/>
        </w:rPr>
        <w:t xml:space="preserve">. The Adviser maintains a system of internal accounting controls sufficient to provide reasonable assurance that (i) 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No Unlawful Payments.</w:t>
      </w:r>
      <w:r>
        <w:rPr>
          <w:rFonts w:ascii="Times New Roman" w:hAnsi="Times New Roman"/>
          <w:sz w:val="20"/>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Compliance with Money Laundering Laws</w:t>
      </w:r>
      <w:r>
        <w:rPr>
          <w:rFonts w:ascii="Times New Roman" w:hAnsi="Times New Roman"/>
          <w:sz w:val="20"/>
        </w:rPr>
        <w:t xml:space="preserve">.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Conflicts with Sanctions Laws.</w:t>
      </w:r>
      <w:r>
        <w:rPr>
          <w:rFonts w:ascii="Times New Roman" w:hAnsi="Times New Roman"/>
          <w:sz w:val="20"/>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Stabilization or Manipulation.</w:t>
      </w:r>
      <w:r>
        <w:rPr>
          <w:rFonts w:ascii="Times New Roman" w:hAnsi="Times New Roman"/>
          <w:sz w:val="20"/>
        </w:rPr>
        <w:t xml:space="preserve"> The Adviser has not taken, directly or indirectly, without giving effect to any activities by the Underwriters, any action designed to or that would reasonably be expected to cause or result in any stabilization or manipulation of the price of the Securities, other than permitted activity pursuant to Regulation M and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Key Employees. </w:t>
      </w:r>
      <w:r>
        <w:rPr>
          <w:rFonts w:ascii="Times New Roman" w:hAnsi="Times New Roman"/>
          <w:sz w:val="20"/>
        </w:rPr>
        <w:t xml:space="preserve">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Labor Disputes.</w:t>
      </w:r>
      <w:r>
        <w:rPr>
          <w:rFonts w:ascii="Times New Roman" w:hAnsi="Times New Roman"/>
          <w:sz w:val="20"/>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497 and Rule 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without charge, (i) to the Representative, electronic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w:t>
      </w:r>
      <w:r>
        <w:rPr>
          <w:rFonts w:ascii="Times New Roman" w:hAnsi="Times New Roman"/>
          <w:sz w:val="20"/>
        </w:rPr>
        <w:t xml:space="preserve"> Before using, authorizing, approving, referring to or filing any amendment or supplement to the Registration 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Marketing Materials</w:t>
      </w:r>
      <w:r>
        <w:rPr>
          <w:rFonts w:ascii="Times New Roman" w:hAnsi="Times New Roman"/>
          <w:sz w:val="20"/>
        </w:rPr>
        <w:t xml:space="preserve">. Before using, authorizing, approving, referring to or distributing any Marketing Materials, the Company will furnish to the Representative and counsel for the Underwriters a copy of such materials for review and will not use, authorize, approve, refer to or distribute any such materials to which the Representative reasonably objects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 to the Representative.</w:t>
      </w:r>
      <w:r>
        <w:rPr>
          <w:rFonts w:ascii="Times New Roman" w:hAnsi="Times New Roman"/>
          <w:sz w:val="20"/>
        </w:rPr>
        <w:t xml:space="preserve"> The Company will advise the Representative promptly, and confirm such advice in writing, (i) when any 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Blue Sky Compliance.</w:t>
      </w:r>
      <w:r>
        <w:rPr>
          <w:rFonts w:ascii="Times New Roman" w:hAnsi="Times New Roman"/>
          <w:sz w:val="20"/>
        </w:rPr>
        <w:t xml:space="preserve"> The Company will use commercially reasonable efforts, in cooperation with the Representative, to qualify the Securities for offer and sale under the securities or Blue Sky laws of such jurisdictions as the Representative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hAnsi="Times New Roman"/>
          <w:i/>
          <w:sz w:val="20"/>
        </w:rPr>
        <w:t>provided that</w:t>
      </w:r>
      <w:r>
        <w:rPr>
          <w:rFonts w:ascii="Times New Roman" w:hAnsi="Times New Roman"/>
          <w:sz w:val="20"/>
        </w:rPr>
        <w:t xml:space="preserve"> the Company will be deemed to have complied with such requirement by filing such an earning statement on the Commissions Electronic Data Gathering, Analysis, and Retrieval system (or any successor system) (EDGAR).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Clear Market.</w:t>
      </w:r>
      <w:r>
        <w:rPr>
          <w:rFonts w:ascii="Times New Roman" w:hAnsi="Times New Roman"/>
          <w:sz w:val="20"/>
        </w:rPr>
        <w:t xml:space="preserve"> For a period of 30 days after the date of the Prospectus,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publicly disclose the intention to make any such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Representative on behalf of the Underwriters, other than the (A) Securities to be sold hereunder and (B) shares of Common Stock issued or delivered in connection with the Companys dividend reinvestment plan.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w:t>
      </w:r>
      <w:r>
        <w:rPr>
          <w:rFonts w:ascii="Times New Roman" w:hAnsi="Times New Roman"/>
          <w:sz w:val="20"/>
        </w:rPr>
        <w:t xml:space="preserve">. The Company will apply the net proceeds from the sale of the Securities in all material respects as described in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Stabilization or Manipulation.</w:t>
      </w:r>
      <w:r>
        <w:rPr>
          <w:rFonts w:ascii="Times New Roman" w:hAnsi="Times New Roman"/>
          <w:sz w:val="20"/>
        </w:rPr>
        <w:t xml:space="preserve"> The Company will not take, directly or indirectly, without giving effect to any activities by the Underwriters, any action designed, or that would reasonably be expected, to cause or result in any stabilization or manipulation of the price of the Common Stock.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Exchange Listing.</w:t>
      </w:r>
      <w:r>
        <w:rPr>
          <w:rFonts w:ascii="Times New Roman" w:hAnsi="Times New Roman"/>
          <w:sz w:val="20"/>
        </w:rPr>
        <w:t xml:space="preserve"> The Company will use its best efforts to effect and maintain the listing of the Securities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Reports.</w:t>
      </w:r>
      <w:r>
        <w:rPr>
          <w:rFonts w:ascii="Times New Roman" w:hAnsi="Times New Roman"/>
          <w:sz w:val="20"/>
        </w:rPr>
        <w:t xml:space="preserve"> For a period of one year from the date of this Agreement, so long as the Securities are outstanding, the Company will furnish to 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 to the extent they are filed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Business Development Company</w:t>
      </w:r>
      <w:r>
        <w:rPr>
          <w:rFonts w:ascii="Times New Roman" w:hAnsi="Times New Roman"/>
          <w:sz w:val="20"/>
        </w:rPr>
        <w:t xml:space="preserve">. The Company, during a period of twelve months from the date of the Prospectus, will use commercially reasonable efforts to maintain its status as a business development company under the Investment Company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change the nature of its business so as to cease to be, or withdraw its election to be treated as, a business development company with the approval of its Board of Directors and a vote of stockholders as required by Section 58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Regulated Investment Company.</w:t>
      </w:r>
      <w:r>
        <w:rPr>
          <w:rFonts w:ascii="Times New Roman" w:hAnsi="Times New Roman"/>
          <w:sz w:val="20"/>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Representative (i) it will not distribute any offering material other than the Registration Statement, the Pricing Disclosure Package, the Prospectus or the information set forth on Schedule 1 hereto, and (ii) it has not made and will not make any offer relating to the Securities that would constitute a free writing prospectus as defined in Rule 405 under the Securities Act (other than for the information set forth on Schedule 1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Certain Agreements of the Underwriters</w:t>
      </w:r>
      <w:r>
        <w:rPr>
          <w:rFonts w:ascii="Times New Roman" w:hAnsi="Times New Roman"/>
          <w:sz w:val="20"/>
        </w:rPr>
        <w:t xml:space="preserve">. Each Underwriter hereby represents, warrants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It is not subject to any pending proceeding under Section 8A of the Securities Act with respect to the offering contemplated by this Agreement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Initial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or any post-effective 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and the Adviser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Change.</w:t>
      </w:r>
      <w:r>
        <w:rPr>
          <w:rFonts w:ascii="Times New Roman" w:hAnsi="Times New Roman"/>
          <w:sz w:val="20"/>
        </w:rPr>
        <w:t xml:space="preserve"> No event or condition of a type described in Section 3(h) and Section 4(a)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Companys Officers Certificate.</w:t>
      </w:r>
      <w:r>
        <w:rPr>
          <w:rFonts w:ascii="Times New Roman" w:hAnsi="Times New Roman"/>
          <w:sz w:val="20"/>
        </w:rPr>
        <w:t xml:space="preserve"> The Representative shall have received on and as of the Closing Date or the Additional Closing Date, as the case 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Advisers Officers Certificate.</w:t>
      </w:r>
      <w:r>
        <w:rPr>
          <w:rFonts w:ascii="Times New Roman" w:hAnsi="Times New Roman"/>
          <w:sz w:val="20"/>
        </w:rPr>
        <w:t xml:space="preserve"> The Representative shall have received on and as of the Closing Date or the Additional Closing Date, as the case may be,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On the date of this Agreement and on the Closing Date or the Additional Closing Date, as the case may be KPMG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or the Additional Closing Date, as the case may be, shall use a cut-off date no more than three business days prior to the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 and Adviser.</w:t>
      </w:r>
      <w:r>
        <w:rPr>
          <w:rFonts w:ascii="Times New Roman" w:hAnsi="Times New Roman"/>
          <w:sz w:val="20"/>
        </w:rPr>
        <w:t xml:space="preserve"> Cleary Gottlieb Steen &amp; Hamilton LLP, counsel for the Company and the Adviser, shall have furnished to the Representative, at the request of the Company and the Adviser, their written opinions and 10b-5 letter, dated the Closing Date or the Additional Closing Date, as the case may be, and addressed to the Underwriters, in form and substance reasonably satisfactory to the Representative. Proskauer Rose LLP, Investment Company Act counsel for the Company and Advisers Act counsel for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In-house counsel to the Company and the Adviser, shall have furnished to the Representative its written opinion, dated the Closing Date or the Additional Closing Date, as the case may be, and addressed to the Underwriters, in form and substance reasonably satisfactory to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and 10b-5 Statement of Counsel for the Underwriters.</w:t>
      </w:r>
      <w:r>
        <w:rPr>
          <w:rFonts w:ascii="Times New Roman" w:hAnsi="Times New Roman"/>
          <w:sz w:val="20"/>
        </w:rPr>
        <w:t xml:space="preserve"> The Representative shall have received on and as of the Closing Date or the Additional Closing Date, as the case may be, an 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and sale of the Securities; and no injunction or order of any federal, state or foreign court shall have been issued that would, as of the Closing Date or the Additional Closing Date, as the case may be, prevent the issuance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Good Standing</w:t>
      </w:r>
      <w:r>
        <w:rPr>
          <w:rFonts w:ascii="Times New Roman" w:hAnsi="Times New Roman"/>
          <w:sz w:val="20"/>
        </w:rPr>
        <w:t xml:space="preserve">. The Representative shall have received on and as of the Closing Date or the Additional Closing Date, as the case may be,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Securities to be delivered on the Closing Date or Additional Closing Date, as the case may be, shall have been duly listed, subject to official notice of issuance,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Lock-up Agreements</w:t>
      </w:r>
      <w:r>
        <w:rPr>
          <w:rFonts w:ascii="Times New Roman" w:hAnsi="Times New Roman"/>
          <w:sz w:val="20"/>
        </w:rPr>
        <w:t xml:space="preserve">. The lock-up agreements, each substantially in the form of Exhibit A hereto, from all the officers and directors of the Company listed in Schedule 4 and from the Adviser, relating to sales and certain other dispositions of shares of common stock or certain other securities, delivered to you on or before the date hereof, shall be in full force and effect on the Closing Date or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Chief Financial Officers Certificate</w:t>
      </w:r>
      <w:r>
        <w:rPr>
          <w:rFonts w:ascii="Times New Roman" w:hAnsi="Times New Roman"/>
          <w:sz w:val="20"/>
        </w:rPr>
        <w:t xml:space="preserve">. On on the Closing Date or Additional Closing Date, as the case may be, the Company shall have furnished to the Representative a certificate, dated the respective dates of delivery thereof, of its chief financial officer with respect to certain financial data contained in the Pricing Disclosure Package and the Prospectus, providing management comfort with respect to such information, in form and substance reasonably satisfactory to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shall have furnished to the Representative such further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and the information regarding stabilizing transactions contained in the eleventh, twelfth and thirteenth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8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 </w:t>
      </w:r>
    </w:p>
    <w:p>
      <w:pPr>
        <w:pStyle w:val="TextBody"/>
        <w:bidi w:val="0"/>
        <w:spacing w:before="12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 </w:t>
      </w:r>
    </w:p>
    <w:p>
      <w:pPr>
        <w:pStyle w:val="TextBody"/>
        <w:bidi w:val="0"/>
        <w:spacing w:before="12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exceeds one-eleventh of the aggregate principal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 (vii) and clause (iv), in the aggregate, shall not exceed $15,000); (viii) all expenses incurred by the Company in connection with any road show presentation to potential investors, </w:t>
      </w:r>
      <w:r>
        <w:rPr>
          <w:rFonts w:ascii="Times New Roman" w:hAnsi="Times New Roman"/>
          <w:sz w:val="20"/>
          <w:u w:val="single"/>
        </w:rPr>
        <w:t>provided, however</w:t>
      </w:r>
      <w:r>
        <w:rPr>
          <w:rFonts w:ascii="Times New Roman" w:hAnsi="Times New Roman"/>
          <w:sz w:val="20"/>
        </w:rPr>
        <w:t xml:space="preserve">, that the Underwriters shall be responsible for 50% of the third-party costs of any chartered private aircraft incurred in connection with such road show; and (ix) all expenses and application fees related to the listing of the Securities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 c/o Wells Fargo Securities, LLC, 500 West 33rd Street, New York, New York 10001, Attention: Equity Syndicate Department (fax no: (212) 214--5918). Notices to the Company or the Adviser shall be given to either of them at Sixth Street Specialty Lending, Inc., 345 California Street, Suite 3300, San Francisco, California 94104 (fax: (415) 486-5929), Attention: Joshua Peck.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Counterparts.</w:t>
      </w:r>
      <w:r>
        <w:rPr>
          <w:rFonts w:ascii="Times New Roman" w:hAnsi="Times New Roman"/>
          <w:sz w:val="20"/>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Authority of the Representative</w:t>
      </w:r>
      <w:r>
        <w:rPr>
          <w:rFonts w:ascii="Times New Roman" w:hAnsi="Times New Roman"/>
          <w:sz w:val="20"/>
        </w:rPr>
        <w:t xml:space="preserve">. The Representative is duly authorized to act hereunder on behalf of the other Underwriters. Any action by the Underwriters hereunder may be taken by the Representative on behalf of the Underwriters, and any such action taken by the Representative shall be binding on all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2"/>
        <w:gridCol w:w="60"/>
        <w:gridCol w:w="367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INC.</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tcPr>
          <w:p>
            <w:pPr>
              <w:pStyle w:val="TableContents"/>
              <w:bidi w:val="0"/>
              <w:spacing w:before="0" w:after="283"/>
              <w:jc w:val="left"/>
              <w:rPr/>
            </w:pPr>
            <w:r>
              <w:rPr/>
              <w:t>/s/ Ian T. Simmonds</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Ian T. Simmonds</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ADVISERS, LLC</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tcPr>
          <w:p>
            <w:pPr>
              <w:pStyle w:val="TableContents"/>
              <w:bidi w:val="0"/>
              <w:spacing w:before="0" w:after="283"/>
              <w:jc w:val="left"/>
              <w:rPr/>
            </w:pPr>
            <w:r>
              <w:rPr/>
              <w:t>/s/ Ian T. Simmonds</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Ian T. Simmonds</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Acting on behalf of itself and the several Underwriters listed in Schedule 1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Jaime Cohen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Jaime Cohen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per share for the Securities shall be $17.60.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as to each investor shall be the price paid by each investor.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8"/>
        <w:gridCol w:w="399"/>
        <w:gridCol w:w="88"/>
        <w:gridCol w:w="1477"/>
        <w:gridCol w:w="63"/>
      </w:tblGrid>
      <w:tr>
        <w:trPr/>
        <w:tc>
          <w:tcPr>
            <w:tcW w:w="81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7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Underwriter</w:t>
            </w:r>
          </w:p>
        </w:tc>
        <w:tc>
          <w:tcPr>
            <w:tcW w:w="399"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Initial Securities</w:t>
              <w:br/>
              <w:t>to be Purchased</w:t>
            </w:r>
          </w:p>
        </w:tc>
        <w:tc>
          <w:tcPr>
            <w:tcW w:w="63"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967,500</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967,500</w:t>
            </w:r>
          </w:p>
        </w:tc>
        <w:tc>
          <w:tcPr>
            <w:tcW w:w="63"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675,000</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450,000</w:t>
            </w:r>
          </w:p>
        </w:tc>
        <w:tc>
          <w:tcPr>
            <w:tcW w:w="63"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450,000</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450,000</w:t>
            </w:r>
          </w:p>
        </w:tc>
        <w:tc>
          <w:tcPr>
            <w:tcW w:w="63"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270,000</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270,000</w:t>
            </w:r>
          </w:p>
        </w:tc>
        <w:tc>
          <w:tcPr>
            <w:tcW w:w="63" w:type="dxa"/>
            <w:tcBorders/>
            <w:vAlign w:val="bottom"/>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4,500,000</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3 </w:t>
      </w:r>
    </w:p>
    <w:p>
      <w:pPr>
        <w:pStyle w:val="TextBody"/>
        <w:bidi w:val="0"/>
        <w:spacing w:before="240" w:after="0"/>
        <w:jc w:val="center"/>
        <w:rPr>
          <w:rFonts w:ascii="Times New Roman" w:hAnsi="Times New Roman"/>
          <w:sz w:val="20"/>
        </w:rPr>
      </w:pPr>
      <w:r>
        <w:rPr>
          <w:rFonts w:ascii="Times New Roman" w:hAnsi="Times New Roman"/>
          <w:sz w:val="20"/>
        </w:rPr>
        <w:t xml:space="preserve">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TC Lending, LLC </w:t>
      </w:r>
    </w:p>
    <w:p>
      <w:pPr>
        <w:pStyle w:val="TextBody"/>
        <w:bidi w:val="0"/>
        <w:spacing w:before="0" w:after="0"/>
        <w:jc w:val="left"/>
        <w:rPr>
          <w:rFonts w:ascii="Times New Roman" w:hAnsi="Times New Roman"/>
          <w:sz w:val="20"/>
        </w:rPr>
      </w:pPr>
      <w:r>
        <w:rPr>
          <w:rFonts w:ascii="Times New Roman" w:hAnsi="Times New Roman"/>
          <w:sz w:val="20"/>
        </w:rPr>
        <w:t xml:space="preserve">2. Sixth Street SL SPV, LLC </w:t>
      </w:r>
    </w:p>
    <w:p>
      <w:pPr>
        <w:pStyle w:val="TextBody"/>
        <w:bidi w:val="0"/>
        <w:spacing w:before="0" w:after="0"/>
        <w:jc w:val="left"/>
        <w:rPr>
          <w:rFonts w:ascii="Times New Roman" w:hAnsi="Times New Roman"/>
          <w:sz w:val="20"/>
        </w:rPr>
      </w:pPr>
      <w:r>
        <w:rPr>
          <w:rFonts w:ascii="Times New Roman" w:hAnsi="Times New Roman"/>
          <w:sz w:val="20"/>
        </w:rPr>
        <w:t xml:space="preserve">3. Sixth Street SL Holdings, LLC </w:t>
      </w:r>
    </w:p>
    <w:p>
      <w:pPr>
        <w:pStyle w:val="TextBody"/>
        <w:bidi w:val="0"/>
        <w:spacing w:before="0" w:after="0"/>
        <w:jc w:val="left"/>
        <w:rPr>
          <w:rFonts w:ascii="Times New Roman" w:hAnsi="Times New Roman"/>
          <w:sz w:val="20"/>
        </w:rPr>
      </w:pPr>
      <w:r>
        <w:rPr>
          <w:rFonts w:ascii="Times New Roman" w:hAnsi="Times New Roman"/>
          <w:sz w:val="20"/>
        </w:rPr>
        <w:t xml:space="preserve">4. Sixth Street Specialty Lending Sub,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4 </w:t>
      </w:r>
    </w:p>
    <w:p>
      <w:pPr>
        <w:pStyle w:val="TextBody"/>
        <w:bidi w:val="0"/>
        <w:spacing w:before="240" w:after="0"/>
        <w:jc w:val="center"/>
        <w:rPr>
          <w:rFonts w:ascii="Times New Roman" w:hAnsi="Times New Roman"/>
          <w:sz w:val="20"/>
        </w:rPr>
      </w:pPr>
      <w:r>
        <w:rPr>
          <w:rFonts w:ascii="Times New Roman" w:hAnsi="Times New Roman"/>
          <w:sz w:val="20"/>
        </w:rPr>
        <w:t xml:space="preserve">List of Directors and Officers Subject to Lock-Up </w:t>
      </w:r>
    </w:p>
    <w:p>
      <w:pPr>
        <w:pStyle w:val="TextBody"/>
        <w:bidi w:val="0"/>
        <w:spacing w:before="240" w:after="0"/>
        <w:jc w:val="left"/>
        <w:rPr>
          <w:rFonts w:ascii="Times New Roman" w:hAnsi="Times New Roman"/>
          <w:sz w:val="20"/>
        </w:rPr>
      </w:pPr>
      <w:r>
        <w:rPr>
          <w:rFonts w:ascii="Times New Roman" w:hAnsi="Times New Roman"/>
          <w:sz w:val="20"/>
        </w:rPr>
        <w:t xml:space="preserve">Hurley Doddy </w:t>
      </w:r>
    </w:p>
    <w:p>
      <w:pPr>
        <w:pStyle w:val="TextBody"/>
        <w:bidi w:val="0"/>
        <w:spacing w:before="0" w:after="0"/>
        <w:jc w:val="left"/>
        <w:rPr>
          <w:rFonts w:ascii="Times New Roman" w:hAnsi="Times New Roman"/>
          <w:sz w:val="20"/>
        </w:rPr>
      </w:pPr>
      <w:r>
        <w:rPr>
          <w:rFonts w:ascii="Times New Roman" w:hAnsi="Times New Roman"/>
          <w:sz w:val="20"/>
        </w:rPr>
        <w:t xml:space="preserve">Joshua Easterly </w:t>
      </w:r>
    </w:p>
    <w:p>
      <w:pPr>
        <w:pStyle w:val="TextBody"/>
        <w:bidi w:val="0"/>
        <w:spacing w:before="0" w:after="0"/>
        <w:jc w:val="left"/>
        <w:rPr>
          <w:rFonts w:ascii="Times New Roman" w:hAnsi="Times New Roman"/>
          <w:sz w:val="20"/>
        </w:rPr>
      </w:pPr>
      <w:r>
        <w:rPr>
          <w:rFonts w:ascii="Times New Roman" w:hAnsi="Times New Roman"/>
          <w:sz w:val="20"/>
        </w:rPr>
        <w:t xml:space="preserve">Robert (Bo) Stanley </w:t>
      </w:r>
    </w:p>
    <w:p>
      <w:pPr>
        <w:pStyle w:val="TextBody"/>
        <w:bidi w:val="0"/>
        <w:spacing w:before="0" w:after="0"/>
        <w:jc w:val="left"/>
        <w:rPr>
          <w:rFonts w:ascii="Times New Roman" w:hAnsi="Times New Roman"/>
          <w:sz w:val="20"/>
        </w:rPr>
      </w:pPr>
      <w:r>
        <w:rPr>
          <w:rFonts w:ascii="Times New Roman" w:hAnsi="Times New Roman"/>
          <w:sz w:val="20"/>
        </w:rPr>
        <w:t xml:space="preserve">Michael Fishman </w:t>
      </w:r>
    </w:p>
    <w:p>
      <w:pPr>
        <w:pStyle w:val="TextBody"/>
        <w:bidi w:val="0"/>
        <w:spacing w:before="0" w:after="0"/>
        <w:jc w:val="left"/>
        <w:rPr>
          <w:rFonts w:ascii="Times New Roman" w:hAnsi="Times New Roman"/>
          <w:sz w:val="20"/>
        </w:rPr>
      </w:pPr>
      <w:r>
        <w:rPr>
          <w:rFonts w:ascii="Times New Roman" w:hAnsi="Times New Roman"/>
          <w:sz w:val="20"/>
        </w:rPr>
        <w:t xml:space="preserve">Richard Higginbotham </w:t>
      </w:r>
    </w:p>
    <w:p>
      <w:pPr>
        <w:pStyle w:val="TextBody"/>
        <w:bidi w:val="0"/>
        <w:spacing w:before="0" w:after="0"/>
        <w:jc w:val="left"/>
        <w:rPr>
          <w:rFonts w:ascii="Times New Roman" w:hAnsi="Times New Roman"/>
          <w:sz w:val="20"/>
        </w:rPr>
      </w:pPr>
      <w:r>
        <w:rPr>
          <w:rFonts w:ascii="Times New Roman" w:hAnsi="Times New Roman"/>
          <w:sz w:val="20"/>
        </w:rPr>
        <w:t xml:space="preserve">John Ross </w:t>
      </w:r>
    </w:p>
    <w:p>
      <w:pPr>
        <w:pStyle w:val="TextBody"/>
        <w:bidi w:val="0"/>
        <w:spacing w:before="0" w:after="0"/>
        <w:jc w:val="left"/>
        <w:rPr>
          <w:rFonts w:ascii="Times New Roman" w:hAnsi="Times New Roman"/>
          <w:sz w:val="20"/>
        </w:rPr>
      </w:pPr>
      <w:r>
        <w:rPr>
          <w:rFonts w:ascii="Times New Roman" w:hAnsi="Times New Roman"/>
          <w:sz w:val="20"/>
        </w:rPr>
        <w:t xml:space="preserve">Judy Slotkin </w:t>
      </w:r>
    </w:p>
    <w:p>
      <w:pPr>
        <w:pStyle w:val="TextBody"/>
        <w:bidi w:val="0"/>
        <w:spacing w:before="0" w:after="0"/>
        <w:jc w:val="left"/>
        <w:rPr>
          <w:rFonts w:ascii="Times New Roman" w:hAnsi="Times New Roman"/>
          <w:sz w:val="20"/>
        </w:rPr>
      </w:pPr>
      <w:r>
        <w:rPr>
          <w:rFonts w:ascii="Times New Roman" w:hAnsi="Times New Roman"/>
          <w:sz w:val="20"/>
        </w:rPr>
        <w:t xml:space="preserve">Ronald Tanemura </w:t>
      </w:r>
    </w:p>
    <w:p>
      <w:pPr>
        <w:pStyle w:val="TextBody"/>
        <w:bidi w:val="0"/>
        <w:spacing w:before="0" w:after="0"/>
        <w:jc w:val="left"/>
        <w:rPr>
          <w:rFonts w:ascii="Times New Roman" w:hAnsi="Times New Roman"/>
          <w:sz w:val="20"/>
        </w:rPr>
      </w:pPr>
      <w:r>
        <w:rPr>
          <w:rFonts w:ascii="Times New Roman" w:hAnsi="Times New Roman"/>
          <w:sz w:val="20"/>
        </w:rPr>
        <w:t xml:space="preserve">Ian Simmonds </w:t>
      </w:r>
    </w:p>
    <w:p>
      <w:pPr>
        <w:pStyle w:val="TextBody"/>
        <w:bidi w:val="0"/>
        <w:spacing w:before="0" w:after="0"/>
        <w:jc w:val="left"/>
        <w:rPr>
          <w:rFonts w:ascii="Times New Roman" w:hAnsi="Times New Roman"/>
          <w:sz w:val="20"/>
        </w:rPr>
      </w:pPr>
      <w:r>
        <w:rPr>
          <w:rFonts w:ascii="Times New Roman" w:hAnsi="Times New Roman"/>
          <w:sz w:val="20"/>
        </w:rPr>
        <w:t xml:space="preserve">Alan Waxman </w:t>
      </w:r>
    </w:p>
    <w:p>
      <w:pPr>
        <w:pStyle w:val="TextBody"/>
        <w:bidi w:val="0"/>
        <w:spacing w:before="0" w:after="0"/>
        <w:jc w:val="left"/>
        <w:rPr>
          <w:rFonts w:ascii="Times New Roman" w:hAnsi="Times New Roman"/>
          <w:sz w:val="20"/>
        </w:rPr>
      </w:pPr>
      <w:r>
        <w:rPr>
          <w:rFonts w:ascii="Times New Roman" w:hAnsi="Times New Roman"/>
          <w:sz w:val="20"/>
        </w:rPr>
        <w:t xml:space="preserve">David Stiepleman </w:t>
      </w:r>
    </w:p>
    <w:p>
      <w:pPr>
        <w:pStyle w:val="TextBody"/>
        <w:bidi w:val="0"/>
        <w:spacing w:before="0" w:after="0"/>
        <w:jc w:val="left"/>
        <w:rPr>
          <w:rFonts w:ascii="Times New Roman" w:hAnsi="Times New Roman"/>
          <w:sz w:val="20"/>
        </w:rPr>
      </w:pPr>
      <w:r>
        <w:rPr>
          <w:rFonts w:ascii="Times New Roman" w:hAnsi="Times New Roman"/>
          <w:sz w:val="20"/>
        </w:rPr>
        <w:t xml:space="preserve">Steven Pluss </w:t>
      </w:r>
    </w:p>
    <w:p>
      <w:pPr>
        <w:pStyle w:val="TextBody"/>
        <w:bidi w:val="0"/>
        <w:spacing w:before="0" w:after="0"/>
        <w:jc w:val="left"/>
        <w:rPr>
          <w:rFonts w:ascii="Times New Roman" w:hAnsi="Times New Roman"/>
          <w:sz w:val="20"/>
        </w:rPr>
      </w:pPr>
      <w:r>
        <w:rPr>
          <w:rFonts w:ascii="Times New Roman" w:hAnsi="Times New Roman"/>
          <w:sz w:val="20"/>
        </w:rPr>
        <w:t xml:space="preserve">Craig Hamrah </w:t>
      </w:r>
    </w:p>
    <w:p>
      <w:pPr>
        <w:pStyle w:val="TextBody"/>
        <w:bidi w:val="0"/>
        <w:spacing w:before="0" w:after="0"/>
        <w:jc w:val="left"/>
        <w:rPr>
          <w:rFonts w:ascii="Times New Roman" w:hAnsi="Times New Roman"/>
          <w:sz w:val="20"/>
        </w:rPr>
      </w:pPr>
      <w:r>
        <w:rPr>
          <w:rFonts w:ascii="Times New Roman" w:hAnsi="Times New Roman"/>
          <w:sz w:val="20"/>
        </w:rPr>
        <w:t xml:space="preserve">Jennifer Gordon </w:t>
      </w:r>
    </w:p>
    <w:p>
      <w:pPr>
        <w:pStyle w:val="TextBody"/>
        <w:bidi w:val="0"/>
        <w:spacing w:before="0" w:after="0"/>
        <w:jc w:val="left"/>
        <w:rPr>
          <w:rFonts w:ascii="Times New Roman" w:hAnsi="Times New Roman"/>
          <w:sz w:val="20"/>
        </w:rPr>
      </w:pPr>
      <w:r>
        <w:rPr>
          <w:rFonts w:ascii="Times New Roman" w:hAnsi="Times New Roman"/>
          <w:sz w:val="20"/>
        </w:rPr>
        <w:t xml:space="preserve">Michael Graf </w:t>
      </w:r>
    </w:p>
    <w:p>
      <w:pPr>
        <w:pStyle w:val="TextBody"/>
        <w:bidi w:val="0"/>
        <w:spacing w:before="0" w:after="0"/>
        <w:jc w:val="left"/>
        <w:rPr>
          <w:rFonts w:ascii="Times New Roman" w:hAnsi="Times New Roman"/>
          <w:sz w:val="20"/>
        </w:rPr>
      </w:pPr>
      <w:r>
        <w:rPr>
          <w:rFonts w:ascii="Times New Roman" w:hAnsi="Times New Roman"/>
          <w:sz w:val="20"/>
        </w:rPr>
        <w:t xml:space="preserve">Joshua Peck </w:t>
      </w:r>
    </w:p>
    <w:p>
      <w:pPr>
        <w:pStyle w:val="TextBody"/>
        <w:bidi w:val="0"/>
        <w:spacing w:before="0" w:after="0"/>
        <w:jc w:val="left"/>
        <w:rPr>
          <w:rFonts w:ascii="Times New Roman" w:hAnsi="Times New Roman"/>
          <w:sz w:val="20"/>
        </w:rPr>
      </w:pPr>
      <w:r>
        <w:rPr>
          <w:rFonts w:ascii="Times New Roman" w:hAnsi="Times New Roman"/>
          <w:sz w:val="20"/>
        </w:rPr>
        <w:t xml:space="preserve">Anton Brett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10, 2023 </w:t>
      </w:r>
    </w:p>
    <w:p>
      <w:pPr>
        <w:pStyle w:val="TextBody"/>
        <w:bidi w:val="0"/>
        <w:spacing w:before="24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500 West 33rd Street </w:t>
      </w:r>
    </w:p>
    <w:p>
      <w:pPr>
        <w:pStyle w:val="TextBody"/>
        <w:bidi w:val="0"/>
        <w:spacing w:before="0" w:after="0"/>
        <w:jc w:val="left"/>
        <w:rPr>
          <w:rFonts w:ascii="Times New Roman" w:hAnsi="Times New Roman"/>
          <w:sz w:val="20"/>
        </w:rPr>
      </w:pPr>
      <w:r>
        <w:rPr>
          <w:rFonts w:ascii="Times New Roman" w:hAnsi="Times New Roman"/>
          <w:sz w:val="20"/>
        </w:rPr>
        <w:t xml:space="preserve">14th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 of the several Underwriters, propose to enter into an Underwriting Agreement (the Underwriting Agreement) with Sixth Street Specialty Lending, Inc., a Delaware corporation (the Company) and Sixth Street Specialty Lending Advisers, LLC, providing for the public offering (the Offering) of shares of the Companys common stock, par value $0.01 per share.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Underwriters agreement to purchase the Securities, and for other good and valuable consideration receipt of which is hereby acknowledged, the undersigned hereby agrees that, without the prior written consent of Wells Fargo Securities, LLC, on behalf of the Underwriters, the undersigned will not, during the Lock-Up Period, which term shall mean the period ending 30 days after the date of the prospectus supplement relating to the Offering (the Prospectus Supplement)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Common Stock or other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 The foregoing restrictions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transfers of shares of Common Stock or such other securities as a bona fide gift or gifts;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transfers of Common Stock or such other securities as donations to charitable organizations; </w:t>
      </w:r>
    </w:p>
    <w:p>
      <w:pPr>
        <w:pStyle w:val="TextBody"/>
        <w:bidi w:val="0"/>
        <w:spacing w:before="120" w:after="0"/>
        <w:jc w:val="left"/>
        <w:rPr>
          <w:rFonts w:ascii="Times New Roman" w:hAnsi="Times New Roman"/>
          <w:sz w:val="20"/>
        </w:rPr>
      </w:pPr>
      <w:r>
        <w:rPr>
          <w:rFonts w:ascii="Times New Roman" w:hAnsi="Times New Roman"/>
          <w:sz w:val="20"/>
        </w:rPr>
        <w:t xml:space="preserve">(iii) transfers of shares of Common Stock or such other securities as a result of the operation of law, such as estate, other testamentary document or intestate succession; </w:t>
      </w:r>
    </w:p>
    <w:p>
      <w:pPr>
        <w:pStyle w:val="TextBody"/>
        <w:bidi w:val="0"/>
        <w:spacing w:before="120" w:after="0"/>
        <w:jc w:val="left"/>
        <w:rPr>
          <w:rFonts w:ascii="Times New Roman" w:hAnsi="Times New Roman"/>
          <w:sz w:val="20"/>
        </w:rPr>
      </w:pPr>
      <w:r>
        <w:rPr>
          <w:rFonts w:ascii="Times New Roman" w:hAnsi="Times New Roman"/>
          <w:sz w:val="20"/>
        </w:rPr>
        <w:t xml:space="preserve">(iv) 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(v) 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 </w:t>
      </w:r>
    </w:p>
    <w:p>
      <w:pPr>
        <w:pStyle w:val="TextBody"/>
        <w:bidi w:val="0"/>
        <w:spacing w:before="120" w:after="0"/>
        <w:jc w:val="left"/>
        <w:rPr>
          <w:rFonts w:ascii="Times New Roman" w:hAnsi="Times New Roman"/>
          <w:sz w:val="20"/>
        </w:rPr>
      </w:pPr>
      <w:r>
        <w:rPr>
          <w:rFonts w:ascii="Times New Roman" w:hAnsi="Times New Roman"/>
          <w:sz w:val="20"/>
        </w:rPr>
        <w:t xml:space="preserve">(vi) transactions relating to shares of Common Stock or such other securities acquired in open market transactions or acquired from the Company under its dividend reinvestment plan after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clauses (i) through (v), each donee, transferee or distributee shall execute and deliver to the Representative a lock-up letter in the form of this paragraph; and provided, further, that in the case of any transfer or distribution pursuant to clauses (i) through (vi),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Lock-Up Period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undersigned may, if permitted by the Company, establish a written trading plan meeting the requirements of Rule 10b5-1 under the Exchange Act; provided that the establishment of such plan does not give rise to any filing or public announcement and that no sales or other transfers occur under such plan during the Lock-Up Period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if (i) prior to entering into the Underwriting Agreement, the Company notifies the Representative in writing that the Company does not intend to proceed with the Offering of Securities; (ii) the Underwriting Agreement has not been executed by all parties by May 30, 2023; or (iii) the Underwriting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Underwriters are entering into the Underwriting Agreement and proceeding with the Offering in reliance upon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509627dex51.htm"/>
      <w:bookmarkStart w:id="5" w:name="ksd509627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943850" cy="2533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43850" cy="25336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8"/>
        <w:gridCol w:w="127"/>
        <w:gridCol w:w="3169"/>
        <w:gridCol w:w="127"/>
        <w:gridCol w:w="3164"/>
      </w:tblGrid>
      <w:tr>
        <w:trPr/>
        <w:tc>
          <w:tcPr>
            <w:tcW w:w="361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3618" w:type="dxa"/>
            <w:tcBorders/>
          </w:tcPr>
          <w:p>
            <w:pPr>
              <w:pStyle w:val="TableContents"/>
              <w:bidi w:val="0"/>
              <w:spacing w:before="0" w:after="0"/>
              <w:jc w:val="left"/>
              <w:rPr>
                <w:rFonts w:ascii="Times New Roman" w:hAnsi="Times New Roman"/>
                <w:sz w:val="20"/>
              </w:rPr>
            </w:pPr>
            <w:r>
              <w:rPr>
                <w:rFonts w:ascii="Times New Roman" w:hAnsi="Times New Roman"/>
                <w:sz w:val="20"/>
              </w:rPr>
              <w:t>Writers Direct Dial: (212) 225-2376</w:t>
            </w:r>
          </w:p>
          <w:p>
            <w:pPr>
              <w:pStyle w:val="TableContents"/>
              <w:bidi w:val="0"/>
              <w:spacing w:before="0" w:after="20"/>
              <w:jc w:val="left"/>
              <w:rPr>
                <w:rFonts w:ascii="Times New Roman" w:hAnsi="Times New Roman"/>
                <w:sz w:val="20"/>
              </w:rPr>
            </w:pPr>
            <w:r>
              <w:rPr>
                <w:rFonts w:ascii="Times New Roman" w:hAnsi="Times New Roman"/>
                <w:sz w:val="20"/>
              </w:rPr>
              <w:t>E-Mail: hgrannis@cgsh.com</w:t>
            </w:r>
          </w:p>
        </w:tc>
        <w:tc>
          <w:tcPr>
            <w:tcW w:w="12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left"/>
              <w:rPr>
                <w:sz w:val="4"/>
                <w:szCs w:val="4"/>
              </w:rPr>
            </w:pPr>
            <w:r>
              <w:rPr>
                <w:sz w:val="4"/>
                <w:szCs w:val="4"/>
              </w:rPr>
            </w:r>
          </w:p>
        </w:tc>
      </w:tr>
      <w:tr>
        <w:trPr/>
        <w:tc>
          <w:tcPr>
            <w:tcW w:w="361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0"/>
              <w:jc w:val="center"/>
              <w:rPr>
                <w:rFonts w:ascii="Times New Roman" w:hAnsi="Times New Roman"/>
                <w:sz w:val="20"/>
              </w:rPr>
            </w:pPr>
            <w:r>
              <w:rPr>
                <w:rFonts w:ascii="Times New Roman" w:hAnsi="Times New Roman"/>
                <w:sz w:val="20"/>
              </w:rPr>
              <w:t>May 15, 2023</w:t>
            </w:r>
          </w:p>
        </w:tc>
      </w:tr>
    </w:tbl>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Sixth Street Specialty Lending, Inc., a Delaware corporation (the </w:t>
      </w:r>
      <w:r>
        <w:rPr>
          <w:rFonts w:ascii="Times New Roman" w:hAnsi="Times New Roman"/>
          <w:sz w:val="20"/>
          <w:u w:val="single"/>
        </w:rPr>
        <w:t>Company</w:t>
      </w:r>
      <w:r>
        <w:rPr>
          <w:rFonts w:ascii="Times New Roman" w:hAnsi="Times New Roman"/>
          <w:sz w:val="20"/>
        </w:rPr>
        <w:t>), in connection with the Companys offering pursuant to a registration statement on Form N-2 (333-269222) of 4,500,000 of the Companys shares of common stock, par value $0.01 per share (the </w:t>
      </w:r>
      <w:r>
        <w:rPr>
          <w:rFonts w:ascii="Times New Roman" w:hAnsi="Times New Roman"/>
          <w:sz w:val="20"/>
          <w:u w:val="single"/>
        </w:rPr>
        <w:t>Securities</w:t>
      </w:r>
      <w:r>
        <w:rPr>
          <w:rFonts w:ascii="Times New Roman" w:hAnsi="Times New Roman"/>
          <w:sz w:val="20"/>
        </w:rPr>
        <w:t>). Such registration statement, dated January 13, 2023, as amended as of its most recent effective date (May 10, 2023), insofar as it relates to the Securities (as determined for purposes of Rule 430B(f)(2) under the Securities Act of 1933, as amended (the </w:t>
      </w:r>
      <w:r>
        <w:rPr>
          <w:rFonts w:ascii="Times New Roman" w:hAnsi="Times New Roman"/>
          <w:sz w:val="20"/>
          <w:u w:val="single"/>
        </w:rPr>
        <w:t>Securities Act</w:t>
      </w:r>
      <w:r>
        <w:rPr>
          <w:rFonts w:ascii="Times New Roman" w:hAnsi="Times New Roman"/>
          <w:sz w:val="20"/>
        </w:rPr>
        <w:t>)), including the documents incorporated by reference therein, is herein called the </w:t>
      </w:r>
      <w:r>
        <w:rPr>
          <w:rFonts w:ascii="Times New Roman" w:hAnsi="Times New Roman"/>
          <w:sz w:val="20"/>
          <w:u w:val="single"/>
        </w:rPr>
        <w:t>Registration Statement</w:t>
      </w:r>
      <w:r>
        <w:rPr>
          <w:rFonts w:ascii="Times New Roman" w:hAnsi="Times New Roman"/>
          <w:sz w:val="20"/>
        </w:rPr>
        <w:t>; the related prospectus dated May 10, 2023, included in the Registration Statement filed with the Securities and Exchange Commission (the </w:t>
      </w:r>
      <w:r>
        <w:rPr>
          <w:rFonts w:ascii="Times New Roman" w:hAnsi="Times New Roman"/>
          <w:sz w:val="20"/>
          <w:u w:val="single"/>
        </w:rPr>
        <w:t>Commission</w:t>
      </w:r>
      <w:r>
        <w:rPr>
          <w:rFonts w:ascii="Times New Roman" w:hAnsi="Times New Roman"/>
          <w:sz w:val="20"/>
        </w:rPr>
        <w:t>) under the Securities Act, is herein called the </w:t>
      </w:r>
      <w:r>
        <w:rPr>
          <w:rFonts w:ascii="Times New Roman" w:hAnsi="Times New Roman"/>
          <w:sz w:val="20"/>
          <w:u w:val="single"/>
        </w:rPr>
        <w:t>Base Prospectus</w:t>
      </w:r>
      <w:r>
        <w:rPr>
          <w:rFonts w:ascii="Times New Roman" w:hAnsi="Times New Roman"/>
          <w:sz w:val="20"/>
        </w:rPr>
        <w:t>; the preliminary prospectus supplement dated May 10, 2023, as filed with the Commission pursuant to Rule 424(b)(2) under the Securities Act, is herein called the </w:t>
      </w:r>
      <w:r>
        <w:rPr>
          <w:rFonts w:ascii="Times New Roman" w:hAnsi="Times New Roman"/>
          <w:sz w:val="20"/>
          <w:u w:val="single"/>
        </w:rPr>
        <w:t>Preliminary Prospectus Supplement</w:t>
      </w:r>
      <w:r>
        <w:rPr>
          <w:rFonts w:ascii="Times New Roman" w:hAnsi="Times New Roman"/>
          <w:sz w:val="20"/>
        </w:rPr>
        <w:t>; and the related prospectus supplement dated May 10, 2023, as filed with the Commission pursuant to Rule 424(b)(2) under the Securities Act, is herein called the </w:t>
      </w:r>
      <w:r>
        <w:rPr>
          <w:rFonts w:ascii="Times New Roman" w:hAnsi="Times New Roman"/>
          <w:sz w:val="20"/>
          <w:u w:val="single"/>
        </w:rPr>
        <w:t>Final Prospectus Supplement</w:t>
      </w:r>
      <w:r>
        <w:rPr>
          <w:rFonts w:ascii="Times New Roman" w:hAnsi="Times New Roman"/>
          <w:sz w:val="20"/>
        </w:rPr>
        <w:t>. The Base Prospectus and the Preliminary Prospectus Supplement together are herein called the </w:t>
      </w:r>
      <w:r>
        <w:rPr>
          <w:rFonts w:ascii="Times New Roman" w:hAnsi="Times New Roman"/>
          <w:sz w:val="20"/>
          <w:u w:val="single"/>
        </w:rPr>
        <w:t>Pricing Prospectus</w:t>
      </w:r>
      <w:r>
        <w:rPr>
          <w:rFonts w:ascii="Times New Roman" w:hAnsi="Times New Roman"/>
          <w:sz w:val="20"/>
        </w:rPr>
        <w:t>, and the Base Prospectus and the Final Prospectus Supplement together are herein called the </w:t>
      </w:r>
      <w:r>
        <w:rPr>
          <w:rFonts w:ascii="Times New Roman" w:hAnsi="Times New Roman"/>
          <w:sz w:val="20"/>
          <w:u w:val="single"/>
        </w:rPr>
        <w:t>Final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 expressed below, we have reviewed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Underwriting Agreement dated May 10, 2023 among the Company, Sixth Street Specialty Lending Advisers, LLC, a Delaware limited liability company registered as an investment adviser, and the several underwriters named in Schedule 1 thereto;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02920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29200" cy="1714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Inc., p.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(c) the Pricing Prospectus; </w:t>
      </w:r>
    </w:p>
    <w:p>
      <w:pPr>
        <w:pStyle w:val="TextBody"/>
        <w:bidi w:val="0"/>
        <w:spacing w:before="120" w:after="0"/>
        <w:jc w:val="left"/>
        <w:rPr>
          <w:rFonts w:ascii="Times New Roman" w:hAnsi="Times New Roman"/>
          <w:sz w:val="20"/>
        </w:rPr>
      </w:pPr>
      <w:r>
        <w:rPr>
          <w:rFonts w:ascii="Times New Roman" w:hAnsi="Times New Roman"/>
          <w:sz w:val="20"/>
        </w:rPr>
        <w:t xml:space="preserve">(d) the Final Prospectus; </w:t>
      </w:r>
    </w:p>
    <w:p>
      <w:pPr>
        <w:pStyle w:val="TextBody"/>
        <w:bidi w:val="0"/>
        <w:spacing w:before="120" w:after="0"/>
        <w:jc w:val="left"/>
        <w:rPr>
          <w:rFonts w:ascii="Times New Roman" w:hAnsi="Times New Roman"/>
          <w:sz w:val="20"/>
        </w:rPr>
      </w:pPr>
      <w:r>
        <w:rPr>
          <w:rFonts w:ascii="Times New Roman" w:hAnsi="Times New Roman"/>
          <w:sz w:val="20"/>
        </w:rPr>
        <w:t xml:space="preserve">(e) a certificate of American Stock Transfer &amp; Trust Company, LLC, as registrar and transfer agent for the Securities, certifying due issuance and registration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(f) copies of the Companys Restated Certificate of Incorporation certified by the Secretary of State of the State of Delaware, and the Companys Amended and Restated Bylaws, certified by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further assumptions and qualifications set forth below, it is our opinion that the Securities have been validly issued by the Company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our name in the Final Prospectus under the headings Legal Matters as counsel for the Company that has passed on the validity of the Securities, and to the filing of this opinion letter as Exhibit 5.1 to the Companys Current Report on Form 8-K dated May 15, 2023. In giving this consent, we do not thereby admit that we are within the category of persons whose consent is required under Section 7 of the Securities Act or the rules and regulations of the Commission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Inc., p.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CLEARY GOTTLIEB STEEN &amp; HAMILTON LLP</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Helena K. Grannis</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Helena K. Grannis, a Partner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23125</Words>
  <Characters>121732</Characters>
  <CharactersWithSpaces>144544</CharactersWithSpaces>
  <Paragraphs>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