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N-6F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NOTICE OF INTENT TO ELECT TO BE SUBJECT TO SECTIONS 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THROUGH 65 OF THE INVESTMENT COMPANY ACT OF 1940</w:t>
      </w:r>
    </w:p>
    <w:p>
      <w:pPr>
        <w:spacing w:after="0" w:line="87" w:lineRule="exact"/>
        <w:rPr>
          <w:sz w:val="24"/>
          <w:szCs w:val="24"/>
          <w:color w:val="auto"/>
        </w:rPr>
      </w:pPr>
    </w:p>
    <w:p>
      <w:pPr>
        <w:ind w:right="540" w:firstLine="222"/>
        <w:spacing w:after="0" w:line="308" w:lineRule="auto"/>
        <w:rPr>
          <w:sz w:val="20"/>
          <w:szCs w:val="20"/>
          <w:color w:val="auto"/>
        </w:rPr>
      </w:pPr>
      <w:r>
        <w:rPr>
          <w:rFonts w:ascii="Arial" w:cs="Arial" w:eastAsia="Arial" w:hAnsi="Arial"/>
          <w:sz w:val="17"/>
          <w:szCs w:val="17"/>
          <w:color w:val="auto"/>
        </w:rPr>
        <w:t>The undersigned hereby notifies the Securities and Exchange Commission that it intends to file a notification of election to be subject to sections 55 through 65 of the Investment Company Act of 1940, (the “Act”) and in connection with such notice submits the following information:</w:t>
      </w:r>
    </w:p>
    <w:p>
      <w:pPr>
        <w:sectPr>
          <w:pgSz w:w="11900" w:h="16838" w:orient="portrait"/>
          <w:cols w:equalWidth="0" w:num="1">
            <w:col w:w="11420"/>
          </w:cols>
          <w:pgMar w:left="240" w:top="522" w:right="239" w:bottom="1440" w:gutter="0" w:footer="0" w:header="0"/>
        </w:sectPr>
      </w:pPr>
    </w:p>
    <w:p>
      <w:pPr>
        <w:spacing w:after="0" w:line="14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Name: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4200"/>
        <w:spacing w:after="0"/>
        <w:rPr>
          <w:sz w:val="20"/>
          <w:szCs w:val="20"/>
          <w:color w:val="auto"/>
        </w:rPr>
      </w:pPr>
      <w:r>
        <w:rPr>
          <w:rFonts w:ascii="Arial" w:cs="Arial" w:eastAsia="Arial" w:hAnsi="Arial"/>
          <w:sz w:val="16"/>
          <w:szCs w:val="16"/>
          <w:color w:val="auto"/>
        </w:rPr>
        <w:t>TPG Specialty Lending, Inc.</w:t>
      </w:r>
    </w:p>
    <w:p>
      <w:pPr>
        <w:spacing w:after="0" w:line="207" w:lineRule="exact"/>
        <w:rPr>
          <w:sz w:val="24"/>
          <w:szCs w:val="24"/>
          <w:color w:val="auto"/>
        </w:rPr>
      </w:pPr>
    </w:p>
    <w:p>
      <w:pPr>
        <w:sectPr>
          <w:pgSz w:w="11900" w:h="16838" w:orient="portrait"/>
          <w:cols w:equalWidth="0" w:num="2">
            <w:col w:w="4440" w:space="720"/>
            <w:col w:w="6260"/>
          </w:cols>
          <w:pgMar w:left="240" w:top="522"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Address of Principal Business Office: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301 Commerce Street, Suite 3300</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00" w:lineRule="exact"/>
        <w:rPr>
          <w:sz w:val="24"/>
          <w:szCs w:val="24"/>
          <w:color w:val="auto"/>
        </w:rPr>
      </w:pPr>
    </w:p>
    <w:p>
      <w:pPr>
        <w:sectPr>
          <w:pgSz w:w="11900" w:h="16838" w:orient="portrait"/>
          <w:cols w:equalWidth="0" w:num="2">
            <w:col w:w="4440" w:space="720"/>
            <w:col w:w="6260"/>
          </w:cols>
          <w:pgMar w:left="240" w:top="522" w:right="2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Telephone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(817) 871-4000</w:t>
      </w:r>
    </w:p>
    <w:p>
      <w:pPr>
        <w:spacing w:after="0" w:line="200" w:lineRule="exact"/>
        <w:rPr>
          <w:sz w:val="24"/>
          <w:szCs w:val="24"/>
          <w:color w:val="auto"/>
        </w:rPr>
      </w:pPr>
    </w:p>
    <w:p>
      <w:pPr>
        <w:sectPr>
          <w:pgSz w:w="11900" w:h="16838" w:orient="portrait"/>
          <w:cols w:equalWidth="0" w:num="2">
            <w:col w:w="4440" w:space="720"/>
            <w:col w:w="6260"/>
          </w:cols>
          <w:pgMar w:left="240" w:top="522"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and Address of Agent</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Service of Process: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Ronald Cami,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TPG Capital, L.P.</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301 Commerce Street, Suite 3300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Fort Worth, TX 76102</w:t>
      </w:r>
    </w:p>
    <w:p>
      <w:pPr>
        <w:spacing w:after="0" w:line="103" w:lineRule="exact"/>
        <w:rPr>
          <w:sz w:val="24"/>
          <w:szCs w:val="24"/>
          <w:color w:val="auto"/>
        </w:rPr>
      </w:pPr>
    </w:p>
    <w:p>
      <w:pPr>
        <w:sectPr>
          <w:pgSz w:w="11900" w:h="16838" w:orient="portrait"/>
          <w:cols w:equalWidth="0" w:num="2">
            <w:col w:w="4440" w:space="720"/>
            <w:col w:w="6260"/>
          </w:cols>
          <w:pgMar w:left="240" w:top="522" w:right="239" w:bottom="1440" w:gutter="0" w:footer="0" w:header="0"/>
          <w:type w:val="continuous"/>
        </w:sectPr>
      </w:pPr>
    </w:p>
    <w:p>
      <w:pPr>
        <w:ind w:right="200" w:firstLine="222"/>
        <w:spacing w:after="0" w:line="286" w:lineRule="auto"/>
        <w:rPr>
          <w:sz w:val="20"/>
          <w:szCs w:val="20"/>
          <w:color w:val="auto"/>
        </w:rPr>
      </w:pPr>
      <w:r>
        <w:rPr>
          <w:rFonts w:ascii="Arial" w:cs="Arial" w:eastAsia="Arial" w:hAnsi="Arial"/>
          <w:sz w:val="17"/>
          <w:szCs w:val="17"/>
          <w:color w:val="auto"/>
        </w:rPr>
        <w:t>The undersigned hereby notifies the Securities and Exchange Commission that it intends to file a notification of election to be subject to sections 55 through 65 of the Act within ninety days of this filing. The company would be excluded from the definition of an investment company by section 3(c)(1) of the Act, except that it presently proposes to make a public offering of its securities as a business development company.</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4"/>
          <w:szCs w:val="24"/>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section 6(f) of the Act, the undersigned company has caused this notice of intent to elect to be subject to sections 55 through 65 of the Act pursuant to section 54(a) of the Act to be duly executed on its behalf in the city of Fort Worth and the State of Texas on the 14th day of January, 2011.</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4020" w:type="dxa"/>
            <w:vAlign w:val="bottom"/>
            <w:gridSpan w:val="2"/>
          </w:tcPr>
          <w:p>
            <w:pPr>
              <w:ind w:left="60"/>
              <w:spacing w:after="0"/>
              <w:rPr>
                <w:sz w:val="20"/>
                <w:szCs w:val="20"/>
                <w:color w:val="auto"/>
              </w:rPr>
            </w:pPr>
            <w:r>
              <w:rPr>
                <w:rFonts w:ascii="Arial" w:cs="Arial" w:eastAsia="Arial" w:hAnsi="Arial"/>
                <w:sz w:val="18"/>
                <w:szCs w:val="18"/>
                <w:color w:val="auto"/>
              </w:rPr>
              <w:t>TPG SPECIALTY LENDING, INC.</w:t>
            </w:r>
          </w:p>
        </w:tc>
        <w:tc>
          <w:tcPr>
            <w:tcW w:w="1640" w:type="dxa"/>
            <w:vAlign w:val="bottom"/>
          </w:tcPr>
          <w:p>
            <w:pPr>
              <w:spacing w:after="0"/>
              <w:rPr>
                <w:sz w:val="20"/>
                <w:szCs w:val="20"/>
                <w:color w:val="auto"/>
              </w:rPr>
            </w:pPr>
          </w:p>
        </w:tc>
      </w:tr>
      <w:tr>
        <w:trPr>
          <w:trHeight w:val="432"/>
        </w:trPr>
        <w:tc>
          <w:tcPr>
            <w:tcW w:w="5760" w:type="dxa"/>
            <w:vAlign w:val="bottom"/>
          </w:tcPr>
          <w:p>
            <w:pPr>
              <w:ind w:left="524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Cami</w:t>
            </w:r>
          </w:p>
        </w:tc>
        <w:tc>
          <w:tcPr>
            <w:tcW w:w="1640" w:type="dxa"/>
            <w:vAlign w:val="bottom"/>
          </w:tcPr>
          <w:p>
            <w:pPr>
              <w:spacing w:after="0"/>
              <w:rPr>
                <w:sz w:val="24"/>
                <w:szCs w:val="24"/>
                <w:color w:val="auto"/>
              </w:rPr>
            </w:pPr>
          </w:p>
        </w:tc>
      </w:tr>
      <w:tr>
        <w:trPr>
          <w:trHeight w:val="195"/>
        </w:trPr>
        <w:tc>
          <w:tcPr>
            <w:tcW w:w="5760" w:type="dxa"/>
            <w:vAlign w:val="bottom"/>
          </w:tcPr>
          <w:p>
            <w:pPr>
              <w:ind w:left="5240"/>
              <w:spacing w:after="0" w:line="195" w:lineRule="exact"/>
              <w:rPr>
                <w:sz w:val="20"/>
                <w:szCs w:val="20"/>
                <w:color w:val="auto"/>
              </w:rPr>
            </w:pPr>
            <w:r>
              <w:rPr>
                <w:rFonts w:ascii="Arial" w:cs="Arial" w:eastAsia="Arial" w:hAnsi="Arial"/>
                <w:sz w:val="18"/>
                <w:szCs w:val="18"/>
                <w:color w:val="auto"/>
                <w:w w:val="94"/>
              </w:rPr>
              <w:t>Name:</w:t>
            </w:r>
          </w:p>
        </w:tc>
        <w:tc>
          <w:tcPr>
            <w:tcW w:w="160" w:type="dxa"/>
            <w:vAlign w:val="bottom"/>
          </w:tcPr>
          <w:p>
            <w:pPr>
              <w:spacing w:after="0"/>
              <w:rPr>
                <w:sz w:val="16"/>
                <w:szCs w:val="16"/>
                <w:color w:val="auto"/>
              </w:rPr>
            </w:pP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Ronald Cami, Esq.</w:t>
            </w:r>
          </w:p>
        </w:tc>
        <w:tc>
          <w:tcPr>
            <w:tcW w:w="1640" w:type="dxa"/>
            <w:vAlign w:val="bottom"/>
          </w:tcPr>
          <w:p>
            <w:pPr>
              <w:spacing w:after="0"/>
              <w:rPr>
                <w:sz w:val="16"/>
                <w:szCs w:val="16"/>
                <w:color w:val="auto"/>
              </w:rPr>
            </w:pPr>
          </w:p>
        </w:tc>
      </w:tr>
      <w:tr>
        <w:trPr>
          <w:trHeight w:val="230"/>
        </w:trPr>
        <w:tc>
          <w:tcPr>
            <w:tcW w:w="5760" w:type="dxa"/>
            <w:vAlign w:val="bottom"/>
          </w:tcPr>
          <w:p>
            <w:pPr>
              <w:ind w:left="5240"/>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Vice President and Secretary</w:t>
            </w:r>
          </w:p>
        </w:tc>
        <w:tc>
          <w:tcPr>
            <w:tcW w:w="1640" w:type="dxa"/>
            <w:vAlign w:val="bottom"/>
          </w:tcPr>
          <w:p>
            <w:pPr>
              <w:spacing w:after="0"/>
              <w:rPr>
                <w:sz w:val="20"/>
                <w:szCs w:val="20"/>
                <w:color w:val="auto"/>
              </w:rPr>
            </w:pPr>
          </w:p>
        </w:tc>
      </w:tr>
      <w:tr>
        <w:trPr>
          <w:trHeight w:val="648"/>
        </w:trPr>
        <w:tc>
          <w:tcPr>
            <w:tcW w:w="5760" w:type="dxa"/>
            <w:vAlign w:val="bottom"/>
          </w:tcPr>
          <w:p>
            <w:pPr>
              <w:ind w:left="5240"/>
              <w:spacing w:after="0"/>
              <w:rPr>
                <w:sz w:val="20"/>
                <w:szCs w:val="20"/>
                <w:color w:val="auto"/>
              </w:rPr>
            </w:pPr>
            <w:r>
              <w:rPr>
                <w:rFonts w:ascii="Arial" w:cs="Arial" w:eastAsia="Arial" w:hAnsi="Arial"/>
                <w:sz w:val="18"/>
                <w:szCs w:val="18"/>
                <w:color w:val="auto"/>
                <w:w w:val="97"/>
              </w:rPr>
              <w:t>Attest:</w:t>
            </w:r>
          </w:p>
        </w:tc>
        <w:tc>
          <w:tcPr>
            <w:tcW w:w="16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Reintjes</w:t>
            </w:r>
          </w:p>
        </w:tc>
        <w:tc>
          <w:tcPr>
            <w:tcW w:w="1640" w:type="dxa"/>
            <w:vAlign w:val="bottom"/>
          </w:tcPr>
          <w:p>
            <w:pPr>
              <w:spacing w:after="0"/>
              <w:rPr>
                <w:sz w:val="24"/>
                <w:szCs w:val="24"/>
                <w:color w:val="auto"/>
              </w:rPr>
            </w:pPr>
          </w:p>
        </w:tc>
      </w:tr>
      <w:tr>
        <w:trPr>
          <w:trHeight w:val="195"/>
        </w:trPr>
        <w:tc>
          <w:tcPr>
            <w:tcW w:w="5760" w:type="dxa"/>
            <w:vAlign w:val="bottom"/>
          </w:tcPr>
          <w:p>
            <w:pPr>
              <w:ind w:left="5240"/>
              <w:spacing w:after="0" w:line="195" w:lineRule="exact"/>
              <w:rPr>
                <w:sz w:val="20"/>
                <w:szCs w:val="20"/>
                <w:color w:val="auto"/>
              </w:rPr>
            </w:pPr>
            <w:r>
              <w:rPr>
                <w:rFonts w:ascii="Arial" w:cs="Arial" w:eastAsia="Arial" w:hAnsi="Arial"/>
                <w:sz w:val="18"/>
                <w:szCs w:val="18"/>
                <w:color w:val="auto"/>
                <w:w w:val="94"/>
              </w:rPr>
              <w:t>Name:</w:t>
            </w:r>
          </w:p>
        </w:tc>
        <w:tc>
          <w:tcPr>
            <w:tcW w:w="160" w:type="dxa"/>
            <w:vAlign w:val="bottom"/>
          </w:tcPr>
          <w:p>
            <w:pPr>
              <w:spacing w:after="0"/>
              <w:rPr>
                <w:sz w:val="16"/>
                <w:szCs w:val="16"/>
                <w:color w:val="auto"/>
              </w:rPr>
            </w:pP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David Reintjes, Esq.</w:t>
            </w:r>
          </w:p>
        </w:tc>
        <w:tc>
          <w:tcPr>
            <w:tcW w:w="1640" w:type="dxa"/>
            <w:vAlign w:val="bottom"/>
          </w:tcPr>
          <w:p>
            <w:pPr>
              <w:spacing w:after="0"/>
              <w:rPr>
                <w:sz w:val="16"/>
                <w:szCs w:val="16"/>
                <w:color w:val="auto"/>
              </w:rPr>
            </w:pPr>
          </w:p>
        </w:tc>
      </w:tr>
      <w:tr>
        <w:trPr>
          <w:trHeight w:val="230"/>
        </w:trPr>
        <w:tc>
          <w:tcPr>
            <w:tcW w:w="5760" w:type="dxa"/>
            <w:vAlign w:val="bottom"/>
          </w:tcPr>
          <w:p>
            <w:pPr>
              <w:ind w:left="5240"/>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7"/>
              </w:rPr>
              <w:t>Chief Compliance Officer and Assistant Secretary</w:t>
            </w:r>
          </w:p>
        </w:tc>
        <w:tc>
          <w:tcPr>
            <w:tcW w:w="1640" w:type="dxa"/>
            <w:vAlign w:val="bottom"/>
          </w:tcPr>
          <w:p>
            <w:pPr>
              <w:spacing w:after="0"/>
              <w:rPr>
                <w:sz w:val="20"/>
                <w:szCs w:val="20"/>
                <w:color w:val="auto"/>
              </w:rPr>
            </w:pPr>
          </w:p>
        </w:tc>
      </w:tr>
      <w:tr>
        <w:trPr>
          <w:trHeight w:val="405"/>
        </w:trPr>
        <w:tc>
          <w:tcPr>
            <w:tcW w:w="5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8"/>
        </w:trPr>
        <w:tc>
          <w:tcPr>
            <w:tcW w:w="5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1" w:lineRule="exact"/>
        <w:rPr>
          <w:sz w:val="24"/>
          <w:szCs w:val="24"/>
          <w:color w:val="auto"/>
        </w:rPr>
      </w:pPr>
    </w:p>
    <w:sectPr>
      <w:pgSz w:w="11900" w:h="16838" w:orient="portrait"/>
      <w:cols w:equalWidth="0" w:num="1">
        <w:col w:w="11420"/>
      </w:cols>
      <w:pgMar w:left="240" w:top="52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2019-12-11T09:31:08Z</dcterms:created>
  <dcterms:modified xsi:type="dcterms:W3CDTF">2019-12-11T09:31:08Z</dcterms:modified>
</cp:coreProperties>
</file>