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jc w:val="center"/>
        <w:ind w:right="-59"/>
        <w:spacing w:after="0" w:line="218" w:lineRule="auto"/>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13G/A</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SIXTH STREET SPECIALTY LENDING (TSLX)</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83012A109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12/31/2021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640" w:firstLine="8"/>
        <w:spacing w:after="0" w:line="504"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6" w:lineRule="exact"/>
        <w:rPr>
          <w:sz w:val="24"/>
          <w:szCs w:val="24"/>
          <w:color w:val="auto"/>
        </w:rPr>
      </w:pPr>
    </w:p>
    <w:p>
      <w:pPr>
        <w:ind w:right="40"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spacing w:after="0" w:line="219"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1) Names of Reporting Persons, IRS Identification Nos. of Above Persons:</w:t>
      </w:r>
    </w:p>
    <w:p>
      <w:pPr>
        <w:spacing w:after="0" w:line="160"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OTR - Nominee Name for The State Teachers Retirement Board of Ohio, 31640-1810</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spacing w:after="0"/>
        <w:tabs>
          <w:tab w:leader="none" w:pos="5640" w:val="left"/>
        </w:tabs>
        <w:rPr>
          <w:sz w:val="20"/>
          <w:szCs w:val="20"/>
          <w:color w:val="auto"/>
        </w:rPr>
      </w:pPr>
      <w:r>
        <w:rPr>
          <w:rFonts w:ascii="Arial" w:cs="Arial" w:eastAsia="Arial" w:hAnsi="Arial"/>
          <w:sz w:val="22"/>
          <w:szCs w:val="22"/>
          <w:color w:val="auto"/>
        </w:rPr>
        <w:t>2) Check the appropriate box if a member of a group* (a) [_]</w:t>
      </w:r>
      <w:r>
        <w:rPr>
          <w:sz w:val="20"/>
          <w:szCs w:val="20"/>
          <w:color w:val="auto"/>
        </w:rPr>
        <w:tab/>
      </w:r>
      <w:r>
        <w:rPr>
          <w:rFonts w:ascii="Arial" w:cs="Arial" w:eastAsia="Arial" w:hAnsi="Arial"/>
          <w:sz w:val="21"/>
          <w:szCs w:val="21"/>
          <w:color w:val="auto"/>
        </w:rPr>
        <w:t>(b) [_]</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rFonts w:ascii="Arial" w:cs="Arial" w:eastAsia="Arial" w:hAnsi="Arial"/>
          <w:sz w:val="22"/>
          <w:szCs w:val="22"/>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22"/>
                <w:szCs w:val="22"/>
                <w:color w:val="auto"/>
              </w:rPr>
              <w:t>Columbus, Ohio</w:t>
            </w:r>
          </w:p>
        </w:tc>
        <w:tc>
          <w:tcPr>
            <w:tcW w:w="4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438"/>
        </w:trPr>
        <w:tc>
          <w:tcPr>
            <w:tcW w:w="6280" w:type="dxa"/>
            <w:vAlign w:val="bottom"/>
            <w:gridSpan w:val="4"/>
          </w:tcPr>
          <w:p>
            <w:pPr>
              <w:spacing w:after="0"/>
              <w:rPr>
                <w:sz w:val="20"/>
                <w:szCs w:val="20"/>
                <w:color w:val="auto"/>
              </w:rPr>
            </w:pPr>
            <w:r>
              <w:rPr>
                <w:rFonts w:ascii="Arial" w:cs="Arial" w:eastAsia="Arial" w:hAnsi="Arial"/>
                <w:sz w:val="22"/>
                <w:szCs w:val="22"/>
                <w:color w:val="auto"/>
                <w:w w:val="91"/>
              </w:rPr>
              <w:t>Number of Shares Beneficially Owned by Each Reporting Person With</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5)</w:t>
            </w:r>
          </w:p>
        </w:tc>
        <w:tc>
          <w:tcPr>
            <w:tcW w:w="18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4200" w:type="dxa"/>
            <w:vAlign w:val="bottom"/>
            <w:gridSpan w:val="2"/>
          </w:tcPr>
          <w:p>
            <w:pPr>
              <w:jc w:val="right"/>
              <w:ind w:right="2792"/>
              <w:spacing w:after="0"/>
              <w:rPr>
                <w:sz w:val="20"/>
                <w:szCs w:val="20"/>
                <w:color w:val="auto"/>
              </w:rPr>
            </w:pPr>
            <w:r>
              <w:rPr>
                <w:rFonts w:ascii="Arial" w:cs="Arial" w:eastAsia="Arial" w:hAnsi="Arial"/>
                <w:sz w:val="22"/>
                <w:szCs w:val="22"/>
                <w:color w:val="auto"/>
                <w:w w:val="87"/>
              </w:rPr>
              <w:t>3,606,91 1.000</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6)</w:t>
            </w:r>
          </w:p>
        </w:tc>
        <w:tc>
          <w:tcPr>
            <w:tcW w:w="1860" w:type="dxa"/>
            <w:vAlign w:val="bottom"/>
          </w:tcPr>
          <w:p>
            <w:pPr>
              <w:ind w:left="20"/>
              <w:spacing w:after="0"/>
              <w:rPr>
                <w:sz w:val="20"/>
                <w:szCs w:val="20"/>
                <w:color w:val="auto"/>
              </w:rPr>
            </w:pPr>
            <w:r>
              <w:rPr>
                <w:rFonts w:ascii="Arial" w:cs="Arial" w:eastAsia="Arial" w:hAnsi="Arial"/>
                <w:sz w:val="22"/>
                <w:szCs w:val="22"/>
                <w:color w:val="auto"/>
                <w:w w:val="87"/>
              </w:rPr>
              <w:t>Shared Voting Power</w:t>
            </w:r>
          </w:p>
        </w:tc>
        <w:tc>
          <w:tcPr>
            <w:tcW w:w="400" w:type="dxa"/>
            <w:vAlign w:val="bottom"/>
          </w:tcPr>
          <w:p>
            <w:pPr>
              <w:jc w:val="right"/>
              <w:spacing w:after="0"/>
              <w:rPr>
                <w:sz w:val="20"/>
                <w:szCs w:val="20"/>
                <w:color w:val="auto"/>
              </w:rPr>
            </w:pPr>
            <w:r>
              <w:rPr>
                <w:rFonts w:ascii="Arial" w:cs="Arial" w:eastAsia="Arial" w:hAnsi="Arial"/>
                <w:sz w:val="22"/>
                <w:szCs w:val="22"/>
                <w:color w:val="auto"/>
              </w:rPr>
              <w:t>0</w:t>
            </w:r>
          </w:p>
        </w:tc>
        <w:tc>
          <w:tcPr>
            <w:tcW w:w="38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7)</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98"/>
              </w:rPr>
              <w:t>Sole Dispositive Power</w:t>
            </w:r>
          </w:p>
        </w:tc>
        <w:tc>
          <w:tcPr>
            <w:tcW w:w="3800" w:type="dxa"/>
            <w:vAlign w:val="bottom"/>
          </w:tcPr>
          <w:p>
            <w:pPr>
              <w:jc w:val="right"/>
              <w:ind w:right="2392"/>
              <w:spacing w:after="0"/>
              <w:rPr>
                <w:sz w:val="20"/>
                <w:szCs w:val="20"/>
                <w:color w:val="auto"/>
              </w:rPr>
            </w:pPr>
            <w:r>
              <w:rPr>
                <w:rFonts w:ascii="Arial" w:cs="Arial" w:eastAsia="Arial" w:hAnsi="Arial"/>
                <w:sz w:val="22"/>
                <w:szCs w:val="22"/>
                <w:color w:val="auto"/>
                <w:w w:val="87"/>
              </w:rPr>
              <w:t>3,606,91 1.000</w:t>
            </w:r>
          </w:p>
        </w:tc>
        <w:tc>
          <w:tcPr>
            <w:tcW w:w="2420" w:type="dxa"/>
            <w:vAlign w:val="bottom"/>
          </w:tcPr>
          <w:p>
            <w:pPr>
              <w:spacing w:after="0"/>
              <w:rPr>
                <w:sz w:val="24"/>
                <w:szCs w:val="24"/>
                <w:color w:val="auto"/>
              </w:rPr>
            </w:pPr>
          </w:p>
        </w:tc>
      </w:tr>
      <w:tr>
        <w:trPr>
          <w:trHeight w:val="395"/>
        </w:trPr>
        <w:tc>
          <w:tcPr>
            <w:tcW w:w="220" w:type="dxa"/>
            <w:vAlign w:val="bottom"/>
          </w:tcPr>
          <w:p>
            <w:pPr>
              <w:spacing w:after="0"/>
              <w:rPr>
                <w:sz w:val="20"/>
                <w:szCs w:val="20"/>
                <w:color w:val="auto"/>
              </w:rPr>
            </w:pPr>
            <w:r>
              <w:rPr>
                <w:rFonts w:ascii="Arial" w:cs="Arial" w:eastAsia="Arial" w:hAnsi="Arial"/>
                <w:sz w:val="22"/>
                <w:szCs w:val="22"/>
                <w:color w:val="auto"/>
              </w:rPr>
              <w:t>8)</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88"/>
              </w:rPr>
              <w:t>Shared Dispositive Power</w:t>
            </w:r>
          </w:p>
        </w:tc>
        <w:tc>
          <w:tcPr>
            <w:tcW w:w="3800" w:type="dxa"/>
            <w:vAlign w:val="bottom"/>
          </w:tcPr>
          <w:p>
            <w:pPr>
              <w:jc w:val="right"/>
              <w:ind w:right="3372"/>
              <w:spacing w:after="0"/>
              <w:rPr>
                <w:sz w:val="20"/>
                <w:szCs w:val="20"/>
                <w:color w:val="auto"/>
              </w:rPr>
            </w:pPr>
            <w:r>
              <w:rPr>
                <w:rFonts w:ascii="Arial" w:cs="Arial" w:eastAsia="Arial" w:hAnsi="Arial"/>
                <w:sz w:val="22"/>
                <w:szCs w:val="22"/>
                <w:color w:val="auto"/>
              </w:rPr>
              <w:t>0</w:t>
            </w:r>
          </w:p>
        </w:tc>
        <w:tc>
          <w:tcPr>
            <w:tcW w:w="2420" w:type="dxa"/>
            <w:vAlign w:val="bottom"/>
          </w:tcPr>
          <w:p>
            <w:pPr>
              <w:spacing w:after="0"/>
              <w:rPr>
                <w:sz w:val="24"/>
                <w:szCs w:val="24"/>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370"/>
        </w:trPr>
        <w:tc>
          <w:tcPr>
            <w:tcW w:w="220" w:type="dxa"/>
            <w:vAlign w:val="bottom"/>
          </w:tcPr>
          <w:p>
            <w:pPr>
              <w:spacing w:after="0"/>
              <w:rPr>
                <w:sz w:val="20"/>
                <w:szCs w:val="20"/>
                <w:color w:val="auto"/>
              </w:rPr>
            </w:pPr>
            <w:r>
              <w:rPr>
                <w:rFonts w:ascii="Arial" w:cs="Arial" w:eastAsia="Arial" w:hAnsi="Arial"/>
                <w:sz w:val="22"/>
                <w:szCs w:val="22"/>
                <w:color w:val="auto"/>
              </w:rPr>
              <w:t>9)</w:t>
            </w:r>
          </w:p>
        </w:tc>
        <w:tc>
          <w:tcPr>
            <w:tcW w:w="6060" w:type="dxa"/>
            <w:vAlign w:val="bottom"/>
            <w:gridSpan w:val="3"/>
          </w:tcPr>
          <w:p>
            <w:pPr>
              <w:ind w:left="20"/>
              <w:spacing w:after="0"/>
              <w:rPr>
                <w:sz w:val="20"/>
                <w:szCs w:val="20"/>
                <w:color w:val="auto"/>
              </w:rPr>
            </w:pPr>
            <w:r>
              <w:rPr>
                <w:rFonts w:ascii="Arial" w:cs="Arial" w:eastAsia="Arial" w:hAnsi="Arial"/>
                <w:sz w:val="22"/>
                <w:szCs w:val="22"/>
                <w:color w:val="auto"/>
                <w:w w:val="94"/>
              </w:rPr>
              <w:t>Aggregate Amount Beneficially Owned by Each Reporting Person</w:t>
            </w:r>
          </w:p>
        </w:tc>
        <w:tc>
          <w:tcPr>
            <w:tcW w:w="2420" w:type="dxa"/>
            <w:vAlign w:val="bottom"/>
          </w:tcPr>
          <w:p>
            <w:pPr>
              <w:jc w:val="right"/>
              <w:ind w:right="912"/>
              <w:spacing w:after="0"/>
              <w:rPr>
                <w:sz w:val="20"/>
                <w:szCs w:val="20"/>
                <w:color w:val="auto"/>
              </w:rPr>
            </w:pPr>
            <w:r>
              <w:rPr>
                <w:rFonts w:ascii="Arial" w:cs="Arial" w:eastAsia="Arial" w:hAnsi="Arial"/>
                <w:sz w:val="22"/>
                <w:szCs w:val="22"/>
                <w:color w:val="auto"/>
                <w:w w:val="93"/>
              </w:rPr>
              <w:t>3,606,91 1.000</w:t>
            </w:r>
          </w:p>
        </w:tc>
      </w:tr>
    </w:tbl>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[_]</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tabs>
          <w:tab w:leader="none" w:pos="5240" w:val="left"/>
        </w:tabs>
        <w:rPr>
          <w:sz w:val="20"/>
          <w:szCs w:val="20"/>
          <w:color w:val="auto"/>
        </w:rPr>
      </w:pPr>
      <w:r>
        <w:rPr>
          <w:rFonts w:ascii="Arial" w:cs="Arial" w:eastAsia="Arial" w:hAnsi="Arial"/>
          <w:sz w:val="22"/>
          <w:szCs w:val="22"/>
          <w:color w:val="auto"/>
        </w:rPr>
        <w:t>11) Percent of Class Represented by Amount in Row (9)</w:t>
      </w:r>
      <w:r>
        <w:rPr>
          <w:sz w:val="20"/>
          <w:szCs w:val="20"/>
          <w:color w:val="auto"/>
        </w:rPr>
        <w:tab/>
      </w:r>
      <w:r>
        <w:rPr>
          <w:rFonts w:ascii="Arial" w:cs="Arial" w:eastAsia="Arial" w:hAnsi="Arial"/>
          <w:sz w:val="19"/>
          <w:szCs w:val="19"/>
          <w:color w:val="auto"/>
        </w:rPr>
        <w:t>4.934%</w:t>
      </w:r>
    </w:p>
    <w:p>
      <w:pPr>
        <w:sectPr>
          <w:pgSz w:w="11900" w:h="16866" w:orient="portrait"/>
          <w:cols w:equalWidth="0" w:num="1">
            <w:col w:w="11180"/>
          </w:cols>
          <w:pgMar w:left="320" w:top="436" w:right="399" w:bottom="0" w:gutter="0" w:footer="0" w:header="0"/>
        </w:sectPr>
      </w:pPr>
    </w:p>
    <w:bookmarkStart w:id="1" w:name="page2"/>
    <w:bookmarkEnd w:id="1"/>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61" w:lineRule="exact"/>
        <w:rPr>
          <w:sz w:val="20"/>
          <w:szCs w:val="20"/>
          <w:color w:val="auto"/>
        </w:rPr>
      </w:pPr>
    </w:p>
    <w:p>
      <w:pPr>
        <w:spacing w:after="0"/>
        <w:tabs>
          <w:tab w:leader="none" w:pos="3040" w:val="left"/>
        </w:tabs>
        <w:rPr>
          <w:sz w:val="20"/>
          <w:szCs w:val="20"/>
          <w:color w:val="auto"/>
        </w:rPr>
      </w:pPr>
      <w:r>
        <w:rPr>
          <w:rFonts w:ascii="Arial" w:cs="Arial" w:eastAsia="Arial" w:hAnsi="Arial"/>
          <w:sz w:val="22"/>
          <w:szCs w:val="22"/>
          <w:color w:val="auto"/>
        </w:rPr>
        <w:t>12) Type of Reporting Person*</w:t>
      </w:r>
      <w:r>
        <w:rPr>
          <w:sz w:val="20"/>
          <w:szCs w:val="20"/>
          <w:color w:val="auto"/>
        </w:rPr>
        <w:tab/>
      </w:r>
      <w:r>
        <w:rPr>
          <w:rFonts w:ascii="Arial" w:cs="Arial" w:eastAsia="Arial" w:hAnsi="Arial"/>
          <w:sz w:val="18"/>
          <w:szCs w:val="18"/>
          <w:color w:val="auto"/>
        </w:rPr>
        <w:t>EP</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(1) Includes 0.000 shares of common stock reserved for issuance upon exercise of stock options which are exercisable as of</w:t>
      </w:r>
    </w:p>
    <w:p>
      <w:pPr>
        <w:spacing w:after="0" w:line="219" w:lineRule="auto"/>
        <w:rPr>
          <w:sz w:val="20"/>
          <w:szCs w:val="20"/>
          <w:color w:val="auto"/>
        </w:rPr>
      </w:pPr>
      <w:r>
        <w:rPr>
          <w:rFonts w:ascii="Arial" w:cs="Arial" w:eastAsia="Arial" w:hAnsi="Arial"/>
          <w:sz w:val="22"/>
          <w:szCs w:val="22"/>
          <w:color w:val="auto"/>
        </w:rPr>
        <w:t>the date of filing of this Schedule 13G.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SCHEDULE 13G</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Name of Issuer</w:t>
      </w:r>
    </w:p>
    <w:p>
      <w:pPr>
        <w:spacing w:after="0" w:line="21" w:lineRule="exact"/>
        <w:rPr>
          <w:sz w:val="20"/>
          <w:szCs w:val="20"/>
          <w:color w:val="auto"/>
        </w:rPr>
      </w:pPr>
    </w:p>
    <w:p>
      <w:pPr>
        <w:ind w:left="1080" w:right="4160"/>
        <w:spacing w:after="0" w:line="246" w:lineRule="auto"/>
        <w:rPr>
          <w:sz w:val="20"/>
          <w:szCs w:val="20"/>
          <w:color w:val="auto"/>
        </w:rPr>
      </w:pPr>
      <w:r>
        <w:rPr>
          <w:rFonts w:ascii="Arial" w:cs="Arial" w:eastAsia="Arial" w:hAnsi="Arial"/>
          <w:sz w:val="22"/>
          <w:szCs w:val="22"/>
          <w:color w:val="auto"/>
        </w:rPr>
        <w:t>This Statement on Schedule 13G relates to the shares of Instrument SIXTH STREET SPECIALTY LENDING</w:t>
      </w:r>
    </w:p>
    <w:p>
      <w:pPr>
        <w:spacing w:after="0" w:line="179" w:lineRule="exact"/>
        <w:rPr>
          <w:sz w:val="20"/>
          <w:szCs w:val="20"/>
          <w:color w:val="auto"/>
        </w:rPr>
      </w:pPr>
    </w:p>
    <w:p>
      <w:pPr>
        <w:ind w:left="1080" w:right="6080" w:hanging="532"/>
        <w:spacing w:after="0" w:line="251" w:lineRule="auto"/>
        <w:tabs>
          <w:tab w:leader="none" w:pos="846" w:val="left"/>
        </w:tabs>
        <w:numPr>
          <w:ilvl w:val="0"/>
          <w:numId w:val="5"/>
        </w:numPr>
        <w:rPr>
          <w:rFonts w:ascii="Arial" w:cs="Arial" w:eastAsia="Arial" w:hAnsi="Arial"/>
          <w:sz w:val="22"/>
          <w:szCs w:val="22"/>
          <w:color w:val="auto"/>
        </w:rPr>
      </w:pPr>
      <w:r>
        <w:rPr>
          <w:rFonts w:ascii="Arial" w:cs="Arial" w:eastAsia="Arial" w:hAnsi="Arial"/>
          <w:sz w:val="22"/>
          <w:szCs w:val="22"/>
          <w:color w:val="auto"/>
        </w:rPr>
        <w:t>Address of Issuer's Principal Executive Offices: 2100 McKinney Avenue</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Suite 1500</w:t>
      </w:r>
    </w:p>
    <w:p>
      <w:pPr>
        <w:ind w:left="1080"/>
        <w:spacing w:after="0" w:line="182" w:lineRule="auto"/>
        <w:rPr>
          <w:sz w:val="20"/>
          <w:szCs w:val="20"/>
          <w:color w:val="auto"/>
        </w:rPr>
      </w:pPr>
      <w:r>
        <w:rPr>
          <w:rFonts w:ascii="Arial" w:cs="Arial" w:eastAsia="Arial" w:hAnsi="Arial"/>
          <w:sz w:val="22"/>
          <w:szCs w:val="22"/>
          <w:color w:val="auto"/>
        </w:rPr>
        <w:t>Dallas , TX TX 75201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080" w:right="7760" w:hanging="532"/>
        <w:spacing w:after="0" w:line="291" w:lineRule="auto"/>
        <w:tabs>
          <w:tab w:leader="none" w:pos="834"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Person Filing: This Statement is filed by</w:t>
      </w:r>
    </w:p>
    <w:p>
      <w:pPr>
        <w:spacing w:after="0" w:line="1"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22"/>
          <w:szCs w:val="22"/>
          <w:color w:val="auto"/>
        </w:rPr>
        <w:t>OTR - Nominee Name for The State Teachers Retirement Board of Ohio</w:t>
      </w:r>
    </w:p>
    <w:p>
      <w:pPr>
        <w:spacing w:after="0" w:line="188" w:lineRule="exact"/>
        <w:rPr>
          <w:rFonts w:ascii="Arial" w:cs="Arial" w:eastAsia="Arial" w:hAnsi="Arial"/>
          <w:sz w:val="19"/>
          <w:szCs w:val="19"/>
          <w:color w:val="auto"/>
        </w:rPr>
      </w:pPr>
    </w:p>
    <w:p>
      <w:pPr>
        <w:ind w:left="860" w:hanging="312"/>
        <w:spacing w:after="0"/>
        <w:tabs>
          <w:tab w:leader="none" w:pos="8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Address of Principal Business Office:</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business address of OTR - Nominee Name for The State Teachers Retirement Board of Ohio is</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275 East Broad Street</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Columbus, Ohio 43215</w:t>
      </w:r>
    </w:p>
    <w:p>
      <w:pPr>
        <w:spacing w:after="0" w:line="188" w:lineRule="exact"/>
        <w:rPr>
          <w:sz w:val="20"/>
          <w:szCs w:val="20"/>
          <w:color w:val="auto"/>
        </w:rPr>
      </w:pPr>
    </w:p>
    <w:p>
      <w:pPr>
        <w:ind w:left="840" w:hanging="292"/>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Not Applicable</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securities are shares of 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 CUSIP No.:</w:t>
      </w:r>
    </w:p>
    <w:p>
      <w:pPr>
        <w:ind w:left="1080"/>
        <w:spacing w:after="0" w:line="199" w:lineRule="auto"/>
        <w:rPr>
          <w:sz w:val="20"/>
          <w:szCs w:val="20"/>
          <w:color w:val="auto"/>
        </w:rPr>
      </w:pPr>
      <w:r>
        <w:rPr>
          <w:rFonts w:ascii="Arial" w:cs="Arial" w:eastAsia="Arial" w:hAnsi="Arial"/>
          <w:sz w:val="22"/>
          <w:szCs w:val="22"/>
          <w:color w:val="auto"/>
        </w:rPr>
        <w:t>The CUSIP Number for the investment is 83012A109.</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Type of Person Filing:</w:t>
      </w:r>
    </w:p>
    <w:p>
      <w:pPr>
        <w:spacing w:after="0" w:line="206" w:lineRule="exact"/>
        <w:rPr>
          <w:sz w:val="20"/>
          <w:szCs w:val="20"/>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90a-8)</w:t>
      </w:r>
    </w:p>
    <w:p>
      <w:pPr>
        <w:spacing w:after="0" w:line="217" w:lineRule="exact"/>
        <w:rPr>
          <w:rFonts w:ascii="Arial" w:cs="Arial" w:eastAsia="Arial" w:hAnsi="Arial"/>
          <w:sz w:val="21"/>
          <w:szCs w:val="21"/>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An employee benefit plan or endowment fund in accordance with 240.13d-1(b)(1)(ii)(F);</w:t>
      </w:r>
    </w:p>
    <w:p>
      <w:pPr>
        <w:spacing w:after="0" w:line="206" w:lineRule="exact"/>
        <w:rPr>
          <w:sz w:val="20"/>
          <w:szCs w:val="20"/>
          <w:color w:val="auto"/>
        </w:rPr>
      </w:pPr>
    </w:p>
    <w:p>
      <w:pPr>
        <w:jc w:val="both"/>
        <w:ind w:left="1080" w:right="1140"/>
        <w:spacing w:after="0"/>
        <w:rPr>
          <w:sz w:val="20"/>
          <w:szCs w:val="20"/>
          <w:color w:val="auto"/>
        </w:rPr>
      </w:pPr>
      <w:r>
        <w:rPr>
          <w:rFonts w:ascii="Arial" w:cs="Arial" w:eastAsia="Arial" w:hAnsi="Arial"/>
          <w:sz w:val="22"/>
          <w:szCs w:val="22"/>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186" w:lineRule="exact"/>
        <w:rPr>
          <w:sz w:val="20"/>
          <w:szCs w:val="20"/>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17" w:lineRule="exact"/>
        <w:rPr>
          <w:rFonts w:ascii="Arial" w:cs="Arial" w:eastAsia="Arial" w:hAnsi="Arial"/>
          <w:sz w:val="21"/>
          <w:szCs w:val="21"/>
          <w:color w:val="auto"/>
        </w:rPr>
      </w:pPr>
    </w:p>
    <w:p>
      <w:pPr>
        <w:ind w:left="800" w:hanging="252"/>
        <w:spacing w:after="0"/>
        <w:tabs>
          <w:tab w:leader="none" w:pos="80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church plan that is excluded from the definition of an investment company under Section 3(c)(14) of the</w:t>
      </w:r>
    </w:p>
    <w:p>
      <w:pPr>
        <w:ind w:left="540"/>
        <w:spacing w:after="0" w:line="197" w:lineRule="auto"/>
        <w:rPr>
          <w:sz w:val="20"/>
          <w:szCs w:val="20"/>
          <w:color w:val="auto"/>
        </w:rPr>
      </w:pPr>
      <w:r>
        <w:rPr>
          <w:rFonts w:ascii="Arial" w:cs="Arial" w:eastAsia="Arial" w:hAnsi="Arial"/>
          <w:sz w:val="22"/>
          <w:szCs w:val="22"/>
          <w:color w:val="auto"/>
        </w:rPr>
        <w:t>Investment Company Act of 1940 (15 U.S.C. 80a-3)</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ectPr>
          <w:pgSz w:w="11900" w:h="16838" w:orient="portrait"/>
          <w:cols w:equalWidth="0" w:num="1">
            <w:col w:w="11060"/>
          </w:cols>
          <w:pgMar w:left="320" w:top="118" w:right="519" w:bottom="0" w:gutter="0" w:footer="0" w:header="0"/>
        </w:sectPr>
      </w:pPr>
    </w:p>
    <w:bookmarkStart w:id="2" w:name="page3"/>
    <w:bookmarkEnd w:id="2"/>
    <w:p>
      <w:pPr>
        <w:spacing w:after="0"/>
        <w:tabs>
          <w:tab w:leader="none" w:pos="9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OWNERSHIP</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Amount Beneficially Owned:</w:t>
      </w:r>
    </w:p>
    <w:p>
      <w:pPr>
        <w:spacing w:after="0" w:line="21" w:lineRule="exact"/>
        <w:rPr>
          <w:sz w:val="20"/>
          <w:szCs w:val="20"/>
          <w:color w:val="auto"/>
        </w:rPr>
      </w:pPr>
    </w:p>
    <w:p>
      <w:pPr>
        <w:ind w:left="540" w:right="2960" w:firstLine="540"/>
        <w:spacing w:after="0" w:line="339" w:lineRule="auto"/>
        <w:rPr>
          <w:sz w:val="20"/>
          <w:szCs w:val="20"/>
          <w:color w:val="auto"/>
        </w:rPr>
      </w:pPr>
      <w:r>
        <w:rPr>
          <w:rFonts w:ascii="Arial" w:cs="Arial" w:eastAsia="Arial" w:hAnsi="Arial"/>
          <w:sz w:val="22"/>
          <w:szCs w:val="22"/>
          <w:color w:val="auto"/>
        </w:rPr>
        <w:t>STRS owns 3,606,91 1.000 shares of SIXTH STREET SPECIALTY LENDING (b) Percent of Class:</w:t>
      </w:r>
    </w:p>
    <w:p>
      <w:pPr>
        <w:spacing w:after="0" w:line="1" w:lineRule="exact"/>
        <w:rPr>
          <w:sz w:val="20"/>
          <w:szCs w:val="20"/>
          <w:color w:val="auto"/>
        </w:rPr>
      </w:pPr>
    </w:p>
    <w:p>
      <w:pPr>
        <w:ind w:left="1080" w:right="1300"/>
        <w:spacing w:after="0" w:line="234" w:lineRule="auto"/>
        <w:rPr>
          <w:sz w:val="20"/>
          <w:szCs w:val="20"/>
          <w:color w:val="auto"/>
        </w:rPr>
      </w:pPr>
      <w:r>
        <w:rPr>
          <w:rFonts w:ascii="Arial" w:cs="Arial" w:eastAsia="Arial" w:hAnsi="Arial"/>
          <w:sz w:val="22"/>
          <w:szCs w:val="22"/>
          <w:color w:val="auto"/>
        </w:rPr>
        <w:t>STRS believes that there are presently 73,103,66 8.000 outstanding shares of SIXTH STREET SPECIALTY LENDING; therefore, STRS' ownership of 3,606,91 1.000 shares of SIXTH STREET SPECIALTY LENDING stock is 4.934% of this class.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 Number of Shares As To Which Such Person Has Power:</w:t>
      </w:r>
    </w:p>
    <w:p>
      <w:pPr>
        <w:spacing w:after="0" w:line="206" w:lineRule="exact"/>
        <w:rPr>
          <w:sz w:val="20"/>
          <w:szCs w:val="20"/>
          <w:color w:val="auto"/>
        </w:rPr>
      </w:pPr>
    </w:p>
    <w:p>
      <w:pPr>
        <w:ind w:left="1080"/>
        <w:spacing w:after="0"/>
        <w:tabs>
          <w:tab w:leader="none" w:pos="4920" w:val="left"/>
        </w:tabs>
        <w:rPr>
          <w:sz w:val="20"/>
          <w:szCs w:val="20"/>
          <w:color w:val="auto"/>
        </w:rPr>
      </w:pPr>
      <w:r>
        <w:rPr>
          <w:rFonts w:ascii="Arial" w:cs="Arial" w:eastAsia="Arial" w:hAnsi="Arial"/>
          <w:sz w:val="22"/>
          <w:szCs w:val="22"/>
          <w:color w:val="auto"/>
        </w:rPr>
        <w:t>(i) Sole power to vote or to direct the vote</w:t>
      </w:r>
      <w:r>
        <w:rPr>
          <w:sz w:val="20"/>
          <w:szCs w:val="20"/>
          <w:color w:val="auto"/>
        </w:rPr>
        <w:tab/>
      </w:r>
      <w:r>
        <w:rPr>
          <w:rFonts w:ascii="Arial" w:cs="Arial" w:eastAsia="Arial" w:hAnsi="Arial"/>
          <w:sz w:val="19"/>
          <w:szCs w:val="19"/>
          <w:color w:val="auto"/>
        </w:rPr>
        <w:t>3,606,91 1.000</w:t>
      </w:r>
    </w:p>
    <w:p>
      <w:pPr>
        <w:spacing w:after="0" w:line="206" w:lineRule="exact"/>
        <w:rPr>
          <w:sz w:val="20"/>
          <w:szCs w:val="20"/>
          <w:color w:val="auto"/>
        </w:rPr>
      </w:pPr>
    </w:p>
    <w:p>
      <w:pPr>
        <w:ind w:left="1080"/>
        <w:spacing w:after="0"/>
        <w:tabs>
          <w:tab w:leader="none" w:pos="5180" w:val="left"/>
        </w:tabs>
        <w:rPr>
          <w:sz w:val="20"/>
          <w:szCs w:val="20"/>
          <w:color w:val="auto"/>
        </w:rPr>
      </w:pPr>
      <w:r>
        <w:rPr>
          <w:rFonts w:ascii="Arial" w:cs="Arial" w:eastAsia="Arial" w:hAnsi="Arial"/>
          <w:sz w:val="21"/>
          <w:szCs w:val="21"/>
          <w:color w:val="auto"/>
        </w:rPr>
        <w:t>(ii) Shared power to vote or to direct the vote</w:t>
        <w:tab/>
        <w:t>0</w:t>
      </w:r>
    </w:p>
    <w:p>
      <w:pPr>
        <w:spacing w:after="0" w:line="218" w:lineRule="exact"/>
        <w:rPr>
          <w:sz w:val="20"/>
          <w:szCs w:val="20"/>
          <w:color w:val="auto"/>
        </w:rPr>
      </w:pPr>
    </w:p>
    <w:p>
      <w:pPr>
        <w:ind w:left="1080"/>
        <w:spacing w:after="0"/>
        <w:tabs>
          <w:tab w:leader="none" w:pos="6180" w:val="left"/>
        </w:tabs>
        <w:rPr>
          <w:sz w:val="20"/>
          <w:szCs w:val="20"/>
          <w:color w:val="auto"/>
        </w:rPr>
      </w:pPr>
      <w:r>
        <w:rPr>
          <w:rFonts w:ascii="Arial" w:cs="Arial" w:eastAsia="Arial" w:hAnsi="Arial"/>
          <w:sz w:val="22"/>
          <w:szCs w:val="22"/>
          <w:color w:val="auto"/>
        </w:rPr>
        <w:t>(iii) Sole power to dispose or to direct the disposition of</w:t>
      </w:r>
      <w:r>
        <w:rPr>
          <w:sz w:val="20"/>
          <w:szCs w:val="20"/>
          <w:color w:val="auto"/>
        </w:rPr>
        <w:tab/>
      </w:r>
      <w:r>
        <w:rPr>
          <w:rFonts w:ascii="Arial" w:cs="Arial" w:eastAsia="Arial" w:hAnsi="Arial"/>
          <w:sz w:val="19"/>
          <w:szCs w:val="19"/>
          <w:color w:val="auto"/>
        </w:rPr>
        <w:t>3,606,91 1.000</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(iv) Shared power to dispose or to direct the disposition of 3,606,91 1.000 shares of SIXTH STREET</w:t>
      </w:r>
    </w:p>
    <w:p>
      <w:pPr>
        <w:ind w:left="1080"/>
        <w:spacing w:after="0" w:line="186" w:lineRule="auto"/>
        <w:rPr>
          <w:sz w:val="20"/>
          <w:szCs w:val="20"/>
          <w:color w:val="auto"/>
        </w:rPr>
      </w:pPr>
      <w:r>
        <w:rPr>
          <w:rFonts w:ascii="Arial" w:cs="Arial" w:eastAsia="Arial" w:hAnsi="Arial"/>
          <w:sz w:val="22"/>
          <w:szCs w:val="22"/>
          <w:color w:val="auto"/>
        </w:rPr>
        <w:t>SPECIALTY LENDING stock.</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If this statements is being filed to report the fact that as of the date hereof the reporting person has ceased to be the</w:t>
      </w:r>
    </w:p>
    <w:p>
      <w:pPr>
        <w:ind w:left="540"/>
        <w:spacing w:after="0" w:line="219" w:lineRule="auto"/>
        <w:rPr>
          <w:sz w:val="20"/>
          <w:szCs w:val="20"/>
          <w:color w:val="auto"/>
        </w:rPr>
      </w:pPr>
      <w:r>
        <w:rPr>
          <w:rFonts w:ascii="Arial" w:cs="Arial" w:eastAsia="Arial" w:hAnsi="Arial"/>
          <w:sz w:val="22"/>
          <w:szCs w:val="22"/>
          <w:color w:val="auto"/>
        </w:rPr>
        <w:t>beneficial owner of more than five (5) percent of the class of securities, check the following [ ].</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Item 7 IDENTIFICATION AND CLASSIFICATION OF SUBSIDIARY WHICH ACQUIRED THE SECURITY BEING REPORTED ON BY THE PARENT HOLDING COMPANY.</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spacing w:after="0" w:line="22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DATED:</w:t>
        <w:tab/>
        <w:t>1/10/2022</w:t>
      </w:r>
    </w:p>
    <w:p>
      <w:pPr>
        <w:spacing w:after="0" w:line="395" w:lineRule="exact"/>
        <w:rPr>
          <w:sz w:val="20"/>
          <w:szCs w:val="20"/>
          <w:color w:val="auto"/>
        </w:rPr>
      </w:pPr>
    </w:p>
    <w:p>
      <w:pPr>
        <w:ind w:right="4700"/>
        <w:spacing w:after="0" w:line="187" w:lineRule="auto"/>
        <w:rPr>
          <w:sz w:val="20"/>
          <w:szCs w:val="20"/>
          <w:color w:val="auto"/>
        </w:rPr>
      </w:pPr>
      <w:r>
        <w:rPr>
          <w:rFonts w:ascii="Arial" w:cs="Arial" w:eastAsia="Arial" w:hAnsi="Arial"/>
          <w:sz w:val="22"/>
          <w:szCs w:val="22"/>
          <w:color w:val="auto"/>
        </w:rPr>
        <w:t>OTR - Nominee Name for The State Teachers Retirement Board of Ohio 275 East Broad Street</w:t>
      </w:r>
    </w:p>
    <w:p>
      <w:pPr>
        <w:spacing w:after="0" w:line="181" w:lineRule="auto"/>
        <w:rPr>
          <w:sz w:val="20"/>
          <w:szCs w:val="20"/>
          <w:color w:val="auto"/>
        </w:rPr>
      </w:pPr>
      <w:r>
        <w:rPr>
          <w:rFonts w:ascii="Arial" w:cs="Arial" w:eastAsia="Arial" w:hAnsi="Arial"/>
          <w:sz w:val="22"/>
          <w:szCs w:val="22"/>
          <w:color w:val="auto"/>
        </w:rPr>
        <w:t>Columbus, Ohio 43215</w:t>
      </w:r>
    </w:p>
    <w:p>
      <w:pPr>
        <w:spacing w:after="0" w:line="187" w:lineRule="auto"/>
        <w:rPr>
          <w:sz w:val="20"/>
          <w:szCs w:val="20"/>
          <w:color w:val="auto"/>
        </w:rPr>
      </w:pPr>
      <w:r>
        <w:rPr>
          <w:rFonts w:ascii="Arial" w:cs="Arial" w:eastAsia="Arial" w:hAnsi="Arial"/>
          <w:sz w:val="21"/>
          <w:szCs w:val="21"/>
          <w:color w:val="auto"/>
        </w:rPr>
        <w:t>Matthew Worley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/s/Matthew Worley</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Matthew Worley</w:t>
      </w:r>
    </w:p>
    <w:p>
      <w:pPr>
        <w:sectPr>
          <w:pgSz w:w="11900" w:h="16838" w:orient="portrait"/>
          <w:cols w:equalWidth="0" w:num="1">
            <w:col w:w="11000"/>
          </w:cols>
          <w:pgMar w:left="320" w:top="118" w:right="579" w:bottom="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Deputy Executive Director, Investments</w:t>
      </w:r>
    </w:p>
    <w:p>
      <w:pPr>
        <w:spacing w:after="0"/>
        <w:rPr>
          <w:sz w:val="20"/>
          <w:szCs w:val="20"/>
          <w:color w:val="auto"/>
        </w:rPr>
      </w:pPr>
      <w:r>
        <w:rPr>
          <w:rFonts w:ascii="Arial" w:cs="Arial" w:eastAsia="Arial" w:hAnsi="Arial"/>
          <w:sz w:val="22"/>
          <w:szCs w:val="22"/>
          <w:color w:val="auto"/>
        </w:rPr>
        <w:t>614-227-4006</w:t>
      </w:r>
    </w:p>
    <w:sectPr>
      <w:pgSz w:w="11900" w:h="16838" w:orient="portrait"/>
      <w:cols w:equalWidth="0" w:num="1">
        <w:col w:w="10139"/>
      </w:cols>
      <w:pgMar w:left="32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2022-01-10T07:25:44Z</dcterms:created>
  <dcterms:modified xsi:type="dcterms:W3CDTF">2022-01-10T07:25:44Z</dcterms:modified>
</cp:coreProperties>
</file>