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3"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SCHEDULE 13D</w:t>
      </w:r>
    </w:p>
    <w:p>
      <w:pPr>
        <w:spacing w:after="0" w:line="253"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(Amendment No. 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99060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87" w:lineRule="exact"/>
        <w:rPr>
          <w:sz w:val="24"/>
          <w:szCs w:val="24"/>
          <w:color w:val="auto"/>
        </w:rPr>
      </w:pPr>
    </w:p>
    <w:p>
      <w:pPr>
        <w:jc w:val="center"/>
        <w:ind w:right="-99"/>
        <w:spacing w:after="0"/>
        <w:rPr>
          <w:sz w:val="20"/>
          <w:szCs w:val="20"/>
          <w:color w:val="auto"/>
        </w:rPr>
      </w:pPr>
      <w:r>
        <w:rPr>
          <w:rFonts w:ascii="Arial" w:cs="Arial" w:eastAsia="Arial" w:hAnsi="Arial"/>
          <w:sz w:val="43"/>
          <w:szCs w:val="43"/>
          <w:b w:val="1"/>
          <w:bCs w:val="1"/>
          <w:color w:val="auto"/>
        </w:rPr>
        <w:t>TPG Specialty Lending, Inc.</w:t>
      </w:r>
    </w:p>
    <w:p>
      <w:pPr>
        <w:spacing w:after="0" w:line="54"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(Name of Issuer)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105410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26"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Common Stock, $.01 par value</w:t>
      </w:r>
    </w:p>
    <w:p>
      <w:pPr>
        <w:spacing w:after="0" w:line="21"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(Title of Class of Securities)</w:t>
      </w:r>
    </w:p>
    <w:p>
      <w:pPr>
        <w:spacing w:after="0" w:line="299"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N/A</w:t>
      </w:r>
    </w:p>
    <w:p>
      <w:pPr>
        <w:spacing w:after="0" w:line="21"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(CUSIP Number)</w:t>
      </w:r>
    </w:p>
    <w:p>
      <w:pPr>
        <w:spacing w:after="0" w:line="340" w:lineRule="exact"/>
        <w:rPr>
          <w:sz w:val="24"/>
          <w:szCs w:val="24"/>
          <w:color w:val="auto"/>
        </w:rPr>
      </w:pPr>
    </w:p>
    <w:tbl>
      <w:tblPr>
        <w:tblLayout w:type="fixed"/>
        <w:tblInd w:w="1680" w:type="dxa"/>
        <w:tblCellMar>
          <w:top w:w="0" w:type="dxa"/>
          <w:left w:w="0" w:type="dxa"/>
          <w:bottom w:w="0" w:type="dxa"/>
          <w:right w:w="0" w:type="dxa"/>
        </w:tblCellMar>
      </w:tblPr>
      <w:tr>
        <w:trPr>
          <w:trHeight w:val="216"/>
        </w:trPr>
        <w:tc>
          <w:tcPr>
            <w:tcW w:w="4020" w:type="dxa"/>
            <w:vAlign w:val="bottom"/>
          </w:tcPr>
          <w:p>
            <w:pPr>
              <w:jc w:val="center"/>
              <w:ind w:right="1572"/>
              <w:spacing w:after="0"/>
              <w:rPr>
                <w:sz w:val="20"/>
                <w:szCs w:val="20"/>
                <w:color w:val="auto"/>
              </w:rPr>
            </w:pPr>
            <w:r>
              <w:rPr>
                <w:rFonts w:ascii="Arial" w:cs="Arial" w:eastAsia="Arial" w:hAnsi="Arial"/>
                <w:sz w:val="18"/>
                <w:szCs w:val="18"/>
                <w:b w:val="1"/>
                <w:bCs w:val="1"/>
                <w:color w:val="auto"/>
                <w:w w:val="87"/>
              </w:rPr>
              <w:t>Richard Essex</w:t>
            </w:r>
          </w:p>
        </w:tc>
        <w:tc>
          <w:tcPr>
            <w:tcW w:w="4300" w:type="dxa"/>
            <w:vAlign w:val="bottom"/>
          </w:tcPr>
          <w:p>
            <w:pPr>
              <w:spacing w:after="0"/>
              <w:rPr>
                <w:sz w:val="18"/>
                <w:szCs w:val="18"/>
                <w:color w:val="auto"/>
              </w:rPr>
            </w:pPr>
          </w:p>
        </w:tc>
      </w:tr>
      <w:tr>
        <w:trPr>
          <w:trHeight w:val="216"/>
        </w:trPr>
        <w:tc>
          <w:tcPr>
            <w:tcW w:w="4020" w:type="dxa"/>
            <w:vAlign w:val="bottom"/>
          </w:tcPr>
          <w:p>
            <w:pPr>
              <w:jc w:val="center"/>
              <w:ind w:right="1572"/>
              <w:spacing w:after="0"/>
              <w:rPr>
                <w:sz w:val="20"/>
                <w:szCs w:val="20"/>
                <w:color w:val="auto"/>
              </w:rPr>
            </w:pPr>
            <w:r>
              <w:rPr>
                <w:rFonts w:ascii="Arial" w:cs="Arial" w:eastAsia="Arial" w:hAnsi="Arial"/>
                <w:sz w:val="18"/>
                <w:szCs w:val="18"/>
                <w:b w:val="1"/>
                <w:bCs w:val="1"/>
                <w:color w:val="auto"/>
                <w:w w:val="90"/>
              </w:rPr>
              <w:t>USS Ltd.</w:t>
            </w:r>
          </w:p>
        </w:tc>
        <w:tc>
          <w:tcPr>
            <w:tcW w:w="4300" w:type="dxa"/>
            <w:vAlign w:val="bottom"/>
          </w:tcPr>
          <w:p>
            <w:pPr>
              <w:jc w:val="center"/>
              <w:ind w:left="1592"/>
              <w:spacing w:after="0"/>
              <w:rPr>
                <w:sz w:val="20"/>
                <w:szCs w:val="20"/>
                <w:color w:val="auto"/>
              </w:rPr>
            </w:pPr>
            <w:r>
              <w:rPr>
                <w:rFonts w:ascii="Arial" w:cs="Arial" w:eastAsia="Arial" w:hAnsi="Arial"/>
                <w:sz w:val="18"/>
                <w:szCs w:val="18"/>
                <w:b w:val="1"/>
                <w:bCs w:val="1"/>
                <w:color w:val="auto"/>
                <w:w w:val="86"/>
              </w:rPr>
              <w:t>Alyssa Scaparotti</w:t>
            </w:r>
          </w:p>
        </w:tc>
      </w:tr>
      <w:tr>
        <w:trPr>
          <w:trHeight w:val="216"/>
        </w:trPr>
        <w:tc>
          <w:tcPr>
            <w:tcW w:w="4020" w:type="dxa"/>
            <w:vAlign w:val="bottom"/>
          </w:tcPr>
          <w:p>
            <w:pPr>
              <w:jc w:val="center"/>
              <w:ind w:right="1572"/>
              <w:spacing w:after="0"/>
              <w:rPr>
                <w:sz w:val="20"/>
                <w:szCs w:val="20"/>
                <w:color w:val="auto"/>
              </w:rPr>
            </w:pPr>
            <w:r>
              <w:rPr>
                <w:rFonts w:ascii="Arial" w:cs="Arial" w:eastAsia="Arial" w:hAnsi="Arial"/>
                <w:sz w:val="18"/>
                <w:szCs w:val="18"/>
                <w:b w:val="1"/>
                <w:bCs w:val="1"/>
                <w:color w:val="auto"/>
                <w:w w:val="88"/>
              </w:rPr>
              <w:t>60 Threadneedle Street, Floor 6</w:t>
            </w:r>
          </w:p>
        </w:tc>
        <w:tc>
          <w:tcPr>
            <w:tcW w:w="4300" w:type="dxa"/>
            <w:vAlign w:val="bottom"/>
          </w:tcPr>
          <w:p>
            <w:pPr>
              <w:jc w:val="center"/>
              <w:ind w:left="1592"/>
              <w:spacing w:after="0"/>
              <w:rPr>
                <w:sz w:val="20"/>
                <w:szCs w:val="20"/>
                <w:color w:val="auto"/>
              </w:rPr>
            </w:pPr>
            <w:r>
              <w:rPr>
                <w:rFonts w:ascii="Arial" w:cs="Arial" w:eastAsia="Arial" w:hAnsi="Arial"/>
                <w:sz w:val="18"/>
                <w:szCs w:val="18"/>
                <w:b w:val="1"/>
                <w:bCs w:val="1"/>
                <w:color w:val="auto"/>
                <w:w w:val="87"/>
              </w:rPr>
              <w:t>c/o Proskauer Rose LLP</w:t>
            </w:r>
          </w:p>
        </w:tc>
      </w:tr>
      <w:tr>
        <w:trPr>
          <w:trHeight w:val="216"/>
        </w:trPr>
        <w:tc>
          <w:tcPr>
            <w:tcW w:w="4020" w:type="dxa"/>
            <w:vAlign w:val="bottom"/>
          </w:tcPr>
          <w:p>
            <w:pPr>
              <w:jc w:val="center"/>
              <w:ind w:right="1552"/>
              <w:spacing w:after="0"/>
              <w:rPr>
                <w:sz w:val="20"/>
                <w:szCs w:val="20"/>
                <w:color w:val="auto"/>
              </w:rPr>
            </w:pPr>
            <w:r>
              <w:rPr>
                <w:rFonts w:ascii="Arial" w:cs="Arial" w:eastAsia="Arial" w:hAnsi="Arial"/>
                <w:sz w:val="18"/>
                <w:szCs w:val="18"/>
                <w:b w:val="1"/>
                <w:bCs w:val="1"/>
                <w:color w:val="auto"/>
                <w:w w:val="91"/>
              </w:rPr>
              <w:t>London EC2R 8HP</w:t>
            </w:r>
          </w:p>
        </w:tc>
        <w:tc>
          <w:tcPr>
            <w:tcW w:w="4300" w:type="dxa"/>
            <w:vAlign w:val="bottom"/>
          </w:tcPr>
          <w:p>
            <w:pPr>
              <w:jc w:val="center"/>
              <w:ind w:left="1572"/>
              <w:spacing w:after="0"/>
              <w:rPr>
                <w:sz w:val="20"/>
                <w:szCs w:val="20"/>
                <w:color w:val="auto"/>
              </w:rPr>
            </w:pPr>
            <w:r>
              <w:rPr>
                <w:rFonts w:ascii="Arial" w:cs="Arial" w:eastAsia="Arial" w:hAnsi="Arial"/>
                <w:sz w:val="18"/>
                <w:szCs w:val="18"/>
                <w:b w:val="1"/>
                <w:bCs w:val="1"/>
                <w:color w:val="auto"/>
                <w:w w:val="89"/>
              </w:rPr>
              <w:t>One International Place, 22</w:t>
            </w:r>
            <w:r>
              <w:rPr>
                <w:rFonts w:ascii="Arial" w:cs="Arial" w:eastAsia="Arial" w:hAnsi="Arial"/>
                <w:sz w:val="11"/>
                <w:szCs w:val="11"/>
                <w:b w:val="1"/>
                <w:bCs w:val="1"/>
                <w:color w:val="auto"/>
                <w:w w:val="89"/>
              </w:rPr>
              <w:t>nd</w:t>
            </w:r>
            <w:r>
              <w:rPr>
                <w:rFonts w:ascii="Arial" w:cs="Arial" w:eastAsia="Arial" w:hAnsi="Arial"/>
                <w:sz w:val="18"/>
                <w:szCs w:val="18"/>
                <w:b w:val="1"/>
                <w:bCs w:val="1"/>
                <w:color w:val="auto"/>
                <w:w w:val="89"/>
              </w:rPr>
              <w:t xml:space="preserve"> Floor</w:t>
            </w:r>
          </w:p>
        </w:tc>
      </w:tr>
      <w:tr>
        <w:trPr>
          <w:trHeight w:val="216"/>
        </w:trPr>
        <w:tc>
          <w:tcPr>
            <w:tcW w:w="4020" w:type="dxa"/>
            <w:vAlign w:val="bottom"/>
          </w:tcPr>
          <w:p>
            <w:pPr>
              <w:jc w:val="center"/>
              <w:ind w:right="1572"/>
              <w:spacing w:after="0"/>
              <w:rPr>
                <w:sz w:val="20"/>
                <w:szCs w:val="20"/>
                <w:color w:val="auto"/>
              </w:rPr>
            </w:pPr>
            <w:r>
              <w:rPr>
                <w:rFonts w:ascii="Arial" w:cs="Arial" w:eastAsia="Arial" w:hAnsi="Arial"/>
                <w:sz w:val="18"/>
                <w:szCs w:val="18"/>
                <w:b w:val="1"/>
                <w:bCs w:val="1"/>
                <w:color w:val="auto"/>
                <w:w w:val="90"/>
              </w:rPr>
              <w:t>England</w:t>
            </w:r>
          </w:p>
        </w:tc>
        <w:tc>
          <w:tcPr>
            <w:tcW w:w="4300" w:type="dxa"/>
            <w:vAlign w:val="bottom"/>
          </w:tcPr>
          <w:p>
            <w:pPr>
              <w:jc w:val="center"/>
              <w:ind w:left="1592"/>
              <w:spacing w:after="0"/>
              <w:rPr>
                <w:sz w:val="20"/>
                <w:szCs w:val="20"/>
                <w:color w:val="auto"/>
              </w:rPr>
            </w:pPr>
            <w:r>
              <w:rPr>
                <w:rFonts w:ascii="Arial" w:cs="Arial" w:eastAsia="Arial" w:hAnsi="Arial"/>
                <w:sz w:val="18"/>
                <w:szCs w:val="18"/>
                <w:b w:val="1"/>
                <w:bCs w:val="1"/>
                <w:color w:val="auto"/>
                <w:w w:val="88"/>
              </w:rPr>
              <w:t>Boston, MA 02110</w:t>
            </w:r>
          </w:p>
        </w:tc>
      </w:tr>
      <w:tr>
        <w:trPr>
          <w:trHeight w:val="228"/>
        </w:trPr>
        <w:tc>
          <w:tcPr>
            <w:tcW w:w="4020" w:type="dxa"/>
            <w:vAlign w:val="bottom"/>
          </w:tcPr>
          <w:p>
            <w:pPr>
              <w:jc w:val="center"/>
              <w:ind w:right="1552"/>
              <w:spacing w:after="0"/>
              <w:rPr>
                <w:sz w:val="20"/>
                <w:szCs w:val="20"/>
                <w:color w:val="auto"/>
              </w:rPr>
            </w:pPr>
            <w:r>
              <w:rPr>
                <w:rFonts w:ascii="Arial" w:cs="Arial" w:eastAsia="Arial" w:hAnsi="Arial"/>
                <w:sz w:val="18"/>
                <w:szCs w:val="18"/>
                <w:b w:val="1"/>
                <w:bCs w:val="1"/>
                <w:color w:val="auto"/>
                <w:w w:val="89"/>
              </w:rPr>
              <w:t>+44 (0) 20 7972 6470</w:t>
            </w:r>
          </w:p>
        </w:tc>
        <w:tc>
          <w:tcPr>
            <w:tcW w:w="4300" w:type="dxa"/>
            <w:vAlign w:val="bottom"/>
          </w:tcPr>
          <w:p>
            <w:pPr>
              <w:jc w:val="center"/>
              <w:ind w:left="1592"/>
              <w:spacing w:after="0"/>
              <w:rPr>
                <w:sz w:val="20"/>
                <w:szCs w:val="20"/>
                <w:color w:val="auto"/>
              </w:rPr>
            </w:pPr>
            <w:r>
              <w:rPr>
                <w:rFonts w:ascii="Arial" w:cs="Arial" w:eastAsia="Arial" w:hAnsi="Arial"/>
                <w:sz w:val="18"/>
                <w:szCs w:val="18"/>
                <w:b w:val="1"/>
                <w:bCs w:val="1"/>
                <w:color w:val="auto"/>
                <w:w w:val="89"/>
              </w:rPr>
              <w:t>(617) 526-9697</w:t>
            </w:r>
          </w:p>
        </w:tc>
      </w:tr>
    </w:tbl>
    <w:p>
      <w:pPr>
        <w:spacing w:after="0" w:line="3"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(Name, Address and Telephone Number of Person Authorized to Receive Notices and Communications)</w:t>
      </w:r>
    </w:p>
    <w:p>
      <w:pPr>
        <w:spacing w:after="0" w:line="310"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March 16, 2012</w:t>
      </w:r>
    </w:p>
    <w:p>
      <w:pPr>
        <w:spacing w:after="0" w:line="21"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104775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31" w:lineRule="exact"/>
        <w:rPr>
          <w:sz w:val="24"/>
          <w:szCs w:val="24"/>
          <w:color w:val="auto"/>
        </w:rPr>
      </w:pPr>
    </w:p>
    <w:p>
      <w:pPr>
        <w:ind w:right="120"/>
        <w:spacing w:after="0" w:line="229" w:lineRule="exact"/>
        <w:rPr>
          <w:sz w:val="20"/>
          <w:szCs w:val="20"/>
          <w:color w:val="auto"/>
        </w:rPr>
      </w:pPr>
      <w:r>
        <w:rPr>
          <w:rFonts w:ascii="Arial" w:cs="Arial" w:eastAsia="Arial" w:hAnsi="Arial"/>
          <w:sz w:val="18"/>
          <w:szCs w:val="18"/>
          <w:color w:val="auto"/>
        </w:rPr>
        <w:t xml:space="preserve">If the filing person has previously filed a statement on Schedule 13G to report the acquisition that is the subject of this Schedule 13D, and is filing this schedule because of §§240.13d-1(e), 240.13d-1(f) or 240.13d-1(g), check the following box. </w:t>
      </w:r>
      <w:r>
        <w:rPr>
          <w:rFonts w:ascii="MS PGothic" w:cs="MS PGothic" w:eastAsia="MS PGothic" w:hAnsi="MS PGothic"/>
          <w:sz w:val="18"/>
          <w:szCs w:val="18"/>
          <w:color w:val="auto"/>
        </w:rPr>
        <w:t>☐</w:t>
      </w:r>
    </w:p>
    <w:p>
      <w:pPr>
        <w:spacing w:after="0" w:line="131" w:lineRule="exact"/>
        <w:rPr>
          <w:sz w:val="24"/>
          <w:szCs w:val="24"/>
          <w:color w:val="auto"/>
        </w:rPr>
      </w:pPr>
    </w:p>
    <w:p>
      <w:pPr>
        <w:ind w:right="200"/>
        <w:spacing w:after="0" w:line="275" w:lineRule="auto"/>
        <w:rPr>
          <w:sz w:val="20"/>
          <w:szCs w:val="20"/>
          <w:color w:val="auto"/>
        </w:rPr>
      </w:pPr>
      <w:r>
        <w:rPr>
          <w:rFonts w:ascii="Arial" w:cs="Arial" w:eastAsia="Arial" w:hAnsi="Arial"/>
          <w:sz w:val="18"/>
          <w:szCs w:val="18"/>
          <w:b w:val="1"/>
          <w:bCs w:val="1"/>
          <w:color w:val="auto"/>
        </w:rPr>
        <w:t xml:space="preserve">Note: </w:t>
      </w:r>
      <w:r>
        <w:rPr>
          <w:rFonts w:ascii="Arial" w:cs="Arial" w:eastAsia="Arial" w:hAnsi="Arial"/>
          <w:sz w:val="18"/>
          <w:szCs w:val="18"/>
          <w:color w:val="auto"/>
        </w:rPr>
        <w:t>Schedules filed in paper format shall include a signed original and five copies of the schedule, including all exhibits. See §240.13d-7 for other parties to</w:t>
      </w:r>
      <w:r>
        <w:rPr>
          <w:rFonts w:ascii="Arial" w:cs="Arial" w:eastAsia="Arial" w:hAnsi="Arial"/>
          <w:sz w:val="18"/>
          <w:szCs w:val="18"/>
          <w:b w:val="1"/>
          <w:bCs w:val="1"/>
          <w:color w:val="auto"/>
        </w:rPr>
        <w:t xml:space="preserve"> </w:t>
      </w:r>
      <w:r>
        <w:rPr>
          <w:rFonts w:ascii="Arial" w:cs="Arial" w:eastAsia="Arial" w:hAnsi="Arial"/>
          <w:sz w:val="18"/>
          <w:szCs w:val="18"/>
          <w:color w:val="auto"/>
        </w:rPr>
        <w:t>whom copies are to be sent.</w:t>
      </w:r>
    </w:p>
    <w:p>
      <w:pPr>
        <w:spacing w:after="0" w:line="166" w:lineRule="exact"/>
        <w:rPr>
          <w:sz w:val="24"/>
          <w:szCs w:val="24"/>
          <w:color w:val="auto"/>
        </w:rPr>
      </w:pPr>
    </w:p>
    <w:p>
      <w:pPr>
        <w:ind w:left="220" w:hanging="212"/>
        <w:spacing w:after="0" w:line="268" w:lineRule="auto"/>
        <w:tabs>
          <w:tab w:leader="none" w:pos="22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32" w:lineRule="exact"/>
        <w:rPr>
          <w:sz w:val="24"/>
          <w:szCs w:val="24"/>
          <w:color w:val="auto"/>
        </w:rPr>
      </w:pPr>
    </w:p>
    <w:p>
      <w:pPr>
        <w:ind w:right="180"/>
        <w:spacing w:after="0" w:line="332" w:lineRule="auto"/>
        <w:rPr>
          <w:sz w:val="20"/>
          <w:szCs w:val="20"/>
          <w:color w:val="auto"/>
        </w:rPr>
      </w:pPr>
      <w:r>
        <w:rPr>
          <w:rFonts w:ascii="Arial" w:cs="Arial" w:eastAsia="Arial" w:hAnsi="Arial"/>
          <w:sz w:val="16"/>
          <w:szCs w:val="16"/>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59690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40"/>
          </w:cols>
          <w:pgMar w:left="240" w:top="314" w:right="319" w:bottom="1440" w:gutter="0" w:footer="0" w:header="0"/>
        </w:sectPr>
      </w:pPr>
    </w:p>
    <w:bookmarkStart w:id="1" w:name="page2"/>
    <w:bookmarkEnd w:id="1"/>
    <w:p>
      <w:pPr>
        <w:ind w:left="740" w:hanging="523"/>
        <w:spacing w:after="0"/>
        <w:tabs>
          <w:tab w:leader="none" w:pos="740" w:val="left"/>
        </w:tabs>
        <w:numPr>
          <w:ilvl w:val="0"/>
          <w:numId w:val="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6003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6003290"/>
                    </a:xfrm>
                    <a:prstGeom prst="rect">
                      <a:avLst/>
                    </a:prstGeom>
                    <a:noFill/>
                  </pic:spPr>
                </pic:pic>
              </a:graphicData>
            </a:graphic>
          </wp:anchor>
        </w:drawing>
        <w:t>NAMES OF REPORTING PERSONS.</w:t>
      </w:r>
    </w:p>
    <w:p>
      <w:pPr>
        <w:spacing w:after="0" w:line="15" w:lineRule="exact"/>
        <w:rPr>
          <w:rFonts w:ascii="Arial" w:cs="Arial" w:eastAsia="Arial" w:hAnsi="Arial"/>
          <w:sz w:val="18"/>
          <w:szCs w:val="18"/>
          <w:color w:val="auto"/>
        </w:rPr>
      </w:pPr>
    </w:p>
    <w:p>
      <w:pPr>
        <w:ind w:left="740"/>
        <w:spacing w:after="0"/>
        <w:rPr>
          <w:rFonts w:ascii="Arial" w:cs="Arial" w:eastAsia="Arial" w:hAnsi="Arial"/>
          <w:sz w:val="18"/>
          <w:szCs w:val="18"/>
          <w:color w:val="auto"/>
        </w:rPr>
      </w:pPr>
      <w:r>
        <w:rPr>
          <w:rFonts w:ascii="Arial" w:cs="Arial" w:eastAsia="Arial" w:hAnsi="Arial"/>
          <w:sz w:val="18"/>
          <w:szCs w:val="18"/>
          <w:color w:val="auto"/>
        </w:rPr>
        <w:t>I.R.S. IDENTIFICATION NOS. OF ABOVE PERSONS (ENTITIES ONLY).</w:t>
      </w:r>
    </w:p>
    <w:p>
      <w:pPr>
        <w:spacing w:after="0" w:line="192" w:lineRule="exact"/>
        <w:rPr>
          <w:sz w:val="20"/>
          <w:szCs w:val="20"/>
          <w:color w:val="auto"/>
        </w:rPr>
      </w:pPr>
    </w:p>
    <w:p>
      <w:pPr>
        <w:ind w:left="740" w:right="2360"/>
        <w:spacing w:after="0" w:line="249" w:lineRule="auto"/>
        <w:rPr>
          <w:sz w:val="20"/>
          <w:szCs w:val="20"/>
          <w:color w:val="auto"/>
        </w:rPr>
      </w:pPr>
      <w:r>
        <w:rPr>
          <w:rFonts w:ascii="Arial" w:cs="Arial" w:eastAsia="Arial" w:hAnsi="Arial"/>
          <w:sz w:val="22"/>
          <w:szCs w:val="22"/>
          <w:color w:val="auto"/>
        </w:rPr>
        <w:t>Universities Superannuation Scheme Limited as trustee for Universities Superannuation Scheme 98-0076631</w:t>
      </w:r>
    </w:p>
    <w:p>
      <w:pPr>
        <w:spacing w:after="0" w:line="1" w:lineRule="exact"/>
        <w:rPr>
          <w:sz w:val="20"/>
          <w:szCs w:val="20"/>
          <w:color w:val="auto"/>
        </w:rPr>
      </w:pPr>
    </w:p>
    <w:p>
      <w:pPr>
        <w:ind w:left="740" w:hanging="523"/>
        <w:spacing w:after="0"/>
        <w:tabs>
          <w:tab w:leader="none" w:pos="74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5" w:lineRule="exact"/>
        <w:rPr>
          <w:sz w:val="20"/>
          <w:szCs w:val="20"/>
          <w:color w:val="auto"/>
        </w:rPr>
      </w:pPr>
    </w:p>
    <w:p>
      <w:pPr>
        <w:ind w:left="740"/>
        <w:spacing w:after="0" w:line="207" w:lineRule="exact"/>
        <w:tabs>
          <w:tab w:leader="none" w:pos="1520"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(b) </w:t>
      </w:r>
      <w:r>
        <w:rPr>
          <w:rFonts w:ascii="MS PGothic" w:cs="MS PGothic" w:eastAsia="MS PGothic" w:hAnsi="MS PGothic"/>
          <w:sz w:val="16"/>
          <w:szCs w:val="16"/>
          <w:color w:val="auto"/>
        </w:rPr>
        <w:t>☐</w:t>
      </w:r>
    </w:p>
    <w:p>
      <w:pPr>
        <w:spacing w:after="0" w:line="178" w:lineRule="exact"/>
        <w:rPr>
          <w:sz w:val="20"/>
          <w:szCs w:val="20"/>
          <w:color w:val="auto"/>
        </w:rPr>
      </w:pPr>
    </w:p>
    <w:p>
      <w:pPr>
        <w:ind w:left="740" w:hanging="523"/>
        <w:spacing w:after="0"/>
        <w:tabs>
          <w:tab w:leader="none" w:pos="740" w:val="left"/>
        </w:tabs>
        <w:numPr>
          <w:ilvl w:val="0"/>
          <w:numId w:val="4"/>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39" w:lineRule="exact"/>
        <w:rPr>
          <w:sz w:val="20"/>
          <w:szCs w:val="20"/>
          <w:color w:val="auto"/>
        </w:rPr>
      </w:pPr>
    </w:p>
    <w:p>
      <w:pPr>
        <w:ind w:left="740" w:hanging="523"/>
        <w:spacing w:after="0"/>
        <w:tabs>
          <w:tab w:leader="none" w:pos="740" w:val="left"/>
        </w:tabs>
        <w:numPr>
          <w:ilvl w:val="0"/>
          <w:numId w:val="5"/>
        </w:numPr>
        <w:rPr>
          <w:rFonts w:ascii="Arial" w:cs="Arial" w:eastAsia="Arial" w:hAnsi="Arial"/>
          <w:sz w:val="18"/>
          <w:szCs w:val="18"/>
          <w:color w:val="auto"/>
        </w:rPr>
      </w:pPr>
      <w:r>
        <w:rPr>
          <w:rFonts w:ascii="Arial" w:cs="Arial" w:eastAsia="Arial" w:hAnsi="Arial"/>
          <w:sz w:val="18"/>
          <w:szCs w:val="18"/>
          <w:color w:val="auto"/>
        </w:rPr>
        <w:t>SOURCE OF FUNDS (SEE INSTRUCTIONS)</w:t>
      </w:r>
    </w:p>
    <w:p>
      <w:pPr>
        <w:spacing w:after="0" w:line="196" w:lineRule="exact"/>
        <w:rPr>
          <w:sz w:val="20"/>
          <w:szCs w:val="20"/>
          <w:color w:val="auto"/>
        </w:rPr>
      </w:pPr>
    </w:p>
    <w:tbl>
      <w:tblPr>
        <w:tblLayout w:type="fixed"/>
        <w:tblInd w:w="220" w:type="dxa"/>
        <w:tblCellMar>
          <w:top w:w="0" w:type="dxa"/>
          <w:left w:w="0" w:type="dxa"/>
          <w:bottom w:w="0" w:type="dxa"/>
          <w:right w:w="0" w:type="dxa"/>
        </w:tblCellMar>
      </w:tblPr>
      <w:tr>
        <w:trPr>
          <w:trHeight w:val="253"/>
        </w:trPr>
        <w:tc>
          <w:tcPr>
            <w:tcW w:w="300" w:type="dxa"/>
            <w:vAlign w:val="bottom"/>
          </w:tcPr>
          <w:p>
            <w:pPr>
              <w:spacing w:after="0"/>
              <w:rPr>
                <w:sz w:val="21"/>
                <w:szCs w:val="21"/>
                <w:color w:val="auto"/>
              </w:rPr>
            </w:pPr>
          </w:p>
        </w:tc>
        <w:tc>
          <w:tcPr>
            <w:tcW w:w="8420" w:type="dxa"/>
            <w:vAlign w:val="bottom"/>
          </w:tcPr>
          <w:p>
            <w:pPr>
              <w:ind w:left="440"/>
              <w:spacing w:after="0"/>
              <w:rPr>
                <w:sz w:val="20"/>
                <w:szCs w:val="20"/>
                <w:color w:val="auto"/>
              </w:rPr>
            </w:pPr>
            <w:r>
              <w:rPr>
                <w:rFonts w:ascii="Arial" w:cs="Arial" w:eastAsia="Arial" w:hAnsi="Arial"/>
                <w:sz w:val="22"/>
                <w:szCs w:val="22"/>
                <w:color w:val="auto"/>
              </w:rPr>
              <w:t>OO</w:t>
            </w:r>
          </w:p>
        </w:tc>
      </w:tr>
      <w:tr>
        <w:trPr>
          <w:trHeight w:val="275"/>
        </w:trPr>
        <w:tc>
          <w:tcPr>
            <w:tcW w:w="300" w:type="dxa"/>
            <w:vAlign w:val="bottom"/>
          </w:tcPr>
          <w:p>
            <w:pPr>
              <w:jc w:val="right"/>
              <w:ind w:right="143"/>
              <w:spacing w:after="0"/>
              <w:rPr>
                <w:sz w:val="20"/>
                <w:szCs w:val="20"/>
                <w:color w:val="auto"/>
              </w:rPr>
            </w:pPr>
            <w:r>
              <w:rPr>
                <w:rFonts w:ascii="Arial" w:cs="Arial" w:eastAsia="Arial" w:hAnsi="Arial"/>
                <w:sz w:val="15"/>
                <w:szCs w:val="15"/>
                <w:color w:val="auto"/>
                <w:w w:val="71"/>
              </w:rPr>
              <w:t>5</w:t>
            </w:r>
          </w:p>
        </w:tc>
        <w:tc>
          <w:tcPr>
            <w:tcW w:w="8420" w:type="dxa"/>
            <w:vAlign w:val="bottom"/>
          </w:tcPr>
          <w:p>
            <w:pPr>
              <w:ind w:left="220"/>
              <w:spacing w:after="0" w:line="207" w:lineRule="exact"/>
              <w:rPr>
                <w:sz w:val="20"/>
                <w:szCs w:val="20"/>
                <w:color w:val="auto"/>
              </w:rPr>
            </w:pPr>
            <w:r>
              <w:rPr>
                <w:rFonts w:ascii="Arial" w:cs="Arial" w:eastAsia="Arial" w:hAnsi="Arial"/>
                <w:sz w:val="18"/>
                <w:szCs w:val="18"/>
                <w:color w:val="auto"/>
                <w:w w:val="93"/>
              </w:rPr>
              <w:t xml:space="preserve">CHECK IF DISCLOSURE OF LEGAL PROCEEDINGS IS REQUIRED PURSUANT TO ITEMS 2(d) or 2(e)  </w:t>
            </w:r>
            <w:r>
              <w:rPr>
                <w:rFonts w:ascii="MS PGothic" w:cs="MS PGothic" w:eastAsia="MS PGothic" w:hAnsi="MS PGothic"/>
                <w:sz w:val="18"/>
                <w:szCs w:val="18"/>
                <w:color w:val="auto"/>
                <w:w w:val="93"/>
              </w:rPr>
              <w:t>☐</w:t>
            </w:r>
          </w:p>
        </w:tc>
      </w:tr>
    </w:tbl>
    <w:p>
      <w:pPr>
        <w:spacing w:after="0" w:line="203" w:lineRule="exact"/>
        <w:rPr>
          <w:sz w:val="20"/>
          <w:szCs w:val="20"/>
          <w:color w:val="auto"/>
        </w:rPr>
      </w:pPr>
    </w:p>
    <w:p>
      <w:pPr>
        <w:ind w:left="740" w:hanging="523"/>
        <w:spacing w:after="0"/>
        <w:tabs>
          <w:tab w:leader="none" w:pos="740" w:val="left"/>
        </w:tabs>
        <w:numPr>
          <w:ilvl w:val="0"/>
          <w:numId w:val="6"/>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199" w:lineRule="exact"/>
        <w:rPr>
          <w:sz w:val="20"/>
          <w:szCs w:val="20"/>
          <w:color w:val="auto"/>
        </w:rPr>
      </w:pPr>
    </w:p>
    <w:p>
      <w:pPr>
        <w:ind w:left="960"/>
        <w:spacing w:after="0"/>
        <w:rPr>
          <w:sz w:val="20"/>
          <w:szCs w:val="20"/>
          <w:color w:val="auto"/>
        </w:rPr>
      </w:pPr>
      <w:r>
        <w:rPr>
          <w:rFonts w:ascii="Arial" w:cs="Arial" w:eastAsia="Arial" w:hAnsi="Arial"/>
          <w:sz w:val="22"/>
          <w:szCs w:val="22"/>
          <w:color w:val="auto"/>
        </w:rPr>
        <w:t>United Kingdom</w:t>
      </w:r>
    </w:p>
    <w:p>
      <w:pPr>
        <w:spacing w:after="0" w:line="30" w:lineRule="exact"/>
        <w:rPr>
          <w:sz w:val="20"/>
          <w:szCs w:val="20"/>
          <w:color w:val="auto"/>
        </w:rPr>
      </w:pPr>
    </w:p>
    <w:p>
      <w:pPr>
        <w:ind w:left="1520"/>
        <w:spacing w:after="0"/>
        <w:tabs>
          <w:tab w:leader="none" w:pos="1760" w:val="left"/>
        </w:tabs>
        <w:rPr>
          <w:sz w:val="20"/>
          <w:szCs w:val="20"/>
          <w:color w:val="auto"/>
        </w:rPr>
      </w:pPr>
      <w:r>
        <w:rPr>
          <w:rFonts w:ascii="Arial" w:cs="Arial" w:eastAsia="Arial" w:hAnsi="Arial"/>
          <w:sz w:val="18"/>
          <w:szCs w:val="18"/>
          <w:color w:val="auto"/>
        </w:rPr>
        <w:t>7</w:t>
      </w:r>
      <w:r>
        <w:rPr>
          <w:sz w:val="20"/>
          <w:szCs w:val="20"/>
          <w:color w:val="auto"/>
        </w:rPr>
        <w:tab/>
      </w:r>
      <w:r>
        <w:rPr>
          <w:rFonts w:ascii="Arial" w:cs="Arial" w:eastAsia="Arial" w:hAnsi="Arial"/>
          <w:sz w:val="16"/>
          <w:szCs w:val="16"/>
          <w:color w:val="auto"/>
        </w:rPr>
        <w:t>SOLE VOTING POWER</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78"/>
        </w:trPr>
        <w:tc>
          <w:tcPr>
            <w:tcW w:w="1340" w:type="dxa"/>
            <w:vAlign w:val="bottom"/>
            <w:gridSpan w:val="2"/>
          </w:tcPr>
          <w:p>
            <w:pPr>
              <w:jc w:val="center"/>
              <w:ind w:left="32"/>
              <w:spacing w:after="0"/>
              <w:rPr>
                <w:sz w:val="20"/>
                <w:szCs w:val="20"/>
                <w:color w:val="auto"/>
              </w:rPr>
            </w:pPr>
            <w:r>
              <w:rPr>
                <w:rFonts w:ascii="Arial" w:cs="Arial" w:eastAsia="Arial" w:hAnsi="Arial"/>
                <w:sz w:val="18"/>
                <w:szCs w:val="18"/>
                <w:color w:val="auto"/>
                <w:w w:val="94"/>
              </w:rPr>
              <w:t>NUMBER OF</w:t>
            </w:r>
          </w:p>
        </w:tc>
        <w:tc>
          <w:tcPr>
            <w:tcW w:w="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740" w:type="dxa"/>
            <w:vAlign w:val="bottom"/>
            <w:tcBorders>
              <w:bottom w:val="single" w:sz="8" w:color="auto"/>
            </w:tcBorders>
          </w:tcPr>
          <w:p>
            <w:pPr>
              <w:ind w:left="300"/>
              <w:spacing w:after="0"/>
              <w:rPr>
                <w:sz w:val="20"/>
                <w:szCs w:val="20"/>
                <w:color w:val="auto"/>
              </w:rPr>
            </w:pPr>
            <w:r>
              <w:rPr>
                <w:rFonts w:ascii="Arial" w:cs="Arial" w:eastAsia="Arial" w:hAnsi="Arial"/>
                <w:sz w:val="22"/>
                <w:szCs w:val="22"/>
                <w:color w:val="auto"/>
              </w:rPr>
              <w:t>35,286 shares</w:t>
            </w:r>
          </w:p>
        </w:tc>
        <w:tc>
          <w:tcPr>
            <w:tcW w:w="0" w:type="dxa"/>
            <w:vAlign w:val="bottom"/>
          </w:tcPr>
          <w:p>
            <w:pPr>
              <w:spacing w:after="0"/>
              <w:rPr>
                <w:sz w:val="1"/>
                <w:szCs w:val="1"/>
                <w:color w:val="auto"/>
              </w:rPr>
            </w:pPr>
          </w:p>
        </w:tc>
      </w:tr>
      <w:tr>
        <w:trPr>
          <w:trHeight w:val="228"/>
        </w:trPr>
        <w:tc>
          <w:tcPr>
            <w:tcW w:w="360" w:type="dxa"/>
            <w:vAlign w:val="bottom"/>
          </w:tcPr>
          <w:p>
            <w:pPr>
              <w:spacing w:after="0"/>
              <w:rPr>
                <w:sz w:val="19"/>
                <w:szCs w:val="19"/>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8"/>
                <w:szCs w:val="18"/>
                <w:color w:val="auto"/>
                <w:w w:val="91"/>
              </w:rPr>
              <w:t>SHARES</w:t>
            </w:r>
          </w:p>
        </w:tc>
        <w:tc>
          <w:tcPr>
            <w:tcW w:w="300" w:type="dxa"/>
            <w:vAlign w:val="bottom"/>
          </w:tcPr>
          <w:p>
            <w:pPr>
              <w:jc w:val="right"/>
              <w:spacing w:after="0"/>
              <w:rPr>
                <w:sz w:val="20"/>
                <w:szCs w:val="20"/>
                <w:color w:val="auto"/>
              </w:rPr>
            </w:pPr>
            <w:r>
              <w:rPr>
                <w:rFonts w:ascii="Arial" w:cs="Arial" w:eastAsia="Arial" w:hAnsi="Arial"/>
                <w:sz w:val="18"/>
                <w:szCs w:val="18"/>
                <w:color w:val="auto"/>
              </w:rPr>
              <w:t>8</w:t>
            </w:r>
          </w:p>
        </w:tc>
        <w:tc>
          <w:tcPr>
            <w:tcW w:w="9740" w:type="dxa"/>
            <w:vAlign w:val="bottom"/>
          </w:tcPr>
          <w:p>
            <w:pPr>
              <w:ind w:left="8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400" w:type="dxa"/>
            <w:vAlign w:val="bottom"/>
            <w:gridSpan w:val="3"/>
          </w:tcPr>
          <w:p>
            <w:pPr>
              <w:jc w:val="center"/>
              <w:ind w:left="12"/>
              <w:spacing w:after="0"/>
              <w:rPr>
                <w:sz w:val="20"/>
                <w:szCs w:val="20"/>
                <w:color w:val="auto"/>
              </w:rPr>
            </w:pPr>
            <w:r>
              <w:rPr>
                <w:rFonts w:ascii="Arial" w:cs="Arial" w:eastAsia="Arial" w:hAnsi="Arial"/>
                <w:sz w:val="18"/>
                <w:szCs w:val="18"/>
                <w:color w:val="auto"/>
                <w:w w:val="99"/>
              </w:rPr>
              <w:t>BENEFICIALLY</w:t>
            </w:r>
          </w:p>
        </w:tc>
        <w:tc>
          <w:tcPr>
            <w:tcW w:w="300" w:type="dxa"/>
            <w:vAlign w:val="bottom"/>
          </w:tcPr>
          <w:p>
            <w:pPr>
              <w:spacing w:after="0"/>
              <w:rPr>
                <w:sz w:val="18"/>
                <w:szCs w:val="18"/>
                <w:color w:val="auto"/>
              </w:rPr>
            </w:pPr>
          </w:p>
        </w:tc>
        <w:tc>
          <w:tcPr>
            <w:tcW w:w="9740" w:type="dxa"/>
            <w:vAlign w:val="bottom"/>
            <w:vMerge w:val="restart"/>
          </w:tcPr>
          <w:p>
            <w:pPr>
              <w:ind w:left="300"/>
              <w:spacing w:after="0"/>
              <w:rPr>
                <w:sz w:val="20"/>
                <w:szCs w:val="20"/>
                <w:color w:val="auto"/>
              </w:rPr>
            </w:pPr>
            <w:r>
              <w:rPr>
                <w:rFonts w:ascii="Arial" w:cs="Arial" w:eastAsia="Arial" w:hAnsi="Arial"/>
                <w:sz w:val="22"/>
                <w:szCs w:val="22"/>
                <w:color w:val="auto"/>
              </w:rPr>
              <w:t>0 shares</w:t>
            </w:r>
          </w:p>
        </w:tc>
        <w:tc>
          <w:tcPr>
            <w:tcW w:w="0" w:type="dxa"/>
            <w:vAlign w:val="bottom"/>
          </w:tcPr>
          <w:p>
            <w:pPr>
              <w:spacing w:after="0"/>
              <w:rPr>
                <w:sz w:val="1"/>
                <w:szCs w:val="1"/>
                <w:color w:val="auto"/>
              </w:rPr>
            </w:pPr>
          </w:p>
        </w:tc>
      </w:tr>
      <w:tr>
        <w:trPr>
          <w:trHeight w:val="222"/>
        </w:trPr>
        <w:tc>
          <w:tcPr>
            <w:tcW w:w="1400" w:type="dxa"/>
            <w:vAlign w:val="bottom"/>
            <w:gridSpan w:val="3"/>
          </w:tcPr>
          <w:p>
            <w:pPr>
              <w:jc w:val="center"/>
              <w:spacing w:after="0"/>
              <w:rPr>
                <w:sz w:val="20"/>
                <w:szCs w:val="20"/>
                <w:color w:val="auto"/>
              </w:rPr>
            </w:pPr>
            <w:r>
              <w:rPr>
                <w:rFonts w:ascii="Arial" w:cs="Arial" w:eastAsia="Arial" w:hAnsi="Arial"/>
                <w:sz w:val="18"/>
                <w:szCs w:val="18"/>
                <w:color w:val="auto"/>
                <w:w w:val="95"/>
              </w:rPr>
              <w:t>OWNED BY</w:t>
            </w:r>
          </w:p>
        </w:tc>
        <w:tc>
          <w:tcPr>
            <w:tcW w:w="300" w:type="dxa"/>
            <w:vAlign w:val="bottom"/>
          </w:tcPr>
          <w:p>
            <w:pPr>
              <w:spacing w:after="0"/>
              <w:rPr>
                <w:sz w:val="19"/>
                <w:szCs w:val="19"/>
                <w:color w:val="auto"/>
              </w:rPr>
            </w:pPr>
          </w:p>
        </w:tc>
        <w:tc>
          <w:tcPr>
            <w:tcW w:w="97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360" w:type="dxa"/>
            <w:vAlign w:val="bottom"/>
          </w:tcPr>
          <w:p>
            <w:pPr>
              <w:spacing w:after="0"/>
              <w:rPr>
                <w:sz w:val="16"/>
                <w:szCs w:val="16"/>
                <w:color w:val="auto"/>
              </w:rPr>
            </w:pPr>
          </w:p>
        </w:tc>
        <w:tc>
          <w:tcPr>
            <w:tcW w:w="980" w:type="dxa"/>
            <w:vAlign w:val="bottom"/>
          </w:tcPr>
          <w:p>
            <w:pPr>
              <w:jc w:val="center"/>
              <w:ind w:right="130"/>
              <w:spacing w:after="0" w:line="190" w:lineRule="exact"/>
              <w:rPr>
                <w:sz w:val="20"/>
                <w:szCs w:val="20"/>
                <w:color w:val="auto"/>
              </w:rPr>
            </w:pPr>
            <w:r>
              <w:rPr>
                <w:rFonts w:ascii="Arial" w:cs="Arial" w:eastAsia="Arial" w:hAnsi="Arial"/>
                <w:sz w:val="18"/>
                <w:szCs w:val="18"/>
                <w:color w:val="auto"/>
                <w:w w:val="95"/>
              </w:rPr>
              <w:t>EACH</w:t>
            </w:r>
          </w:p>
        </w:tc>
        <w:tc>
          <w:tcPr>
            <w:tcW w:w="60" w:type="dxa"/>
            <w:vAlign w:val="bottom"/>
            <w:tcBorders>
              <w:top w:val="single" w:sz="8" w:color="auto"/>
            </w:tcBorders>
          </w:tcPr>
          <w:p>
            <w:pPr>
              <w:spacing w:after="0"/>
              <w:rPr>
                <w:sz w:val="16"/>
                <w:szCs w:val="16"/>
                <w:color w:val="auto"/>
              </w:rPr>
            </w:pPr>
          </w:p>
        </w:tc>
        <w:tc>
          <w:tcPr>
            <w:tcW w:w="300" w:type="dxa"/>
            <w:vAlign w:val="bottom"/>
            <w:tcBorders>
              <w:top w:val="single" w:sz="8" w:color="auto"/>
            </w:tcBorders>
          </w:tcPr>
          <w:p>
            <w:pPr>
              <w:jc w:val="right"/>
              <w:spacing w:after="0" w:line="190" w:lineRule="exact"/>
              <w:rPr>
                <w:sz w:val="20"/>
                <w:szCs w:val="20"/>
                <w:color w:val="auto"/>
              </w:rPr>
            </w:pPr>
            <w:r>
              <w:rPr>
                <w:rFonts w:ascii="Arial" w:cs="Arial" w:eastAsia="Arial" w:hAnsi="Arial"/>
                <w:sz w:val="18"/>
                <w:szCs w:val="18"/>
                <w:color w:val="auto"/>
              </w:rPr>
              <w:t>9</w:t>
            </w:r>
          </w:p>
        </w:tc>
        <w:tc>
          <w:tcPr>
            <w:tcW w:w="9740" w:type="dxa"/>
            <w:vAlign w:val="bottom"/>
            <w:tcBorders>
              <w:top w:val="single" w:sz="8" w:color="auto"/>
            </w:tcBorders>
          </w:tcPr>
          <w:p>
            <w:pPr>
              <w:ind w:left="80"/>
              <w:spacing w:after="0" w:line="190"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400" w:type="dxa"/>
            <w:vAlign w:val="bottom"/>
            <w:gridSpan w:val="3"/>
          </w:tcPr>
          <w:p>
            <w:pPr>
              <w:jc w:val="center"/>
              <w:spacing w:after="0"/>
              <w:rPr>
                <w:sz w:val="20"/>
                <w:szCs w:val="20"/>
                <w:color w:val="auto"/>
              </w:rPr>
            </w:pPr>
            <w:r>
              <w:rPr>
                <w:rFonts w:ascii="Arial" w:cs="Arial" w:eastAsia="Arial" w:hAnsi="Arial"/>
                <w:sz w:val="18"/>
                <w:szCs w:val="18"/>
                <w:color w:val="auto"/>
                <w:w w:val="89"/>
              </w:rPr>
              <w:t>REPORTING</w:t>
            </w:r>
          </w:p>
        </w:tc>
        <w:tc>
          <w:tcPr>
            <w:tcW w:w="300" w:type="dxa"/>
            <w:vAlign w:val="bottom"/>
          </w:tcPr>
          <w:p>
            <w:pPr>
              <w:spacing w:after="0"/>
              <w:rPr>
                <w:sz w:val="18"/>
                <w:szCs w:val="18"/>
                <w:color w:val="auto"/>
              </w:rPr>
            </w:pPr>
          </w:p>
        </w:tc>
        <w:tc>
          <w:tcPr>
            <w:tcW w:w="9740" w:type="dxa"/>
            <w:vAlign w:val="bottom"/>
            <w:vMerge w:val="restart"/>
          </w:tcPr>
          <w:p>
            <w:pPr>
              <w:ind w:left="300"/>
              <w:spacing w:after="0"/>
              <w:rPr>
                <w:sz w:val="20"/>
                <w:szCs w:val="20"/>
                <w:color w:val="auto"/>
              </w:rPr>
            </w:pPr>
            <w:r>
              <w:rPr>
                <w:rFonts w:ascii="Arial" w:cs="Arial" w:eastAsia="Arial" w:hAnsi="Arial"/>
                <w:sz w:val="22"/>
                <w:szCs w:val="22"/>
                <w:color w:val="auto"/>
              </w:rPr>
              <w:t>35,286 shares</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8"/>
                <w:szCs w:val="18"/>
                <w:color w:val="auto"/>
                <w:w w:val="89"/>
              </w:rPr>
              <w:t>PERSON</w:t>
            </w:r>
          </w:p>
        </w:tc>
        <w:tc>
          <w:tcPr>
            <w:tcW w:w="300" w:type="dxa"/>
            <w:vAlign w:val="bottom"/>
          </w:tcPr>
          <w:p>
            <w:pPr>
              <w:spacing w:after="0"/>
              <w:rPr>
                <w:sz w:val="18"/>
                <w:szCs w:val="18"/>
                <w:color w:val="auto"/>
              </w:rPr>
            </w:pPr>
          </w:p>
        </w:tc>
        <w:tc>
          <w:tcPr>
            <w:tcW w:w="97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9"/>
        </w:trPr>
        <w:tc>
          <w:tcPr>
            <w:tcW w:w="360" w:type="dxa"/>
            <w:vAlign w:val="bottom"/>
          </w:tcPr>
          <w:p>
            <w:pPr>
              <w:spacing w:after="0"/>
              <w:rPr>
                <w:sz w:val="4"/>
                <w:szCs w:val="4"/>
                <w:color w:val="auto"/>
              </w:rPr>
            </w:pPr>
          </w:p>
        </w:tc>
        <w:tc>
          <w:tcPr>
            <w:tcW w:w="980" w:type="dxa"/>
            <w:vAlign w:val="bottom"/>
            <w:vMerge w:val="restart"/>
          </w:tcPr>
          <w:p>
            <w:pPr>
              <w:jc w:val="center"/>
              <w:ind w:right="150"/>
              <w:spacing w:after="0"/>
              <w:rPr>
                <w:sz w:val="20"/>
                <w:szCs w:val="20"/>
                <w:color w:val="auto"/>
              </w:rPr>
            </w:pPr>
            <w:r>
              <w:rPr>
                <w:rFonts w:ascii="Arial" w:cs="Arial" w:eastAsia="Arial" w:hAnsi="Arial"/>
                <w:sz w:val="18"/>
                <w:szCs w:val="18"/>
                <w:color w:val="auto"/>
                <w:w w:val="99"/>
              </w:rPr>
              <w:t>WITH</w:t>
            </w:r>
          </w:p>
        </w:tc>
        <w:tc>
          <w:tcPr>
            <w:tcW w:w="6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97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98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w w:val="99"/>
              </w:rPr>
              <w:t>10</w:t>
            </w:r>
          </w:p>
        </w:tc>
        <w:tc>
          <w:tcPr>
            <w:tcW w:w="9740" w:type="dxa"/>
            <w:vAlign w:val="bottom"/>
          </w:tcPr>
          <w:p>
            <w:pPr>
              <w:ind w:left="8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451"/>
        </w:trPr>
        <w:tc>
          <w:tcPr>
            <w:tcW w:w="3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740" w:type="dxa"/>
            <w:vAlign w:val="bottom"/>
            <w:tcBorders>
              <w:bottom w:val="single" w:sz="8" w:color="auto"/>
            </w:tcBorders>
          </w:tcPr>
          <w:p>
            <w:pPr>
              <w:ind w:left="300"/>
              <w:spacing w:after="0"/>
              <w:rPr>
                <w:sz w:val="20"/>
                <w:szCs w:val="20"/>
                <w:color w:val="auto"/>
              </w:rPr>
            </w:pPr>
            <w:r>
              <w:rPr>
                <w:rFonts w:ascii="Arial" w:cs="Arial" w:eastAsia="Arial" w:hAnsi="Arial"/>
                <w:sz w:val="22"/>
                <w:szCs w:val="22"/>
                <w:color w:val="auto"/>
              </w:rPr>
              <w:t>0 shares</w:t>
            </w:r>
          </w:p>
        </w:tc>
        <w:tc>
          <w:tcPr>
            <w:tcW w:w="0" w:type="dxa"/>
            <w:vAlign w:val="bottom"/>
          </w:tcPr>
          <w:p>
            <w:pPr>
              <w:spacing w:after="0"/>
              <w:rPr>
                <w:sz w:val="1"/>
                <w:szCs w:val="1"/>
                <w:color w:val="auto"/>
              </w:rPr>
            </w:pPr>
          </w:p>
        </w:tc>
      </w:tr>
      <w:tr>
        <w:trPr>
          <w:trHeight w:val="218"/>
        </w:trPr>
        <w:tc>
          <w:tcPr>
            <w:tcW w:w="360" w:type="dxa"/>
            <w:vAlign w:val="bottom"/>
          </w:tcPr>
          <w:p>
            <w:pPr>
              <w:jc w:val="right"/>
              <w:spacing w:after="0"/>
              <w:rPr>
                <w:sz w:val="20"/>
                <w:szCs w:val="20"/>
                <w:color w:val="auto"/>
              </w:rPr>
            </w:pPr>
            <w:r>
              <w:rPr>
                <w:rFonts w:ascii="Arial" w:cs="Arial" w:eastAsia="Arial" w:hAnsi="Arial"/>
                <w:sz w:val="18"/>
                <w:szCs w:val="18"/>
                <w:color w:val="auto"/>
              </w:rPr>
              <w:t>11</w:t>
            </w:r>
          </w:p>
        </w:tc>
        <w:tc>
          <w:tcPr>
            <w:tcW w:w="11080" w:type="dxa"/>
            <w:vAlign w:val="bottom"/>
            <w:gridSpan w:val="4"/>
          </w:tcPr>
          <w:p>
            <w:pPr>
              <w:ind w:left="380"/>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451"/>
        </w:trPr>
        <w:tc>
          <w:tcPr>
            <w:tcW w:w="360" w:type="dxa"/>
            <w:vAlign w:val="bottom"/>
            <w:tcBorders>
              <w:bottom w:val="single" w:sz="8" w:color="auto"/>
            </w:tcBorders>
          </w:tcPr>
          <w:p>
            <w:pPr>
              <w:spacing w:after="0"/>
              <w:rPr>
                <w:sz w:val="24"/>
                <w:szCs w:val="24"/>
                <w:color w:val="auto"/>
              </w:rPr>
            </w:pPr>
          </w:p>
        </w:tc>
        <w:tc>
          <w:tcPr>
            <w:tcW w:w="11080" w:type="dxa"/>
            <w:vAlign w:val="bottom"/>
            <w:tcBorders>
              <w:bottom w:val="single" w:sz="8" w:color="auto"/>
            </w:tcBorders>
            <w:gridSpan w:val="4"/>
          </w:tcPr>
          <w:p>
            <w:pPr>
              <w:ind w:left="600"/>
              <w:spacing w:after="0"/>
              <w:rPr>
                <w:sz w:val="20"/>
                <w:szCs w:val="20"/>
                <w:color w:val="auto"/>
              </w:rPr>
            </w:pPr>
            <w:r>
              <w:rPr>
                <w:rFonts w:ascii="Arial" w:cs="Arial" w:eastAsia="Arial" w:hAnsi="Arial"/>
                <w:sz w:val="22"/>
                <w:szCs w:val="22"/>
                <w:color w:val="auto"/>
              </w:rPr>
              <w:t>35,286 shares</w:t>
            </w:r>
          </w:p>
        </w:tc>
        <w:tc>
          <w:tcPr>
            <w:tcW w:w="0" w:type="dxa"/>
            <w:vAlign w:val="bottom"/>
          </w:tcPr>
          <w:p>
            <w:pPr>
              <w:spacing w:after="0"/>
              <w:rPr>
                <w:sz w:val="1"/>
                <w:szCs w:val="1"/>
                <w:color w:val="auto"/>
              </w:rPr>
            </w:pPr>
          </w:p>
        </w:tc>
      </w:tr>
      <w:tr>
        <w:trPr>
          <w:trHeight w:val="270"/>
        </w:trPr>
        <w:tc>
          <w:tcPr>
            <w:tcW w:w="360" w:type="dxa"/>
            <w:vAlign w:val="bottom"/>
          </w:tcPr>
          <w:p>
            <w:pPr>
              <w:jc w:val="right"/>
              <w:spacing w:after="0"/>
              <w:rPr>
                <w:sz w:val="20"/>
                <w:szCs w:val="20"/>
                <w:color w:val="auto"/>
              </w:rPr>
            </w:pPr>
            <w:r>
              <w:rPr>
                <w:rFonts w:ascii="Arial" w:cs="Arial" w:eastAsia="Arial" w:hAnsi="Arial"/>
                <w:sz w:val="18"/>
                <w:szCs w:val="18"/>
                <w:color w:val="auto"/>
              </w:rPr>
              <w:t>12</w:t>
            </w:r>
          </w:p>
        </w:tc>
        <w:tc>
          <w:tcPr>
            <w:tcW w:w="11080" w:type="dxa"/>
            <w:vAlign w:val="bottom"/>
            <w:gridSpan w:val="4"/>
          </w:tcPr>
          <w:p>
            <w:pPr>
              <w:ind w:left="380"/>
              <w:spacing w:after="0" w:line="207" w:lineRule="exact"/>
              <w:rPr>
                <w:sz w:val="20"/>
                <w:szCs w:val="20"/>
                <w:color w:val="auto"/>
              </w:rPr>
            </w:pPr>
            <w:r>
              <w:rPr>
                <w:rFonts w:ascii="Arial" w:cs="Arial" w:eastAsia="Arial" w:hAnsi="Arial"/>
                <w:sz w:val="18"/>
                <w:szCs w:val="18"/>
                <w:color w:val="auto"/>
              </w:rPr>
              <w:t xml:space="preserve">CHECK IF THE AGGREGATE AMOUNT IN ROW (11) EXCLUDES CERTAIN SHARES (SEE INSTRUCTIONS)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57"/>
        </w:trPr>
        <w:tc>
          <w:tcPr>
            <w:tcW w:w="36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10100" w:type="dxa"/>
            <w:vAlign w:val="bottom"/>
            <w:tcBorders>
              <w:bottom w:val="single" w:sz="8" w:color="auto"/>
            </w:tcBorders>
            <w:gridSpan w:val="3"/>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360" w:type="dxa"/>
            <w:vAlign w:val="bottom"/>
          </w:tcPr>
          <w:p>
            <w:pPr>
              <w:jc w:val="right"/>
              <w:spacing w:after="0"/>
              <w:rPr>
                <w:sz w:val="20"/>
                <w:szCs w:val="20"/>
                <w:color w:val="auto"/>
              </w:rPr>
            </w:pPr>
            <w:r>
              <w:rPr>
                <w:rFonts w:ascii="Arial" w:cs="Arial" w:eastAsia="Arial" w:hAnsi="Arial"/>
                <w:sz w:val="18"/>
                <w:szCs w:val="18"/>
                <w:color w:val="auto"/>
              </w:rPr>
              <w:t>13</w:t>
            </w:r>
          </w:p>
        </w:tc>
        <w:tc>
          <w:tcPr>
            <w:tcW w:w="11080" w:type="dxa"/>
            <w:vAlign w:val="bottom"/>
            <w:gridSpan w:val="4"/>
          </w:tcPr>
          <w:p>
            <w:pPr>
              <w:ind w:left="380"/>
              <w:spacing w:after="0"/>
              <w:rPr>
                <w:sz w:val="20"/>
                <w:szCs w:val="20"/>
                <w:color w:val="auto"/>
              </w:rPr>
            </w:pPr>
            <w:r>
              <w:rPr>
                <w:rFonts w:ascii="Arial" w:cs="Arial" w:eastAsia="Arial" w:hAnsi="Arial"/>
                <w:sz w:val="18"/>
                <w:szCs w:val="18"/>
                <w:color w:val="auto"/>
              </w:rPr>
              <w:t>PERCENT OF CLASS REPRESENTED BY AMOUNT IN ROW (11)</w:t>
            </w:r>
          </w:p>
        </w:tc>
        <w:tc>
          <w:tcPr>
            <w:tcW w:w="0" w:type="dxa"/>
            <w:vAlign w:val="bottom"/>
          </w:tcPr>
          <w:p>
            <w:pPr>
              <w:spacing w:after="0"/>
              <w:rPr>
                <w:sz w:val="1"/>
                <w:szCs w:val="1"/>
                <w:color w:val="auto"/>
              </w:rPr>
            </w:pPr>
          </w:p>
        </w:tc>
      </w:tr>
    </w:tbl>
    <w:p>
      <w:pPr>
        <w:spacing w:after="0" w:line="175" w:lineRule="exact"/>
        <w:rPr>
          <w:sz w:val="20"/>
          <w:szCs w:val="20"/>
          <w:color w:val="auto"/>
        </w:rPr>
      </w:pPr>
    </w:p>
    <w:p>
      <w:pPr>
        <w:ind w:left="960"/>
        <w:spacing w:after="0"/>
        <w:rPr>
          <w:sz w:val="20"/>
          <w:szCs w:val="20"/>
          <w:color w:val="auto"/>
        </w:rPr>
      </w:pPr>
      <w:r>
        <w:rPr>
          <w:rFonts w:ascii="Arial" w:cs="Arial" w:eastAsia="Arial" w:hAnsi="Arial"/>
          <w:sz w:val="22"/>
          <w:szCs w:val="22"/>
          <w:color w:val="auto"/>
        </w:rPr>
        <w:t>11.97%</w:t>
      </w:r>
    </w:p>
    <w:p>
      <w:pPr>
        <w:spacing w:after="0" w:line="30" w:lineRule="exact"/>
        <w:rPr>
          <w:sz w:val="20"/>
          <w:szCs w:val="20"/>
          <w:color w:val="auto"/>
        </w:rPr>
      </w:pPr>
    </w:p>
    <w:p>
      <w:pPr>
        <w:ind w:left="120"/>
        <w:spacing w:after="0"/>
        <w:tabs>
          <w:tab w:leader="none" w:pos="720" w:val="left"/>
        </w:tabs>
        <w:rPr>
          <w:sz w:val="20"/>
          <w:szCs w:val="20"/>
          <w:color w:val="auto"/>
        </w:rPr>
      </w:pPr>
      <w:r>
        <w:rPr>
          <w:rFonts w:ascii="Arial" w:cs="Arial" w:eastAsia="Arial" w:hAnsi="Arial"/>
          <w:sz w:val="18"/>
          <w:szCs w:val="18"/>
          <w:color w:val="auto"/>
        </w:rPr>
        <w:t>14</w:t>
      </w:r>
      <w:r>
        <w:rPr>
          <w:sz w:val="20"/>
          <w:szCs w:val="20"/>
          <w:color w:val="auto"/>
        </w:rPr>
        <w:tab/>
      </w:r>
      <w:r>
        <w:rPr>
          <w:rFonts w:ascii="Arial" w:cs="Arial" w:eastAsia="Arial" w:hAnsi="Arial"/>
          <w:sz w:val="18"/>
          <w:szCs w:val="18"/>
          <w:color w:val="auto"/>
        </w:rPr>
        <w:t>TYPE OF REPORTING PERSON (SEE INSTRUCTIONS)</w:t>
      </w:r>
    </w:p>
    <w:p>
      <w:pPr>
        <w:spacing w:after="0" w:line="199" w:lineRule="exact"/>
        <w:rPr>
          <w:sz w:val="20"/>
          <w:szCs w:val="20"/>
          <w:color w:val="auto"/>
        </w:rPr>
      </w:pPr>
    </w:p>
    <w:p>
      <w:pPr>
        <w:ind w:left="960"/>
        <w:spacing w:after="0"/>
        <w:rPr>
          <w:sz w:val="20"/>
          <w:szCs w:val="20"/>
          <w:color w:val="auto"/>
        </w:rPr>
      </w:pPr>
      <w:r>
        <w:rPr>
          <w:rFonts w:ascii="Arial" w:cs="Arial" w:eastAsia="Arial" w:hAnsi="Arial"/>
          <w:sz w:val="22"/>
          <w:szCs w:val="22"/>
          <w:color w:val="auto"/>
        </w:rPr>
        <w:t>OO</w:t>
      </w:r>
    </w:p>
    <w:p>
      <w:pPr>
        <w:sectPr>
          <w:pgSz w:w="11900" w:h="16838" w:orient="portrait"/>
          <w:cols w:equalWidth="0" w:num="1">
            <w:col w:w="11440"/>
          </w:cols>
          <w:pgMar w:left="240" w:top="293" w:right="219" w:bottom="1440" w:gutter="0" w:footer="0" w:header="0"/>
        </w:sectPr>
      </w:pPr>
    </w:p>
    <w:bookmarkStart w:id="2" w:name="page3"/>
    <w:bookmarkEnd w:id="2"/>
    <w:p>
      <w:pPr>
        <w:ind w:right="20" w:firstLine="456"/>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This Amendment No. 4 (this “Amendment”) amends and restates Items 3 and 5(a) of the Schedule 13D filed on June 27, 2011 (the “Original Schedule 13D”), as amended by Amendment No. 1 to the Original Schedule 13D filed on August 5, 2011 (“Amendment No. 1”), Amendment No. 2 to the Original Schedule 13D filed on December 20, 2011 (“Amendment No. 2”) and Amendment No. 3 to the Original Schedule 13D filed on February 10, 2012 (“Amendment No. 3” and, together with Amendment No. 1 and Amendment No. 2, the Original Schedule 13D and this Amendment, the “Schedule 13D”), by Universities Superannuation Scheme Limited as trustee for Universities Superannuation Scheme with respect to the common stock, $.01 par value (the “Common Stock”) of TPG Specialty Lending, Inc. (the “Issuer”). Except as specifically provided herein, this Amendment does not modify any of the information previously reported on the Original Schedule 13D, Amendment No. 1 or Amendment No. 2 or Amendment No. 3. Capitalized terms used in this Amendment and not otherwise defined herein shall have the same meanings ascribed to them in the Original Schedule 13D.</w:t>
      </w:r>
    </w:p>
    <w:p>
      <w:pPr>
        <w:spacing w:after="0" w:line="24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Item 3.</w:t>
      </w:r>
      <w:r>
        <w:rPr>
          <w:sz w:val="20"/>
          <w:szCs w:val="20"/>
          <w:color w:val="auto"/>
        </w:rPr>
        <w:tab/>
      </w:r>
      <w:r>
        <w:rPr>
          <w:rFonts w:ascii="Arial" w:cs="Arial" w:eastAsia="Arial" w:hAnsi="Arial"/>
          <w:sz w:val="15"/>
          <w:szCs w:val="15"/>
          <w:u w:val="single" w:color="auto"/>
          <w:color w:val="auto"/>
        </w:rPr>
        <w:t>Source and Amount of Funds or Other Consideration</w:t>
      </w:r>
      <w:r>
        <w:rPr>
          <w:rFonts w:ascii="Arial" w:cs="Arial" w:eastAsia="Arial" w:hAnsi="Arial"/>
          <w:sz w:val="15"/>
          <w:szCs w:val="15"/>
          <w:color w:val="auto"/>
        </w:rPr>
        <w:t>.</w:t>
      </w:r>
    </w:p>
    <w:p>
      <w:pPr>
        <w:spacing w:after="0" w:line="90" w:lineRule="exact"/>
        <w:rPr>
          <w:sz w:val="20"/>
          <w:szCs w:val="20"/>
          <w:color w:val="auto"/>
        </w:rPr>
      </w:pPr>
    </w:p>
    <w:p>
      <w:pPr>
        <w:ind w:left="920"/>
        <w:spacing w:after="0"/>
        <w:rPr>
          <w:sz w:val="20"/>
          <w:szCs w:val="20"/>
          <w:color w:val="auto"/>
        </w:rPr>
      </w:pPr>
      <w:r>
        <w:rPr>
          <w:rFonts w:ascii="Arial" w:cs="Arial" w:eastAsia="Arial" w:hAnsi="Arial"/>
          <w:sz w:val="16"/>
          <w:szCs w:val="16"/>
          <w:color w:val="auto"/>
        </w:rPr>
        <w:t>This Amendment amends and restates Item 3 of the Original Schedule 13D, as amended by Amendment No. 1 and Amendment No. 2 and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Amendment No. 3, in its entirety as set forth below:</w:t>
      </w:r>
    </w:p>
    <w:p>
      <w:pPr>
        <w:spacing w:after="0" w:line="165"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The Issuer entered into separate subscription agreements with a number of investors providing for the private placement of the Company’s common shares pursuant to a private offering (“Private Offering”). Pursuant to a privately-negotiated subscription agreement between the Issuer and the Reporting Person (the “Subscription Agreement”) dated as of April 15, 2011 (the “Initial Closing Date”), the Reporting Person made a capital commitment of $150,000,000 (the “Commitment”) to purchase shares of the Issuer’s Common Stock in the Private Offering. Pursuant to the Subscription Agreement, the Reporting Person is required to make capital contributions, in an aggregate amount not to exceed the Commitment, to purchase shares of Common Stock each time the Issuer delivers a drawdown notice, which will be delivered at least 10 business days prior to the required funding date. Additionally, at all times prior to the occurrence of a Qualified IPO (as defined below), the Issuer will reinvest all cash dividends declared by the Issuer’s Board of Directors (the “Board”) on behalf of the Reporting Person unless the Reporting Person elects to receive its dividends in cash, crediting to the Reporting Person a number of shares of Common Stock equal to cash value of the dividend payable to the Reporting Person. Upon the earlier to occur of an initial public offering of Common Stock that results in an unaffiliated public float of at least $75 million (a “Qualified IPO”), and the fourth anniversary of the Initial Closing Date, the Reporting Person will be released from any further obligation to purchase additional shares, subject to certain exceptions contained in the Subscription Agreement.</w:t>
      </w:r>
    </w:p>
    <w:p>
      <w:pPr>
        <w:spacing w:after="0" w:line="127" w:lineRule="exact"/>
        <w:rPr>
          <w:sz w:val="20"/>
          <w:szCs w:val="20"/>
          <w:color w:val="auto"/>
        </w:rPr>
      </w:pPr>
    </w:p>
    <w:p>
      <w:pPr>
        <w:ind w:right="320" w:firstLine="456"/>
        <w:spacing w:after="0" w:line="332" w:lineRule="auto"/>
        <w:rPr>
          <w:sz w:val="20"/>
          <w:szCs w:val="20"/>
          <w:color w:val="auto"/>
        </w:rPr>
      </w:pPr>
      <w:r>
        <w:rPr>
          <w:rFonts w:ascii="Arial" w:cs="Arial" w:eastAsia="Arial" w:hAnsi="Arial"/>
          <w:sz w:val="16"/>
          <w:szCs w:val="16"/>
          <w:color w:val="auto"/>
        </w:rPr>
        <w:t>The Issuer delivered a drawdown notice on June 17, 2011, and upon receiving the drawdown notice, the Reporting Person became obligated to make a capital contribution of $7,894,000 to purchase 7,894 shares of Common Stock at a price of $1,000 per share on June 30, 2011.</w:t>
      </w:r>
    </w:p>
    <w:p>
      <w:pPr>
        <w:spacing w:after="0" w:line="85" w:lineRule="exact"/>
        <w:rPr>
          <w:sz w:val="20"/>
          <w:szCs w:val="20"/>
          <w:color w:val="auto"/>
        </w:rPr>
      </w:pPr>
    </w:p>
    <w:p>
      <w:pPr>
        <w:jc w:val="both"/>
        <w:ind w:firstLine="913"/>
        <w:spacing w:after="0" w:line="259" w:lineRule="auto"/>
        <w:rPr>
          <w:sz w:val="20"/>
          <w:szCs w:val="20"/>
          <w:color w:val="auto"/>
        </w:rPr>
      </w:pPr>
      <w:r>
        <w:rPr>
          <w:rFonts w:ascii="Arial" w:cs="Arial" w:eastAsia="Arial" w:hAnsi="Arial"/>
          <w:sz w:val="18"/>
          <w:szCs w:val="18"/>
          <w:color w:val="auto"/>
        </w:rPr>
        <w:t>The cash reserves of the occupational pension scheme was the Reporting Person’s source of the funds for the purchase. No part of the purchase price paid or amount subscribed by the Reporting Person was represented by funds or other consideration borrowed or otherwise obtained for the purpose of acquiring, holding, trading or voting the shares.</w:t>
      </w:r>
    </w:p>
    <w:p>
      <w:pPr>
        <w:spacing w:after="0" w:line="140" w:lineRule="exact"/>
        <w:rPr>
          <w:sz w:val="20"/>
          <w:szCs w:val="20"/>
          <w:color w:val="auto"/>
        </w:rPr>
      </w:pPr>
    </w:p>
    <w:p>
      <w:pPr>
        <w:ind w:right="220" w:firstLine="456"/>
        <w:spacing w:after="0" w:line="332" w:lineRule="auto"/>
        <w:rPr>
          <w:sz w:val="20"/>
          <w:szCs w:val="20"/>
          <w:color w:val="auto"/>
        </w:rPr>
      </w:pPr>
      <w:r>
        <w:rPr>
          <w:rFonts w:ascii="Arial" w:cs="Arial" w:eastAsia="Arial" w:hAnsi="Arial"/>
          <w:sz w:val="16"/>
          <w:szCs w:val="16"/>
          <w:color w:val="auto"/>
        </w:rPr>
        <w:t>The Issuer delivered a drawdown notice on August 1, 2011, and upon receiving the drawdown notice, the Reporting Person became obligated to make a capital contribution of $11,986,675 (the “August 1, 2011 Purchase Price”) to purchase 12,480 shares of Common Stock at a price of $960.47 per share.</w:t>
      </w:r>
    </w:p>
    <w:p>
      <w:pPr>
        <w:spacing w:after="0" w:line="85"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cash reserves of the occupational pension scheme was the Reporting Person’s source of the funds for the August 1, 2011 Purchase Price. No part of the August 1, 2011 Purchase Price paid or amount subscribed by the Reporting Person was represented by funds or other consideration borrowed or otherwise obtained for the purpose of acquiring, holding, trading or voting the shares.</w:t>
      </w:r>
    </w:p>
    <w:p>
      <w:pPr>
        <w:sectPr>
          <w:pgSz w:w="11900" w:h="16838" w:orient="portrait"/>
          <w:cols w:equalWidth="0" w:num="1">
            <w:col w:w="11360"/>
          </w:cols>
          <w:pgMar w:left="240" w:top="280" w:right="299" w:bottom="1440" w:gutter="0" w:footer="0" w:header="0"/>
        </w:sectPr>
      </w:pPr>
    </w:p>
    <w:bookmarkStart w:id="3" w:name="page4"/>
    <w:bookmarkEnd w:id="3"/>
    <w:p>
      <w:pPr>
        <w:ind w:right="360" w:firstLine="45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Issuer delivered drawdown notices to new investors on December 15, 2011 and such new investors were obligated to purchase shares of Common Stock. The Reporting Person was not required to make any contributions on December 15, 2011 and did not purchase any additional shares, however, the Reporting Person’s percentage ownership in the Issuer was diluted.</w:t>
      </w:r>
    </w:p>
    <w:p>
      <w:pPr>
        <w:spacing w:after="0" w:line="140" w:lineRule="exact"/>
        <w:rPr>
          <w:sz w:val="20"/>
          <w:szCs w:val="20"/>
          <w:color w:val="auto"/>
        </w:rPr>
      </w:pPr>
    </w:p>
    <w:p>
      <w:pPr>
        <w:ind w:right="80" w:firstLine="456"/>
        <w:spacing w:after="0" w:line="370" w:lineRule="auto"/>
        <w:rPr>
          <w:sz w:val="20"/>
          <w:szCs w:val="20"/>
          <w:color w:val="auto"/>
        </w:rPr>
      </w:pPr>
      <w:r>
        <w:rPr>
          <w:rFonts w:ascii="Arial" w:cs="Arial" w:eastAsia="Arial" w:hAnsi="Arial"/>
          <w:sz w:val="15"/>
          <w:szCs w:val="15"/>
          <w:color w:val="auto"/>
        </w:rPr>
        <w:t>The Issuer delivered a drawdown notice on December 16, 2011, and upon receiving the drawdown notice, the Reporting Person became obligated to make a capital contribution of $1,547,989 (the “December 16, 2011 Purchase Price”) to purchase 1,578 shares of Common Stock at a price of $980.98 per share.</w:t>
      </w:r>
    </w:p>
    <w:p>
      <w:pPr>
        <w:spacing w:after="0" w:line="62"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The cash reserves of the occupational pension scheme was the Reporting Person’s source of the funds for the December 16, 2011 Purchase Price. No part of the December 16, 2011 Purchase Price paid or amount subscribed by the Reporting Person was represented by funds or other consideration borrowed or otherwise obtained for the purpose of acquiring, holding, trading or voting the shares.</w:t>
      </w:r>
    </w:p>
    <w:p>
      <w:pPr>
        <w:spacing w:after="0" w:line="140"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The Issuer delivered drawdown notices to new investors on February 1, 2012 and such new investors were obligated to purchase shares of Common Stock. The Reporting Person was not required to make any contributions on February 1, 2012 and did not purchase any additional shares, however, the Reporting Person’s percentage ownership in the Issuer was diluted.</w:t>
      </w:r>
    </w:p>
    <w:p>
      <w:pPr>
        <w:spacing w:after="0" w:line="140" w:lineRule="exact"/>
        <w:rPr>
          <w:sz w:val="20"/>
          <w:szCs w:val="20"/>
          <w:color w:val="auto"/>
        </w:rPr>
      </w:pPr>
    </w:p>
    <w:p>
      <w:pPr>
        <w:jc w:val="both"/>
        <w:ind w:right="140" w:firstLine="456"/>
        <w:spacing w:after="0" w:line="332" w:lineRule="auto"/>
        <w:rPr>
          <w:sz w:val="20"/>
          <w:szCs w:val="20"/>
          <w:color w:val="auto"/>
        </w:rPr>
      </w:pPr>
      <w:r>
        <w:rPr>
          <w:rFonts w:ascii="Arial" w:cs="Arial" w:eastAsia="Arial" w:hAnsi="Arial"/>
          <w:sz w:val="16"/>
          <w:szCs w:val="16"/>
          <w:color w:val="auto"/>
        </w:rPr>
        <w:t>The Issuer delivered a drawdown notice on February 2, 2012, and upon receiving the drawdown notice, the Reporting Person became obligated to make a capital contribution of $4,179,091 (the “February 1, 2012 Purchase Price”) to purchase 4,242 shares of Common Stock at a price of $985.17 per share.</w:t>
      </w:r>
    </w:p>
    <w:p>
      <w:pPr>
        <w:spacing w:after="0" w:line="85" w:lineRule="exact"/>
        <w:rPr>
          <w:sz w:val="20"/>
          <w:szCs w:val="20"/>
          <w:color w:val="auto"/>
        </w:rPr>
      </w:pPr>
    </w:p>
    <w:p>
      <w:pPr>
        <w:jc w:val="both"/>
        <w:ind w:right="140" w:firstLine="456"/>
        <w:spacing w:after="0" w:line="259" w:lineRule="auto"/>
        <w:rPr>
          <w:sz w:val="20"/>
          <w:szCs w:val="20"/>
          <w:color w:val="auto"/>
        </w:rPr>
      </w:pPr>
      <w:r>
        <w:rPr>
          <w:rFonts w:ascii="Arial" w:cs="Arial" w:eastAsia="Arial" w:hAnsi="Arial"/>
          <w:sz w:val="18"/>
          <w:szCs w:val="18"/>
          <w:color w:val="auto"/>
        </w:rPr>
        <w:t>The cash reserves of the occupational pension scheme was the Reporting Person’s source of the funds for the February 1, 2012 Purchase Price. No part of the February 1, 2012 Purchase Price paid or amount subscribed by the Reporting Person was represented by funds or other consideration borrowed or otherwise obtained for the purpose of acquiring, holding, trading or voting the shares.</w:t>
      </w:r>
    </w:p>
    <w:p>
      <w:pPr>
        <w:spacing w:after="0" w:line="140" w:lineRule="exact"/>
        <w:rPr>
          <w:sz w:val="20"/>
          <w:szCs w:val="20"/>
          <w:color w:val="auto"/>
        </w:rPr>
      </w:pPr>
    </w:p>
    <w:p>
      <w:pPr>
        <w:jc w:val="both"/>
        <w:ind w:right="220" w:firstLine="456"/>
        <w:spacing w:after="0" w:line="332" w:lineRule="auto"/>
        <w:rPr>
          <w:sz w:val="20"/>
          <w:szCs w:val="20"/>
          <w:color w:val="auto"/>
        </w:rPr>
      </w:pPr>
      <w:r>
        <w:rPr>
          <w:rFonts w:ascii="Arial" w:cs="Arial" w:eastAsia="Arial" w:hAnsi="Arial"/>
          <w:sz w:val="16"/>
          <w:szCs w:val="16"/>
          <w:color w:val="auto"/>
        </w:rPr>
        <w:t>The Issuer delivered a drawdown notice on March 16, 2012, and upon receiving the drawdown notice, the Reporting Person became obligated to make a capital contribution of $8,955,194 (the “March 16, 2012 Purchase Price”) to purchase 9,092 shares of Common Stock at a price of $984.95 per share.</w:t>
      </w:r>
    </w:p>
    <w:p>
      <w:pPr>
        <w:spacing w:after="0" w:line="85" w:lineRule="exact"/>
        <w:rPr>
          <w:sz w:val="20"/>
          <w:szCs w:val="20"/>
          <w:color w:val="auto"/>
        </w:rPr>
      </w:pPr>
    </w:p>
    <w:p>
      <w:pPr>
        <w:jc w:val="both"/>
        <w:ind w:right="240" w:firstLine="456"/>
        <w:spacing w:after="0" w:line="259" w:lineRule="auto"/>
        <w:rPr>
          <w:sz w:val="20"/>
          <w:szCs w:val="20"/>
          <w:color w:val="auto"/>
        </w:rPr>
      </w:pPr>
      <w:r>
        <w:rPr>
          <w:rFonts w:ascii="Arial" w:cs="Arial" w:eastAsia="Arial" w:hAnsi="Arial"/>
          <w:sz w:val="18"/>
          <w:szCs w:val="18"/>
          <w:color w:val="auto"/>
        </w:rPr>
        <w:t>The cash reserves of the occupational pension scheme was the Reporting Person’s source of the funds for the March 16, 2012 Purchase Price. No part of the March 16, 2012 Purchase Price paid or amount subscribed by the Reporting Person was represented by funds or other consideration borrowed or otherwise obtained for the purpose of acquiring, holding, trading or voting the Shares.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Item 5. </w:t>
      </w:r>
      <w:r>
        <w:rPr>
          <w:rFonts w:ascii="Arial" w:cs="Arial" w:eastAsia="Arial" w:hAnsi="Arial"/>
          <w:sz w:val="18"/>
          <w:szCs w:val="18"/>
          <w:u w:val="single" w:color="auto"/>
          <w:color w:val="auto"/>
        </w:rPr>
        <w:t>Interest in Securities of the Issuer</w:t>
      </w:r>
      <w:r>
        <w:rPr>
          <w:rFonts w:ascii="Arial" w:cs="Arial" w:eastAsia="Arial" w:hAnsi="Arial"/>
          <w:sz w:val="18"/>
          <w:szCs w:val="18"/>
          <w:color w:val="auto"/>
        </w:rPr>
        <w:t>.</w:t>
      </w:r>
    </w:p>
    <w:p>
      <w:pPr>
        <w:spacing w:after="0" w:line="90"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This Amendment amends and restates Item 5(a) of the Original Schedule 13D, as amended by Amendment No. 1 and Amendment No. 2 and Amendment No. 3, in its entirety as set forth below:</w:t>
      </w:r>
    </w:p>
    <w:p>
      <w:pPr>
        <w:spacing w:after="0" w:line="51" w:lineRule="exact"/>
        <w:rPr>
          <w:sz w:val="20"/>
          <w:szCs w:val="20"/>
          <w:color w:val="auto"/>
        </w:rPr>
      </w:pPr>
    </w:p>
    <w:p>
      <w:pPr>
        <w:ind w:left="900" w:hanging="446"/>
        <w:spacing w:after="0" w:line="357" w:lineRule="auto"/>
        <w:tabs>
          <w:tab w:leader="none" w:pos="900" w:val="left"/>
        </w:tabs>
        <w:numPr>
          <w:ilvl w:val="0"/>
          <w:numId w:val="7"/>
        </w:numPr>
        <w:rPr>
          <w:rFonts w:ascii="Arial" w:cs="Arial" w:eastAsia="Arial" w:hAnsi="Arial"/>
          <w:sz w:val="15"/>
          <w:szCs w:val="15"/>
          <w:color w:val="auto"/>
        </w:rPr>
      </w:pPr>
      <w:r>
        <w:rPr>
          <w:rFonts w:ascii="Arial" w:cs="Arial" w:eastAsia="Arial" w:hAnsi="Arial"/>
          <w:sz w:val="15"/>
          <w:szCs w:val="15"/>
          <w:color w:val="auto"/>
        </w:rPr>
        <w:t>On March 16, 2012, the aggregate number of shares of Common Stock beneficially owned by the Reporting Person was 35,286, representing 11.97% of the issued and outstanding shares of Common Stock, which is calculated based on information provided to the Reporting Person by the Issuer.</w:t>
      </w:r>
    </w:p>
    <w:p>
      <w:pPr>
        <w:ind w:left="460"/>
        <w:spacing w:after="0"/>
        <w:rPr>
          <w:sz w:val="20"/>
          <w:szCs w:val="20"/>
          <w:color w:val="auto"/>
        </w:rPr>
      </w:pPr>
      <w:r>
        <w:rPr>
          <w:rFonts w:ascii="Arial" w:cs="Arial" w:eastAsia="Arial" w:hAnsi="Arial"/>
          <w:sz w:val="18"/>
          <w:szCs w:val="18"/>
          <w:color w:val="auto"/>
        </w:rPr>
        <w:t>Percent of Class: See Line 13 of the cover sheets.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Reporting Persons disclaims beneficial ownership of the Shares except to the extent of its pecuniary interest therein, if any.</w:t>
      </w:r>
    </w:p>
    <w:p>
      <w:pPr>
        <w:sectPr>
          <w:pgSz w:w="11900" w:h="16838" w:orient="portrait"/>
          <w:cols w:equalWidth="0" w:num="1">
            <w:col w:w="11400"/>
          </w:cols>
          <w:pgMar w:left="240" w:top="280" w:right="259" w:bottom="1440" w:gutter="0" w:footer="0" w:header="0"/>
        </w:sectPr>
      </w:pPr>
    </w:p>
    <w:bookmarkStart w:id="4" w:name="page5"/>
    <w:bookmarkEnd w:id="4"/>
    <w:p>
      <w:pPr>
        <w:jc w:val="center"/>
        <w:ind w:right="-63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w:t>
      </w:r>
    </w:p>
    <w:p>
      <w:pPr>
        <w:spacing w:after="0" w:line="1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After reasonable inquiry and to the best of its knowledge and belief, the undersigned certifies that the information set forth in this statement is true, complete and correct.</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 March 28, 2012</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Universities Superannuation Scheme Limited</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as trustee of Universities Superannuation Scheme</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Mike Powell</w:t>
            </w:r>
          </w:p>
        </w:tc>
      </w:tr>
      <w:tr>
        <w:trPr>
          <w:trHeight w:val="217"/>
        </w:trPr>
        <w:tc>
          <w:tcPr>
            <w:tcW w:w="660" w:type="dxa"/>
            <w:vAlign w:val="bottom"/>
          </w:tcPr>
          <w:p>
            <w:pPr>
              <w:spacing w:after="0"/>
              <w:rPr>
                <w:sz w:val="20"/>
                <w:szCs w:val="20"/>
                <w:color w:val="auto"/>
              </w:rPr>
            </w:pPr>
            <w:r>
              <w:rPr>
                <w:rFonts w:ascii="Arial" w:cs="Arial" w:eastAsia="Arial" w:hAnsi="Arial"/>
                <w:sz w:val="18"/>
                <w:szCs w:val="18"/>
                <w:color w:val="auto"/>
              </w:rPr>
              <w:t>Name:</w:t>
            </w:r>
          </w:p>
        </w:tc>
        <w:tc>
          <w:tcPr>
            <w:tcW w:w="3920" w:type="dxa"/>
            <w:vAlign w:val="bottom"/>
          </w:tcPr>
          <w:p>
            <w:pPr>
              <w:spacing w:after="0"/>
              <w:rPr>
                <w:sz w:val="20"/>
                <w:szCs w:val="20"/>
                <w:color w:val="auto"/>
              </w:rPr>
            </w:pPr>
            <w:r>
              <w:rPr>
                <w:rFonts w:ascii="Arial" w:cs="Arial" w:eastAsia="Arial" w:hAnsi="Arial"/>
                <w:sz w:val="18"/>
                <w:szCs w:val="18"/>
                <w:color w:val="auto"/>
              </w:rPr>
              <w:t>Mike Powell</w:t>
            </w:r>
          </w:p>
        </w:tc>
      </w:tr>
      <w:tr>
        <w:trPr>
          <w:trHeight w:val="222"/>
        </w:trPr>
        <w:tc>
          <w:tcPr>
            <w:tcW w:w="660" w:type="dxa"/>
            <w:vAlign w:val="bottom"/>
          </w:tcPr>
          <w:p>
            <w:pPr>
              <w:spacing w:after="0"/>
              <w:rPr>
                <w:sz w:val="20"/>
                <w:szCs w:val="20"/>
                <w:color w:val="auto"/>
              </w:rPr>
            </w:pPr>
            <w:r>
              <w:rPr>
                <w:rFonts w:ascii="Arial" w:cs="Arial" w:eastAsia="Arial" w:hAnsi="Arial"/>
                <w:sz w:val="18"/>
                <w:szCs w:val="18"/>
                <w:color w:val="auto"/>
              </w:rPr>
              <w:t>Title:</w:t>
            </w:r>
          </w:p>
        </w:tc>
        <w:tc>
          <w:tcPr>
            <w:tcW w:w="3920" w:type="dxa"/>
            <w:vAlign w:val="bottom"/>
          </w:tcPr>
          <w:p>
            <w:pPr>
              <w:spacing w:after="0"/>
              <w:rPr>
                <w:sz w:val="20"/>
                <w:szCs w:val="20"/>
                <w:color w:val="auto"/>
              </w:rPr>
            </w:pPr>
            <w:r>
              <w:rPr>
                <w:rFonts w:ascii="Arial" w:cs="Arial" w:eastAsia="Arial" w:hAnsi="Arial"/>
                <w:sz w:val="18"/>
                <w:szCs w:val="18"/>
                <w:color w:val="auto"/>
              </w:rPr>
              <w:t>Head of Alternative Investments</w:t>
            </w:r>
          </w:p>
        </w:tc>
      </w:tr>
    </w:tbl>
    <w:p>
      <w:pPr>
        <w:spacing w:after="0" w:line="1" w:lineRule="exact"/>
        <w:rPr>
          <w:sz w:val="20"/>
          <w:szCs w:val="20"/>
          <w:color w:val="auto"/>
        </w:rPr>
      </w:pPr>
    </w:p>
    <w:sectPr>
      <w:pgSz w:w="11900" w:h="16838" w:orient="portrait"/>
      <w:cols w:equalWidth="0" w:num="1">
        <w:col w:w="10800"/>
      </w:cols>
      <w:pgMar w:left="240" w:top="274" w:right="8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1"/>
      <w:numFmt w:val="bullet"/>
      <w:start w:val="1"/>
    </w:lvl>
  </w:abstractNum>
  <w:abstractNum w:abstractNumId="2">
    <w:nsid w:val="46E87CCD"/>
    <w:multiLevelType w:val="hybridMultilevel"/>
    <w:lvl w:ilvl="0">
      <w:lvlJc w:val="left"/>
      <w:lvlText w:val="2"/>
      <w:numFmt w:val="bullet"/>
      <w:start w:val="1"/>
    </w:lvl>
  </w:abstractNum>
  <w:abstractNum w:abstractNumId="3">
    <w:nsid w:val="3D1B58BA"/>
    <w:multiLevelType w:val="hybridMultilevel"/>
    <w:lvl w:ilvl="0">
      <w:lvlJc w:val="left"/>
      <w:lvlText w:val="3"/>
      <w:numFmt w:val="bullet"/>
      <w:start w:val="1"/>
    </w:lvl>
  </w:abstractNum>
  <w:abstractNum w:abstractNumId="4">
    <w:nsid w:val="507ED7AB"/>
    <w:multiLevelType w:val="hybridMultilevel"/>
    <w:lvl w:ilvl="0">
      <w:lvlJc w:val="left"/>
      <w:lvlText w:val="4"/>
      <w:numFmt w:val="bullet"/>
      <w:start w:val="1"/>
    </w:lvl>
  </w:abstractNum>
  <w:abstractNum w:abstractNumId="5">
    <w:nsid w:val="2EB141F2"/>
    <w:multiLevelType w:val="hybridMultilevel"/>
    <w:lvl w:ilvl="0">
      <w:lvlJc w:val="left"/>
      <w:lvlText w:val="6"/>
      <w:numFmt w:val="bullet"/>
      <w:start w:val="1"/>
    </w:lvl>
  </w:abstractNum>
  <w:abstractNum w:abstractNumId="6">
    <w:nsid w:val="41B71EFB"/>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2019-12-09T21:09:56Z</dcterms:created>
  <dcterms:modified xsi:type="dcterms:W3CDTF">2019-12-09T21:09:56Z</dcterms:modified>
</cp:coreProperties>
</file>