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158750</wp:posOffset>
            </wp:positionV>
            <wp:extent cx="16725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31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161290</wp:posOffset>
            </wp:positionV>
            <wp:extent cx="16725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w:t>
      </w:r>
    </w:p>
    <w:p>
      <w:pPr>
        <w:jc w:val="center"/>
        <w:ind w:right="-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0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Date of Report (Date of earliest event reported): August 2, 2017</w:t>
      </w:r>
    </w:p>
    <w:p>
      <w:pPr>
        <w:spacing w:after="0" w:line="204"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TPG Specialty Lending,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-294640</wp:posOffset>
            </wp:positionV>
            <wp:extent cx="16725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3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167640</wp:posOffset>
            </wp:positionV>
            <wp:extent cx="16725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tbl>
      <w:tblPr>
        <w:tblLayout w:type="fixed"/>
        <w:tblInd w:w="680" w:type="dxa"/>
        <w:tblCellMar>
          <w:top w:w="0" w:type="dxa"/>
          <w:left w:w="0" w:type="dxa"/>
          <w:bottom w:w="0" w:type="dxa"/>
          <w:right w:w="0" w:type="dxa"/>
        </w:tblCellMar>
      </w:tblPr>
      <w:tr>
        <w:trPr>
          <w:trHeight w:val="212"/>
        </w:trPr>
        <w:tc>
          <w:tcPr>
            <w:tcW w:w="3640" w:type="dxa"/>
            <w:vAlign w:val="bottom"/>
          </w:tcPr>
          <w:p>
            <w:pPr>
              <w:jc w:val="center"/>
              <w:ind w:right="1039"/>
              <w:spacing w:after="0"/>
              <w:rPr>
                <w:sz w:val="20"/>
                <w:szCs w:val="20"/>
                <w:color w:val="auto"/>
              </w:rPr>
            </w:pPr>
            <w:r>
              <w:rPr>
                <w:rFonts w:ascii="Arial" w:cs="Arial" w:eastAsia="Arial" w:hAnsi="Arial"/>
                <w:sz w:val="18"/>
                <w:szCs w:val="18"/>
                <w:b w:val="1"/>
                <w:bCs w:val="1"/>
                <w:color w:val="auto"/>
                <w:w w:val="91"/>
              </w:rPr>
              <w:t>Delaware</w:t>
            </w:r>
          </w:p>
        </w:tc>
        <w:tc>
          <w:tcPr>
            <w:tcW w:w="3320" w:type="dxa"/>
            <w:vAlign w:val="bottom"/>
          </w:tcPr>
          <w:p>
            <w:pPr>
              <w:ind w:left="1140"/>
              <w:spacing w:after="0"/>
              <w:rPr>
                <w:sz w:val="20"/>
                <w:szCs w:val="20"/>
                <w:color w:val="auto"/>
              </w:rPr>
            </w:pPr>
            <w:r>
              <w:rPr>
                <w:rFonts w:ascii="Arial" w:cs="Arial" w:eastAsia="Arial" w:hAnsi="Arial"/>
                <w:sz w:val="18"/>
                <w:szCs w:val="18"/>
                <w:b w:val="1"/>
                <w:bCs w:val="1"/>
                <w:color w:val="auto"/>
              </w:rPr>
              <w:t>001-36364</w:t>
            </w:r>
          </w:p>
        </w:tc>
        <w:tc>
          <w:tcPr>
            <w:tcW w:w="2520" w:type="dxa"/>
            <w:vAlign w:val="bottom"/>
          </w:tcPr>
          <w:p>
            <w:pPr>
              <w:jc w:val="right"/>
              <w:ind w:right="41"/>
              <w:spacing w:after="0"/>
              <w:rPr>
                <w:sz w:val="20"/>
                <w:szCs w:val="20"/>
                <w:color w:val="auto"/>
              </w:rPr>
            </w:pPr>
            <w:r>
              <w:rPr>
                <w:rFonts w:ascii="Arial" w:cs="Arial" w:eastAsia="Arial" w:hAnsi="Arial"/>
                <w:sz w:val="18"/>
                <w:szCs w:val="18"/>
                <w:b w:val="1"/>
                <w:bCs w:val="1"/>
                <w:color w:val="auto"/>
              </w:rPr>
              <w:t>27-3380000</w:t>
            </w:r>
          </w:p>
        </w:tc>
      </w:tr>
      <w:tr>
        <w:trPr>
          <w:trHeight w:val="149"/>
        </w:trPr>
        <w:tc>
          <w:tcPr>
            <w:tcW w:w="3640" w:type="dxa"/>
            <w:vAlign w:val="bottom"/>
          </w:tcPr>
          <w:p>
            <w:pPr>
              <w:jc w:val="center"/>
              <w:ind w:right="101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3320" w:type="dxa"/>
            <w:vAlign w:val="bottom"/>
          </w:tcPr>
          <w:p>
            <w:pPr>
              <w:ind w:left="1120"/>
              <w:spacing w:after="0" w:line="149" w:lineRule="exact"/>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3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640" w:type="dxa"/>
            <w:vAlign w:val="bottom"/>
          </w:tcPr>
          <w:p>
            <w:pPr>
              <w:jc w:val="center"/>
              <w:ind w:right="1019"/>
              <w:spacing w:after="0"/>
              <w:rPr>
                <w:sz w:val="20"/>
                <w:szCs w:val="20"/>
                <w:color w:val="auto"/>
              </w:rPr>
            </w:pPr>
            <w:r>
              <w:rPr>
                <w:rFonts w:ascii="Arial" w:cs="Arial" w:eastAsia="Arial" w:hAnsi="Arial"/>
                <w:sz w:val="14"/>
                <w:szCs w:val="14"/>
                <w:b w:val="1"/>
                <w:bCs w:val="1"/>
                <w:color w:val="auto"/>
                <w:w w:val="94"/>
              </w:rPr>
              <w:t>of Incorporation)</w:t>
            </w:r>
          </w:p>
        </w:tc>
        <w:tc>
          <w:tcPr>
            <w:tcW w:w="3320" w:type="dxa"/>
            <w:vAlign w:val="bottom"/>
          </w:tcPr>
          <w:p>
            <w:pPr>
              <w:ind w:left="1100"/>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4"/>
              </w:rPr>
              <w:t>Identification No.)</w:t>
            </w:r>
          </w:p>
        </w:tc>
      </w:tr>
      <w:tr>
        <w:trPr>
          <w:trHeight w:val="426"/>
        </w:trPr>
        <w:tc>
          <w:tcPr>
            <w:tcW w:w="3640" w:type="dxa"/>
            <w:vAlign w:val="bottom"/>
          </w:tcPr>
          <w:p>
            <w:pPr>
              <w:jc w:val="center"/>
              <w:ind w:right="1019"/>
              <w:spacing w:after="0"/>
              <w:rPr>
                <w:sz w:val="20"/>
                <w:szCs w:val="20"/>
                <w:color w:val="auto"/>
              </w:rPr>
            </w:pPr>
            <w:r>
              <w:rPr>
                <w:rFonts w:ascii="Arial" w:cs="Arial" w:eastAsia="Arial" w:hAnsi="Arial"/>
                <w:sz w:val="18"/>
                <w:szCs w:val="18"/>
                <w:b w:val="1"/>
                <w:bCs w:val="1"/>
                <w:color w:val="auto"/>
                <w:w w:val="89"/>
              </w:rPr>
              <w:t>301 Commerce Street, Suite 3300</w:t>
            </w:r>
          </w:p>
        </w:tc>
        <w:tc>
          <w:tcPr>
            <w:tcW w:w="332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12"/>
        </w:trPr>
        <w:tc>
          <w:tcPr>
            <w:tcW w:w="3640" w:type="dxa"/>
            <w:vAlign w:val="bottom"/>
          </w:tcPr>
          <w:p>
            <w:pPr>
              <w:jc w:val="center"/>
              <w:ind w:right="1019"/>
              <w:spacing w:after="0"/>
              <w:rPr>
                <w:sz w:val="20"/>
                <w:szCs w:val="20"/>
                <w:color w:val="auto"/>
              </w:rPr>
            </w:pPr>
            <w:r>
              <w:rPr>
                <w:rFonts w:ascii="Arial" w:cs="Arial" w:eastAsia="Arial" w:hAnsi="Arial"/>
                <w:sz w:val="18"/>
                <w:szCs w:val="18"/>
                <w:b w:val="1"/>
                <w:bCs w:val="1"/>
                <w:color w:val="auto"/>
                <w:w w:val="97"/>
              </w:rPr>
              <w:t>Fort Worth, TX</w:t>
            </w:r>
          </w:p>
        </w:tc>
        <w:tc>
          <w:tcPr>
            <w:tcW w:w="3320" w:type="dxa"/>
            <w:vAlign w:val="bottom"/>
          </w:tcPr>
          <w:p>
            <w:pPr>
              <w:spacing w:after="0"/>
              <w:rPr>
                <w:sz w:val="18"/>
                <w:szCs w:val="18"/>
                <w:color w:val="auto"/>
              </w:rPr>
            </w:pPr>
          </w:p>
        </w:tc>
        <w:tc>
          <w:tcPr>
            <w:tcW w:w="2520" w:type="dxa"/>
            <w:vAlign w:val="bottom"/>
          </w:tcPr>
          <w:p>
            <w:pPr>
              <w:jc w:val="right"/>
              <w:ind w:right="261"/>
              <w:spacing w:after="0"/>
              <w:rPr>
                <w:sz w:val="20"/>
                <w:szCs w:val="20"/>
                <w:color w:val="auto"/>
              </w:rPr>
            </w:pPr>
            <w:r>
              <w:rPr>
                <w:rFonts w:ascii="Arial" w:cs="Arial" w:eastAsia="Arial" w:hAnsi="Arial"/>
                <w:sz w:val="18"/>
                <w:szCs w:val="18"/>
                <w:b w:val="1"/>
                <w:bCs w:val="1"/>
                <w:color w:val="auto"/>
              </w:rPr>
              <w:t>76102</w:t>
            </w:r>
          </w:p>
        </w:tc>
      </w:tr>
      <w:tr>
        <w:trPr>
          <w:trHeight w:val="186"/>
        </w:trPr>
        <w:tc>
          <w:tcPr>
            <w:tcW w:w="3640" w:type="dxa"/>
            <w:vAlign w:val="bottom"/>
          </w:tcPr>
          <w:p>
            <w:pPr>
              <w:jc w:val="center"/>
              <w:ind w:right="101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320" w:type="dxa"/>
            <w:vAlign w:val="bottom"/>
          </w:tcPr>
          <w:p>
            <w:pPr>
              <w:spacing w:after="0"/>
              <w:rPr>
                <w:sz w:val="16"/>
                <w:szCs w:val="16"/>
                <w:color w:val="auto"/>
              </w:rPr>
            </w:pP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1"/>
              </w:rPr>
              <w:t>(zip code)</w:t>
            </w:r>
          </w:p>
        </w:tc>
      </w:tr>
    </w:tbl>
    <w:p>
      <w:pPr>
        <w:spacing w:after="0" w:line="27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Registrant’s telephone number, including area code: (817) 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154940</wp:posOffset>
            </wp:positionV>
            <wp:extent cx="16725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371"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1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99060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215265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30"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 Results of Operations and Financial Condition</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On August 2, 2017, the registrant issued a press release announcing its financial results for the quarter ended June 30, 2017. The text of the press release is included as Exhibit 99.1 to this Form 8-K.</w:t>
      </w:r>
    </w:p>
    <w:p>
      <w:pPr>
        <w:spacing w:after="0" w:line="170"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 information disclosed under this Item 2.02,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 Regulation FD Disclosure</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August 2, 2017, the registrant issued a press release, included herewith as Exhibit 99.1, announcing the declaration of a third fiscal quarter 2017 base dividend of $0.39 per share for stockholders of record as of September 15, 2017, payable on October 13, 2017, and a quarterly variable supplemental dividend of $0.09 per share for stockholders of record as of August 31, 2017, payable on September 29, 2017.</w:t>
      </w:r>
    </w:p>
    <w:p>
      <w:pPr>
        <w:spacing w:after="0" w:line="181"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 information disclosed under this Item 7.01,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44"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20"/>
        <w:spacing w:after="0"/>
        <w:tabs>
          <w:tab w:leader="none" w:pos="122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1" w:lineRule="exact"/>
        <w:rPr>
          <w:sz w:val="20"/>
          <w:szCs w:val="20"/>
          <w:color w:val="auto"/>
        </w:rPr>
      </w:pPr>
    </w:p>
    <w:p>
      <w:pPr>
        <w:spacing w:after="0"/>
        <w:tabs>
          <w:tab w:leader="none" w:pos="122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August 2,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20" w:type="dxa"/>
            <w:vAlign w:val="bottom"/>
          </w:tcPr>
          <w:p>
            <w:pPr>
              <w:spacing w:after="0"/>
              <w:rPr>
                <w:sz w:val="18"/>
                <w:szCs w:val="18"/>
                <w:color w:val="auto"/>
              </w:rPr>
            </w:pPr>
          </w:p>
        </w:tc>
        <w:tc>
          <w:tcPr>
            <w:tcW w:w="8100" w:type="dxa"/>
            <w:vAlign w:val="bottom"/>
            <w:gridSpan w:val="2"/>
          </w:tcPr>
          <w:p>
            <w:pPr>
              <w:ind w:left="1760"/>
              <w:spacing w:after="0"/>
              <w:rPr>
                <w:sz w:val="20"/>
                <w:szCs w:val="20"/>
                <w:color w:val="auto"/>
              </w:rPr>
            </w:pPr>
            <w:r>
              <w:rPr>
                <w:rFonts w:ascii="Arial" w:cs="Arial" w:eastAsia="Arial" w:hAnsi="Arial"/>
                <w:sz w:val="18"/>
                <w:szCs w:val="18"/>
                <w:color w:val="auto"/>
              </w:rPr>
              <w:t>TPG SPECIALTY LENDING, INC.</w:t>
            </w:r>
          </w:p>
        </w:tc>
      </w:tr>
      <w:tr>
        <w:trPr>
          <w:trHeight w:val="230"/>
        </w:trPr>
        <w:tc>
          <w:tcPr>
            <w:tcW w:w="33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720" w:type="dxa"/>
            <w:vAlign w:val="bottom"/>
          </w:tcPr>
          <w:p>
            <w:pPr>
              <w:ind w:left="280"/>
              <w:spacing w:after="0"/>
              <w:rPr>
                <w:sz w:val="20"/>
                <w:szCs w:val="20"/>
                <w:color w:val="auto"/>
              </w:rPr>
            </w:pPr>
            <w:r>
              <w:rPr>
                <w:rFonts w:ascii="Arial" w:cs="Arial" w:eastAsia="Arial" w:hAnsi="Arial"/>
                <w:sz w:val="18"/>
                <w:szCs w:val="18"/>
                <w:color w:val="auto"/>
              </w:rPr>
              <w:t>(Registrant)</w:t>
            </w:r>
          </w:p>
        </w:tc>
      </w:tr>
      <w:tr>
        <w:trPr>
          <w:trHeight w:val="432"/>
        </w:trPr>
        <w:tc>
          <w:tcPr>
            <w:tcW w:w="3320" w:type="dxa"/>
            <w:vAlign w:val="bottom"/>
          </w:tcPr>
          <w:p>
            <w:pPr>
              <w:spacing w:after="0"/>
              <w:rPr>
                <w:sz w:val="20"/>
                <w:szCs w:val="20"/>
                <w:color w:val="auto"/>
              </w:rPr>
            </w:pPr>
            <w:r>
              <w:rPr>
                <w:rFonts w:ascii="Arial" w:cs="Arial" w:eastAsia="Arial" w:hAnsi="Arial"/>
                <w:sz w:val="18"/>
                <w:szCs w:val="18"/>
                <w:color w:val="auto"/>
              </w:rPr>
              <w:t>Date: August 2, 2017</w:t>
            </w:r>
          </w:p>
        </w:tc>
        <w:tc>
          <w:tcPr>
            <w:tcW w:w="2380" w:type="dxa"/>
            <w:vAlign w:val="bottom"/>
          </w:tcPr>
          <w:p>
            <w:pPr>
              <w:ind w:left="1760"/>
              <w:spacing w:after="0"/>
              <w:rPr>
                <w:sz w:val="20"/>
                <w:szCs w:val="20"/>
                <w:color w:val="auto"/>
              </w:rPr>
            </w:pPr>
            <w:r>
              <w:rPr>
                <w:rFonts w:ascii="Arial" w:cs="Arial" w:eastAsia="Arial" w:hAnsi="Arial"/>
                <w:sz w:val="18"/>
                <w:szCs w:val="18"/>
                <w:color w:val="auto"/>
              </w:rPr>
              <w:t>By:</w:t>
            </w:r>
          </w:p>
        </w:tc>
        <w:tc>
          <w:tcPr>
            <w:tcW w:w="57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Ian Simmonds</w:t>
            </w:r>
          </w:p>
        </w:tc>
      </w:tr>
      <w:tr>
        <w:trPr>
          <w:trHeight w:val="195"/>
        </w:trPr>
        <w:tc>
          <w:tcPr>
            <w:tcW w:w="33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720" w:type="dxa"/>
            <w:vAlign w:val="bottom"/>
          </w:tcPr>
          <w:p>
            <w:pPr>
              <w:ind w:left="60"/>
              <w:spacing w:after="0" w:line="195" w:lineRule="exact"/>
              <w:rPr>
                <w:sz w:val="20"/>
                <w:szCs w:val="20"/>
                <w:color w:val="auto"/>
              </w:rPr>
            </w:pPr>
            <w:r>
              <w:rPr>
                <w:rFonts w:ascii="Arial" w:cs="Arial" w:eastAsia="Arial" w:hAnsi="Arial"/>
                <w:sz w:val="18"/>
                <w:szCs w:val="18"/>
                <w:color w:val="auto"/>
              </w:rPr>
              <w:t>Ian Simmonds</w:t>
            </w:r>
          </w:p>
        </w:tc>
      </w:tr>
      <w:tr>
        <w:trPr>
          <w:trHeight w:val="230"/>
        </w:trPr>
        <w:tc>
          <w:tcPr>
            <w:tcW w:w="33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720" w:type="dxa"/>
            <w:vAlign w:val="bottom"/>
          </w:tcPr>
          <w:p>
            <w:pPr>
              <w:ind w:left="6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125" w:right="239" w:bottom="1440" w:gutter="0" w:footer="0" w:header="0"/>
        </w:sectPr>
      </w:pPr>
    </w:p>
    <w:bookmarkStart w:id="3" w:name="page4"/>
    <w:bookmarkEnd w:id="3"/>
    <w:p>
      <w:pPr>
        <w:ind w:left="10480"/>
        <w:spacing w:after="0"/>
        <w:rPr>
          <w:sz w:val="20"/>
          <w:szCs w:val="20"/>
          <w:color w:val="auto"/>
        </w:rPr>
      </w:pPr>
      <w:r>
        <w:rPr>
          <w:rFonts w:ascii="Arial" w:cs="Arial" w:eastAsia="Arial" w:hAnsi="Arial"/>
          <w:sz w:val="16"/>
          <w:szCs w:val="16"/>
          <w:b w:val="1"/>
          <w:bCs w:val="1"/>
          <w:color w:val="auto"/>
        </w:rPr>
        <w:t>Exhibit 99.1</w:t>
      </w:r>
    </w:p>
    <w:p>
      <w:pPr>
        <w:spacing w:after="0" w:line="248" w:lineRule="exact"/>
        <w:rPr>
          <w:sz w:val="20"/>
          <w:szCs w:val="20"/>
          <w:color w:val="auto"/>
        </w:rPr>
      </w:pPr>
    </w:p>
    <w:p>
      <w:pPr>
        <w:ind w:right="440"/>
        <w:spacing w:after="0" w:line="313" w:lineRule="auto"/>
        <w:rPr>
          <w:sz w:val="20"/>
          <w:szCs w:val="20"/>
          <w:color w:val="auto"/>
        </w:rPr>
      </w:pPr>
      <w:r>
        <w:rPr>
          <w:rFonts w:ascii="Arial" w:cs="Arial" w:eastAsia="Arial" w:hAnsi="Arial"/>
          <w:sz w:val="17"/>
          <w:szCs w:val="17"/>
          <w:b w:val="1"/>
          <w:bCs w:val="1"/>
          <w:color w:val="auto"/>
        </w:rPr>
        <w:t>TPG Specialty Lending, Inc. Announces Quarter Ended June 30, 2017 Financial Results; Board Declares Quarterly Base Dividend of $0.39 Per Share for the Third Fiscal Quarter of 2017 and a Quarterly Variable Supplemental Dividend of $0.09 Per Share</w:t>
      </w:r>
    </w:p>
    <w:p>
      <w:pPr>
        <w:spacing w:after="0" w:line="14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NEW YORK—(BUSINESS WIRE)—August 2, 2017— TPG Specialty Lending, Inc. (NYSE: TSLX, or the “Company”) today reported net investment income of $33.9 million, or $0.57 per share, for the quarter ended June 30, 2017. Net asset value per share was $16.15 at June 30, 2017 as compared to $16.04 at March 31, 2017. The Company’s Board of Directors previously declared a first quarter variable supplemental dividend of $0.04 per share and a second quarter base dividend of $0.39 per share, payable to stockholders of record as of May 31, 2017 and June 15, 2017, respectively, that was paid on June 30, 2017 and July 14, 2017, respectively.</w:t>
      </w:r>
    </w:p>
    <w:p>
      <w:pPr>
        <w:spacing w:after="0" w:line="188"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 Company announced that its Board of Directors has declared a third quarter base dividend of $0.39 per share for stockholders of record as of September 15, 2017, payable on October 13, 2017. The Company’s Board of Directors also declared a second quarter variable supplemental dividend of $0.09 per share for stockholders of record as of August 31, 2017, payable on September 29, 2017.</w:t>
      </w:r>
    </w:p>
    <w:p>
      <w:pPr>
        <w:spacing w:after="0" w:line="18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Company’s Board of Directors approved an extension of the Company’s stock repurchase plan (“Company 10b5-1 Plan”) to acquire up to $50 million in the aggregate of TSLX’s common stock at prices below TSLX’s net asset value per share, in accordance with the guidelines specified in Rule 10b-18 and Rule 10b5-1 of the Securities Exchange Act of 1934. Unless extended or terminated by its Board of Directors, the Company expects that the stock repurchase plan will be in effect through the earlier of February 28, 2018, or such time as the current approved repurchase amount of up to $50 million has been fully utilized, subject to certain conditions.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(amounts in millions, except per share amounts)</w:t>
      </w:r>
    </w:p>
    <w:p>
      <w:pPr>
        <w:spacing w:after="0" w:line="298" w:lineRule="exact"/>
        <w:rPr>
          <w:sz w:val="20"/>
          <w:szCs w:val="20"/>
          <w:color w:val="auto"/>
        </w:rPr>
      </w:pPr>
    </w:p>
    <w:tbl>
      <w:tblPr>
        <w:tblLayout w:type="fixed"/>
        <w:tblInd w:w="86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center"/>
              <w:ind w:right="153"/>
              <w:spacing w:after="0"/>
              <w:rPr>
                <w:sz w:val="20"/>
                <w:szCs w:val="20"/>
                <w:color w:val="auto"/>
              </w:rPr>
            </w:pPr>
            <w:r>
              <w:rPr>
                <w:rFonts w:ascii="Arial" w:cs="Arial" w:eastAsia="Arial" w:hAnsi="Arial"/>
                <w:sz w:val="14"/>
                <w:szCs w:val="14"/>
                <w:b w:val="1"/>
                <w:bCs w:val="1"/>
                <w:color w:val="auto"/>
                <w:w w:val="94"/>
              </w:rPr>
              <w:t>(unaudited)</w:t>
            </w: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2017</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96"/>
              </w:rPr>
              <w:t>March 31, 2017</w:t>
            </w: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2016</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3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Investments at Fair Value</w:t>
            </w:r>
          </w:p>
        </w:tc>
        <w:tc>
          <w:tcPr>
            <w:tcW w:w="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1,554.5</w:t>
            </w:r>
          </w:p>
        </w:tc>
        <w:tc>
          <w:tcPr>
            <w:tcW w:w="4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1,580.3</w:t>
            </w:r>
          </w:p>
        </w:tc>
        <w:tc>
          <w:tcPr>
            <w:tcW w:w="4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1,611.0</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Total Assets</w:t>
            </w:r>
          </w:p>
        </w:tc>
        <w:tc>
          <w:tcPr>
            <w:tcW w:w="560" w:type="dxa"/>
            <w:vAlign w:val="bottom"/>
          </w:tcPr>
          <w:p>
            <w:pPr>
              <w:ind w:left="3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1,589.1</w:t>
            </w:r>
          </w:p>
        </w:tc>
        <w:tc>
          <w:tcPr>
            <w:tcW w:w="420" w:type="dxa"/>
            <w:vAlign w:val="bottom"/>
          </w:tcPr>
          <w:p>
            <w:pPr>
              <w:spacing w:after="0"/>
              <w:rPr>
                <w:sz w:val="19"/>
                <w:szCs w:val="19"/>
                <w:color w:val="auto"/>
              </w:rPr>
            </w:pPr>
          </w:p>
        </w:tc>
        <w:tc>
          <w:tcPr>
            <w:tcW w:w="3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1,606.9</w:t>
            </w:r>
          </w:p>
        </w:tc>
        <w:tc>
          <w:tcPr>
            <w:tcW w:w="400" w:type="dxa"/>
            <w:vAlign w:val="bottom"/>
          </w:tcPr>
          <w:p>
            <w:pPr>
              <w:spacing w:after="0"/>
              <w:rPr>
                <w:sz w:val="19"/>
                <w:szCs w:val="19"/>
                <w:color w:val="auto"/>
              </w:rPr>
            </w:pP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1,628.8</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Per Share</w:t>
            </w:r>
          </w:p>
        </w:tc>
        <w:tc>
          <w:tcPr>
            <w:tcW w:w="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w:t>
            </w:r>
          </w:p>
        </w:tc>
        <w:tc>
          <w:tcPr>
            <w:tcW w:w="4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w:t>
            </w:r>
          </w:p>
        </w:tc>
        <w:tc>
          <w:tcPr>
            <w:tcW w:w="4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86"/>
        </w:trPr>
        <w:tc>
          <w:tcPr>
            <w:tcW w:w="3820" w:type="dxa"/>
            <w:vAlign w:val="bottom"/>
            <w:gridSpan w:val="2"/>
          </w:tcPr>
          <w:p>
            <w:pPr>
              <w:spacing w:after="0"/>
              <w:rPr>
                <w:sz w:val="20"/>
                <w:szCs w:val="20"/>
                <w:color w:val="auto"/>
              </w:rPr>
            </w:pPr>
            <w:r>
              <w:rPr>
                <w:rFonts w:ascii="Arial" w:cs="Arial" w:eastAsia="Arial" w:hAnsi="Arial"/>
                <w:sz w:val="18"/>
                <w:szCs w:val="18"/>
                <w:color w:val="auto"/>
              </w:rPr>
              <w:t>Investment Income</w:t>
            </w:r>
          </w:p>
        </w:tc>
        <w:tc>
          <w:tcPr>
            <w:tcW w:w="560" w:type="dxa"/>
            <w:vAlign w:val="bottom"/>
          </w:tcPr>
          <w:p>
            <w:pPr>
              <w:ind w:left="3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58.8</w:t>
            </w:r>
          </w:p>
        </w:tc>
        <w:tc>
          <w:tcPr>
            <w:tcW w:w="420" w:type="dxa"/>
            <w:vAlign w:val="bottom"/>
          </w:tcPr>
          <w:p>
            <w:pPr>
              <w:spacing w:after="0"/>
              <w:rPr>
                <w:sz w:val="24"/>
                <w:szCs w:val="24"/>
                <w:color w:val="auto"/>
              </w:rPr>
            </w:pPr>
          </w:p>
        </w:tc>
        <w:tc>
          <w:tcPr>
            <w:tcW w:w="3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50.9</w:t>
            </w:r>
          </w:p>
        </w:tc>
        <w:tc>
          <w:tcPr>
            <w:tcW w:w="400" w:type="dxa"/>
            <w:vAlign w:val="bottom"/>
          </w:tcPr>
          <w:p>
            <w:pPr>
              <w:spacing w:after="0"/>
              <w:rPr>
                <w:sz w:val="24"/>
                <w:szCs w:val="24"/>
                <w:color w:val="auto"/>
              </w:rPr>
            </w:pP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46.0</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4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4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Net Income</w:t>
            </w:r>
          </w:p>
        </w:tc>
        <w:tc>
          <w:tcPr>
            <w:tcW w:w="560" w:type="dxa"/>
            <w:vAlign w:val="bottom"/>
          </w:tcPr>
          <w:p>
            <w:pPr>
              <w:ind w:left="3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31.8</w:t>
            </w:r>
          </w:p>
        </w:tc>
        <w:tc>
          <w:tcPr>
            <w:tcW w:w="420" w:type="dxa"/>
            <w:vAlign w:val="bottom"/>
          </w:tcPr>
          <w:p>
            <w:pPr>
              <w:spacing w:after="0"/>
              <w:rPr>
                <w:sz w:val="20"/>
                <w:szCs w:val="20"/>
                <w:color w:val="auto"/>
              </w:rPr>
            </w:pPr>
          </w:p>
        </w:tc>
        <w:tc>
          <w:tcPr>
            <w:tcW w:w="3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28.3</w:t>
            </w:r>
          </w:p>
        </w:tc>
        <w:tc>
          <w:tcPr>
            <w:tcW w:w="400" w:type="dxa"/>
            <w:vAlign w:val="bottom"/>
          </w:tcPr>
          <w:p>
            <w:pPr>
              <w:spacing w:after="0"/>
              <w:rPr>
                <w:sz w:val="20"/>
                <w:szCs w:val="20"/>
                <w:color w:val="auto"/>
              </w:rPr>
            </w:pP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49.6</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vMerge w:val="restart"/>
          </w:tcPr>
          <w:p>
            <w:pPr>
              <w:spacing w:after="0"/>
              <w:rPr>
                <w:sz w:val="22"/>
                <w:szCs w:val="22"/>
                <w:color w:val="auto"/>
              </w:rPr>
            </w:pPr>
          </w:p>
        </w:tc>
        <w:tc>
          <w:tcPr>
            <w:tcW w:w="38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 Per Share</w:t>
            </w:r>
          </w:p>
        </w:tc>
        <w:tc>
          <w:tcPr>
            <w:tcW w:w="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4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4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w w:val="96"/>
              </w:rPr>
              <w:t>Net Realized and Unrealized Gains (and Losses)</w:t>
            </w:r>
          </w:p>
        </w:tc>
        <w:tc>
          <w:tcPr>
            <w:tcW w:w="560" w:type="dxa"/>
            <w:vAlign w:val="bottom"/>
            <w:vMerge w:val="restart"/>
          </w:tcPr>
          <w:p>
            <w:pPr>
              <w:ind w:left="320"/>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0.04</w:t>
            </w:r>
          </w:p>
        </w:tc>
        <w:tc>
          <w:tcPr>
            <w:tcW w:w="42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380" w:type="dxa"/>
            <w:vAlign w:val="bottom"/>
            <w:gridSpan w:val="2"/>
            <w:vMerge w:val="restart"/>
          </w:tcPr>
          <w:p>
            <w:pPr>
              <w:ind w:left="160"/>
              <w:spacing w:after="0"/>
              <w:rPr>
                <w:sz w:val="20"/>
                <w:szCs w:val="20"/>
                <w:color w:val="auto"/>
              </w:rPr>
            </w:pPr>
            <w:r>
              <w:rPr>
                <w:rFonts w:ascii="Arial" w:cs="Arial" w:eastAsia="Arial" w:hAnsi="Arial"/>
                <w:sz w:val="18"/>
                <w:szCs w:val="18"/>
                <w:color w:val="auto"/>
              </w:rPr>
              <w:t>($</w:t>
            </w: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0.01</w:t>
            </w:r>
          </w:p>
        </w:tc>
        <w:tc>
          <w:tcPr>
            <w:tcW w:w="40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420" w:type="dxa"/>
            <w:vAlign w:val="bottom"/>
            <w:vMerge w:val="restart"/>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0.41</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3820" w:type="dxa"/>
            <w:vAlign w:val="bottom"/>
            <w:gridSpan w:val="2"/>
            <w:vMerge w:val="restart"/>
          </w:tcPr>
          <w:p>
            <w:pPr>
              <w:spacing w:after="0"/>
              <w:rPr>
                <w:sz w:val="20"/>
                <w:szCs w:val="20"/>
                <w:color w:val="auto"/>
              </w:rPr>
            </w:pPr>
            <w:r>
              <w:rPr>
                <w:rFonts w:ascii="Arial" w:cs="Arial" w:eastAsia="Arial" w:hAnsi="Arial"/>
                <w:sz w:val="18"/>
                <w:szCs w:val="18"/>
                <w:color w:val="auto"/>
              </w:rPr>
              <w:t>Per Share</w:t>
            </w:r>
          </w:p>
        </w:tc>
        <w:tc>
          <w:tcPr>
            <w:tcW w:w="56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380" w:type="dxa"/>
            <w:vAlign w:val="bottom"/>
            <w:gridSpan w:val="2"/>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8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9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4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4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72"/>
        </w:trPr>
        <w:tc>
          <w:tcPr>
            <w:tcW w:w="3820" w:type="dxa"/>
            <w:vAlign w:val="bottom"/>
            <w:gridSpan w:val="2"/>
          </w:tcPr>
          <w:p>
            <w:pPr>
              <w:spacing w:after="0"/>
              <w:rPr>
                <w:sz w:val="20"/>
                <w:szCs w:val="20"/>
                <w:color w:val="auto"/>
              </w:rPr>
            </w:pPr>
            <w:r>
              <w:rPr>
                <w:rFonts w:ascii="Arial" w:cs="Arial" w:eastAsia="Arial" w:hAnsi="Arial"/>
                <w:sz w:val="18"/>
                <w:szCs w:val="18"/>
                <w:color w:val="auto"/>
              </w:rPr>
              <w:t>Weighted Average Yield of Debt and Income</w:t>
            </w:r>
          </w:p>
        </w:tc>
        <w:tc>
          <w:tcPr>
            <w:tcW w:w="560" w:type="dxa"/>
            <w:vAlign w:val="bottom"/>
          </w:tcPr>
          <w:p>
            <w:pPr>
              <w:spacing w:after="0"/>
              <w:rPr>
                <w:sz w:val="24"/>
                <w:szCs w:val="24"/>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10.7</w:t>
            </w:r>
          </w:p>
        </w:tc>
        <w:tc>
          <w:tcPr>
            <w:tcW w:w="42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10.3</w:t>
            </w:r>
          </w:p>
        </w:tc>
        <w:tc>
          <w:tcPr>
            <w:tcW w:w="40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10.6</w:t>
            </w:r>
          </w:p>
        </w:tc>
        <w:tc>
          <w:tcPr>
            <w:tcW w:w="36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3820" w:type="dxa"/>
            <w:vAlign w:val="bottom"/>
            <w:gridSpan w:val="2"/>
            <w:vMerge w:val="restart"/>
          </w:tcPr>
          <w:p>
            <w:pPr>
              <w:spacing w:after="0"/>
              <w:rPr>
                <w:sz w:val="20"/>
                <w:szCs w:val="20"/>
                <w:color w:val="auto"/>
              </w:rPr>
            </w:pPr>
            <w:r>
              <w:rPr>
                <w:rFonts w:ascii="Arial" w:cs="Arial" w:eastAsia="Arial" w:hAnsi="Arial"/>
                <w:sz w:val="18"/>
                <w:szCs w:val="18"/>
                <w:color w:val="auto"/>
              </w:rPr>
              <w:t>Producing Securities at Fair Value</w:t>
            </w:r>
          </w:p>
        </w:tc>
        <w:tc>
          <w:tcPr>
            <w:tcW w:w="56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8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9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Yield of Debt and Income</w:t>
            </w:r>
          </w:p>
        </w:tc>
        <w:tc>
          <w:tcPr>
            <w:tcW w:w="56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420" w:type="dxa"/>
            <w:vAlign w:val="bottom"/>
            <w:vMerge w:val="restart"/>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400" w:type="dxa"/>
            <w:vAlign w:val="bottom"/>
            <w:vMerge w:val="restart"/>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3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8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Producing Securities at Amortized Cost</w:t>
            </w:r>
          </w:p>
        </w:tc>
        <w:tc>
          <w:tcPr>
            <w:tcW w:w="560" w:type="dxa"/>
            <w:vAlign w:val="bottom"/>
            <w:shd w:val="clear" w:color="auto" w:fill="CCEEFF"/>
          </w:tcPr>
          <w:p>
            <w:pPr>
              <w:spacing w:after="0"/>
              <w:rPr>
                <w:sz w:val="10"/>
                <w:szCs w:val="10"/>
                <w:color w:val="auto"/>
              </w:rPr>
            </w:pPr>
          </w:p>
        </w:tc>
        <w:tc>
          <w:tcPr>
            <w:tcW w:w="960" w:type="dxa"/>
            <w:vAlign w:val="bottom"/>
            <w:vMerge w:val="continue"/>
            <w:shd w:val="clear" w:color="auto" w:fill="CCEEFF"/>
          </w:tcPr>
          <w:p>
            <w:pPr>
              <w:spacing w:after="0"/>
              <w:rPr>
                <w:sz w:val="10"/>
                <w:szCs w:val="10"/>
                <w:color w:val="auto"/>
              </w:rPr>
            </w:pPr>
          </w:p>
        </w:tc>
        <w:tc>
          <w:tcPr>
            <w:tcW w:w="420" w:type="dxa"/>
            <w:vAlign w:val="bottom"/>
            <w:vMerge w:val="continue"/>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360" w:type="dxa"/>
            <w:vAlign w:val="bottom"/>
            <w:vMerge w:val="continue"/>
            <w:shd w:val="clear" w:color="auto" w:fill="CCEEFF"/>
          </w:tcPr>
          <w:p>
            <w:pPr>
              <w:spacing w:after="0"/>
              <w:rPr>
                <w:sz w:val="10"/>
                <w:szCs w:val="10"/>
                <w:color w:val="auto"/>
              </w:rPr>
            </w:pPr>
          </w:p>
        </w:tc>
        <w:tc>
          <w:tcPr>
            <w:tcW w:w="400" w:type="dxa"/>
            <w:vAlign w:val="bottom"/>
            <w:vMerge w:val="continue"/>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20" w:type="dxa"/>
            <w:vAlign w:val="bottom"/>
            <w:vMerge w:val="continue"/>
            <w:shd w:val="clear" w:color="auto" w:fill="CCEEFF"/>
          </w:tcPr>
          <w:p>
            <w:pPr>
              <w:spacing w:after="0"/>
              <w:rPr>
                <w:sz w:val="10"/>
                <w:szCs w:val="10"/>
                <w:color w:val="auto"/>
              </w:rPr>
            </w:pPr>
          </w:p>
        </w:tc>
        <w:tc>
          <w:tcPr>
            <w:tcW w:w="3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00" w:type="dxa"/>
            <w:vAlign w:val="bottom"/>
            <w:vMerge w:val="continue"/>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472"/>
        </w:trPr>
        <w:tc>
          <w:tcPr>
            <w:tcW w:w="3820" w:type="dxa"/>
            <w:vAlign w:val="bottom"/>
            <w:gridSpan w:val="2"/>
          </w:tcPr>
          <w:p>
            <w:pPr>
              <w:spacing w:after="0"/>
              <w:rPr>
                <w:sz w:val="20"/>
                <w:szCs w:val="20"/>
                <w:color w:val="auto"/>
              </w:rPr>
            </w:pPr>
            <w:r>
              <w:rPr>
                <w:rFonts w:ascii="Arial" w:cs="Arial" w:eastAsia="Arial" w:hAnsi="Arial"/>
                <w:sz w:val="18"/>
                <w:szCs w:val="18"/>
                <w:color w:val="auto"/>
                <w:w w:val="98"/>
              </w:rPr>
              <w:t>Percentage of Debt Investment Commitments at</w:t>
            </w:r>
          </w:p>
        </w:tc>
        <w:tc>
          <w:tcPr>
            <w:tcW w:w="560" w:type="dxa"/>
            <w:vAlign w:val="bottom"/>
          </w:tcPr>
          <w:p>
            <w:pPr>
              <w:spacing w:after="0"/>
              <w:rPr>
                <w:sz w:val="24"/>
                <w:szCs w:val="24"/>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100</w:t>
            </w:r>
          </w:p>
        </w:tc>
        <w:tc>
          <w:tcPr>
            <w:tcW w:w="42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100</w:t>
            </w:r>
          </w:p>
        </w:tc>
        <w:tc>
          <w:tcPr>
            <w:tcW w:w="40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96</w:t>
            </w:r>
          </w:p>
        </w:tc>
        <w:tc>
          <w:tcPr>
            <w:tcW w:w="36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3820" w:type="dxa"/>
            <w:vAlign w:val="bottom"/>
            <w:gridSpan w:val="2"/>
            <w:vMerge w:val="restart"/>
          </w:tcPr>
          <w:p>
            <w:pPr>
              <w:spacing w:after="0"/>
              <w:rPr>
                <w:sz w:val="20"/>
                <w:szCs w:val="20"/>
                <w:color w:val="auto"/>
              </w:rPr>
            </w:pPr>
            <w:r>
              <w:rPr>
                <w:rFonts w:ascii="Arial" w:cs="Arial" w:eastAsia="Arial" w:hAnsi="Arial"/>
                <w:sz w:val="18"/>
                <w:szCs w:val="18"/>
                <w:color w:val="auto"/>
              </w:rPr>
              <w:t xml:space="preserve">Floating Rates </w:t>
            </w:r>
            <w:r>
              <w:rPr>
                <w:rFonts w:ascii="Arial" w:cs="Arial" w:eastAsia="Arial" w:hAnsi="Arial"/>
                <w:sz w:val="15"/>
                <w:szCs w:val="15"/>
                <w:color w:val="auto"/>
              </w:rPr>
              <w:t>(1)</w:t>
            </w:r>
          </w:p>
        </w:tc>
        <w:tc>
          <w:tcPr>
            <w:tcW w:w="56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8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9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0" w:right="1360" w:hanging="412"/>
        <w:spacing w:after="0" w:line="277" w:lineRule="auto"/>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one or more fixed rate investments for which the Company entered into an interest rate swap agreement to swap to a floating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Conference Call and Webcast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Conference Call Information:</w:t>
      </w:r>
    </w:p>
    <w:p>
      <w:pPr>
        <w:spacing w:after="0" w:line="1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 xml:space="preserve">The conference call will be broadcast live at 8:30 a.m. Eastern Time on August 3, 2017. </w:t>
      </w:r>
      <w:r>
        <w:rPr>
          <w:rFonts w:ascii="Arial" w:cs="Arial" w:eastAsia="Arial" w:hAnsi="Arial"/>
          <w:sz w:val="18"/>
          <w:szCs w:val="18"/>
          <w:b w:val="1"/>
          <w:bCs w:val="1"/>
          <w:i w:val="1"/>
          <w:iCs w:val="1"/>
          <w:color w:val="auto"/>
        </w:rPr>
        <w:t>Please visit TSLX’s webcast link located on the Events &amp;</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Presentation page of the Investor Resources section of TSLX’s website </w:t>
      </w:r>
      <w:r>
        <w:rPr>
          <w:rFonts w:ascii="Arial" w:cs="Arial" w:eastAsia="Arial" w:hAnsi="Arial"/>
          <w:sz w:val="18"/>
          <w:szCs w:val="18"/>
          <w:color w:val="auto"/>
        </w:rPr>
        <w:t>http://www.tpgspecialtylending.com</w:t>
      </w:r>
      <w:r>
        <w:rPr>
          <w:rFonts w:ascii="Arial" w:cs="Arial" w:eastAsia="Arial" w:hAnsi="Arial"/>
          <w:sz w:val="18"/>
          <w:szCs w:val="18"/>
          <w:b w:val="1"/>
          <w:bCs w:val="1"/>
          <w:i w:val="1"/>
          <w:iCs w:val="1"/>
          <w:color w:val="auto"/>
        </w:rPr>
        <w:t xml:space="preserve"> for a slide presentation that complements the Earnings Conference Call </w:t>
      </w:r>
      <w:r>
        <w:rPr>
          <w:rFonts w:ascii="Arial" w:cs="Arial" w:eastAsia="Arial" w:hAnsi="Arial"/>
          <w:sz w:val="18"/>
          <w:szCs w:val="18"/>
          <w:color w:val="auto"/>
        </w:rPr>
        <w:t>. Please visit the website to test your connection before the webcast.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Participants are also invited to access the conference call by dialing one of the following numbers: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Domestic: (877) 359-9508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International: +1 (253) 237-1122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Conference ID: 30419741</w:t>
      </w:r>
    </w:p>
    <w:p>
      <w:pPr>
        <w:spacing w:after="0" w:line="34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All callers will need to enter the Conference ID followed by the # sign and reference “TPG Specialty Lending” once connected with the operator. All callers are asked to dial in 10-15 minutes prior to the call so that name and company information can be collected.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Replay Information:</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An archived replay will be available from approximately 12:00 p.m. Eastern Time on August 3 through August 10 via a webcast link located on the Investor Resources section of TSLX’s website, and via the dial-in numbers listed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Domestic: (855) 859-2056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International: +1 (404) 537-3406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Conference ID: 30419741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For the three months ended June 30, 2017, gross originations totaled $397.7 million. This compares to $285.9 million for the three months ended March 31, 2017 and $199.7 million for the three months ended June 30, 2016.</w:t>
      </w:r>
    </w:p>
    <w:p>
      <w:pPr>
        <w:spacing w:after="0" w:line="62"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For the three months ended June 30, 2017, the Company made new investment commitments of $267.7 million in five new portfolio companies and five existing portfolio companies. For this period, the Company had $270.7 million aggregate principal amount in exits and repayments.</w:t>
      </w:r>
    </w:p>
    <w:p>
      <w:pPr>
        <w:spacing w:after="0" w:line="147"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For the three months ended June 30, 2016, the Company made new investment commitments of $184.7 million in three new portfolio companies and three existing portfolio companies. For this period, the Company had $114.7 million aggregate principal amount in exits and repayments.</w:t>
      </w:r>
    </w:p>
    <w:p>
      <w:pPr>
        <w:spacing w:after="0" w:line="14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As of June 30, 2017 and March 31, 2017, the Company had investments in 46 and 48 portfolio companies, respectively, with an aggregate fair value of $1,554.5 million and $1,580.3 million, respectively.</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June 30, 2017, our portfolio based on fair value consisted of 93.2% first-lien debt investments, 3.9% second-lien debt investments, and 2.9% equity and other investments. As of March 31, 2017, the portfolio based on fair value consisted of 98.5% first-lien debt investments, 0.2% second-lien debt investments, and 1.3% equity and other investments.</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of June 30, 2017, 100.0% of debt investments based on fair value in the portfolio bore interest at floating rates (when including investment specific hedges), with 92.4% of these subject to interest rate floors. The Company’s credit facilities also bear interest at floating rates. In connection with the Company’s Convertible Senior Notes, which bear interest at fixed rates, the Company entered into fixed-to-floating interest rate swaps in order to continue to align the interest rates of its liabilities with its investment portfolio.</w:t>
      </w:r>
    </w:p>
    <w:p>
      <w:pPr>
        <w:spacing w:after="0" w:line="187" w:lineRule="exact"/>
        <w:rPr>
          <w:sz w:val="20"/>
          <w:szCs w:val="20"/>
          <w:color w:val="auto"/>
        </w:rPr>
      </w:pPr>
    </w:p>
    <w:p>
      <w:pPr>
        <w:jc w:val="both"/>
        <w:ind w:right="440"/>
        <w:spacing w:after="0" w:line="312" w:lineRule="auto"/>
        <w:rPr>
          <w:sz w:val="20"/>
          <w:szCs w:val="20"/>
          <w:color w:val="auto"/>
        </w:rPr>
      </w:pPr>
      <w:r>
        <w:rPr>
          <w:rFonts w:ascii="Arial" w:cs="Arial" w:eastAsia="Arial" w:hAnsi="Arial"/>
          <w:sz w:val="16"/>
          <w:szCs w:val="16"/>
          <w:color w:val="auto"/>
        </w:rPr>
        <w:t>As of June 30, 2017 and March 31, 2017, the weighted average total yield of debt and income-producing securities at fair value (which includes interest income and amortization of fees and discounts) was 10.7% and 10.3%, respectively, and the weighted average total yield of debt and income-producing securities at amortized cost (which includes interest income and amortization of fees and discounts) was 10.8% and 10.4%, respectively.</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5" w:right="27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As of June 30, 2017, 100% of the portfolio at fair value was meeting all payment and covenant requirements.</w:t>
      </w:r>
    </w:p>
    <w:p>
      <w:pPr>
        <w:spacing w:after="0" w:line="329" w:lineRule="exact"/>
        <w:rPr>
          <w:sz w:val="20"/>
          <w:szCs w:val="20"/>
          <w:color w:val="auto"/>
        </w:rPr>
      </w:pPr>
    </w:p>
    <w:p>
      <w:pPr>
        <w:ind w:right="2320"/>
        <w:spacing w:after="0" w:line="378" w:lineRule="auto"/>
        <w:rPr>
          <w:sz w:val="20"/>
          <w:szCs w:val="20"/>
          <w:color w:val="auto"/>
        </w:rPr>
      </w:pPr>
      <w:r>
        <w:rPr>
          <w:rFonts w:ascii="Arial" w:cs="Arial" w:eastAsia="Arial" w:hAnsi="Arial"/>
          <w:sz w:val="18"/>
          <w:szCs w:val="18"/>
          <w:b w:val="1"/>
          <w:bCs w:val="1"/>
          <w:color w:val="auto"/>
        </w:rPr>
        <w:t xml:space="preserve">Results of Operations for the Three Months Ended June 30, 2017 compared to the Three Months Ended June 30, 2016 </w:t>
      </w:r>
      <w:r>
        <w:rPr>
          <w:rFonts w:ascii="Arial" w:cs="Arial" w:eastAsia="Arial" w:hAnsi="Arial"/>
          <w:sz w:val="18"/>
          <w:szCs w:val="18"/>
          <w:b w:val="1"/>
          <w:bCs w:val="1"/>
          <w:i w:val="1"/>
          <w:iCs w:val="1"/>
          <w:color w:val="auto"/>
        </w:rPr>
        <w:t>Investment Income</w:t>
      </w:r>
    </w:p>
    <w:p>
      <w:pPr>
        <w:spacing w:after="0" w:line="264" w:lineRule="auto"/>
        <w:rPr>
          <w:sz w:val="20"/>
          <w:szCs w:val="20"/>
          <w:color w:val="auto"/>
        </w:rPr>
      </w:pPr>
      <w:r>
        <w:rPr>
          <w:rFonts w:ascii="Arial" w:cs="Arial" w:eastAsia="Arial" w:hAnsi="Arial"/>
          <w:sz w:val="18"/>
          <w:szCs w:val="18"/>
          <w:color w:val="auto"/>
        </w:rPr>
        <w:t>For the three months ended June 30, 2017 and 2016, investment income totaled $58.8 million and $46.0 million, respectively. The increase in investment income was primarily driven by an increase in LIBOR, higher prepayment fees and accelerated amortization of upfront fees from unscheduled paydowns, and higher commitment and amendment fees.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Net expenses totaled $24.0 million and $20.0 million for the three months ended June 30, 2017 and 2016, respectively. The increase in net expenses was primarily due to an increase in the average interest rate on the debt outstanding following the issuance of the 2022 Convertible Senior Notes and an increase in LIBOR, as well as higher incentive fees.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As of June 30, 2017, the Company had $13.5 million in cash and cash equivalents, total principal value of debt outstanding of $587.4 million, and</w:t>
      </w:r>
    </w:p>
    <w:p>
      <w:pPr>
        <w:spacing w:after="0" w:line="3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$587.6 million of undrawn capacity on its revolving credit facility, subject to borrowing base and other limitations. The Company’s weighted average interest rate on debt outstanding was 4.1% and 2.6% for the three months ended June 30, 2017 and June 30, 2016,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rated BBB- with stable outlook by both Fitch Ratings and Standard and Poor’s.</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Financial Statements and Tables</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860" w:type="dxa"/>
            <w:vAlign w:val="bottom"/>
            <w:tcBorders>
              <w:bottom w:val="single" w:sz="8" w:color="CFF0FC"/>
            </w:tcBorders>
          </w:tcPr>
          <w:p>
            <w:pPr>
              <w:spacing w:after="0"/>
              <w:rPr>
                <w:sz w:val="14"/>
                <w:szCs w:val="14"/>
                <w:color w:val="auto"/>
              </w:rPr>
            </w:pPr>
          </w:p>
        </w:tc>
        <w:tc>
          <w:tcPr>
            <w:tcW w:w="100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Non-controlled, non-affiliated investments (amortized cost of $1,388,172</w:t>
            </w:r>
          </w:p>
        </w:tc>
        <w:tc>
          <w:tcPr>
            <w:tcW w:w="10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and $1,567,673, respectively)</w:t>
            </w:r>
          </w:p>
        </w:tc>
        <w:tc>
          <w:tcPr>
            <w:tcW w:w="13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1,419,436</w:t>
            </w:r>
          </w:p>
        </w:tc>
        <w:tc>
          <w:tcPr>
            <w:tcW w:w="160" w:type="dxa"/>
            <w:vAlign w:val="bottom"/>
            <w:shd w:val="clear" w:color="auto" w:fill="CFF0FC"/>
          </w:tcPr>
          <w:p>
            <w:pPr>
              <w:spacing w:after="0"/>
              <w:rPr>
                <w:sz w:val="20"/>
                <w:szCs w:val="20"/>
                <w:color w:val="auto"/>
              </w:rPr>
            </w:pPr>
          </w:p>
        </w:tc>
        <w:tc>
          <w:tcPr>
            <w:tcW w:w="3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1,591,544</w:t>
            </w:r>
          </w:p>
        </w:tc>
        <w:tc>
          <w:tcPr>
            <w:tcW w:w="12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860" w:type="dxa"/>
            <w:vAlign w:val="bottom"/>
          </w:tcPr>
          <w:p>
            <w:pPr>
              <w:ind w:left="260"/>
              <w:spacing w:after="0"/>
              <w:rPr>
                <w:sz w:val="20"/>
                <w:szCs w:val="20"/>
                <w:color w:val="auto"/>
              </w:rPr>
            </w:pPr>
            <w:r>
              <w:rPr>
                <w:rFonts w:ascii="Arial" w:cs="Arial" w:eastAsia="Arial" w:hAnsi="Arial"/>
                <w:sz w:val="18"/>
                <w:szCs w:val="18"/>
                <w:color w:val="auto"/>
              </w:rPr>
              <w:t>Controlled, affiliated investments (amortized cost of $155,873 and $100,014,</w:t>
            </w: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6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respectively)</w:t>
            </w:r>
          </w:p>
        </w:tc>
        <w:tc>
          <w:tcPr>
            <w:tcW w:w="1000" w:type="dxa"/>
            <w:vAlign w:val="bottom"/>
            <w:tcBorders>
              <w:bottom w:val="single" w:sz="8" w:color="CFF0F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135,015</w:t>
            </w:r>
          </w:p>
        </w:tc>
        <w:tc>
          <w:tcPr>
            <w:tcW w:w="16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65,859</w:t>
            </w:r>
          </w:p>
        </w:tc>
        <w:tc>
          <w:tcPr>
            <w:tcW w:w="12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Total investments at fair value (amortized cost of $1,544,045 and $1,667,687,</w:t>
            </w:r>
          </w:p>
        </w:tc>
        <w:tc>
          <w:tcPr>
            <w:tcW w:w="10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respectively)</w:t>
            </w:r>
          </w:p>
        </w:tc>
        <w:tc>
          <w:tcPr>
            <w:tcW w:w="10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1,554,451</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1,657,403</w:t>
            </w:r>
          </w:p>
        </w:tc>
        <w:tc>
          <w:tcPr>
            <w:tcW w:w="12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Cash and cash equivalents (restricted cash of $1,633 and $1,088, respectively)</w:t>
            </w: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13,466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5,954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Interest receivable</w:t>
            </w: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8,188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9,678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Receivable for interest rate swaps</w:t>
            </w: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2,356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 and other assets</w:t>
            </w:r>
          </w:p>
        </w:tc>
        <w:tc>
          <w:tcPr>
            <w:tcW w:w="10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10,667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86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Assets</w:t>
            </w:r>
          </w:p>
        </w:tc>
        <w:tc>
          <w:tcPr>
            <w:tcW w:w="100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1,589,128</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1,675,532</w:t>
            </w:r>
          </w:p>
        </w:tc>
        <w:tc>
          <w:tcPr>
            <w:tcW w:w="12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10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Debt (net of deferred financing costs of $13,297 and $11,019, respectively)</w:t>
            </w:r>
          </w:p>
        </w:tc>
        <w:tc>
          <w:tcPr>
            <w:tcW w:w="13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572,158</w:t>
            </w:r>
          </w:p>
        </w:tc>
        <w:tc>
          <w:tcPr>
            <w:tcW w:w="160" w:type="dxa"/>
            <w:vAlign w:val="bottom"/>
          </w:tcPr>
          <w:p>
            <w:pPr>
              <w:spacing w:after="0"/>
              <w:rPr>
                <w:sz w:val="19"/>
                <w:szCs w:val="19"/>
                <w:color w:val="auto"/>
              </w:rPr>
            </w:pP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680,709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Management fees payable to affiliate</w:t>
            </w: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6,269</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Incentive fees payable to affiliate</w:t>
            </w: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7,198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5,889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Dividends payable</w:t>
            </w: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23,380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23,289</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Other payables to affiliate</w:t>
            </w: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2,356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1,555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10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9,960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5,609</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Liabilities</w:t>
            </w:r>
          </w:p>
        </w:tc>
        <w:tc>
          <w:tcPr>
            <w:tcW w:w="10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621,029</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723,320</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w:t>
            </w: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b w:val="1"/>
                <w:bCs w:val="1"/>
                <w:color w:val="auto"/>
              </w:rPr>
              <w:t>Net Assets</w:t>
            </w: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Preferred stock, $0.01 par value; 100,000,000 shares authorized; no shares issued</w:t>
            </w:r>
          </w:p>
        </w:tc>
        <w:tc>
          <w:tcPr>
            <w:tcW w:w="10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and outstanding</w:t>
            </w:r>
          </w:p>
        </w:tc>
        <w:tc>
          <w:tcPr>
            <w:tcW w:w="10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860" w:type="dxa"/>
            <w:vAlign w:val="bottom"/>
          </w:tcPr>
          <w:p>
            <w:pPr>
              <w:spacing w:after="0"/>
              <w:rPr>
                <w:sz w:val="20"/>
                <w:szCs w:val="20"/>
                <w:color w:val="auto"/>
              </w:rPr>
            </w:pPr>
            <w:r>
              <w:rPr>
                <w:rFonts w:ascii="Arial" w:cs="Arial" w:eastAsia="Arial" w:hAnsi="Arial"/>
                <w:sz w:val="18"/>
                <w:szCs w:val="18"/>
                <w:color w:val="auto"/>
              </w:rPr>
              <w:t>Common stock, $0.01 par value; 400,000,000 shares authorized, 60,049,754 and</w:t>
            </w: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140"/>
              <w:spacing w:after="0"/>
              <w:rPr>
                <w:sz w:val="20"/>
                <w:szCs w:val="20"/>
                <w:color w:val="auto"/>
              </w:rPr>
            </w:pPr>
            <w:r>
              <w:rPr>
                <w:rFonts w:ascii="Arial" w:cs="Arial" w:eastAsia="Arial" w:hAnsi="Arial"/>
                <w:sz w:val="18"/>
                <w:szCs w:val="18"/>
                <w:color w:val="auto"/>
              </w:rPr>
              <w:t>59,805,285 shares issued, respectively; and 59,960,674 and 59,716,205 shares</w:t>
            </w: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60" w:type="dxa"/>
            <w:vAlign w:val="bottom"/>
          </w:tcPr>
          <w:p>
            <w:pPr>
              <w:ind w:left="140"/>
              <w:spacing w:after="0"/>
              <w:rPr>
                <w:sz w:val="20"/>
                <w:szCs w:val="20"/>
                <w:color w:val="auto"/>
              </w:rPr>
            </w:pPr>
            <w:r>
              <w:rPr>
                <w:rFonts w:ascii="Arial" w:cs="Arial" w:eastAsia="Arial" w:hAnsi="Arial"/>
                <w:sz w:val="18"/>
                <w:szCs w:val="18"/>
                <w:color w:val="auto"/>
              </w:rPr>
              <w:t>outstanding, respectively</w:t>
            </w: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600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598</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Additional paid-in capital</w:t>
            </w: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903,006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898,868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Treasury stock at cost; 89,080 and 89,080 shares held, respectively</w:t>
            </w: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(1,359)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(1,359)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Undistributed net investment income</w:t>
            </w: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56,772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50,142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Net unrealized gains</w:t>
            </w: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15,744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1,422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Undistributed net realized gains (losses)</w:t>
            </w: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(6,664)</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2,541</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Net Assets</w:t>
            </w:r>
          </w:p>
        </w:tc>
        <w:tc>
          <w:tcPr>
            <w:tcW w:w="100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968,099</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952,212</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Total Liabilities and Net Assets</w:t>
            </w:r>
          </w:p>
        </w:tc>
        <w:tc>
          <w:tcPr>
            <w:tcW w:w="10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1,589,128</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1,675,532</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vMerge w:val="restart"/>
          </w:tcPr>
          <w:p>
            <w:pPr>
              <w:ind w:left="500"/>
              <w:spacing w:after="0"/>
              <w:rPr>
                <w:sz w:val="20"/>
                <w:szCs w:val="20"/>
                <w:color w:val="auto"/>
              </w:rPr>
            </w:pPr>
            <w:r>
              <w:rPr>
                <w:rFonts w:ascii="Arial" w:cs="Arial" w:eastAsia="Arial" w:hAnsi="Arial"/>
                <w:sz w:val="18"/>
                <w:szCs w:val="18"/>
                <w:b w:val="1"/>
                <w:bCs w:val="1"/>
                <w:color w:val="auto"/>
              </w:rPr>
              <w:t>Net Asset Value Per Share</w:t>
            </w:r>
          </w:p>
        </w:tc>
        <w:tc>
          <w:tcPr>
            <w:tcW w:w="132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6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vMerge w:val="restart"/>
          </w:tcPr>
          <w:p>
            <w:pPr>
              <w:ind w:left="5660"/>
              <w:spacing w:after="0"/>
              <w:rPr>
                <w:sz w:val="20"/>
                <w:szCs w:val="20"/>
                <w:color w:val="auto"/>
              </w:rPr>
            </w:pPr>
            <w:r>
              <w:rPr>
                <w:rFonts w:ascii="Arial" w:cs="Arial" w:eastAsia="Arial" w:hAnsi="Arial"/>
                <w:sz w:val="18"/>
                <w:szCs w:val="18"/>
                <w:color w:val="auto"/>
              </w:rPr>
              <w:t>4</w:t>
            </w:r>
          </w:p>
        </w:tc>
        <w:tc>
          <w:tcPr>
            <w:tcW w:w="1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686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8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6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8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rPr>
              <w:t>Six Months Ended</w:t>
            </w:r>
          </w:p>
        </w:tc>
        <w:tc>
          <w:tcPr>
            <w:tcW w:w="20" w:type="dxa"/>
            <w:vAlign w:val="bottom"/>
          </w:tcPr>
          <w:p>
            <w:pPr>
              <w:spacing w:after="0"/>
              <w:rPr>
                <w:sz w:val="14"/>
                <w:szCs w:val="14"/>
                <w:color w:val="auto"/>
              </w:rPr>
            </w:pPr>
          </w:p>
        </w:tc>
      </w:tr>
      <w:tr>
        <w:trPr>
          <w:trHeight w:val="171"/>
        </w:trPr>
        <w:tc>
          <w:tcPr>
            <w:tcW w:w="5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2"/>
              </w:rPr>
              <w:t>June 30, 2017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2"/>
              </w:rPr>
              <w:t>June 30, 2016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2"/>
              </w:rPr>
              <w:t>June 30, 2017</w:t>
            </w:r>
          </w:p>
        </w:tc>
        <w:tc>
          <w:tcPr>
            <w:tcW w:w="120" w:type="dxa"/>
            <w:vAlign w:val="bottom"/>
          </w:tcPr>
          <w:p>
            <w:pPr>
              <w:spacing w:after="0"/>
              <w:rPr>
                <w:sz w:val="14"/>
                <w:szCs w:val="14"/>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4"/>
              </w:rPr>
              <w:t>June 30, 2016</w:t>
            </w:r>
          </w:p>
        </w:tc>
        <w:tc>
          <w:tcPr>
            <w:tcW w:w="20" w:type="dxa"/>
            <w:vAlign w:val="bottom"/>
          </w:tcPr>
          <w:p>
            <w:pPr>
              <w:spacing w:after="0"/>
              <w:rPr>
                <w:sz w:val="14"/>
                <w:szCs w:val="14"/>
                <w:color w:val="auto"/>
              </w:rPr>
            </w:pPr>
          </w:p>
        </w:tc>
      </w:tr>
      <w:tr>
        <w:trPr>
          <w:trHeight w:val="223"/>
        </w:trPr>
        <w:tc>
          <w:tcPr>
            <w:tcW w:w="5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Income</w:t>
            </w:r>
          </w:p>
        </w:tc>
        <w:tc>
          <w:tcPr>
            <w:tcW w:w="3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Investment income from non-controlled, non-affiliated investments: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from investments</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54,900</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41,674</w:t>
            </w:r>
          </w:p>
        </w:tc>
        <w:tc>
          <w:tcPr>
            <w:tcW w:w="16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102,670</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80,843</w:t>
            </w:r>
          </w:p>
        </w:tc>
        <w:tc>
          <w:tcPr>
            <w:tcW w:w="2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520" w:type="dxa"/>
            <w:vAlign w:val="bottom"/>
          </w:tcPr>
          <w:p>
            <w:pPr>
              <w:ind w:left="260"/>
              <w:spacing w:after="0"/>
              <w:rPr>
                <w:sz w:val="20"/>
                <w:szCs w:val="20"/>
                <w:color w:val="auto"/>
              </w:rPr>
            </w:pPr>
            <w:r>
              <w:rPr>
                <w:rFonts w:ascii="Arial" w:cs="Arial" w:eastAsia="Arial" w:hAnsi="Arial"/>
                <w:sz w:val="18"/>
                <w:szCs w:val="18"/>
                <w:color w:val="auto"/>
              </w:rPr>
              <w:t>Dividend income</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948</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w:t>
            </w:r>
          </w:p>
        </w:tc>
        <w:tc>
          <w:tcPr>
            <w:tcW w:w="3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4,479</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2,141</w:t>
            </w:r>
          </w:p>
        </w:tc>
        <w:tc>
          <w:tcPr>
            <w:tcW w:w="2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09"/>
        </w:trPr>
        <w:tc>
          <w:tcPr>
            <w:tcW w:w="5520" w:type="dxa"/>
            <w:vAlign w:val="bottom"/>
          </w:tcPr>
          <w:p>
            <w:pPr>
              <w:ind w:left="500"/>
              <w:spacing w:after="0"/>
              <w:rPr>
                <w:sz w:val="20"/>
                <w:szCs w:val="20"/>
                <w:color w:val="auto"/>
              </w:rPr>
            </w:pPr>
            <w:r>
              <w:rPr>
                <w:rFonts w:ascii="Arial" w:cs="Arial" w:eastAsia="Arial" w:hAnsi="Arial"/>
                <w:sz w:val="18"/>
                <w:szCs w:val="18"/>
                <w:color w:val="auto"/>
              </w:rPr>
              <w:t>Total investment income from non-controlled, non-affiliated</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5520" w:type="dxa"/>
            <w:vAlign w:val="bottom"/>
          </w:tcPr>
          <w:p>
            <w:pPr>
              <w:ind w:left="500"/>
              <w:spacing w:after="0"/>
              <w:rPr>
                <w:sz w:val="20"/>
                <w:szCs w:val="20"/>
                <w:color w:val="auto"/>
              </w:rPr>
            </w:pPr>
            <w:r>
              <w:rPr>
                <w:rFonts w:ascii="Arial" w:cs="Arial" w:eastAsia="Arial" w:hAnsi="Arial"/>
                <w:sz w:val="18"/>
                <w:szCs w:val="18"/>
                <w:color w:val="auto"/>
              </w:rPr>
              <w:t>investments</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57,253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43,565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107,149</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83,932</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Investment income from controlled, affiliated investments:</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520" w:type="dxa"/>
            <w:vAlign w:val="bottom"/>
          </w:tcPr>
          <w:p>
            <w:pPr>
              <w:ind w:left="260"/>
              <w:spacing w:after="0"/>
              <w:rPr>
                <w:sz w:val="20"/>
                <w:szCs w:val="20"/>
                <w:color w:val="auto"/>
              </w:rPr>
            </w:pPr>
            <w:r>
              <w:rPr>
                <w:rFonts w:ascii="Arial" w:cs="Arial" w:eastAsia="Arial" w:hAnsi="Arial"/>
                <w:sz w:val="18"/>
                <w:szCs w:val="18"/>
                <w:color w:val="auto"/>
              </w:rPr>
              <w:t>Interest from investments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1,516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2,418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2,516</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4,751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w:t>
            </w:r>
          </w:p>
        </w:tc>
        <w:tc>
          <w:tcPr>
            <w:tcW w:w="3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2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5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investment income from controlled, affiliated investments</w:t>
            </w:r>
          </w:p>
        </w:tc>
        <w:tc>
          <w:tcPr>
            <w:tcW w:w="3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1,566</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2,469</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2,618</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4,852</w:t>
            </w:r>
          </w:p>
        </w:tc>
        <w:tc>
          <w:tcPr>
            <w:tcW w:w="26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520" w:type="dxa"/>
            <w:vAlign w:val="bottom"/>
            <w:shd w:val="clear" w:color="auto" w:fill="CFF0FC"/>
          </w:tcPr>
          <w:p>
            <w:pPr>
              <w:ind w:left="740"/>
              <w:spacing w:after="0"/>
              <w:rPr>
                <w:sz w:val="20"/>
                <w:szCs w:val="20"/>
                <w:color w:val="auto"/>
              </w:rPr>
            </w:pPr>
            <w:r>
              <w:rPr>
                <w:rFonts w:ascii="Arial" w:cs="Arial" w:eastAsia="Arial" w:hAnsi="Arial"/>
                <w:sz w:val="18"/>
                <w:szCs w:val="18"/>
                <w:b w:val="1"/>
                <w:bCs w:val="1"/>
                <w:color w:val="auto"/>
              </w:rPr>
              <w:t>Total Investment Income</w:t>
            </w:r>
          </w:p>
        </w:tc>
        <w:tc>
          <w:tcPr>
            <w:tcW w:w="3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58,819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46,034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109,767</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88,784</w:t>
            </w:r>
          </w:p>
        </w:tc>
        <w:tc>
          <w:tcPr>
            <w:tcW w:w="2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52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Interest</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7,655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5,630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14,520</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10,927</w:t>
            </w:r>
          </w:p>
        </w:tc>
        <w:tc>
          <w:tcPr>
            <w:tcW w:w="2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Management fees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5,977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5,993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12,048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11,742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Incentive fees</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7,197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13,247</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10,294</w:t>
            </w:r>
          </w:p>
        </w:tc>
        <w:tc>
          <w:tcPr>
            <w:tcW w:w="2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Professional fees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1,771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1,971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3,057</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3,893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Directors’ fees</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w:t>
            </w:r>
          </w:p>
        </w:tc>
        <w:tc>
          <w:tcPr>
            <w:tcW w:w="2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general and administrative</w:t>
            </w:r>
          </w:p>
        </w:tc>
        <w:tc>
          <w:tcPr>
            <w:tcW w:w="3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1,311</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1,058</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2,613</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2,312</w:t>
            </w:r>
          </w:p>
        </w:tc>
        <w:tc>
          <w:tcPr>
            <w:tcW w:w="26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5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expenses</w:t>
            </w:r>
          </w:p>
        </w:tc>
        <w:tc>
          <w:tcPr>
            <w:tcW w:w="3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24,007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20,140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45,686</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39,361</w:t>
            </w:r>
          </w:p>
        </w:tc>
        <w:tc>
          <w:tcPr>
            <w:tcW w:w="2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Management and incentive fees waived</w:t>
            </w:r>
          </w:p>
        </w:tc>
        <w:tc>
          <w:tcPr>
            <w:tcW w:w="3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26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520" w:type="dxa"/>
            <w:vAlign w:val="bottom"/>
            <w:shd w:val="clear" w:color="auto" w:fill="CFF0FC"/>
          </w:tcPr>
          <w:p>
            <w:pPr>
              <w:ind w:left="740"/>
              <w:spacing w:after="0"/>
              <w:rPr>
                <w:sz w:val="20"/>
                <w:szCs w:val="20"/>
                <w:color w:val="auto"/>
              </w:rPr>
            </w:pPr>
            <w:r>
              <w:rPr>
                <w:rFonts w:ascii="Arial" w:cs="Arial" w:eastAsia="Arial" w:hAnsi="Arial"/>
                <w:sz w:val="18"/>
                <w:szCs w:val="18"/>
                <w:b w:val="1"/>
                <w:bCs w:val="1"/>
                <w:color w:val="auto"/>
              </w:rPr>
              <w:t>Net Expenses</w:t>
            </w:r>
          </w:p>
        </w:tc>
        <w:tc>
          <w:tcPr>
            <w:tcW w:w="3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24,007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20,041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45,686</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39,165</w:t>
            </w:r>
          </w:p>
        </w:tc>
        <w:tc>
          <w:tcPr>
            <w:tcW w:w="2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520" w:type="dxa"/>
            <w:vAlign w:val="bottom"/>
          </w:tcPr>
          <w:p>
            <w:pPr>
              <w:spacing w:after="0"/>
              <w:rPr>
                <w:sz w:val="20"/>
                <w:szCs w:val="20"/>
                <w:color w:val="auto"/>
              </w:rPr>
            </w:pPr>
            <w:r>
              <w:rPr>
                <w:rFonts w:ascii="Arial" w:cs="Arial" w:eastAsia="Arial" w:hAnsi="Arial"/>
                <w:sz w:val="18"/>
                <w:szCs w:val="18"/>
                <w:b w:val="1"/>
                <w:bCs w:val="1"/>
                <w:color w:val="auto"/>
              </w:rPr>
              <w:t>Net Investment Income Before Income Taxes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34,812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25,993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64,081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49,619</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Income taxes, including excise taxes</w:t>
            </w:r>
          </w:p>
        </w:tc>
        <w:tc>
          <w:tcPr>
            <w:tcW w:w="3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1,630</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925</w:t>
            </w:r>
          </w:p>
        </w:tc>
        <w:tc>
          <w:tcPr>
            <w:tcW w:w="2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520" w:type="dxa"/>
            <w:vAlign w:val="bottom"/>
          </w:tcPr>
          <w:p>
            <w:pPr>
              <w:spacing w:after="0"/>
              <w:rPr>
                <w:sz w:val="20"/>
                <w:szCs w:val="20"/>
                <w:color w:val="auto"/>
              </w:rPr>
            </w:pPr>
            <w:r>
              <w:rPr>
                <w:rFonts w:ascii="Arial" w:cs="Arial" w:eastAsia="Arial" w:hAnsi="Arial"/>
                <w:sz w:val="18"/>
                <w:szCs w:val="18"/>
                <w:b w:val="1"/>
                <w:bCs w:val="1"/>
                <w:color w:val="auto"/>
              </w:rPr>
              <w:t>Net Investment Income</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33,932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25,503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62,451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48,694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Unrealized and Realized Gains (Losses)</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Net change in unrealized gains (losses):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Non-controlled, non-affiliated investments</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(3,845)</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14,801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7,394</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14,997</w:t>
            </w:r>
          </w:p>
        </w:tc>
        <w:tc>
          <w:tcPr>
            <w:tcW w:w="2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520" w:type="dxa"/>
            <w:vAlign w:val="bottom"/>
          </w:tcPr>
          <w:p>
            <w:pPr>
              <w:ind w:left="260"/>
              <w:spacing w:after="0"/>
              <w:rPr>
                <w:sz w:val="20"/>
                <w:szCs w:val="20"/>
                <w:color w:val="auto"/>
              </w:rPr>
            </w:pPr>
            <w:r>
              <w:rPr>
                <w:rFonts w:ascii="Arial" w:cs="Arial" w:eastAsia="Arial" w:hAnsi="Arial"/>
                <w:sz w:val="18"/>
                <w:szCs w:val="18"/>
                <w:color w:val="auto"/>
              </w:rPr>
              <w:t>Controlled, affiliated investments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21,046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4,208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13,297</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(151)</w:t>
            </w:r>
          </w:p>
        </w:tc>
        <w:tc>
          <w:tcPr>
            <w:tcW w:w="20" w:type="dxa"/>
            <w:vAlign w:val="bottom"/>
          </w:tcPr>
          <w:p>
            <w:pPr>
              <w:spacing w:after="0"/>
              <w:rPr>
                <w:sz w:val="19"/>
                <w:szCs w:val="19"/>
                <w:color w:val="auto"/>
              </w:rPr>
            </w:pPr>
          </w:p>
        </w:tc>
      </w:tr>
      <w:tr>
        <w:trPr>
          <w:trHeight w:val="230"/>
        </w:trPr>
        <w:tc>
          <w:tcPr>
            <w:tcW w:w="5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Translation of assets and liabilities in foreign currencies</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(2,864)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(8,657)</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1,803</w:t>
            </w:r>
          </w:p>
        </w:tc>
        <w:tc>
          <w:tcPr>
            <w:tcW w:w="2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5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Interest rate swaps</w:t>
            </w:r>
          </w:p>
        </w:tc>
        <w:tc>
          <w:tcPr>
            <w:tcW w:w="3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2,133</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2,287</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1,566</w:t>
            </w:r>
          </w:p>
        </w:tc>
        <w:tc>
          <w:tcPr>
            <w:tcW w:w="26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5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 net change in unrealized gains</w:t>
            </w:r>
          </w:p>
        </w:tc>
        <w:tc>
          <w:tcPr>
            <w:tcW w:w="3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16,470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23,840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14,321</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18,215</w:t>
            </w:r>
          </w:p>
        </w:tc>
        <w:tc>
          <w:tcPr>
            <w:tcW w:w="2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520" w:type="dxa"/>
            <w:vAlign w:val="bottom"/>
          </w:tcPr>
          <w:p>
            <w:pPr>
              <w:spacing w:after="0"/>
              <w:rPr>
                <w:sz w:val="20"/>
                <w:szCs w:val="20"/>
                <w:color w:val="auto"/>
              </w:rPr>
            </w:pPr>
            <w:r>
              <w:rPr>
                <w:rFonts w:ascii="Arial" w:cs="Arial" w:eastAsia="Arial" w:hAnsi="Arial"/>
                <w:sz w:val="18"/>
                <w:szCs w:val="18"/>
                <w:color w:val="auto"/>
              </w:rPr>
              <w:t>Realized gains (losses):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Non-controlled, non-affiliated investments</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w:t>
            </w:r>
          </w:p>
        </w:tc>
        <w:tc>
          <w:tcPr>
            <w:tcW w:w="2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520" w:type="dxa"/>
            <w:vAlign w:val="bottom"/>
          </w:tcPr>
          <w:p>
            <w:pPr>
              <w:ind w:left="260"/>
              <w:spacing w:after="0"/>
              <w:rPr>
                <w:sz w:val="20"/>
                <w:szCs w:val="20"/>
                <w:color w:val="auto"/>
              </w:rPr>
            </w:pPr>
            <w:r>
              <w:rPr>
                <w:rFonts w:ascii="Arial" w:cs="Arial" w:eastAsia="Arial" w:hAnsi="Arial"/>
                <w:sz w:val="18"/>
                <w:szCs w:val="18"/>
                <w:color w:val="auto"/>
              </w:rPr>
              <w:t>Controlled, affiliated investments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(21,776)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(21,776)</w:t>
            </w:r>
          </w:p>
        </w:tc>
        <w:tc>
          <w:tcPr>
            <w:tcW w:w="120" w:type="dxa"/>
            <w:vAlign w:val="bottom"/>
          </w:tcPr>
          <w:p>
            <w:pPr>
              <w:spacing w:after="0"/>
              <w:rPr>
                <w:sz w:val="19"/>
                <w:szCs w:val="19"/>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5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transactions</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2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52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realized gains (losses)</w:t>
            </w:r>
          </w:p>
        </w:tc>
        <w:tc>
          <w:tcPr>
            <w:tcW w:w="32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(18,576)</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(16,668)</w:t>
            </w:r>
          </w:p>
        </w:tc>
        <w:tc>
          <w:tcPr>
            <w:tcW w:w="24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26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520" w:type="dxa"/>
            <w:vAlign w:val="bottom"/>
            <w:shd w:val="clear" w:color="auto" w:fill="CFF0FC"/>
          </w:tcPr>
          <w:p>
            <w:pPr>
              <w:ind w:left="1000"/>
              <w:spacing w:after="0"/>
              <w:rPr>
                <w:sz w:val="20"/>
                <w:szCs w:val="20"/>
                <w:color w:val="auto"/>
              </w:rPr>
            </w:pPr>
            <w:r>
              <w:rPr>
                <w:rFonts w:ascii="Arial" w:cs="Arial" w:eastAsia="Arial" w:hAnsi="Arial"/>
                <w:sz w:val="18"/>
                <w:szCs w:val="18"/>
                <w:b w:val="1"/>
                <w:bCs w:val="1"/>
                <w:color w:val="auto"/>
              </w:rPr>
              <w:t>Total Unrealized and Realized Gains (Losses)</w:t>
            </w:r>
          </w:p>
        </w:tc>
        <w:tc>
          <w:tcPr>
            <w:tcW w:w="3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24,135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(2,347)</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18,715</w:t>
            </w:r>
          </w:p>
        </w:tc>
        <w:tc>
          <w:tcPr>
            <w:tcW w:w="2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63"/>
        </w:trPr>
        <w:tc>
          <w:tcPr>
            <w:tcW w:w="5520" w:type="dxa"/>
            <w:vAlign w:val="bottom"/>
            <w:tcBorders>
              <w:bottom w:val="single" w:sz="8" w:color="CFF0FC"/>
            </w:tcBorders>
          </w:tcPr>
          <w:p>
            <w:pPr>
              <w:ind w:left="1000"/>
              <w:spacing w:after="0"/>
              <w:rPr>
                <w:sz w:val="20"/>
                <w:szCs w:val="20"/>
                <w:color w:val="auto"/>
              </w:rPr>
            </w:pPr>
            <w:r>
              <w:rPr>
                <w:rFonts w:ascii="Arial" w:cs="Arial" w:eastAsia="Arial" w:hAnsi="Arial"/>
                <w:sz w:val="18"/>
                <w:szCs w:val="18"/>
                <w:b w:val="1"/>
                <w:bCs w:val="1"/>
                <w:color w:val="auto"/>
              </w:rPr>
              <w:t>Increase in Net Assets Resulting from Operations</w:t>
            </w:r>
          </w:p>
        </w:tc>
        <w:tc>
          <w:tcPr>
            <w:tcW w:w="32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31,826</w:t>
            </w: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49,638</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60,104</w:t>
            </w:r>
          </w:p>
        </w:tc>
        <w:tc>
          <w:tcPr>
            <w:tcW w:w="24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67,409</w:t>
            </w:r>
          </w:p>
        </w:tc>
        <w:tc>
          <w:tcPr>
            <w:tcW w:w="26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r>
      <w:tr>
        <w:trPr>
          <w:trHeight w:val="210"/>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Earnings per common share—basic and diluted</w:t>
            </w:r>
          </w:p>
        </w:tc>
        <w:tc>
          <w:tcPr>
            <w:tcW w:w="3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0.53</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26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5520" w:type="dxa"/>
            <w:vAlign w:val="bottom"/>
          </w:tcPr>
          <w:p>
            <w:pPr>
              <w:spacing w:after="0"/>
              <w:rPr>
                <w:sz w:val="20"/>
                <w:szCs w:val="20"/>
                <w:color w:val="auto"/>
              </w:rPr>
            </w:pPr>
            <w:r>
              <w:rPr>
                <w:rFonts w:ascii="Arial" w:cs="Arial" w:eastAsia="Arial" w:hAnsi="Arial"/>
                <w:sz w:val="18"/>
                <w:szCs w:val="18"/>
                <w:color w:val="auto"/>
                <w:w w:val="92"/>
              </w:rPr>
              <w:t>Weighted average shares of common stock outstanding—basic and diluted</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59,912,804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59,348,460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59,855,088</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57,575,365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574"/>
        </w:trPr>
        <w:tc>
          <w:tcPr>
            <w:tcW w:w="552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55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8" w:name="page9"/>
    <w:bookmarkEnd w:id="8"/>
    <w:p>
      <w:pPr>
        <w:ind w:right="20"/>
        <w:spacing w:after="0" w:line="277" w:lineRule="auto"/>
        <w:rPr>
          <w:sz w:val="20"/>
          <w:szCs w:val="20"/>
          <w:color w:val="auto"/>
        </w:rPr>
      </w:pPr>
      <w:r>
        <w:rPr>
          <w:rFonts w:ascii="Arial" w:cs="Arial" w:eastAsia="Arial" w:hAnsi="Arial"/>
          <w:sz w:val="18"/>
          <w:szCs w:val="18"/>
          <w:color w:val="auto"/>
        </w:rPr>
        <w:t>The Company’s investment activity for the three months ended June 30, 2017 and 2016 is presented below (information presented herein is at par value unless otherwise indicated).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2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3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40" w:type="dxa"/>
            <w:vAlign w:val="bottom"/>
            <w:gridSpan w:val="5"/>
          </w:tcPr>
          <w:p>
            <w:pPr>
              <w:jc w:val="right"/>
              <w:ind w:right="128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720" w:type="dxa"/>
            <w:vAlign w:val="bottom"/>
            <w:vMerge w:val="continue"/>
          </w:tcPr>
          <w:p>
            <w:pPr>
              <w:spacing w:after="0"/>
              <w:rPr>
                <w:sz w:val="13"/>
                <w:szCs w:val="13"/>
                <w:color w:val="auto"/>
              </w:rPr>
            </w:pPr>
          </w:p>
        </w:tc>
        <w:tc>
          <w:tcPr>
            <w:tcW w:w="30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700" w:type="dxa"/>
            <w:vAlign w:val="bottom"/>
            <w:tcBorders>
              <w:top w:val="single" w:sz="8" w:color="auto"/>
            </w:tcBorders>
            <w:gridSpan w:val="2"/>
          </w:tcPr>
          <w:p>
            <w:pPr>
              <w:jc w:val="right"/>
              <w:ind w:right="720"/>
              <w:spacing w:after="0" w:line="155" w:lineRule="exact"/>
              <w:rPr>
                <w:sz w:val="20"/>
                <w:szCs w:val="20"/>
                <w:color w:val="auto"/>
              </w:rPr>
            </w:pPr>
            <w:r>
              <w:rPr>
                <w:rFonts w:ascii="Arial" w:cs="Arial" w:eastAsia="Arial" w:hAnsi="Arial"/>
                <w:sz w:val="14"/>
                <w:szCs w:val="14"/>
                <w:b w:val="1"/>
                <w:bCs w:val="1"/>
                <w:color w:val="auto"/>
              </w:rPr>
              <w:t>June 30, 2017</w:t>
            </w:r>
          </w:p>
        </w:tc>
        <w:tc>
          <w:tcPr>
            <w:tcW w:w="22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rPr>
              <w:t>June 30, 2016</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New investment commitments:</w:t>
            </w:r>
          </w:p>
        </w:tc>
        <w:tc>
          <w:tcPr>
            <w:tcW w:w="30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260"/>
              <w:spacing w:after="0"/>
              <w:rPr>
                <w:sz w:val="20"/>
                <w:szCs w:val="20"/>
                <w:color w:val="auto"/>
              </w:rPr>
            </w:pPr>
            <w:r>
              <w:rPr>
                <w:rFonts w:ascii="Arial" w:cs="Arial" w:eastAsia="Arial" w:hAnsi="Arial"/>
                <w:sz w:val="18"/>
                <w:szCs w:val="18"/>
                <w:color w:val="auto"/>
              </w:rPr>
              <w:t>Gross originations</w:t>
            </w:r>
          </w:p>
        </w:tc>
        <w:tc>
          <w:tcPr>
            <w:tcW w:w="32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397.7</w:t>
            </w:r>
          </w:p>
        </w:tc>
        <w:tc>
          <w:tcPr>
            <w:tcW w:w="360" w:type="dxa"/>
            <w:vAlign w:val="bottom"/>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199.7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Less: Syndications/sell downs</w:t>
            </w:r>
          </w:p>
        </w:tc>
        <w:tc>
          <w:tcPr>
            <w:tcW w:w="30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130.0</w:t>
            </w:r>
          </w:p>
        </w:tc>
        <w:tc>
          <w:tcPr>
            <w:tcW w:w="3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20" w:type="dxa"/>
            <w:vAlign w:val="bottom"/>
          </w:tcPr>
          <w:p>
            <w:pPr>
              <w:ind w:left="500"/>
              <w:spacing w:after="0"/>
              <w:rPr>
                <w:sz w:val="20"/>
                <w:szCs w:val="20"/>
                <w:color w:val="auto"/>
              </w:rPr>
            </w:pPr>
            <w:r>
              <w:rPr>
                <w:rFonts w:ascii="Arial" w:cs="Arial" w:eastAsia="Arial" w:hAnsi="Arial"/>
                <w:sz w:val="18"/>
                <w:szCs w:val="18"/>
                <w:color w:val="auto"/>
              </w:rPr>
              <w:t>Total new investment commitments</w:t>
            </w:r>
          </w:p>
        </w:tc>
        <w:tc>
          <w:tcPr>
            <w:tcW w:w="30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267.7</w:t>
            </w:r>
          </w:p>
        </w:tc>
        <w:tc>
          <w:tcPr>
            <w:tcW w:w="360" w:type="dxa"/>
            <w:vAlign w:val="bottom"/>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184.7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Principal amount of investments funded:</w:t>
            </w:r>
          </w:p>
        </w:tc>
        <w:tc>
          <w:tcPr>
            <w:tcW w:w="3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260"/>
              <w:spacing w:after="0"/>
              <w:rPr>
                <w:sz w:val="20"/>
                <w:szCs w:val="20"/>
                <w:color w:val="auto"/>
              </w:rPr>
            </w:pPr>
            <w:r>
              <w:rPr>
                <w:rFonts w:ascii="Arial" w:cs="Arial" w:eastAsia="Arial" w:hAnsi="Arial"/>
                <w:sz w:val="18"/>
                <w:szCs w:val="18"/>
                <w:color w:val="auto"/>
              </w:rPr>
              <w:t>First-lien</w:t>
            </w:r>
          </w:p>
        </w:tc>
        <w:tc>
          <w:tcPr>
            <w:tcW w:w="32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233.0</w:t>
            </w:r>
          </w:p>
        </w:tc>
        <w:tc>
          <w:tcPr>
            <w:tcW w:w="360" w:type="dxa"/>
            <w:vAlign w:val="bottom"/>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145.8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Second-lien</w:t>
            </w:r>
          </w:p>
        </w:tc>
        <w:tc>
          <w:tcPr>
            <w:tcW w:w="3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260"/>
              <w:spacing w:after="0"/>
              <w:rPr>
                <w:sz w:val="20"/>
                <w:szCs w:val="20"/>
                <w:color w:val="auto"/>
              </w:rPr>
            </w:pPr>
            <w:r>
              <w:rPr>
                <w:rFonts w:ascii="Arial" w:cs="Arial" w:eastAsia="Arial" w:hAnsi="Arial"/>
                <w:sz w:val="18"/>
                <w:szCs w:val="18"/>
                <w:color w:val="auto"/>
              </w:rPr>
              <w:t>Mezzanine and unsecured</w:t>
            </w:r>
          </w:p>
        </w:tc>
        <w:tc>
          <w:tcPr>
            <w:tcW w:w="3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Equity and other</w:t>
            </w:r>
          </w:p>
        </w:tc>
        <w:tc>
          <w:tcPr>
            <w:tcW w:w="3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20" w:type="dxa"/>
            <w:vAlign w:val="bottom"/>
          </w:tcPr>
          <w:p>
            <w:pPr>
              <w:ind w:left="500"/>
              <w:spacing w:after="0"/>
              <w:rPr>
                <w:sz w:val="20"/>
                <w:szCs w:val="20"/>
                <w:color w:val="auto"/>
              </w:rPr>
            </w:pPr>
            <w:r>
              <w:rPr>
                <w:rFonts w:ascii="Arial" w:cs="Arial" w:eastAsia="Arial" w:hAnsi="Arial"/>
                <w:sz w:val="18"/>
                <w:szCs w:val="18"/>
                <w:color w:val="auto"/>
              </w:rPr>
              <w:t>Total</w:t>
            </w:r>
          </w:p>
        </w:tc>
        <w:tc>
          <w:tcPr>
            <w:tcW w:w="304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246.5</w:t>
            </w:r>
          </w:p>
        </w:tc>
        <w:tc>
          <w:tcPr>
            <w:tcW w:w="360" w:type="dxa"/>
            <w:vAlign w:val="bottom"/>
          </w:tcPr>
          <w:p>
            <w:pPr>
              <w:spacing w:after="0"/>
              <w:rPr>
                <w:sz w:val="19"/>
                <w:szCs w:val="19"/>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Principal amount of investments sold or repaid:</w:t>
            </w:r>
          </w:p>
        </w:tc>
        <w:tc>
          <w:tcPr>
            <w:tcW w:w="3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260"/>
              <w:spacing w:after="0"/>
              <w:rPr>
                <w:sz w:val="20"/>
                <w:szCs w:val="20"/>
                <w:color w:val="auto"/>
              </w:rPr>
            </w:pPr>
            <w:r>
              <w:rPr>
                <w:rFonts w:ascii="Arial" w:cs="Arial" w:eastAsia="Arial" w:hAnsi="Arial"/>
                <w:sz w:val="18"/>
                <w:szCs w:val="18"/>
                <w:color w:val="auto"/>
              </w:rPr>
              <w:t>First-lien</w:t>
            </w:r>
          </w:p>
        </w:tc>
        <w:tc>
          <w:tcPr>
            <w:tcW w:w="32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270.3</w:t>
            </w:r>
          </w:p>
        </w:tc>
        <w:tc>
          <w:tcPr>
            <w:tcW w:w="360" w:type="dxa"/>
            <w:vAlign w:val="bottom"/>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52.2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Second-lien</w:t>
            </w:r>
          </w:p>
        </w:tc>
        <w:tc>
          <w:tcPr>
            <w:tcW w:w="3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260"/>
              <w:spacing w:after="0"/>
              <w:rPr>
                <w:sz w:val="20"/>
                <w:szCs w:val="20"/>
                <w:color w:val="auto"/>
              </w:rPr>
            </w:pPr>
            <w:r>
              <w:rPr>
                <w:rFonts w:ascii="Arial" w:cs="Arial" w:eastAsia="Arial" w:hAnsi="Arial"/>
                <w:sz w:val="18"/>
                <w:szCs w:val="18"/>
                <w:color w:val="auto"/>
              </w:rPr>
              <w:t>Mezzanine and unsecured</w:t>
            </w:r>
          </w:p>
        </w:tc>
        <w:tc>
          <w:tcPr>
            <w:tcW w:w="3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Equity and other</w:t>
            </w:r>
          </w:p>
        </w:tc>
        <w:tc>
          <w:tcPr>
            <w:tcW w:w="3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w:t>
            </w:r>
          </w:p>
        </w:tc>
        <w:tc>
          <w:tcPr>
            <w:tcW w:w="304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270.7</w:t>
            </w:r>
          </w:p>
        </w:tc>
        <w:tc>
          <w:tcPr>
            <w:tcW w:w="36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114.7</w:t>
            </w:r>
          </w:p>
        </w:tc>
        <w:tc>
          <w:tcPr>
            <w:tcW w:w="18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720" w:type="dxa"/>
            <w:vAlign w:val="bottom"/>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Number of new investment commitments in</w:t>
            </w:r>
          </w:p>
        </w:tc>
        <w:tc>
          <w:tcPr>
            <w:tcW w:w="30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2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new portfolio companies</w:t>
            </w:r>
          </w:p>
        </w:tc>
        <w:tc>
          <w:tcPr>
            <w:tcW w:w="30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3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720" w:type="dxa"/>
            <w:vAlign w:val="bottom"/>
          </w:tcPr>
          <w:p>
            <w:pPr>
              <w:spacing w:after="0"/>
              <w:rPr>
                <w:sz w:val="20"/>
                <w:szCs w:val="20"/>
                <w:color w:val="auto"/>
              </w:rPr>
            </w:pPr>
            <w:r>
              <w:rPr>
                <w:rFonts w:ascii="Arial" w:cs="Arial" w:eastAsia="Arial" w:hAnsi="Arial"/>
                <w:sz w:val="18"/>
                <w:szCs w:val="18"/>
                <w:b w:val="1"/>
                <w:bCs w:val="1"/>
                <w:color w:val="auto"/>
              </w:rPr>
              <w:t>Average new investment commitment amount in</w:t>
            </w:r>
          </w:p>
        </w:tc>
        <w:tc>
          <w:tcPr>
            <w:tcW w:w="3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20" w:type="dxa"/>
            <w:vAlign w:val="bottom"/>
          </w:tcPr>
          <w:p>
            <w:pPr>
              <w:ind w:left="140"/>
              <w:spacing w:after="0"/>
              <w:rPr>
                <w:sz w:val="20"/>
                <w:szCs w:val="20"/>
                <w:color w:val="auto"/>
              </w:rPr>
            </w:pPr>
            <w:r>
              <w:rPr>
                <w:rFonts w:ascii="Arial" w:cs="Arial" w:eastAsia="Arial" w:hAnsi="Arial"/>
                <w:sz w:val="18"/>
                <w:szCs w:val="18"/>
                <w:b w:val="1"/>
                <w:bCs w:val="1"/>
                <w:color w:val="auto"/>
              </w:rPr>
              <w:t>new portfolio companies</w:t>
            </w:r>
          </w:p>
        </w:tc>
        <w:tc>
          <w:tcPr>
            <w:tcW w:w="32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43.7</w:t>
            </w:r>
          </w:p>
        </w:tc>
        <w:tc>
          <w:tcPr>
            <w:tcW w:w="360" w:type="dxa"/>
            <w:vAlign w:val="bottom"/>
          </w:tcPr>
          <w:p>
            <w:pPr>
              <w:spacing w:after="0"/>
              <w:rPr>
                <w:sz w:val="20"/>
                <w:szCs w:val="20"/>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56.7</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 average term for new investment</w:t>
            </w:r>
          </w:p>
        </w:tc>
        <w:tc>
          <w:tcPr>
            <w:tcW w:w="3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commitments in new portfolio companies</w:t>
            </w:r>
          </w:p>
        </w:tc>
        <w:tc>
          <w:tcPr>
            <w:tcW w:w="3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2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(in years)</w:t>
            </w:r>
          </w:p>
        </w:tc>
        <w:tc>
          <w:tcPr>
            <w:tcW w:w="30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3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720" w:type="dxa"/>
            <w:vAlign w:val="bottom"/>
          </w:tcPr>
          <w:p>
            <w:pPr>
              <w:spacing w:after="0"/>
              <w:rPr>
                <w:sz w:val="20"/>
                <w:szCs w:val="20"/>
                <w:color w:val="auto"/>
              </w:rPr>
            </w:pPr>
            <w:r>
              <w:rPr>
                <w:rFonts w:ascii="Arial" w:cs="Arial" w:eastAsia="Arial" w:hAnsi="Arial"/>
                <w:sz w:val="18"/>
                <w:szCs w:val="18"/>
                <w:b w:val="1"/>
                <w:bCs w:val="1"/>
                <w:color w:val="auto"/>
              </w:rPr>
              <w:t>Percentage of new debt investment commitments</w:t>
            </w:r>
          </w:p>
        </w:tc>
        <w:tc>
          <w:tcPr>
            <w:tcW w:w="3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20" w:type="dxa"/>
            <w:vAlign w:val="bottom"/>
          </w:tcPr>
          <w:p>
            <w:pPr>
              <w:ind w:left="140"/>
              <w:spacing w:after="0"/>
              <w:rPr>
                <w:sz w:val="20"/>
                <w:szCs w:val="20"/>
                <w:color w:val="auto"/>
              </w:rPr>
            </w:pPr>
            <w:r>
              <w:rPr>
                <w:rFonts w:ascii="Arial" w:cs="Arial" w:eastAsia="Arial" w:hAnsi="Arial"/>
                <w:sz w:val="18"/>
                <w:szCs w:val="18"/>
                <w:b w:val="1"/>
                <w:bCs w:val="1"/>
                <w:color w:val="auto"/>
              </w:rPr>
              <w:t>at floating rates</w:t>
            </w:r>
          </w:p>
        </w:tc>
        <w:tc>
          <w:tcPr>
            <w:tcW w:w="3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20"/>
                <w:szCs w:val="20"/>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Percentage of new debt investment commitments</w:t>
            </w:r>
          </w:p>
        </w:tc>
        <w:tc>
          <w:tcPr>
            <w:tcW w:w="3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2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at fixed rates</w:t>
            </w:r>
          </w:p>
        </w:tc>
        <w:tc>
          <w:tcPr>
            <w:tcW w:w="30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70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720" w:type="dxa"/>
            <w:vAlign w:val="bottom"/>
          </w:tcPr>
          <w:p>
            <w:pPr>
              <w:spacing w:after="0"/>
              <w:rPr>
                <w:sz w:val="20"/>
                <w:szCs w:val="20"/>
                <w:color w:val="auto"/>
              </w:rPr>
            </w:pPr>
            <w:r>
              <w:rPr>
                <w:rFonts w:ascii="Arial" w:cs="Arial" w:eastAsia="Arial" w:hAnsi="Arial"/>
                <w:sz w:val="18"/>
                <w:szCs w:val="18"/>
                <w:b w:val="1"/>
                <w:bCs w:val="1"/>
                <w:color w:val="auto"/>
              </w:rPr>
              <w:t>Weighted average interest rate of new</w:t>
            </w:r>
          </w:p>
        </w:tc>
        <w:tc>
          <w:tcPr>
            <w:tcW w:w="3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20" w:type="dxa"/>
            <w:vAlign w:val="bottom"/>
          </w:tcPr>
          <w:p>
            <w:pPr>
              <w:ind w:left="140"/>
              <w:spacing w:after="0"/>
              <w:rPr>
                <w:sz w:val="20"/>
                <w:szCs w:val="20"/>
                <w:color w:val="auto"/>
              </w:rPr>
            </w:pPr>
            <w:r>
              <w:rPr>
                <w:rFonts w:ascii="Arial" w:cs="Arial" w:eastAsia="Arial" w:hAnsi="Arial"/>
                <w:sz w:val="18"/>
                <w:szCs w:val="18"/>
                <w:b w:val="1"/>
                <w:bCs w:val="1"/>
                <w:color w:val="auto"/>
              </w:rPr>
              <w:t>investment commitments</w:t>
            </w:r>
          </w:p>
        </w:tc>
        <w:tc>
          <w:tcPr>
            <w:tcW w:w="3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11.2%</w:t>
            </w:r>
          </w:p>
        </w:tc>
        <w:tc>
          <w:tcPr>
            <w:tcW w:w="220" w:type="dxa"/>
            <w:vAlign w:val="bottom"/>
          </w:tcPr>
          <w:p>
            <w:pPr>
              <w:spacing w:after="0"/>
              <w:rPr>
                <w:sz w:val="20"/>
                <w:szCs w:val="20"/>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 average spread over LIBOR of new</w:t>
            </w:r>
          </w:p>
        </w:tc>
        <w:tc>
          <w:tcPr>
            <w:tcW w:w="3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2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floating rate investment commitments</w:t>
            </w:r>
          </w:p>
        </w:tc>
        <w:tc>
          <w:tcPr>
            <w:tcW w:w="30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7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9.9%</w:t>
            </w:r>
          </w:p>
        </w:tc>
        <w:tc>
          <w:tcPr>
            <w:tcW w:w="22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720" w:type="dxa"/>
            <w:vAlign w:val="bottom"/>
          </w:tcPr>
          <w:p>
            <w:pPr>
              <w:spacing w:after="0"/>
              <w:rPr>
                <w:sz w:val="20"/>
                <w:szCs w:val="20"/>
                <w:color w:val="auto"/>
              </w:rPr>
            </w:pPr>
            <w:r>
              <w:rPr>
                <w:rFonts w:ascii="Arial" w:cs="Arial" w:eastAsia="Arial" w:hAnsi="Arial"/>
                <w:sz w:val="18"/>
                <w:szCs w:val="18"/>
                <w:b w:val="1"/>
                <w:bCs w:val="1"/>
                <w:color w:val="auto"/>
              </w:rPr>
              <w:t>Weighted average interest rate on investments</w:t>
            </w:r>
          </w:p>
        </w:tc>
        <w:tc>
          <w:tcPr>
            <w:tcW w:w="3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20" w:type="dxa"/>
            <w:vAlign w:val="bottom"/>
          </w:tcPr>
          <w:p>
            <w:pPr>
              <w:ind w:left="140"/>
              <w:spacing w:after="0"/>
              <w:rPr>
                <w:sz w:val="20"/>
                <w:szCs w:val="20"/>
                <w:color w:val="auto"/>
              </w:rPr>
            </w:pPr>
            <w:r>
              <w:rPr>
                <w:rFonts w:ascii="Arial" w:cs="Arial" w:eastAsia="Arial" w:hAnsi="Arial"/>
                <w:sz w:val="18"/>
                <w:szCs w:val="18"/>
                <w:b w:val="1"/>
                <w:bCs w:val="1"/>
                <w:color w:val="auto"/>
              </w:rPr>
              <w:t>sold or paid down</w:t>
            </w:r>
          </w:p>
        </w:tc>
        <w:tc>
          <w:tcPr>
            <w:tcW w:w="3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9.7%</w:t>
            </w:r>
          </w:p>
        </w:tc>
        <w:tc>
          <w:tcPr>
            <w:tcW w:w="220" w:type="dxa"/>
            <w:vAlign w:val="bottom"/>
          </w:tcPr>
          <w:p>
            <w:pPr>
              <w:spacing w:after="0"/>
              <w:rPr>
                <w:sz w:val="20"/>
                <w:szCs w:val="20"/>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24"/>
        </w:trPr>
        <w:tc>
          <w:tcPr>
            <w:tcW w:w="4720" w:type="dxa"/>
            <w:vAlign w:val="bottom"/>
          </w:tcPr>
          <w:p>
            <w:pPr>
              <w:spacing w:after="0"/>
              <w:rPr>
                <w:sz w:val="24"/>
                <w:szCs w:val="24"/>
                <w:color w:val="auto"/>
              </w:rPr>
            </w:pPr>
          </w:p>
        </w:tc>
        <w:tc>
          <w:tcPr>
            <w:tcW w:w="3040" w:type="dxa"/>
            <w:vAlign w:val="bottom"/>
          </w:tcPr>
          <w:p>
            <w:pPr>
              <w:jc w:val="right"/>
              <w:ind w:right="1910"/>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20" w:type="dxa"/>
            <w:vAlign w:val="bottom"/>
            <w:tcBorders>
              <w:bottom w:val="single" w:sz="8" w:color="9A9A9A"/>
            </w:tcBorders>
          </w:tcPr>
          <w:p>
            <w:pPr>
              <w:spacing w:after="0"/>
              <w:rPr>
                <w:sz w:val="10"/>
                <w:szCs w:val="10"/>
                <w:color w:val="auto"/>
              </w:rPr>
            </w:pPr>
          </w:p>
        </w:tc>
        <w:tc>
          <w:tcPr>
            <w:tcW w:w="30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About TPG Specialty Lending, Inc.</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TSLX is a specialty finance company focused on lending to middle-market companies. The Company seeks to generate current income primarily in U.S.-domiciled middle-market companies through direct originations of senior secured loans and, to a lesser extent, originations of mezzanine and unsecured loans and investments in corporate bonds and equity securities. The Company has elected to be regulated as a business development company, or a BDC, under the Investment Company Act of 1940 and the rules and regulations promulgated thereunder. TSLX is externally managed by TSL Advisers, LLC, a Securities and Exchange Commission (“SEC”) registered investment adviser. TSLX leverages the deep investment, sector, and operating resources of TPG Sixth Street Partners, the dedicated special situations and credit platform of TPG, with over $19 billion of assets under management as of March 31, 2017 and the broader TPG platform, a global private investment firm with over $73 billion of assets under management as of March 31, 2017. For more information, visit the Company’s website at www.tpgspecialtylending.com.</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300"/>
        <w:spacing w:after="0" w:line="276" w:lineRule="auto"/>
        <w:rPr>
          <w:sz w:val="20"/>
          <w:szCs w:val="20"/>
          <w:color w:val="auto"/>
        </w:rPr>
      </w:pPr>
      <w:r>
        <w:rPr>
          <w:rFonts w:ascii="Arial" w:cs="Arial" w:eastAsia="Arial" w:hAnsi="Arial"/>
          <w:sz w:val="17"/>
          <w:szCs w:val="17"/>
          <w:color w:val="auto"/>
        </w:rPr>
        <w:t>Statements included herein may constitute “forward-looking statements,” which relate to future events or the Company’s future performance or financial condition. These statements are not guarantees of future performance, conditions or results and involve a number of risks and uncertainties. Actual results may differ materially from those in the forward-looking statements as a result of a number of factors, including those described from time to time in the Company’s filings with the Securities and Exchange Commission. The Company assumes no obligation to update any such forward-looking statements. TSLX undertakes no duty to update any forward-looking statements made herein.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Source: TPG Specialty Lending,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Lucy Lu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212-601-4753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IRTSL@tpg.com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Luke Barrett, 212-601-4752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lbarrett@tpg.com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Press: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Owen Blicksilver PR,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Jennifer Hurson, 845-507-0571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jennifer@blicksilverpr.com</w:t>
      </w: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sectPr>
      <w:pgSz w:w="11900" w:h="16838" w:orient="portrait"/>
      <w:cols w:equalWidth="0" w:num="1">
        <w:col w:w="11380"/>
      </w:cols>
      <w:pgMar w:left="240" w:top="121"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2019-12-29T05:11:58Z</dcterms:created>
  <dcterms:modified xsi:type="dcterms:W3CDTF">2019-12-29T05:11:58Z</dcterms:modified>
</cp:coreProperties>
</file>