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29, 2018</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Act File No. 333-223986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 w:lineRule="exact"/>
        <w:rPr>
          <w:sz w:val="24"/>
          <w:szCs w:val="24"/>
          <w:color w:val="auto"/>
        </w:rPr>
      </w:pPr>
    </w:p>
    <w:tbl>
      <w:tblPr>
        <w:tblLayout w:type="fixed"/>
        <w:tblInd w:w="3920" w:type="dxa"/>
        <w:tblCellMar>
          <w:top w:w="0" w:type="dxa"/>
          <w:left w:w="0" w:type="dxa"/>
          <w:bottom w:w="0" w:type="dxa"/>
          <w:right w:w="0" w:type="dxa"/>
        </w:tblCellMar>
      </w:tblPr>
      <w:tr>
        <w:trPr>
          <w:trHeight w:val="253"/>
        </w:trPr>
        <w:tc>
          <w:tcPr>
            <w:tcW w:w="5220" w:type="dxa"/>
            <w:vAlign w:val="bottom"/>
          </w:tcPr>
          <w:p>
            <w:pPr>
              <w:jc w:val="center"/>
              <w:ind w:right="2032"/>
              <w:spacing w:after="0"/>
              <w:rPr>
                <w:sz w:val="20"/>
                <w:szCs w:val="20"/>
                <w:color w:val="auto"/>
              </w:rPr>
            </w:pPr>
            <w:r>
              <w:rPr>
                <w:rFonts w:ascii="Times New Roman" w:cs="Times New Roman" w:eastAsia="Times New Roman" w:hAnsi="Times New Roman"/>
                <w:sz w:val="22"/>
                <w:szCs w:val="22"/>
                <w:b w:val="1"/>
                <w:bCs w:val="1"/>
                <w:i w:val="1"/>
                <w:iCs w:val="1"/>
                <w:color w:val="auto"/>
                <w:w w:val="98"/>
              </w:rPr>
              <w:t>UNDER</w:t>
            </w:r>
          </w:p>
        </w:tc>
        <w:tc>
          <w:tcPr>
            <w:tcW w:w="2280" w:type="dxa"/>
            <w:vAlign w:val="bottom"/>
          </w:tcPr>
          <w:p>
            <w:pPr>
              <w:spacing w:after="0"/>
              <w:rPr>
                <w:sz w:val="22"/>
                <w:szCs w:val="22"/>
                <w:color w:val="auto"/>
              </w:rPr>
            </w:pPr>
          </w:p>
        </w:tc>
      </w:tr>
      <w:tr>
        <w:trPr>
          <w:trHeight w:val="245"/>
        </w:trPr>
        <w:tc>
          <w:tcPr>
            <w:tcW w:w="5220" w:type="dxa"/>
            <w:vAlign w:val="bottom"/>
          </w:tcPr>
          <w:p>
            <w:pPr>
              <w:jc w:val="center"/>
              <w:ind w:right="2032"/>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5220" w:type="dxa"/>
            <w:vAlign w:val="bottom"/>
          </w:tcPr>
          <w:p>
            <w:pPr>
              <w:jc w:val="center"/>
              <w:ind w:right="20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Pre-Effective Amendment No.</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5220" w:type="dxa"/>
            <w:vAlign w:val="bottom"/>
          </w:tcPr>
          <w:p>
            <w:pPr>
              <w:jc w:val="center"/>
              <w:ind w:right="2012"/>
              <w:spacing w:after="0"/>
              <w:rPr>
                <w:sz w:val="20"/>
                <w:szCs w:val="20"/>
                <w:color w:val="auto"/>
              </w:rPr>
            </w:pPr>
            <w:r>
              <w:rPr>
                <w:rFonts w:ascii="Times New Roman" w:cs="Times New Roman" w:eastAsia="Times New Roman" w:hAnsi="Times New Roman"/>
                <w:sz w:val="22"/>
                <w:szCs w:val="22"/>
                <w:b w:val="1"/>
                <w:bCs w:val="1"/>
                <w:color w:val="auto"/>
                <w:w w:val="98"/>
              </w:rPr>
              <w:t>Post-Effective Amendment No. 2</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Stiepleman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E. Fleisher,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From time to time after the effective date of this Registration Statement.</w:t>
      </w:r>
    </w:p>
    <w:p>
      <w:pPr>
        <w:spacing w:after="0" w:line="202"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Post-Effective Amendment No. 2 to the Registration Statement on Form N-2 (File No. 333-223986) of TPG Specialty Lending, Inc. (the “Registration Statement”) is being filed pursuant to Rule 462(d) under the Securities Act of 1933, as amended (the “Securities Act”), solely for the purpose of filing exhibits to the Registration Statement. Accordingly, this Post-Effective Amendment No. 2 consists only of a facing page, this explanatory note and Part C of the Registration Statement, which sets forth the exhibits to the Registration Statement. This Post-Effective Amendment No. 2 does not modify any other part of the Registration Statement. Pursuant to Rule 462(d) under the Securities Act, this Post-Effective Amendment No. 2 shall become effective immediately upon filing with the Securities and Exchange Commission. The contents of the Registration Statement are hereby incorporated by reference.</w:t>
      </w:r>
    </w:p>
    <w:p>
      <w:pPr>
        <w:sectPr>
          <w:pgSz w:w="11900" w:h="16838" w:orient="portrait"/>
          <w:cols w:equalWidth="0" w:num="1">
            <w:col w:w="11300"/>
          </w:cols>
          <w:pgMar w:left="240" w:top="26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90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TPG SPECIALTY LENDING, INC.</w:t>
            </w:r>
          </w:p>
        </w:tc>
        <w:tc>
          <w:tcPr>
            <w:tcW w:w="1520" w:type="dxa"/>
            <w:vAlign w:val="bottom"/>
          </w:tcPr>
          <w:p>
            <w:pPr>
              <w:spacing w:after="0"/>
              <w:rPr>
                <w:sz w:val="18"/>
                <w:szCs w:val="18"/>
                <w:color w:val="auto"/>
              </w:rPr>
            </w:pPr>
          </w:p>
        </w:tc>
      </w:tr>
      <w:tr>
        <w:trPr>
          <w:trHeight w:val="216"/>
        </w:trPr>
        <w:tc>
          <w:tcPr>
            <w:tcW w:w="990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6"/>
              </w:rPr>
              <w:t>PART C</w:t>
            </w:r>
          </w:p>
        </w:tc>
        <w:tc>
          <w:tcPr>
            <w:tcW w:w="1520" w:type="dxa"/>
            <w:vAlign w:val="bottom"/>
          </w:tcPr>
          <w:p>
            <w:pPr>
              <w:spacing w:after="0"/>
              <w:rPr>
                <w:sz w:val="18"/>
                <w:szCs w:val="18"/>
                <w:color w:val="auto"/>
              </w:rPr>
            </w:pPr>
          </w:p>
        </w:tc>
      </w:tr>
      <w:tr>
        <w:trPr>
          <w:trHeight w:val="238"/>
        </w:trPr>
        <w:tc>
          <w:tcPr>
            <w:tcW w:w="990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25. Financial Statements and Exhibits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financial statements of TPG Specialty Lending, Inc. are provided in Part A of this Registration Statement:</w:t>
            </w:r>
          </w:p>
        </w:tc>
        <w:tc>
          <w:tcPr>
            <w:tcW w:w="1520" w:type="dxa"/>
            <w:vAlign w:val="bottom"/>
          </w:tcPr>
          <w:p>
            <w:pPr>
              <w:spacing w:after="0"/>
              <w:rPr>
                <w:sz w:val="24"/>
                <w:szCs w:val="24"/>
                <w:color w:val="auto"/>
              </w:rPr>
            </w:pPr>
          </w:p>
        </w:tc>
      </w:tr>
      <w:tr>
        <w:trPr>
          <w:trHeight w:val="459"/>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2017 and 2016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2017, 2016 and 2015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Schedules of Investments as of December 31, 2017 and 2016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Net Assets for the Years Ended December 31, 2017, 2016 and 2015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F-16</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2017, 2016 and 2015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F-17</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F-18</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Unaudited Consolidated Financial Statements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March 31, 2018 (Unaudited) and December 31, 2017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F-47</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2018 and 2017 (Unaudited)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F-48</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Schedules of Investments as of March 31, 2018 (Unaudited) and December 31, 2017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F-49</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Net Assets for the three months ended March 31, 2018 and 2017 (Unaudited)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F-59</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2018 and 2017 (Unaudited)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F-60</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F-61</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(2) Exhibits</w:t>
      </w:r>
    </w:p>
    <w:p>
      <w:pPr>
        <w:spacing w:after="0" w:line="364" w:lineRule="exact"/>
        <w:rPr>
          <w:sz w:val="20"/>
          <w:szCs w:val="20"/>
          <w:color w:val="auto"/>
        </w:rPr>
      </w:pPr>
    </w:p>
    <w:p>
      <w:pPr>
        <w:ind w:left="760" w:right="140" w:hanging="759"/>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(a)(1)</w:t>
      </w:r>
      <w:r>
        <w:rPr>
          <w:sz w:val="20"/>
          <w:szCs w:val="20"/>
          <w:color w:val="auto"/>
        </w:rPr>
        <w:tab/>
      </w:r>
      <w:hyperlink r:id="rId19">
        <w:r>
          <w:rPr>
            <w:rFonts w:ascii="Times New Roman" w:cs="Times New Roman" w:eastAsia="Times New Roman" w:hAnsi="Times New Roman"/>
            <w:sz w:val="18"/>
            <w:szCs w:val="18"/>
            <w:u w:val="single" w:color="auto"/>
            <w:color w:val="0000EE"/>
          </w:rPr>
          <w:t>Amended and Restated Certificate of Incorporation (incorporated by reference to Exhibit 3.1 to Amendment No. 1 to the Company’s Registration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Statement on Form 10 filed on March 14, 2011)</w:t>
        </w:r>
      </w:hyperlink>
    </w:p>
    <w:p>
      <w:pPr>
        <w:spacing w:after="0" w:line="54" w:lineRule="exact"/>
        <w:rPr>
          <w:sz w:val="20"/>
          <w:szCs w:val="20"/>
          <w:color w:val="auto"/>
        </w:rPr>
      </w:pPr>
    </w:p>
    <w:p>
      <w:pPr>
        <w:ind w:left="760" w:right="560" w:hanging="759"/>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(a)(2)</w:t>
      </w:r>
      <w:r>
        <w:rPr>
          <w:sz w:val="20"/>
          <w:szCs w:val="20"/>
          <w:color w:val="auto"/>
        </w:rPr>
        <w:tab/>
      </w:r>
      <w:hyperlink r:id="rId20">
        <w:r>
          <w:rPr>
            <w:rFonts w:ascii="Times New Roman" w:cs="Times New Roman" w:eastAsia="Times New Roman" w:hAnsi="Times New Roman"/>
            <w:sz w:val="18"/>
            <w:szCs w:val="18"/>
            <w:u w:val="single" w:color="auto"/>
            <w:color w:val="0000EE"/>
          </w:rPr>
          <w:t>Certificate of Amendment to Amended and Restated Certificate of Incorporation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Current Report on Form 8-K filed on March 12, 2014)</w:t>
        </w:r>
      </w:hyperlink>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420"/>
          </w:cols>
          <w:pgMar w:left="240" w:top="266" w:right="239" w:bottom="1440" w:gutter="0" w:footer="0" w:header="0"/>
        </w:sectPr>
      </w:pPr>
    </w:p>
    <w:bookmarkStart w:id="3" w:name="page4"/>
    <w:bookmarkEnd w:id="3"/>
    <w:p>
      <w:pPr>
        <w:ind w:left="720" w:right="2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(a)(3)</w:t>
      </w:r>
      <w:r>
        <w:rPr>
          <w:sz w:val="20"/>
          <w:szCs w:val="20"/>
          <w:color w:val="auto"/>
        </w:rPr>
        <w:tab/>
      </w:r>
      <w:hyperlink r:id="rId22">
        <w:r>
          <w:rPr>
            <w:rFonts w:ascii="Times New Roman" w:cs="Times New Roman" w:eastAsia="Times New Roman" w:hAnsi="Times New Roman"/>
            <w:sz w:val="18"/>
            <w:szCs w:val="18"/>
            <w:u w:val="single" w:color="auto"/>
            <w:color w:val="0000EE"/>
          </w:rPr>
          <w:t>Certificate of Change of Registered Agent and/or Registered Office (incorporated by reference to Exhibit 3.1 to the Company’s Quarterly Report on</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Form 10-Q filed on November 7, 2016)</w:t>
        </w:r>
      </w:hyperlink>
    </w:p>
    <w:p>
      <w:pPr>
        <w:spacing w:after="0" w:line="54" w:lineRule="exact"/>
        <w:rPr>
          <w:sz w:val="20"/>
          <w:szCs w:val="20"/>
          <w:color w:val="auto"/>
        </w:rPr>
      </w:pPr>
    </w:p>
    <w:p>
      <w:pPr>
        <w:ind w:left="720" w:right="260" w:hanging="712"/>
        <w:spacing w:after="0" w:line="282" w:lineRule="auto"/>
        <w:tabs>
          <w:tab w:leader="none" w:pos="720" w:val="left"/>
        </w:tabs>
        <w:numPr>
          <w:ilvl w:val="0"/>
          <w:numId w:val="1"/>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Bylaws of TPG Specialty Lending, Inc., effective as of November 7, 2016 (incorporated by reference to Exhibit 3.2 to the Company’s Quarterly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Report on Form 10-Q filed on November 7, 2016)</w:t>
        </w:r>
      </w:hyperlink>
    </w:p>
    <w:p>
      <w:pPr>
        <w:spacing w:after="0" w:line="53" w:lineRule="exact"/>
        <w:rPr>
          <w:rFonts w:ascii="Times New Roman" w:cs="Times New Roman" w:eastAsia="Times New Roman" w:hAnsi="Times New Roman"/>
          <w:sz w:val="18"/>
          <w:szCs w:val="18"/>
          <w:u w:val="single" w:color="auto"/>
          <w:color w:val="0000EE"/>
        </w:rPr>
      </w:pPr>
    </w:p>
    <w:p>
      <w:pPr>
        <w:ind w:left="720" w:hanging="712"/>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20" w:right="24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(d)(1)</w:t>
      </w:r>
      <w:r>
        <w:rPr>
          <w:sz w:val="20"/>
          <w:szCs w:val="20"/>
          <w:color w:val="auto"/>
        </w:rPr>
        <w:tab/>
      </w:r>
      <w:hyperlink r:id="rId24">
        <w:r>
          <w:rPr>
            <w:rFonts w:ascii="Times New Roman" w:cs="Times New Roman" w:eastAsia="Times New Roman" w:hAnsi="Times New Roman"/>
            <w:sz w:val="18"/>
            <w:szCs w:val="18"/>
            <w:u w:val="single" w:color="auto"/>
            <w:color w:val="0000EE"/>
          </w:rPr>
          <w:t>Form of Common Stock Certificate (incorporated by reference to Exhibit 4.2 to the Company’s Annual Report on Form 10-K filed on March 22,</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2012)</w:t>
        </w:r>
      </w:hyperlink>
    </w:p>
    <w:p>
      <w:pPr>
        <w:spacing w:after="0" w:line="54" w:lineRule="exact"/>
        <w:rPr>
          <w:sz w:val="20"/>
          <w:szCs w:val="20"/>
          <w:color w:val="auto"/>
        </w:rPr>
      </w:pPr>
    </w:p>
    <w:p>
      <w:pPr>
        <w:ind w:left="720" w:right="34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w:t>
      </w:r>
      <w:r>
        <w:rPr>
          <w:sz w:val="20"/>
          <w:szCs w:val="20"/>
          <w:color w:val="auto"/>
        </w:rPr>
        <w:tab/>
      </w:r>
      <w:hyperlink r:id="rId25">
        <w:r>
          <w:rPr>
            <w:rFonts w:ascii="Times New Roman" w:cs="Times New Roman" w:eastAsia="Times New Roman" w:hAnsi="Times New Roman"/>
            <w:sz w:val="18"/>
            <w:szCs w:val="18"/>
            <w:u w:val="single" w:color="auto"/>
            <w:color w:val="0000EE"/>
          </w:rPr>
          <w:t>Form of Subscription Certificate (incorporated by reference to Exhibit (d)(7) to Pre-Effective Amendment No. 1 to the Company’s Registration</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Statement on Form N-2 filed on July 25, 2014)</w:t>
        </w:r>
      </w:hyperlink>
    </w:p>
    <w:p>
      <w:pPr>
        <w:spacing w:after="0" w:line="54" w:lineRule="exact"/>
        <w:rPr>
          <w:sz w:val="20"/>
          <w:szCs w:val="20"/>
          <w:color w:val="auto"/>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w:t>
      </w:r>
      <w:r>
        <w:rPr>
          <w:sz w:val="20"/>
          <w:szCs w:val="20"/>
          <w:color w:val="auto"/>
        </w:rPr>
        <w:tab/>
      </w:r>
      <w:hyperlink r:id="rId26">
        <w:r>
          <w:rPr>
            <w:rFonts w:ascii="Times New Roman" w:cs="Times New Roman" w:eastAsia="Times New Roman" w:hAnsi="Times New Roman"/>
            <w:sz w:val="18"/>
            <w:szCs w:val="18"/>
            <w:u w:val="single" w:color="auto"/>
            <w:color w:val="0000EE"/>
          </w:rPr>
          <w:t>Statement of Eligibility of Trustee on Form T-1 (1)</w:t>
        </w:r>
      </w:hyperlink>
    </w:p>
    <w:p>
      <w:pPr>
        <w:spacing w:after="0" w:line="117" w:lineRule="exact"/>
        <w:rPr>
          <w:sz w:val="20"/>
          <w:szCs w:val="20"/>
          <w:color w:val="auto"/>
        </w:rPr>
      </w:pPr>
    </w:p>
    <w:p>
      <w:pPr>
        <w:ind w:left="720" w:right="30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(d)(4)</w:t>
      </w:r>
      <w:r>
        <w:rPr>
          <w:sz w:val="20"/>
          <w:szCs w:val="20"/>
          <w:color w:val="auto"/>
        </w:rPr>
        <w:tab/>
      </w:r>
      <w:hyperlink r:id="rId27">
        <w:r>
          <w:rPr>
            <w:rFonts w:ascii="Times New Roman" w:cs="Times New Roman" w:eastAsia="Times New Roman" w:hAnsi="Times New Roman"/>
            <w:sz w:val="18"/>
            <w:szCs w:val="18"/>
            <w:u w:val="single" w:color="auto"/>
            <w:color w:val="0000EE"/>
          </w:rPr>
          <w:t>Indenture, dated June 10, 2014, between TPG Specialty Lending, Inc. and Wells Fargo Bank, National Association, as Trustee (incorporated by</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reference to Exhibit 4.1 to the Company’s Current Report on Form 8-K filed on June 10, 2014)</w:t>
        </w:r>
      </w:hyperlink>
    </w:p>
    <w:p>
      <w:pPr>
        <w:spacing w:after="0" w:line="54" w:lineRule="exact"/>
        <w:rPr>
          <w:sz w:val="20"/>
          <w:szCs w:val="20"/>
          <w:color w:val="auto"/>
        </w:rPr>
      </w:pPr>
    </w:p>
    <w:p>
      <w:pPr>
        <w:ind w:left="720" w:right="16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(d)(5)</w:t>
      </w:r>
      <w:r>
        <w:rPr>
          <w:sz w:val="20"/>
          <w:szCs w:val="20"/>
          <w:color w:val="auto"/>
        </w:rPr>
        <w:tab/>
      </w:r>
      <w:hyperlink r:id="rId27">
        <w:r>
          <w:rPr>
            <w:rFonts w:ascii="Times New Roman" w:cs="Times New Roman" w:eastAsia="Times New Roman" w:hAnsi="Times New Roman"/>
            <w:sz w:val="18"/>
            <w:szCs w:val="18"/>
            <w:u w:val="single" w:color="auto"/>
            <w:color w:val="0000EE"/>
          </w:rPr>
          <w:t>Form of 4.50% Convertible Senior Notes Due 2019 (incorporated by reference to Exhibit 4.2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on June 10, 2014)</w:t>
        </w:r>
      </w:hyperlink>
    </w:p>
    <w:p>
      <w:pPr>
        <w:spacing w:after="0" w:line="54" w:lineRule="exact"/>
        <w:rPr>
          <w:sz w:val="20"/>
          <w:szCs w:val="20"/>
          <w:color w:val="auto"/>
        </w:rPr>
      </w:pPr>
    </w:p>
    <w:p>
      <w:pPr>
        <w:ind w:left="720" w:right="92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(d)(6)</w:t>
      </w:r>
      <w:r>
        <w:rPr>
          <w:sz w:val="20"/>
          <w:szCs w:val="20"/>
          <w:color w:val="auto"/>
        </w:rPr>
        <w:tab/>
      </w:r>
      <w:hyperlink r:id="rId28">
        <w:r>
          <w:rPr>
            <w:rFonts w:ascii="Times New Roman" w:cs="Times New Roman" w:eastAsia="Times New Roman" w:hAnsi="Times New Roman"/>
            <w:sz w:val="18"/>
            <w:szCs w:val="18"/>
            <w:u w:val="single" w:color="auto"/>
            <w:color w:val="0000EE"/>
          </w:rPr>
          <w:t>Indenture, dated as of February 1, 2017, between TPG Specialty Lending, Inc. and Wells Fargo Bank, National Association, as Trustee</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(incorporated by reference to Exhibit 4.1 to the Company’s Current Report on Form 8-K filed on February 1, 2017)</w:t>
        </w:r>
      </w:hyperlink>
    </w:p>
    <w:p>
      <w:pPr>
        <w:spacing w:after="0" w:line="54" w:lineRule="exact"/>
        <w:rPr>
          <w:sz w:val="20"/>
          <w:szCs w:val="20"/>
          <w:color w:val="auto"/>
        </w:rPr>
      </w:pPr>
    </w:p>
    <w:p>
      <w:pPr>
        <w:ind w:left="720" w:right="2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(d)(7)</w:t>
      </w:r>
      <w:r>
        <w:rPr>
          <w:sz w:val="20"/>
          <w:szCs w:val="20"/>
          <w:color w:val="auto"/>
        </w:rPr>
        <w:tab/>
      </w:r>
      <w:hyperlink r:id="rId28">
        <w:r>
          <w:rPr>
            <w:rFonts w:ascii="Times New Roman" w:cs="Times New Roman" w:eastAsia="Times New Roman" w:hAnsi="Times New Roman"/>
            <w:sz w:val="18"/>
            <w:szCs w:val="18"/>
            <w:u w:val="single" w:color="auto"/>
            <w:color w:val="0000EE"/>
          </w:rPr>
          <w:t>Form of 4.50% Convertible Senior Note Due 2022 (incorporated by reference to Exhibit 4.2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February 1, 2017)</w:t>
        </w:r>
      </w:hyperlink>
    </w:p>
    <w:p>
      <w:pPr>
        <w:spacing w:after="0" w:line="54" w:lineRule="exact"/>
        <w:rPr>
          <w:sz w:val="20"/>
          <w:szCs w:val="20"/>
          <w:color w:val="auto"/>
        </w:rPr>
      </w:pPr>
    </w:p>
    <w:p>
      <w:pPr>
        <w:ind w:left="720" w:right="92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(d)(8)</w:t>
      </w:r>
      <w:r>
        <w:rPr>
          <w:sz w:val="20"/>
          <w:szCs w:val="20"/>
          <w:color w:val="auto"/>
        </w:rPr>
        <w:tab/>
      </w:r>
      <w:hyperlink r:id="rId29">
        <w:r>
          <w:rPr>
            <w:rFonts w:ascii="Times New Roman" w:cs="Times New Roman" w:eastAsia="Times New Roman" w:hAnsi="Times New Roman"/>
            <w:sz w:val="18"/>
            <w:szCs w:val="18"/>
            <w:u w:val="single" w:color="auto"/>
            <w:color w:val="0000EE"/>
          </w:rPr>
          <w:t>Indenture, dated as of January 22, 2018, between TPG Specialty Lending, Inc. and Wells Fargo Bank, National Association, as Trustee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(incorporated by reference to Exhibit 4.1 to the Company’s Current Report on Form 8-K filed on January 22, 2018)</w:t>
        </w:r>
      </w:hyperlink>
    </w:p>
    <w:p>
      <w:pPr>
        <w:spacing w:after="0" w:line="54" w:lineRule="exact"/>
        <w:rPr>
          <w:sz w:val="20"/>
          <w:szCs w:val="20"/>
          <w:color w:val="auto"/>
        </w:rPr>
      </w:pPr>
    </w:p>
    <w:p>
      <w:pPr>
        <w:ind w:left="720" w:right="10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(d)(9)</w:t>
      </w:r>
      <w:r>
        <w:rPr>
          <w:sz w:val="20"/>
          <w:szCs w:val="20"/>
          <w:color w:val="auto"/>
        </w:rPr>
        <w:tab/>
      </w:r>
      <w:hyperlink r:id="rId30">
        <w:r>
          <w:rPr>
            <w:rFonts w:ascii="Times New Roman" w:cs="Times New Roman" w:eastAsia="Times New Roman" w:hAnsi="Times New Roman"/>
            <w:sz w:val="18"/>
            <w:szCs w:val="18"/>
            <w:u w:val="single" w:color="auto"/>
            <w:color w:val="0000EE"/>
          </w:rPr>
          <w:t>First Supplemental Indenture, dated as of January 22, 2018, between TPG Specialty Lending, Inc. and Wells Fargo Bank, National Association, as</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Trustee (incorporated by reference to Exhibit 4.2 to the Company’s Current Report on Form 8-K filed on January 22, 2018)</w:t>
        </w:r>
      </w:hyperlink>
    </w:p>
    <w:p>
      <w:pPr>
        <w:spacing w:after="0" w:line="54"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(d)(10)</w:t>
      </w:r>
      <w:r>
        <w:rPr>
          <w:sz w:val="20"/>
          <w:szCs w:val="20"/>
          <w:color w:val="auto"/>
        </w:rPr>
        <w:tab/>
      </w:r>
      <w:hyperlink r:id="rId30">
        <w:r>
          <w:rPr>
            <w:rFonts w:ascii="Times New Roman" w:cs="Times New Roman" w:eastAsia="Times New Roman" w:hAnsi="Times New Roman"/>
            <w:sz w:val="17"/>
            <w:szCs w:val="17"/>
            <w:u w:val="single" w:color="auto"/>
            <w:color w:val="0000EE"/>
          </w:rPr>
          <w:t>Form of 4.500% Note Due 2023 (incorporated by reference to Exhibit 4.3 to the Company’s Current Report on Form 8-K filed on January 22, 2018)</w:t>
        </w:r>
      </w:hyperlink>
    </w:p>
    <w:p>
      <w:pPr>
        <w:spacing w:after="0" w:line="129" w:lineRule="exact"/>
        <w:rPr>
          <w:sz w:val="20"/>
          <w:szCs w:val="20"/>
          <w:color w:val="auto"/>
        </w:rPr>
      </w:pPr>
    </w:p>
    <w:p>
      <w:pPr>
        <w:ind w:left="720" w:right="32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(d)(11)</w:t>
      </w:r>
      <w:r>
        <w:rPr>
          <w:sz w:val="20"/>
          <w:szCs w:val="20"/>
          <w:color w:val="auto"/>
        </w:rPr>
        <w:tab/>
      </w:r>
      <w:hyperlink r:id="rId31">
        <w:r>
          <w:rPr>
            <w:rFonts w:ascii="Times New Roman" w:cs="Times New Roman" w:eastAsia="Times New Roman" w:hAnsi="Times New Roman"/>
            <w:sz w:val="18"/>
            <w:szCs w:val="18"/>
            <w:u w:val="single" w:color="auto"/>
            <w:color w:val="0000EE"/>
          </w:rPr>
          <w:t>First Supplemental Indenture, dated as of June 19, 2018, between TPG Specialty Lending, Inc. and Wells Fargo Bank, National Association, as</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Trustee (incorporated by reference to Exhibit 4.1 to the Company’s Current Report on Form 8-K filed on June 19, 2018)</w:t>
        </w:r>
      </w:hyperlink>
    </w:p>
    <w:p>
      <w:pPr>
        <w:spacing w:after="0" w:line="54" w:lineRule="exact"/>
        <w:rPr>
          <w:sz w:val="20"/>
          <w:szCs w:val="20"/>
          <w:color w:val="auto"/>
        </w:rPr>
      </w:pPr>
    </w:p>
    <w:p>
      <w:pPr>
        <w:ind w:left="720" w:right="320" w:hanging="712"/>
        <w:spacing w:after="0" w:line="282" w:lineRule="auto"/>
        <w:tabs>
          <w:tab w:leader="none" w:pos="720" w:val="left"/>
        </w:tabs>
        <w:numPr>
          <w:ilvl w:val="0"/>
          <w:numId w:val="2"/>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Dividend Reinvestment Plan of TPG Specialty Lending, Inc. (incorporated by reference to Exhibit (e) to Pre-Effective Amendment No. 4 to the</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Company’s Registration Statement on Form N-2 filed on March 17, 2014)</w:t>
        </w:r>
      </w:hyperlink>
    </w:p>
    <w:p>
      <w:pPr>
        <w:spacing w:after="0" w:line="53" w:lineRule="exact"/>
        <w:rPr>
          <w:rFonts w:ascii="Times New Roman" w:cs="Times New Roman" w:eastAsia="Times New Roman" w:hAnsi="Times New Roman"/>
          <w:sz w:val="18"/>
          <w:szCs w:val="18"/>
          <w:u w:val="single" w:color="auto"/>
          <w:color w:val="0000EE"/>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00"/>
          </w:cols>
          <w:pgMar w:left="240" w:top="378" w:right="259" w:bottom="1440" w:gutter="0" w:footer="0" w:header="0"/>
        </w:sectPr>
      </w:pPr>
    </w:p>
    <w:bookmarkStart w:id="4" w:name="page5"/>
    <w:bookmarkEnd w:id="4"/>
    <w:p>
      <w:pPr>
        <w:ind w:left="760" w:right="440" w:hanging="752"/>
        <w:spacing w:after="0" w:line="282" w:lineRule="auto"/>
        <w:tabs>
          <w:tab w:leader="none" w:pos="760"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r:id="rId34">
        <w:r>
          <w:rPr>
            <w:rFonts w:ascii="Times New Roman" w:cs="Times New Roman" w:eastAsia="Times New Roman" w:hAnsi="Times New Roman"/>
            <w:sz w:val="18"/>
            <w:szCs w:val="18"/>
            <w:u w:val="single" w:color="auto"/>
            <w:color w:val="0000EE"/>
          </w:rPr>
          <w:t>Amended and Restated Investment Advisory and Management Agreement, dated December 12, 2011, between the Company and the Adviser</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(incorporated by reference to Exhibit 10.1 to the Company’s Current Report on Form 8-K filed on December 13, 2011)</w:t>
        </w:r>
      </w:hyperlink>
    </w:p>
    <w:p>
      <w:pPr>
        <w:spacing w:after="0" w:line="54" w:lineRule="exact"/>
        <w:rPr>
          <w:rFonts w:ascii="Times New Roman" w:cs="Times New Roman" w:eastAsia="Times New Roman" w:hAnsi="Times New Roman"/>
          <w:sz w:val="18"/>
          <w:szCs w:val="18"/>
          <w:color w:val="auto"/>
        </w:rPr>
      </w:pPr>
    </w:p>
    <w:p>
      <w:pPr>
        <w:ind w:left="760" w:right="260" w:hanging="759"/>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(h)(1)</w:t>
      </w:r>
      <w:r>
        <w:rPr>
          <w:sz w:val="20"/>
          <w:szCs w:val="20"/>
          <w:color w:val="auto"/>
        </w:rPr>
        <w:tab/>
      </w:r>
      <w:hyperlink r:id="rId35">
        <w:r>
          <w:rPr>
            <w:rFonts w:ascii="Times New Roman" w:cs="Times New Roman" w:eastAsia="Times New Roman" w:hAnsi="Times New Roman"/>
            <w:sz w:val="18"/>
            <w:szCs w:val="18"/>
            <w:u w:val="single" w:color="auto"/>
            <w:color w:val="0000EE"/>
          </w:rPr>
          <w:t>Form of Underwriting Agreement for Equity Securities (incorporated by reference to Exhibit (h)(1) to the Company’s Registration Statement on</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Form N-2 filed on March 31, 2016)</w:t>
        </w:r>
      </w:hyperlink>
    </w:p>
    <w:p>
      <w:pPr>
        <w:spacing w:after="0" w:line="54" w:lineRule="exact"/>
        <w:rPr>
          <w:sz w:val="20"/>
          <w:szCs w:val="20"/>
          <w:color w:val="auto"/>
        </w:rPr>
      </w:pPr>
    </w:p>
    <w:p>
      <w:pPr>
        <w:ind w:left="760" w:right="400" w:hanging="759"/>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(h)(2)</w:t>
      </w:r>
      <w:r>
        <w:rPr>
          <w:sz w:val="20"/>
          <w:szCs w:val="20"/>
          <w:color w:val="auto"/>
        </w:rPr>
        <w:tab/>
      </w:r>
      <w:hyperlink r:id="rId36">
        <w:r>
          <w:rPr>
            <w:rFonts w:ascii="Times New Roman" w:cs="Times New Roman" w:eastAsia="Times New Roman" w:hAnsi="Times New Roman"/>
            <w:sz w:val="18"/>
            <w:szCs w:val="18"/>
            <w:u w:val="single" w:color="auto"/>
            <w:color w:val="0000EE"/>
          </w:rPr>
          <w:t>Form of Underwriting Agreement for Debt Securities (incorporated by reference to Exhibit (h)(2) to the Company’s Registration Statement on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Form N-2 filed on March 31, 2016)</w:t>
        </w:r>
      </w:hyperlink>
    </w:p>
    <w:p>
      <w:pPr>
        <w:spacing w:after="0" w:line="54" w:lineRule="exact"/>
        <w:rPr>
          <w:sz w:val="20"/>
          <w:szCs w:val="20"/>
          <w:color w:val="auto"/>
        </w:rPr>
      </w:pPr>
    </w:p>
    <w:p>
      <w:pPr>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(h)(3)</w:t>
      </w:r>
      <w:r>
        <w:rPr>
          <w:sz w:val="20"/>
          <w:szCs w:val="20"/>
          <w:color w:val="auto"/>
        </w:rPr>
        <w:tab/>
      </w:r>
      <w:hyperlink r:id="rId37">
        <w:r>
          <w:rPr>
            <w:rFonts w:ascii="Times New Roman" w:cs="Times New Roman" w:eastAsia="Times New Roman" w:hAnsi="Times New Roman"/>
            <w:sz w:val="18"/>
            <w:szCs w:val="18"/>
            <w:u w:val="single" w:color="auto"/>
            <w:color w:val="0000EE"/>
          </w:rPr>
          <w:t>Underwriting Agreement, dated June 14, 2018, between the Company, the Adviser and the several underwriters named in Schedule 1 thereto (1)</w:t>
        </w:r>
      </w:hyperlink>
    </w:p>
    <w:p>
      <w:pPr>
        <w:spacing w:after="0" w:line="117"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4"/>
        </w:numPr>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Custodian Agreement dated November 29, 2012 between TPG Specialty Lending, Inc. and State Street Bank and Trust Company (incorporated by</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reference to Exhibit 10.1 to the Company’s Current Report on Form 8-K filed on December 4, 2012)</w:t>
        </w:r>
      </w:hyperlink>
    </w:p>
    <w:p>
      <w:pPr>
        <w:spacing w:after="0" w:line="54" w:lineRule="exact"/>
        <w:rPr>
          <w:rFonts w:ascii="Times New Roman" w:cs="Times New Roman" w:eastAsia="Times New Roman" w:hAnsi="Times New Roman"/>
          <w:sz w:val="18"/>
          <w:szCs w:val="18"/>
          <w:color w:val="auto"/>
        </w:rPr>
      </w:pPr>
    </w:p>
    <w:p>
      <w:pPr>
        <w:ind w:left="760" w:right="700" w:hanging="759"/>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w:t>
      </w:r>
      <w:r>
        <w:rPr>
          <w:sz w:val="20"/>
          <w:szCs w:val="20"/>
          <w:color w:val="auto"/>
        </w:rPr>
        <w:tab/>
      </w:r>
      <w:hyperlink r:id="rId39">
        <w:r>
          <w:rPr>
            <w:rFonts w:ascii="Times New Roman" w:cs="Times New Roman" w:eastAsia="Times New Roman" w:hAnsi="Times New Roman"/>
            <w:sz w:val="18"/>
            <w:szCs w:val="18"/>
            <w:u w:val="single" w:color="auto"/>
            <w:color w:val="0000EE"/>
          </w:rPr>
          <w:t>Form of Indemnification Agreement between the Company and certain officers and directors (incorporated by reference to Exhibit 10.3 to</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Amendment No. 1 to the Company’s Registration Statement on Form 10 filed on March 14, 2011)</w:t>
        </w:r>
      </w:hyperlink>
    </w:p>
    <w:p>
      <w:pPr>
        <w:spacing w:after="0" w:line="54" w:lineRule="exact"/>
        <w:rPr>
          <w:sz w:val="20"/>
          <w:szCs w:val="20"/>
          <w:color w:val="auto"/>
        </w:rPr>
      </w:pPr>
    </w:p>
    <w:p>
      <w:pPr>
        <w:ind w:left="760" w:hanging="759"/>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(k)(2)</w:t>
      </w:r>
      <w:r>
        <w:rPr>
          <w:sz w:val="20"/>
          <w:szCs w:val="20"/>
          <w:color w:val="auto"/>
        </w:rPr>
        <w:tab/>
      </w:r>
      <w:hyperlink r:id="rId40">
        <w:r>
          <w:rPr>
            <w:rFonts w:ascii="Times New Roman" w:cs="Times New Roman" w:eastAsia="Times New Roman" w:hAnsi="Times New Roman"/>
            <w:sz w:val="18"/>
            <w:szCs w:val="18"/>
            <w:u w:val="single" w:color="auto"/>
            <w:color w:val="0000EE"/>
          </w:rPr>
          <w:t>Senior Secured Revolving Credit Agreement, dated as of August 23, 2012, among TPG Specialty Lending, Inc., as Borrower, the Lenders Party</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Hereto and SunTrust Bank, as Administrative Agent, JPMorgan Chase Bank, N.A., as Syndication Agent (incorporated by reference to Exhibit 10.1</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to the Company’s Quarterly Report on Form 10-Q filed on November 14, 2012)</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760" w:right="260" w:hanging="759"/>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(k)(3)</w:t>
      </w:r>
      <w:r>
        <w:rPr>
          <w:sz w:val="20"/>
          <w:szCs w:val="20"/>
          <w:color w:val="auto"/>
        </w:rPr>
        <w:tab/>
      </w:r>
      <w:hyperlink r:id="rId41">
        <w:r>
          <w:rPr>
            <w:rFonts w:ascii="Times New Roman" w:cs="Times New Roman" w:eastAsia="Times New Roman" w:hAnsi="Times New Roman"/>
            <w:sz w:val="18"/>
            <w:szCs w:val="18"/>
            <w:u w:val="single" w:color="auto"/>
            <w:color w:val="0000EE"/>
          </w:rPr>
          <w:t>Amended and Restated Senior Secured Revolving Credit Agreement, dated as of July 2, 2013, among TPG Specialty Lending, Inc., the lenders</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party thereto, SunTrust Bank as administrative agent and JPMorgan Chase Bank N.A. as syndication agent (incorporated by reference to Exhibit</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10.1 to the Company’s Current Report on Form 8-K filed on July 9, 2013)</w:t>
        </w:r>
      </w:hyperlink>
    </w:p>
    <w:p>
      <w:pPr>
        <w:spacing w:after="0" w:line="68" w:lineRule="exact"/>
        <w:rPr>
          <w:rFonts w:ascii="Times New Roman" w:cs="Times New Roman" w:eastAsia="Times New Roman" w:hAnsi="Times New Roman"/>
          <w:sz w:val="18"/>
          <w:szCs w:val="18"/>
          <w:u w:val="single" w:color="auto"/>
          <w:color w:val="0000EE"/>
        </w:rPr>
      </w:pPr>
    </w:p>
    <w:p>
      <w:pPr>
        <w:ind w:left="760" w:right="80" w:hanging="759"/>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(k)(4)</w:t>
      </w:r>
      <w:r>
        <w:rPr>
          <w:sz w:val="20"/>
          <w:szCs w:val="20"/>
          <w:color w:val="auto"/>
        </w:rPr>
        <w:tab/>
      </w:r>
      <w:hyperlink r:id="rId42">
        <w:r>
          <w:rPr>
            <w:rFonts w:ascii="Times New Roman" w:cs="Times New Roman" w:eastAsia="Times New Roman" w:hAnsi="Times New Roman"/>
            <w:sz w:val="18"/>
            <w:szCs w:val="18"/>
            <w:u w:val="single" w:color="auto"/>
            <w:color w:val="0000EE"/>
          </w:rPr>
          <w:t>Second Amended and Restated Senior Secured Credit Agreement, dated February 27, 2014, among TPG Specialty Lending, Inc., as Borrower, the</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Lenders Party Hereto and SunTrust Bank, as Administrative Agent, and JPMorgan Chase Bank, N.A., as Syndication Agent (incorporated by</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reference to Exhibit 10.20 to the Company’s Annual Report on Form 10-K filed on March 4, 2014)</w:t>
        </w:r>
      </w:hyperlink>
    </w:p>
    <w:p>
      <w:pPr>
        <w:spacing w:after="0" w:line="68" w:lineRule="exact"/>
        <w:rPr>
          <w:rFonts w:ascii="Times New Roman" w:cs="Times New Roman" w:eastAsia="Times New Roman" w:hAnsi="Times New Roman"/>
          <w:sz w:val="18"/>
          <w:szCs w:val="18"/>
          <w:u w:val="single" w:color="auto"/>
          <w:color w:val="0000EE"/>
        </w:rPr>
      </w:pPr>
    </w:p>
    <w:p>
      <w:pPr>
        <w:ind w:left="760" w:right="120" w:hanging="759"/>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(k)(5)</w:t>
      </w:r>
      <w:r>
        <w:rPr>
          <w:sz w:val="20"/>
          <w:szCs w:val="20"/>
          <w:color w:val="auto"/>
        </w:rPr>
        <w:tab/>
      </w:r>
      <w:hyperlink r:id="rId43">
        <w:r>
          <w:rPr>
            <w:rFonts w:ascii="Times New Roman" w:cs="Times New Roman" w:eastAsia="Times New Roman" w:hAnsi="Times New Roman"/>
            <w:sz w:val="18"/>
            <w:szCs w:val="18"/>
            <w:u w:val="single" w:color="auto"/>
            <w:color w:val="0000EE"/>
          </w:rPr>
          <w:t>Form of Increase Letter pursuant to the Second Amended and Restated Senior Secured Credit Agreement, dated February 27, 2014, among TPG</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Specialty Lending, Inc., as Borrower, the Lenders Party Hereto and SunTrust Bank, as Administrative Agent, and JPMorgan Chase Bank, N.A., as</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Syndication Agent (incorporated by reference to Exhibit 10.3 to the Company’s Quarterly Report on Form 10-Q filed on August 4, 2014)</w:t>
        </w:r>
      </w:hyperlink>
    </w:p>
    <w:p>
      <w:pPr>
        <w:spacing w:after="0" w:line="68" w:lineRule="exact"/>
        <w:rPr>
          <w:rFonts w:ascii="Times New Roman" w:cs="Times New Roman" w:eastAsia="Times New Roman" w:hAnsi="Times New Roman"/>
          <w:sz w:val="18"/>
          <w:szCs w:val="18"/>
          <w:u w:val="single" w:color="auto"/>
          <w:color w:val="0000EE"/>
        </w:rPr>
      </w:pPr>
    </w:p>
    <w:p>
      <w:pPr>
        <w:ind w:left="760" w:right="60" w:hanging="759"/>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(k)(6)</w:t>
      </w:r>
      <w:r>
        <w:rPr>
          <w:sz w:val="20"/>
          <w:szCs w:val="20"/>
          <w:color w:val="auto"/>
        </w:rPr>
        <w:tab/>
      </w:r>
      <w:hyperlink r:id="rId44">
        <w:r>
          <w:rPr>
            <w:rFonts w:ascii="Times New Roman" w:cs="Times New Roman" w:eastAsia="Times New Roman" w:hAnsi="Times New Roman"/>
            <w:sz w:val="18"/>
            <w:szCs w:val="18"/>
            <w:u w:val="single" w:color="auto"/>
            <w:color w:val="0000EE"/>
          </w:rPr>
          <w:t>First Amendment to the Second Amended and Restated Senior Secured Revolving Credit Agreement, dated June 3, 2014, among TPG Specialty</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Lending, Inc., as Borrower, the Lenders party thereto and SunTrust Bank, as Administrative Agent and Collateral Agent (incorporated by reference</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to Exhibit 10.4 to the Company’s Quarterly Report on Form 10-Q filed on August 4, 2014)</w:t>
        </w:r>
      </w:hyperlink>
    </w:p>
    <w:p>
      <w:pPr>
        <w:spacing w:after="0" w:line="68" w:lineRule="exact"/>
        <w:rPr>
          <w:rFonts w:ascii="Times New Roman" w:cs="Times New Roman" w:eastAsia="Times New Roman" w:hAnsi="Times New Roman"/>
          <w:sz w:val="18"/>
          <w:szCs w:val="18"/>
          <w:u w:val="single" w:color="auto"/>
          <w:color w:val="0000EE"/>
        </w:rPr>
      </w:pPr>
    </w:p>
    <w:p>
      <w:pPr>
        <w:ind w:left="760" w:right="420" w:hanging="759"/>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(k)(7)</w:t>
      </w:r>
      <w:r>
        <w:rPr>
          <w:sz w:val="20"/>
          <w:szCs w:val="20"/>
          <w:color w:val="auto"/>
        </w:rPr>
        <w:tab/>
      </w:r>
      <w:hyperlink r:id="rId45">
        <w:r>
          <w:rPr>
            <w:rFonts w:ascii="Times New Roman" w:cs="Times New Roman" w:eastAsia="Times New Roman" w:hAnsi="Times New Roman"/>
            <w:sz w:val="18"/>
            <w:szCs w:val="18"/>
            <w:u w:val="single" w:color="auto"/>
            <w:color w:val="0000EE"/>
          </w:rPr>
          <w:t>Second Amendment to the Second Amended and Restated Senior Secured Revolving Credit Agreement, dated June 27, 2014, among TPG</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Specialty Lending, Inc., as Borrower, Morgan Stanley Bank, N.A., as a Lender, and SunTrust Bank, as Administrative Agent (incorporated by</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reference to Exhibit 10.5 to the Company’s Quarterly Report on Form 10-Q filed on August 4, 2014)</w:t>
        </w:r>
      </w:hyperlink>
    </w:p>
    <w:p>
      <w:pPr>
        <w:spacing w:after="0" w:line="10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420"/>
          </w:cols>
          <w:pgMar w:left="240" w:top="378" w:right="239" w:bottom="1440" w:gutter="0" w:footer="0" w:header="0"/>
        </w:sectPr>
      </w:pPr>
    </w:p>
    <w:bookmarkStart w:id="5" w:name="page6"/>
    <w:bookmarkEnd w:id="5"/>
    <w:p>
      <w:pPr>
        <w:ind w:left="720" w:right="100" w:hanging="719"/>
        <w:spacing w:after="0" w:line="266"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(k)(8)</w:t>
      </w:r>
      <w:r>
        <w:rPr>
          <w:sz w:val="20"/>
          <w:szCs w:val="20"/>
          <w:color w:val="auto"/>
        </w:rPr>
        <w:tab/>
      </w:r>
      <w:hyperlink r:id="rId47">
        <w:r>
          <w:rPr>
            <w:rFonts w:ascii="Times New Roman" w:cs="Times New Roman" w:eastAsia="Times New Roman" w:hAnsi="Times New Roman"/>
            <w:sz w:val="18"/>
            <w:szCs w:val="18"/>
            <w:u w:val="single" w:color="auto"/>
            <w:color w:val="0000EE"/>
          </w:rPr>
          <w:t>Third Amendment to the Second Amended and Restated Senior Secured Revolving Credit Agreement, dated October 17, 2014, among TPG</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Specialty Lending, Inc., as Borrower, the Lenders party thereto and SunTrust Bank, as Administrative Agent (incorporated by reference to Exhibit</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10.1 to the Company’s Quarterly Report on Form 10-Q filed on November 3, 2014)</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720" w:right="60" w:hanging="719"/>
        <w:spacing w:after="0" w:line="266"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(k)(9)</w:t>
      </w:r>
      <w:r>
        <w:rPr>
          <w:sz w:val="20"/>
          <w:szCs w:val="20"/>
          <w:color w:val="auto"/>
        </w:rPr>
        <w:tab/>
      </w:r>
      <w:hyperlink r:id="rId48">
        <w:r>
          <w:rPr>
            <w:rFonts w:ascii="Times New Roman" w:cs="Times New Roman" w:eastAsia="Times New Roman" w:hAnsi="Times New Roman"/>
            <w:sz w:val="18"/>
            <w:szCs w:val="18"/>
            <w:u w:val="single" w:color="auto"/>
            <w:color w:val="0000EE"/>
          </w:rPr>
          <w:t>Fourth Amendment to Second Amended and Restated Senior Secured Revolving Credit Agreement, dated October 2, 2015, among TPG Specialty</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Lending, Inc., as Borrower, the Lenders party thereto and Suntrust Bank, as Administrative Agent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Company’s Quarterly Report on Form 10-Q filed on November 3, 2015)</w:t>
        </w:r>
      </w:hyperlink>
    </w:p>
    <w:p>
      <w:pPr>
        <w:spacing w:after="0" w:line="68" w:lineRule="exact"/>
        <w:rPr>
          <w:rFonts w:ascii="Times New Roman" w:cs="Times New Roman" w:eastAsia="Times New Roman" w:hAnsi="Times New Roman"/>
          <w:sz w:val="18"/>
          <w:szCs w:val="18"/>
          <w:u w:val="single" w:color="auto"/>
          <w:color w:val="0000EE"/>
        </w:rPr>
      </w:pPr>
    </w:p>
    <w:p>
      <w:pPr>
        <w:ind w:left="720" w:right="100" w:hanging="719"/>
        <w:spacing w:after="0" w:line="266"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(k)(10)</w:t>
      </w:r>
      <w:r>
        <w:rPr>
          <w:sz w:val="20"/>
          <w:szCs w:val="20"/>
          <w:color w:val="auto"/>
        </w:rPr>
        <w:tab/>
      </w:r>
      <w:hyperlink r:id="rId49">
        <w:r>
          <w:rPr>
            <w:rFonts w:ascii="Times New Roman" w:cs="Times New Roman" w:eastAsia="Times New Roman" w:hAnsi="Times New Roman"/>
            <w:sz w:val="18"/>
            <w:szCs w:val="18"/>
            <w:u w:val="single" w:color="auto"/>
            <w:color w:val="0000EE"/>
          </w:rPr>
          <w:t>Fifth Amendment to Second Amended and Restated Senior Secured Revolving Credit Agreement, dated December 22, 2016, among TPG</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Specialty Lending, Inc., as Borrower, the Lenders party thereto and SunTrust Bank, as Administrative Agent (incorporated by reference to Exhibit</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10.15 to the Company’s Annual Report on Form 10-K filed on February 22, 2017)</w:t>
        </w:r>
      </w:hyperlink>
    </w:p>
    <w:p>
      <w:pPr>
        <w:spacing w:after="0" w:line="68" w:lineRule="exact"/>
        <w:rPr>
          <w:rFonts w:ascii="Times New Roman" w:cs="Times New Roman" w:eastAsia="Times New Roman" w:hAnsi="Times New Roman"/>
          <w:sz w:val="18"/>
          <w:szCs w:val="18"/>
          <w:u w:val="single" w:color="auto"/>
          <w:color w:val="0000EE"/>
        </w:rPr>
      </w:pPr>
    </w:p>
    <w:p>
      <w:pPr>
        <w:ind w:left="720" w:right="58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(k)(11)</w:t>
      </w:r>
      <w:r>
        <w:rPr>
          <w:sz w:val="20"/>
          <w:szCs w:val="20"/>
          <w:color w:val="auto"/>
        </w:rPr>
        <w:tab/>
      </w:r>
      <w:hyperlink r:id="rId50">
        <w:r>
          <w:rPr>
            <w:rFonts w:ascii="Times New Roman" w:cs="Times New Roman" w:eastAsia="Times New Roman" w:hAnsi="Times New Roman"/>
            <w:sz w:val="18"/>
            <w:szCs w:val="18"/>
            <w:u w:val="single" w:color="auto"/>
            <w:color w:val="0000EE"/>
          </w:rPr>
          <w:t>Amended and Restated Administration Agreement, dated as of February 22, 2017, between the Company and the Adviser (incorporated by</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reference to Exhibit 10.16 to the Company’s Annual Report on Form 10-K filed on February 22, 2017)</w:t>
        </w:r>
      </w:hyperlink>
    </w:p>
    <w:p>
      <w:pPr>
        <w:spacing w:after="0" w:line="54" w:lineRule="exact"/>
        <w:rPr>
          <w:sz w:val="20"/>
          <w:szCs w:val="20"/>
          <w:color w:val="auto"/>
        </w:rPr>
      </w:pPr>
    </w:p>
    <w:p>
      <w:pPr>
        <w:ind w:left="720" w:hanging="719"/>
        <w:spacing w:after="0" w:line="266"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(k)(12)</w:t>
      </w:r>
      <w:r>
        <w:rPr>
          <w:sz w:val="20"/>
          <w:szCs w:val="20"/>
          <w:color w:val="auto"/>
        </w:rPr>
        <w:tab/>
      </w:r>
      <w:hyperlink r:id="rId51">
        <w:r>
          <w:rPr>
            <w:rFonts w:ascii="Times New Roman" w:cs="Times New Roman" w:eastAsia="Times New Roman" w:hAnsi="Times New Roman"/>
            <w:sz w:val="18"/>
            <w:szCs w:val="18"/>
            <w:u w:val="single" w:color="auto"/>
            <w:color w:val="0000EE"/>
          </w:rPr>
          <w:t>Sixth Amendment to Second Amended and Restated Senior Secured Revolving Credit Agreement, dated February 20, 2018, among TPG Specialty</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Lending, Inc., as Borrower, the Lenders party thereto and SunTrust Bank, as Administrative Agent (incorporated by reference to Exhibit 10.16 to</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the Company’s Annual Report on Form 10-K filed on February 21, 2018)</w:t>
        </w:r>
      </w:hyperlink>
    </w:p>
    <w:p>
      <w:pPr>
        <w:spacing w:after="0" w:line="68" w:lineRule="exact"/>
        <w:rPr>
          <w:rFonts w:ascii="Times New Roman" w:cs="Times New Roman" w:eastAsia="Times New Roman" w:hAnsi="Times New Roman"/>
          <w:sz w:val="18"/>
          <w:szCs w:val="18"/>
          <w:u w:val="single" w:color="auto"/>
          <w:color w:val="0000EE"/>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(l)(1)</w:t>
      </w:r>
      <w:r>
        <w:rPr>
          <w:sz w:val="20"/>
          <w:szCs w:val="20"/>
          <w:color w:val="auto"/>
        </w:rPr>
        <w:tab/>
      </w:r>
      <w:hyperlink r:id="rId52">
        <w:r>
          <w:rPr>
            <w:rFonts w:ascii="Times New Roman" w:cs="Times New Roman" w:eastAsia="Times New Roman" w:hAnsi="Times New Roman"/>
            <w:sz w:val="18"/>
            <w:szCs w:val="18"/>
            <w:u w:val="single" w:color="auto"/>
            <w:color w:val="0000EE"/>
          </w:rPr>
          <w:t>Opinion and Consent of Cleary Gottlieb Steen &amp; Hamilton LLP, dated March 28, 2018 (1)</w:t>
        </w:r>
      </w:hyperlink>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(l)(2)</w:t>
      </w:r>
      <w:r>
        <w:rPr>
          <w:sz w:val="20"/>
          <w:szCs w:val="20"/>
          <w:color w:val="auto"/>
        </w:rPr>
        <w:tab/>
      </w:r>
      <w:hyperlink r:id="rId53">
        <w:r>
          <w:rPr>
            <w:rFonts w:ascii="Times New Roman" w:cs="Times New Roman" w:eastAsia="Times New Roman" w:hAnsi="Times New Roman"/>
            <w:sz w:val="18"/>
            <w:szCs w:val="18"/>
            <w:u w:val="single" w:color="auto"/>
            <w:color w:val="0000EE"/>
          </w:rPr>
          <w:t>Opinion and Consent of Cleary Gottlieb Steen &amp; Hamilton LLP, dated June 19, 2018 (1)</w:t>
        </w:r>
      </w:hyperlink>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(l)(3)</w:t>
      </w:r>
      <w:r>
        <w:rPr>
          <w:sz w:val="20"/>
          <w:szCs w:val="20"/>
          <w:color w:val="auto"/>
        </w:rPr>
        <w:tab/>
      </w:r>
      <w:r>
        <w:rPr>
          <w:rFonts w:ascii="Times New Roman" w:cs="Times New Roman" w:eastAsia="Times New Roman" w:hAnsi="Times New Roman"/>
          <w:sz w:val="18"/>
          <w:szCs w:val="18"/>
          <w:u w:val="single" w:color="auto"/>
          <w:color w:val="0000EE"/>
        </w:rPr>
        <w:t>Opinion and Consent of Cleary Gottlieb Steen &amp; Hamilton LLP, dated June 29, 2018</w:t>
      </w:r>
    </w:p>
    <w:p>
      <w:pPr>
        <w:spacing w:after="0" w:line="117" w:lineRule="exact"/>
        <w:rPr>
          <w:rFonts w:ascii="Times New Roman" w:cs="Times New Roman" w:eastAsia="Times New Roman" w:hAnsi="Times New Roman"/>
          <w:sz w:val="18"/>
          <w:szCs w:val="18"/>
          <w:u w:val="single" w:color="auto"/>
          <w:color w:val="0000EE"/>
        </w:rPr>
      </w:pPr>
    </w:p>
    <w:p>
      <w:pPr>
        <w:ind w:left="720" w:hanging="71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(n)(1)</w:t>
      </w:r>
      <w:r>
        <w:rPr>
          <w:sz w:val="20"/>
          <w:szCs w:val="20"/>
          <w:color w:val="auto"/>
        </w:rPr>
        <w:tab/>
      </w:r>
      <w:hyperlink r:id="rId52">
        <w:r>
          <w:rPr>
            <w:rFonts w:ascii="Times New Roman" w:cs="Times New Roman" w:eastAsia="Times New Roman" w:hAnsi="Times New Roman"/>
            <w:sz w:val="18"/>
            <w:szCs w:val="18"/>
            <w:u w:val="single" w:color="auto"/>
            <w:color w:val="0000EE"/>
          </w:rPr>
          <w:t>Consent of Cleary Gottlieb Steen &amp; Hamilton LLP, dated March 28, 2018 (1)</w:t>
        </w:r>
      </w:hyperlink>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(n)(2)</w:t>
      </w:r>
      <w:r>
        <w:rPr>
          <w:sz w:val="20"/>
          <w:szCs w:val="20"/>
          <w:color w:val="auto"/>
        </w:rPr>
        <w:tab/>
      </w:r>
      <w:hyperlink r:id="rId54">
        <w:r>
          <w:rPr>
            <w:rFonts w:ascii="Times New Roman" w:cs="Times New Roman" w:eastAsia="Times New Roman" w:hAnsi="Times New Roman"/>
            <w:sz w:val="18"/>
            <w:szCs w:val="18"/>
            <w:u w:val="single" w:color="auto"/>
            <w:color w:val="0000EE"/>
          </w:rPr>
          <w:t>Consent of KPMG LLP, dated May 10, 2018 (1)</w:t>
        </w:r>
      </w:hyperlink>
    </w:p>
    <w:p>
      <w:pPr>
        <w:spacing w:after="0" w:line="117" w:lineRule="exact"/>
        <w:rPr>
          <w:rFonts w:ascii="Times New Roman" w:cs="Times New Roman" w:eastAsia="Times New Roman" w:hAnsi="Times New Roman"/>
          <w:sz w:val="18"/>
          <w:szCs w:val="18"/>
          <w:u w:val="single" w:color="auto"/>
          <w:color w:val="0000EE"/>
        </w:rPr>
      </w:pPr>
    </w:p>
    <w:p>
      <w:pPr>
        <w:ind w:left="720" w:right="20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(n)(3)</w:t>
      </w:r>
      <w:r>
        <w:rPr>
          <w:sz w:val="20"/>
          <w:szCs w:val="20"/>
          <w:color w:val="auto"/>
        </w:rPr>
        <w:tab/>
      </w:r>
      <w:hyperlink r:id="rId55">
        <w:r>
          <w:rPr>
            <w:rFonts w:ascii="Times New Roman" w:cs="Times New Roman" w:eastAsia="Times New Roman" w:hAnsi="Times New Roman"/>
            <w:sz w:val="18"/>
            <w:szCs w:val="18"/>
            <w:u w:val="single" w:color="auto"/>
            <w:color w:val="0000EE"/>
          </w:rPr>
          <w:t>Report of KPMG LLP, dated March 20, 2018 (incorporated by reference to Exhibit (n)(6) to Post-Effective Amendment No. 3 to the Company’s</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Registration Statement on Form N-2 filed on March 20, 2018)</w:t>
        </w:r>
      </w:hyperlink>
    </w:p>
    <w:p>
      <w:pPr>
        <w:spacing w:after="0" w:line="54" w:lineRule="exact"/>
        <w:rPr>
          <w:sz w:val="20"/>
          <w:szCs w:val="20"/>
          <w:color w:val="auto"/>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(n)(4)</w:t>
      </w:r>
      <w:r>
        <w:rPr>
          <w:sz w:val="20"/>
          <w:szCs w:val="20"/>
          <w:color w:val="auto"/>
        </w:rPr>
        <w:tab/>
      </w:r>
      <w:hyperlink r:id="rId53">
        <w:r>
          <w:rPr>
            <w:rFonts w:ascii="Times New Roman" w:cs="Times New Roman" w:eastAsia="Times New Roman" w:hAnsi="Times New Roman"/>
            <w:sz w:val="18"/>
            <w:szCs w:val="18"/>
            <w:u w:val="single" w:color="auto"/>
            <w:color w:val="0000EE"/>
          </w:rPr>
          <w:t>Consent of Cleary Gottlieb Steen &amp; Hamilton LLP, dated June 19, 2018 (1)</w:t>
        </w:r>
      </w:hyperlink>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(n)(5)</w:t>
      </w:r>
      <w:r>
        <w:rPr>
          <w:sz w:val="20"/>
          <w:szCs w:val="20"/>
          <w:color w:val="auto"/>
        </w:rPr>
        <w:tab/>
      </w:r>
      <w:r>
        <w:rPr>
          <w:rFonts w:ascii="Times New Roman" w:cs="Times New Roman" w:eastAsia="Times New Roman" w:hAnsi="Times New Roman"/>
          <w:sz w:val="18"/>
          <w:szCs w:val="18"/>
          <w:u w:val="single" w:color="auto"/>
          <w:color w:val="0000EE"/>
        </w:rPr>
        <w:t>Consent of Cleary Gottlieb Steen &amp; Hamilton LLP, dated June 29, 2018 (included in Exhibit (l)(3))</w:t>
      </w:r>
    </w:p>
    <w:p>
      <w:pPr>
        <w:spacing w:after="0" w:line="117" w:lineRule="exact"/>
        <w:rPr>
          <w:sz w:val="20"/>
          <w:szCs w:val="20"/>
          <w:color w:val="auto"/>
        </w:rPr>
      </w:pPr>
    </w:p>
    <w:p>
      <w:pPr>
        <w:ind w:left="720" w:hanging="71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720" w:right="180" w:hanging="719"/>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(r)(1)</w:t>
      </w:r>
      <w:r>
        <w:rPr>
          <w:sz w:val="20"/>
          <w:szCs w:val="20"/>
          <w:color w:val="auto"/>
        </w:rPr>
        <w:tab/>
      </w:r>
      <w:hyperlink r:id="rId56">
        <w:r>
          <w:rPr>
            <w:rFonts w:ascii="Times New Roman" w:cs="Times New Roman" w:eastAsia="Times New Roman" w:hAnsi="Times New Roman"/>
            <w:sz w:val="18"/>
            <w:szCs w:val="18"/>
            <w:u w:val="single" w:color="auto"/>
            <w:color w:val="0000EE"/>
          </w:rPr>
          <w:t>Code of Ethics of TPG Specialty Lending, Inc. (incorporated by reference to Exhibit (r)(1) to Pre-Effective Amendment No. 4 to the Company’s</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Registration Statement on Form N-2 filed on March 17, 2014)</w:t>
        </w:r>
      </w:hyperlink>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360"/>
          </w:cols>
          <w:pgMar w:left="240" w:top="378"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(r)(2)</w:t>
            </w:r>
          </w:p>
        </w:tc>
        <w:tc>
          <w:tcPr>
            <w:tcW w:w="9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Code of Ethics of TSL Advisers, LLC (incorporated by reference to Exhibit (r)(2) to Pre-Effective Amendment No. 4 to the Company’s</w:t>
              </w:r>
            </w:hyperlink>
          </w:p>
        </w:tc>
        <w:tc>
          <w:tcPr>
            <w:tcW w:w="5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Registration Statement on Form N-2 filed on March 17, 2014)</w:t>
              </w:r>
            </w:hyperlink>
          </w:p>
        </w:tc>
        <w:tc>
          <w:tcPr>
            <w:tcW w:w="5900" w:type="dxa"/>
            <w:vAlign w:val="bottom"/>
            <w:gridSpan w:val="10"/>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Form of Preliminary Prospectus Supplement For Common Stock Offerings (incorporated by reference to Exhibit 99.1 to Pre-Effective</w:t>
              </w:r>
            </w:hyperlink>
          </w:p>
        </w:tc>
        <w:tc>
          <w:tcPr>
            <w:tcW w:w="70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Amendment No. 1 to the Company’s Registration Statement on Form N-2 filed on July 25, 2014)</w:t>
              </w:r>
            </w:hyperlink>
          </w:p>
        </w:tc>
        <w:tc>
          <w:tcPr>
            <w:tcW w:w="3380" w:type="dxa"/>
            <w:vAlign w:val="bottom"/>
            <w:gridSpan w:val="6"/>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of Preliminary Prospectus Supplement For Preferred Stock Offerings (incorporated by reference to Exhibit 99.2 to Pre-Effective</w:t>
              </w:r>
            </w:hyperlink>
          </w:p>
        </w:tc>
        <w:tc>
          <w:tcPr>
            <w:tcW w:w="7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Amendment No. 1 to the Company’s Registration Statement on Form N-2 filed on July 25, 2014)</w:t>
              </w:r>
            </w:hyperlink>
          </w:p>
        </w:tc>
        <w:tc>
          <w:tcPr>
            <w:tcW w:w="3380" w:type="dxa"/>
            <w:vAlign w:val="bottom"/>
            <w:gridSpan w:val="6"/>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Form of Preliminary Prospectus Supplement For Debt Securities Offerings (incorporated by reference to Exhibit 99.3 to Pre-Effective</w:t>
              </w:r>
            </w:hyperlink>
          </w:p>
        </w:tc>
        <w:tc>
          <w:tcPr>
            <w:tcW w:w="74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Amendment No. 1 to the Company’s Registration Statement on Form N-2 filed on July 25, 2014)</w:t>
              </w:r>
            </w:hyperlink>
          </w:p>
        </w:tc>
        <w:tc>
          <w:tcPr>
            <w:tcW w:w="3380" w:type="dxa"/>
            <w:vAlign w:val="bottom"/>
            <w:gridSpan w:val="6"/>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Form of Preliminary Prospectus Supplement For Rights Offerings (incorporated by reference to Exhibit 99.4 to Pre-Effective Amendment No. 1</w:t>
              </w:r>
            </w:hyperlink>
          </w:p>
        </w:tc>
      </w:tr>
      <w:tr>
        <w:trPr>
          <w:trHeight w:val="196"/>
        </w:trPr>
        <w:tc>
          <w:tcPr>
            <w:tcW w:w="960" w:type="dxa"/>
            <w:vAlign w:val="bottom"/>
          </w:tcPr>
          <w:p>
            <w:pPr>
              <w:spacing w:after="0"/>
              <w:rPr>
                <w:sz w:val="17"/>
                <w:szCs w:val="17"/>
                <w:color w:val="auto"/>
              </w:rPr>
            </w:pPr>
          </w:p>
        </w:tc>
        <w:tc>
          <w:tcPr>
            <w:tcW w:w="5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to the Company’s Registration Statement on Form N-2 filed on July 25, 2014)</w:t>
              </w:r>
            </w:hyperlink>
          </w:p>
        </w:tc>
        <w:tc>
          <w:tcPr>
            <w:tcW w:w="4760" w:type="dxa"/>
            <w:vAlign w:val="bottom"/>
            <w:gridSpan w:val="8"/>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380" w:type="dxa"/>
            <w:vAlign w:val="bottom"/>
            <w:gridSpan w:val="11"/>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Preliminary Prospectus Supplement For Warrant Offerings (incorporated by reference to Exhibit 99.5 to Pre-Effective Amendment</w:t>
              </w:r>
            </w:hyperlink>
          </w:p>
        </w:tc>
      </w:tr>
      <w:tr>
        <w:trPr>
          <w:trHeight w:val="196"/>
        </w:trPr>
        <w:tc>
          <w:tcPr>
            <w:tcW w:w="960" w:type="dxa"/>
            <w:vAlign w:val="bottom"/>
          </w:tcPr>
          <w:p>
            <w:pPr>
              <w:spacing w:after="0"/>
              <w:rPr>
                <w:sz w:val="17"/>
                <w:szCs w:val="17"/>
                <w:color w:val="auto"/>
              </w:rPr>
            </w:pPr>
          </w:p>
        </w:tc>
        <w:tc>
          <w:tcPr>
            <w:tcW w:w="10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No. 1 to the Company’s Registration Statement on Form N-2 filed on July 25, 2014)</w:t>
              </w:r>
            </w:hyperlink>
          </w:p>
        </w:tc>
        <w:tc>
          <w:tcPr>
            <w:tcW w:w="34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60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Statement of Computation of Ratio of Earnings to Fixed Charges (1)</w:t>
              </w:r>
            </w:hyperlink>
          </w:p>
        </w:tc>
        <w:tc>
          <w:tcPr>
            <w:tcW w:w="4320" w:type="dxa"/>
            <w:vAlign w:val="bottom"/>
            <w:gridSpan w:val="7"/>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60" w:hanging="95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26. Marketing Arrangements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93,375*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28,625(1)</w:t>
            </w:r>
          </w:p>
        </w:tc>
        <w:tc>
          <w:tcPr>
            <w:tcW w:w="0" w:type="dxa"/>
            <w:vAlign w:val="bottom"/>
          </w:tcPr>
          <w:p>
            <w:pPr>
              <w:spacing w:after="0"/>
              <w:rPr>
                <w:sz w:val="1"/>
                <w:szCs w:val="1"/>
                <w:color w:val="auto"/>
              </w:rPr>
            </w:pPr>
          </w:p>
        </w:tc>
      </w:tr>
      <w:tr>
        <w:trPr>
          <w:trHeight w:val="223"/>
        </w:trPr>
        <w:tc>
          <w:tcPr>
            <w:tcW w:w="86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725,000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estimates.</w:t>
      </w:r>
    </w:p>
    <w:p>
      <w:pPr>
        <w:spacing w:after="0" w:line="27" w:lineRule="exact"/>
        <w:rPr>
          <w:sz w:val="20"/>
          <w:szCs w:val="20"/>
          <w:color w:val="auto"/>
        </w:rPr>
      </w:pPr>
    </w:p>
    <w:p>
      <w:pPr>
        <w:ind w:right="640" w:firstLine="8"/>
        <w:spacing w:after="0" w:line="261" w:lineRule="auto"/>
        <w:tabs>
          <w:tab w:leader="none" w:pos="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$75,525 of this amount has been offset against filing fees associated with unsold securities registered under a previous registration statement. ** $112,500 of this amount has been offset against filing fees associated with unsold securities registered under a previous registration statement.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340"/>
          </w:cols>
          <w:pgMar w:left="240" w:top="36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28. Persons Controlled by or Under Common Control</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29. Number of Holders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approximate number of record holders of our common stock as of May 10, 2018.</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80" w:type="dxa"/>
            <w:vAlign w:val="bottom"/>
            <w:gridSpan w:val="3"/>
          </w:tcPr>
          <w:p>
            <w:pPr>
              <w:jc w:val="center"/>
              <w:ind w:left="22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3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Record</w:t>
            </w:r>
          </w:p>
        </w:tc>
        <w:tc>
          <w:tcPr>
            <w:tcW w:w="0" w:type="dxa"/>
            <w:vAlign w:val="bottom"/>
          </w:tcPr>
          <w:p>
            <w:pPr>
              <w:spacing w:after="0"/>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 Indemnification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400"/>
          </w:cols>
          <w:pgMar w:left="240" w:top="266" w:right="25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31. Business and Other Connections of Investment Advisor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32. Location of Accounts and Records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6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301 Commerce Street, Suite 3300, Fort Worth, TX 76102;</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State Street Bank and Trust Company, 200 Clarendon Street, Boston, MA 02116;</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State Street Bank and Trust Company, 1 Lincoln Street Boston, MA 02111;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33. Management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34. Undertakings</w:t>
      </w:r>
    </w:p>
    <w:p>
      <w:pPr>
        <w:spacing w:after="0" w:line="135" w:lineRule="exact"/>
        <w:rPr>
          <w:sz w:val="20"/>
          <w:szCs w:val="20"/>
          <w:color w:val="auto"/>
        </w:rPr>
      </w:pPr>
    </w:p>
    <w:p>
      <w:pPr>
        <w:ind w:left="460" w:right="10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380"/>
          </w:cols>
          <w:pgMar w:left="240" w:top="270" w:right="279" w:bottom="1440" w:gutter="0" w:footer="0" w:header="0"/>
        </w:sectPr>
      </w:pPr>
    </w:p>
    <w:bookmarkStart w:id="9" w:name="page10"/>
    <w:bookmarkEnd w:id="9"/>
    <w:p>
      <w:pPr>
        <w:ind w:left="452" w:right="40" w:hanging="452"/>
        <w:spacing w:after="0" w:line="256"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3"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undertake:</w:t>
      </w:r>
    </w:p>
    <w:p>
      <w:pPr>
        <w:spacing w:after="0" w:line="1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130"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72" w:right="480" w:hanging="567"/>
        <w:spacing w:after="0" w:line="266" w:lineRule="auto"/>
        <w:tabs>
          <w:tab w:leader="none" w:pos="14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1" w:lineRule="exact"/>
        <w:rPr>
          <w:rFonts w:ascii="Times New Roman" w:cs="Times New Roman" w:eastAsia="Times New Roman" w:hAnsi="Times New Roman"/>
          <w:sz w:val="18"/>
          <w:szCs w:val="18"/>
          <w:color w:val="auto"/>
        </w:rPr>
      </w:pPr>
    </w:p>
    <w:p>
      <w:pPr>
        <w:ind w:left="1472" w:right="240" w:hanging="567"/>
        <w:spacing w:after="0" w:line="282" w:lineRule="auto"/>
        <w:tabs>
          <w:tab w:leader="none" w:pos="14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892" w:right="360" w:hanging="446"/>
        <w:spacing w:after="0" w:line="266" w:lineRule="auto"/>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892" w:hanging="446"/>
        <w:spacing w:after="0" w:line="282" w:lineRule="auto"/>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67" w:lineRule="exact"/>
        <w:rPr>
          <w:rFonts w:ascii="Times New Roman" w:cs="Times New Roman" w:eastAsia="Times New Roman" w:hAnsi="Times New Roman"/>
          <w:sz w:val="18"/>
          <w:szCs w:val="18"/>
          <w:color w:val="auto"/>
        </w:rPr>
      </w:pPr>
    </w:p>
    <w:p>
      <w:pPr>
        <w:ind w:left="892" w:hanging="446"/>
        <w:spacing w:after="0" w:line="255" w:lineRule="auto"/>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0" w:lineRule="exact"/>
        <w:rPr>
          <w:rFonts w:ascii="Times New Roman" w:cs="Times New Roman" w:eastAsia="Times New Roman" w:hAnsi="Times New Roman"/>
          <w:sz w:val="18"/>
          <w:szCs w:val="18"/>
          <w:color w:val="auto"/>
        </w:rPr>
      </w:pPr>
    </w:p>
    <w:p>
      <w:pPr>
        <w:ind w:left="892" w:right="40" w:hanging="446"/>
        <w:spacing w:after="0" w:line="261" w:lineRule="auto"/>
        <w:tabs>
          <w:tab w:leader="none" w:pos="8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85" w:lineRule="exact"/>
        <w:rPr>
          <w:rFonts w:ascii="Times New Roman" w:cs="Times New Roman" w:eastAsia="Times New Roman" w:hAnsi="Times New Roman"/>
          <w:sz w:val="18"/>
          <w:szCs w:val="18"/>
          <w:color w:val="auto"/>
        </w:rPr>
      </w:pPr>
    </w:p>
    <w:p>
      <w:pPr>
        <w:ind w:left="1472" w:right="300" w:hanging="567"/>
        <w:spacing w:after="0" w:line="282" w:lineRule="auto"/>
        <w:tabs>
          <w:tab w:leader="none" w:pos="14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ours relating to the offering required to be filed pursuant to Rule 497 under the Securities Act;</w:t>
      </w:r>
    </w:p>
    <w:p>
      <w:pPr>
        <w:spacing w:after="0" w:line="67" w:lineRule="exact"/>
        <w:rPr>
          <w:rFonts w:ascii="Times New Roman" w:cs="Times New Roman" w:eastAsia="Times New Roman" w:hAnsi="Times New Roman"/>
          <w:sz w:val="18"/>
          <w:szCs w:val="18"/>
          <w:color w:val="auto"/>
        </w:rPr>
      </w:pPr>
    </w:p>
    <w:p>
      <w:pPr>
        <w:ind w:left="1472" w:right="260" w:hanging="567"/>
        <w:spacing w:after="0" w:line="282" w:lineRule="auto"/>
        <w:tabs>
          <w:tab w:leader="none" w:pos="14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67"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us to the purchaser.</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392"/>
          </w:cols>
          <w:pgMar w:left="248" w:top="270" w:right="259" w:bottom="1440" w:gutter="0" w:footer="0" w:header="0"/>
        </w:sectPr>
      </w:pPr>
    </w:p>
    <w:bookmarkStart w:id="10" w:name="page11"/>
    <w:bookmarkEnd w:id="10"/>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undertake that:</w:t>
      </w:r>
    </w:p>
    <w:p>
      <w:pPr>
        <w:spacing w:after="0" w:line="130" w:lineRule="exact"/>
        <w:rPr>
          <w:rFonts w:ascii="Times New Roman" w:cs="Times New Roman" w:eastAsia="Times New Roman" w:hAnsi="Times New Roman"/>
          <w:sz w:val="18"/>
          <w:szCs w:val="18"/>
          <w:color w:val="auto"/>
        </w:rPr>
      </w:pPr>
    </w:p>
    <w:p>
      <w:pPr>
        <w:ind w:left="892" w:right="100" w:hanging="446"/>
        <w:spacing w:after="0" w:line="266"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81" w:lineRule="exact"/>
        <w:rPr>
          <w:rFonts w:ascii="Times New Roman" w:cs="Times New Roman" w:eastAsia="Times New Roman" w:hAnsi="Times New Roman"/>
          <w:sz w:val="18"/>
          <w:szCs w:val="18"/>
          <w:color w:val="auto"/>
        </w:rPr>
      </w:pPr>
    </w:p>
    <w:p>
      <w:pPr>
        <w:ind w:left="892" w:hanging="446"/>
        <w:spacing w:after="0" w:line="266"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452" w:right="120" w:hanging="452"/>
        <w:spacing w:after="0" w:line="282"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67" w:lineRule="exact"/>
        <w:rPr>
          <w:rFonts w:ascii="Times New Roman" w:cs="Times New Roman" w:eastAsia="Times New Roman" w:hAnsi="Times New Roman"/>
          <w:sz w:val="18"/>
          <w:szCs w:val="18"/>
          <w:color w:val="auto"/>
        </w:rPr>
      </w:pPr>
    </w:p>
    <w:p>
      <w:pPr>
        <w:ind w:left="452" w:right="420" w:hanging="452"/>
        <w:spacing w:after="0" w:line="313" w:lineRule="auto"/>
        <w:tabs>
          <w:tab w:leader="none" w:pos="45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43"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392"/>
          </w:cols>
          <w:pgMar w:left="248" w:top="270" w:right="25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the State of New York on the 29th day of June, 2018.</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Chief Financial Officer</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2 to the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00" w:type="dxa"/>
            <w:vAlign w:val="bottom"/>
          </w:tcPr>
          <w:p>
            <w:pPr>
              <w:spacing w:after="0"/>
              <w:rPr>
                <w:sz w:val="16"/>
                <w:szCs w:val="16"/>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Chief Executive Officer, Director and</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9"/>
              </w:rPr>
              <w:t>Joshua Easterly</w:t>
            </w:r>
          </w:p>
        </w:tc>
        <w:tc>
          <w:tcPr>
            <w:tcW w:w="300" w:type="dxa"/>
            <w:vAlign w:val="bottom"/>
          </w:tcPr>
          <w:p>
            <w:pPr>
              <w:spacing w:after="0"/>
              <w:rPr>
                <w:sz w:val="19"/>
                <w:szCs w:val="19"/>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6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8"/>
              </w:rPr>
              <w:t>/s/ Ian T. Simmonds</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9"/>
              </w:rPr>
              <w:t>Ian Simmonds</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Vice President and Principal Accounting Officer</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9"/>
              </w:rPr>
              <w:t>Michael Graf</w:t>
            </w:r>
          </w:p>
        </w:tc>
        <w:tc>
          <w:tcPr>
            <w:tcW w:w="300" w:type="dxa"/>
            <w:vAlign w:val="bottom"/>
          </w:tcPr>
          <w:p>
            <w:pPr>
              <w:spacing w:after="0"/>
              <w:rPr>
                <w:sz w:val="19"/>
                <w:szCs w:val="19"/>
                <w:color w:val="auto"/>
              </w:rPr>
            </w:pPr>
          </w:p>
        </w:tc>
        <w:tc>
          <w:tcPr>
            <w:tcW w:w="48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48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 and Chairman of the Audit Committee</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John A. Ross</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Michael Fishman</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Richard A. Higginbotham</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June 29, 2018</w:t>
            </w:r>
          </w:p>
        </w:tc>
      </w:tr>
      <w:tr>
        <w:trPr>
          <w:trHeight w:val="228"/>
        </w:trPr>
        <w:tc>
          <w:tcPr>
            <w:tcW w:w="420" w:type="dxa"/>
            <w:vAlign w:val="bottom"/>
          </w:tcPr>
          <w:p>
            <w:pPr>
              <w:spacing w:after="0"/>
              <w:rPr>
                <w:sz w:val="19"/>
                <w:szCs w:val="19"/>
                <w:color w:val="auto"/>
              </w:rPr>
            </w:pPr>
          </w:p>
        </w:tc>
        <w:tc>
          <w:tcPr>
            <w:tcW w:w="386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Ronald K. Tanemura</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6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/s/ Ian T. Simmonds</w:t>
            </w:r>
          </w:p>
        </w:tc>
        <w:tc>
          <w:tcPr>
            <w:tcW w:w="300" w:type="dxa"/>
            <w:vAlign w:val="bottom"/>
            <w:tcBorders>
              <w:bottom w:val="single" w:sz="8" w:color="auto"/>
            </w:tcBorders>
          </w:tcPr>
          <w:p>
            <w:pPr>
              <w:spacing w:after="0"/>
              <w:rPr>
                <w:sz w:val="24"/>
                <w:szCs w:val="24"/>
                <w:color w:val="auto"/>
              </w:rPr>
            </w:pPr>
          </w:p>
        </w:tc>
        <w:tc>
          <w:tcPr>
            <w:tcW w:w="4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860" w:type="dxa"/>
            <w:vAlign w:val="bottom"/>
          </w:tcPr>
          <w:p>
            <w:pPr>
              <w:ind w:left="820"/>
              <w:spacing w:after="0" w:line="191" w:lineRule="exact"/>
              <w:rPr>
                <w:sz w:val="20"/>
                <w:szCs w:val="20"/>
                <w:color w:val="auto"/>
              </w:rPr>
            </w:pPr>
            <w:r>
              <w:rPr>
                <w:rFonts w:ascii="Times New Roman" w:cs="Times New Roman" w:eastAsia="Times New Roman" w:hAnsi="Times New Roman"/>
                <w:sz w:val="18"/>
                <w:szCs w:val="18"/>
                <w:color w:val="auto"/>
              </w:rPr>
              <w:t>Ian Simmonds</w:t>
            </w:r>
          </w:p>
        </w:tc>
        <w:tc>
          <w:tcPr>
            <w:tcW w:w="3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3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Attorney-in-fact</w:t>
            </w:r>
          </w:p>
        </w:tc>
        <w:tc>
          <w:tcPr>
            <w:tcW w:w="3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360"/>
          </w:cols>
          <w:pgMar w:left="240" w:top="266" w:right="2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251460</wp:posOffset>
            </wp:positionV>
            <wp:extent cx="6071870" cy="2470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extLst>
                    </a:blip>
                    <a:srcRect/>
                    <a:stretch>
                      <a:fillRect/>
                    </a:stretch>
                  </pic:blipFill>
                  <pic:spPr bwMode="auto">
                    <a:xfrm>
                      <a:off x="0" y="0"/>
                      <a:ext cx="607187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June 29,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have acted as counsel to TPG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 registration statement on Form N-2 (No. 333-223986), as amended as of June 14, 2018 for purposes of Rule 430C(a) under the Securities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so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prospectus, dated May 21, 2018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the prospectus supplement thereto, dated June 14, 2018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of $7,500,000 aggregate principal amount of 4.50% Convertible Notes due 2022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were issued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dated as of February 1, 2017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Wells Fargo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by the First Supplemental Indenture thereto dated as of June 19, 2018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Trustee. The Securities constitute a further issuance of, and will form a single series with, the $100,000,000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4.50% Convertible Notes due 2022 issued by the Company on February 1, 2017, the $15,000,000 in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4.50% Convertible Notes due 2022 issued by the Company on February 3, 2017 and the $50,000,000 in aggregate principal amount of 4.50%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due 2022 issued by the Company on June 19, 2018.</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31" w:lineRule="exact"/>
        <w:rPr>
          <w:sz w:val="20"/>
          <w:szCs w:val="20"/>
          <w:color w:val="auto"/>
        </w:rPr>
      </w:pPr>
    </w:p>
    <w:p>
      <w:pPr>
        <w:ind w:left="1480" w:hanging="567"/>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343535</wp:posOffset>
            </wp:positionV>
            <wp:extent cx="37477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extLst>
                    </a:blip>
                    <a:srcRect/>
                    <a:stretch>
                      <a:fillRect/>
                    </a:stretch>
                  </pic:blipFill>
                  <pic:spPr bwMode="auto">
                    <a:xfrm>
                      <a:off x="0" y="0"/>
                      <a:ext cx="3747770" cy="15430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374" w:lineRule="exact"/>
        <w:rPr>
          <w:sz w:val="20"/>
          <w:szCs w:val="20"/>
          <w:color w:val="auto"/>
        </w:rPr>
      </w:pPr>
    </w:p>
    <w:p>
      <w:pPr>
        <w:ind w:left="1480" w:right="600" w:hanging="567"/>
        <w:spacing w:after="0" w:line="282"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June 14, 2018, among the Company, TSL Advisers, LLC and the several underwriters named in Schedule 1 thereto;</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Securities in global form as executed by the Company and authenticated by the Trustee;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the Base Indenture and the Supplemental Indenture; and</w:t>
      </w:r>
    </w:p>
    <w:p>
      <w:pPr>
        <w:spacing w:after="0" w:line="130" w:lineRule="exact"/>
        <w:rPr>
          <w:rFonts w:ascii="Times New Roman" w:cs="Times New Roman" w:eastAsia="Times New Roman" w:hAnsi="Times New Roman"/>
          <w:sz w:val="18"/>
          <w:szCs w:val="18"/>
          <w:color w:val="auto"/>
        </w:rPr>
      </w:pPr>
    </w:p>
    <w:p>
      <w:pPr>
        <w:jc w:val="both"/>
        <w:ind w:left="1480" w:hanging="567"/>
        <w:spacing w:after="0" w:line="266"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Bylaws, certified by the Secretary of the Company.</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62"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w:t>
      </w:r>
    </w:p>
    <w:p>
      <w:pPr>
        <w:spacing w:after="0" w:line="225" w:lineRule="exact"/>
        <w:rPr>
          <w:sz w:val="20"/>
          <w:szCs w:val="20"/>
          <w:color w:val="auto"/>
        </w:rPr>
      </w:pPr>
    </w:p>
    <w:p>
      <w:pPr>
        <w:ind w:left="1280" w:hanging="359"/>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the valid, binding and enforceable obligations of the Company, entitled to the benefits of the Indenture.</w:t>
      </w:r>
    </w:p>
    <w:p>
      <w:pPr>
        <w:spacing w:after="0" w:line="225" w:lineRule="exact"/>
        <w:rPr>
          <w:rFonts w:ascii="Times New Roman" w:cs="Times New Roman" w:eastAsia="Times New Roman" w:hAnsi="Times New Roman"/>
          <w:sz w:val="18"/>
          <w:szCs w:val="18"/>
          <w:color w:val="auto"/>
        </w:rPr>
      </w:pPr>
    </w:p>
    <w:p>
      <w:pPr>
        <w:ind w:right="40" w:firstLine="921"/>
        <w:spacing w:after="0" w:line="261" w:lineRule="auto"/>
        <w:tabs>
          <w:tab w:leader="none" w:pos="1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into which the Securities are convertible at the conversion price have been duly authorized by all necessary corporate action of the Company and reserved for issuance upon conversion and, upon issuance thereof on conversion of the Securities in accordance with the Indenture and the terms of the Securities at conversion prices at or in excess of the par value of such shares of Common Stock, will be validly issued, fully paid and nonassessable.</w:t>
      </w:r>
    </w:p>
    <w:p>
      <w:pPr>
        <w:spacing w:after="0" w:line="18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Insofar as the foregoing opinions relate to the valid existence and good standing of the Company or any Subsidiary, they are based solely on confirmation from public officials. Insofar as the foregoing opinions relate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any mandatory choice of law rules and (z) such opinions are subject to applicable bankruptcy, insolvency and similar laws affecting creditors’ rights generally and to general principles of equity.</w:t>
      </w:r>
    </w:p>
    <w:p>
      <w:pPr>
        <w:sectPr>
          <w:pgSz w:w="11900" w:h="16838" w:orient="portrait"/>
          <w:cols w:equalWidth="0" w:num="1">
            <w:col w:w="11400"/>
          </w:cols>
          <w:pgMar w:left="240" w:top="270"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3</w:t>
      </w:r>
    </w:p>
    <w:p>
      <w:pPr>
        <w:spacing w:after="0" w:line="374" w:lineRule="exact"/>
        <w:rPr>
          <w:sz w:val="20"/>
          <w:szCs w:val="20"/>
          <w:color w:val="auto"/>
        </w:rPr>
      </w:pPr>
    </w:p>
    <w:p>
      <w:pPr>
        <w:ind w:right="100" w:firstLine="913"/>
        <w:spacing w:after="0" w:line="289" w:lineRule="auto"/>
        <w:rPr>
          <w:sz w:val="20"/>
          <w:szCs w:val="20"/>
          <w:color w:val="auto"/>
        </w:rPr>
      </w:pPr>
      <w:r>
        <w:rPr>
          <w:rFonts w:ascii="Times New Roman" w:cs="Times New Roman" w:eastAsia="Times New Roman" w:hAnsi="Times New Roman"/>
          <w:sz w:val="17"/>
          <w:szCs w:val="17"/>
          <w:color w:val="auto"/>
        </w:rPr>
        <w:t>In rendering the opinions expressed above, we have assumed that the increase in the conversion rate applicable to the Securities upon the occurrence of a Make-Whole Fundamental Change (as defined in the Indenture) pursuant to the provisions of the Indenture and any related provisions of the Securities represents reasonable compensation for the lost option value of the Securities as a result of the occurrence of a Make-Whole Fundamental Change.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jc w:val="both"/>
        <w:ind w:right="180" w:firstLine="913"/>
        <w:spacing w:after="0" w:line="261" w:lineRule="auto"/>
        <w:rPr>
          <w:sz w:val="20"/>
          <w:szCs w:val="20"/>
          <w:color w:val="auto"/>
        </w:rPr>
      </w:pPr>
      <w:r>
        <w:rPr>
          <w:rFonts w:ascii="Times New Roman" w:cs="Times New Roman" w:eastAsia="Times New Roman" w:hAnsi="Times New Roman"/>
          <w:sz w:val="18"/>
          <w:szCs w:val="18"/>
          <w:color w:val="auto"/>
        </w:rPr>
        <w:t>We hereby consent to the use of our name in the Prospectus Supplement and the Prospectus under the headings “Legal Matters” as counsel for the Company that has passed on the validity of the Securities, and to the use of this opinion as a part (Exhibit (l)(3)) of the Registration Statement. In giving this consent, we do not thereby admit that we are within the category of persons whose consent is required under Section 7 of the Securities Act or the rules and regulations of the Securities and Exchange Commission thereunder.</w:t>
      </w:r>
    </w:p>
    <w:p>
      <w:pPr>
        <w:spacing w:after="0" w:line="180"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3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347"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Adam E. Fleisher</w:t>
            </w:r>
          </w:p>
        </w:tc>
      </w:tr>
      <w:tr>
        <w:trPr>
          <w:trHeight w:val="228"/>
        </w:trPr>
        <w:tc>
          <w:tcPr>
            <w:tcW w:w="280" w:type="dxa"/>
            <w:vAlign w:val="bottom"/>
          </w:tcPr>
          <w:p>
            <w:pPr>
              <w:spacing w:after="0"/>
              <w:rPr>
                <w:sz w:val="19"/>
                <w:szCs w:val="19"/>
                <w:color w:val="auto"/>
              </w:rPr>
            </w:pPr>
          </w:p>
        </w:tc>
        <w:tc>
          <w:tcPr>
            <w:tcW w:w="4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Adam E. Fleisher, a Partner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2"/>
    </w:lvl>
  </w:abstractNum>
  <w:abstractNum w:abstractNumId="1">
    <w:nsid w:val="5BD062C2"/>
    <w:multiLevelType w:val="hybridMultilevel"/>
    <w:lvl w:ilvl="0">
      <w:lvlJc w:val="left"/>
      <w:lvlText w:val="(%1)"/>
      <w:numFmt w:val="lowerLetter"/>
      <w:start w:val="5"/>
    </w:lvl>
  </w:abstractNum>
  <w:abstractNum w:abstractNumId="2">
    <w:nsid w:val="12200854"/>
    <w:multiLevelType w:val="hybridMultilevel"/>
    <w:lvl w:ilvl="0">
      <w:lvlJc w:val="left"/>
      <w:lvlText w:val="(%1)"/>
      <w:numFmt w:val="lowerLetter"/>
      <w:start w:val="7"/>
    </w:lvl>
  </w:abstractNum>
  <w:abstractNum w:abstractNumId="3">
    <w:nsid w:val="4DB127F8"/>
    <w:multiLevelType w:val="hybridMultilevel"/>
    <w:lvl w:ilvl="0">
      <w:lvlJc w:val="left"/>
      <w:lvlText w:val="(%1)"/>
      <w:numFmt w:val="lowerLetter"/>
      <w:start w:val="9"/>
    </w:lvl>
  </w:abstractNum>
  <w:abstractNum w:abstractNumId="4">
    <w:nsid w:val="216231B"/>
    <w:multiLevelType w:val="hybridMultilevel"/>
    <w:lvl w:ilvl="0">
      <w:lvlJc w:val="left"/>
      <w:lvlText w:val="(%1)"/>
      <w:numFmt w:val="lowerLetter"/>
      <w:start w:val="13"/>
    </w:lvl>
  </w:abstractNum>
  <w:abstractNum w:abstractNumId="5">
    <w:nsid w:val="1F16E9E8"/>
    <w:multiLevelType w:val="hybridMultilevel"/>
    <w:lvl w:ilvl="0">
      <w:lvlJc w:val="left"/>
      <w:lvlText w:val="(%1)"/>
      <w:numFmt w:val="lowerLetter"/>
      <w:start w:val="15"/>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
    <w:nsid w:val="7FDCC233"/>
    <w:multiLevelType w:val="hybridMultilevel"/>
    <w:lvl w:ilvl="0">
      <w:lvlJc w:val="left"/>
      <w:lvlText w:val="(%1)"/>
      <w:numFmt w:val="decimal"/>
      <w:start w:val="5"/>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33" Type="http://schemas.openxmlformats.org/officeDocument/2006/relationships/image" Target="media/image13.png"/><Relationship Id="rId46" Type="http://schemas.openxmlformats.org/officeDocument/2006/relationships/image" Target="media/image14.png"/><Relationship Id="rId64" Type="http://schemas.openxmlformats.org/officeDocument/2006/relationships/image" Target="media/image15.png"/><Relationship Id="rId65" Type="http://schemas.openxmlformats.org/officeDocument/2006/relationships/image" Target="media/image16.png"/><Relationship Id="rId66" Type="http://schemas.openxmlformats.org/officeDocument/2006/relationships/image" Target="media/image17.png"/><Relationship Id="rId67" Type="http://schemas.openxmlformats.org/officeDocument/2006/relationships/image" Target="media/image18.png"/><Relationship Id="rId68" Type="http://schemas.openxmlformats.org/officeDocument/2006/relationships/image" Target="media/image19.png"/><Relationship Id="rId69" Type="http://schemas.openxmlformats.org/officeDocument/2006/relationships/image" Target="media/image20.png"/><Relationship Id="rId70" Type="http://schemas.openxmlformats.org/officeDocument/2006/relationships/image" Target="media/image21.png"/><Relationship Id="rId71" Type="http://schemas.openxmlformats.org/officeDocument/2006/relationships/image" Target="media/image22.jpeg"/><Relationship Id="rId72" Type="http://schemas.openxmlformats.org/officeDocument/2006/relationships/image" Target="media/image23.jpeg"/><Relationship Id="rId73" Type="http://schemas.openxmlformats.org/officeDocument/2006/relationships/image" Target="media/image24.png"/><Relationship Id="rId74" Type="http://schemas.openxmlformats.org/officeDocument/2006/relationships/image" Target="media/image25.png"/><Relationship Id="rId19" Type="http://schemas.openxmlformats.org/officeDocument/2006/relationships/hyperlink" Target="http://www.sec.gov/Archives/edgar/data/1508655/000095012311025019/y90239exv3w1.htm" TargetMode="External"/><Relationship Id="rId20" Type="http://schemas.openxmlformats.org/officeDocument/2006/relationships/hyperlink" Target="http://www.sec.gov/Archives/edgar/data/1508655/000119312514095223/d691342dex31.htm" TargetMode="External"/><Relationship Id="rId22" Type="http://schemas.openxmlformats.org/officeDocument/2006/relationships/hyperlink" Target="http://www.sec.gov/Archives/edgar/data/1508655/000156459016027941/tslx-ex31_210.htm" TargetMode="External"/><Relationship Id="rId23" Type="http://schemas.openxmlformats.org/officeDocument/2006/relationships/hyperlink" Target="http://www.sec.gov/Archives/edgar/data/1508655/000156459016027941/tslx-ex32_139.htm" TargetMode="External"/><Relationship Id="rId24" Type="http://schemas.openxmlformats.org/officeDocument/2006/relationships/hyperlink" Target="http://www.sec.gov/Archives/edgar/data/1508655/000119312512127485/d318388dex42.htm" TargetMode="External"/><Relationship Id="rId25" Type="http://schemas.openxmlformats.org/officeDocument/2006/relationships/hyperlink" Target="http://www.sec.gov/Archives/edgar/data/1508655/000119312514280584/d744245dex99d7.htm" TargetMode="External"/><Relationship Id="rId26" Type="http://schemas.openxmlformats.org/officeDocument/2006/relationships/hyperlink" Target="http://www.sec.gov/Archives/edgar/data/1508655/000119312518099500/d558335dex99d3.htm" TargetMode="External"/><Relationship Id="rId27" Type="http://schemas.openxmlformats.org/officeDocument/2006/relationships/hyperlink" Target="http://www.sec.gov/Archives/edgar/data/1508655/000119312514232207/d738714dex41.htm" TargetMode="External"/><Relationship Id="rId28" Type="http://schemas.openxmlformats.org/officeDocument/2006/relationships/hyperlink" Target="http://www.sec.gov/Archives/edgar/data/1508655/000119312517027505/d341977dex41.htm" TargetMode="External"/><Relationship Id="rId29" Type="http://schemas.openxmlformats.org/officeDocument/2006/relationships/hyperlink" Target="http://www.sec.gov/Archives/edgar/data/1508655/000119312518016134/d428064dex41.htm" TargetMode="External"/><Relationship Id="rId30" Type="http://schemas.openxmlformats.org/officeDocument/2006/relationships/hyperlink" Target="http://www.sec.gov/Archives/edgar/data/1508655/000119312518016134/d428064dex42.htm" TargetMode="External"/><Relationship Id="rId31" Type="http://schemas.openxmlformats.org/officeDocument/2006/relationships/hyperlink" Target="http://www.sec.gov/Archives/edgar/data/1508655/000119312518196892/d612351dex41.htm" TargetMode="External"/><Relationship Id="rId32" Type="http://schemas.openxmlformats.org/officeDocument/2006/relationships/hyperlink" Target="http://www.sec.gov/Archives/edgar/data/1508655/000119312514102674/d630521dex99e.htm" TargetMode="External"/><Relationship Id="rId34" Type="http://schemas.openxmlformats.org/officeDocument/2006/relationships/hyperlink" Target="http://www.sec.gov/Archives/edgar/data/1508655/000119312511339263/d269504dex101.htm" TargetMode="External"/><Relationship Id="rId35" Type="http://schemas.openxmlformats.org/officeDocument/2006/relationships/hyperlink" Target="http://www.sec.gov/Archives/edgar/data/1508655/000119312516525998/d167944dex99h1.htm" TargetMode="External"/><Relationship Id="rId36" Type="http://schemas.openxmlformats.org/officeDocument/2006/relationships/hyperlink" Target="http://www.sec.gov/Archives/edgar/data/1508655/000119312516525998/d167944dex99h2.htm" TargetMode="External"/><Relationship Id="rId37" Type="http://schemas.openxmlformats.org/officeDocument/2006/relationships/hyperlink" Target="http://www.sec.gov/Archives/edgar/data/0001508655/000119312518196986/d206986dex99h3.htm" TargetMode="External"/><Relationship Id="rId38" Type="http://schemas.openxmlformats.org/officeDocument/2006/relationships/hyperlink" Target="http://www.sec.gov/Archives/edgar/data/1508655/000119312512490609/d446947dex101.htm" TargetMode="External"/><Relationship Id="rId39" Type="http://schemas.openxmlformats.org/officeDocument/2006/relationships/hyperlink" Target="http://www.sec.gov/Archives/edgar/data/1508655/000095012311025019/y90239exv10w3.htm" TargetMode="External"/><Relationship Id="rId40" Type="http://schemas.openxmlformats.org/officeDocument/2006/relationships/hyperlink" Target="http://www.sec.gov/Archives/edgar/data/1508655/000119312512469369/d434820dex101.htm" TargetMode="External"/><Relationship Id="rId41" Type="http://schemas.openxmlformats.org/officeDocument/2006/relationships/hyperlink" Target="http://www.sec.gov/Archives/edgar/data/1508655/000119312513285854/d565284dex101.htm" TargetMode="External"/><Relationship Id="rId42" Type="http://schemas.openxmlformats.org/officeDocument/2006/relationships/hyperlink" Target="http://www.sec.gov/Archives/edgar/data/1508655/000119312514082476/d673597dex1020.htm" TargetMode="External"/><Relationship Id="rId43" Type="http://schemas.openxmlformats.org/officeDocument/2006/relationships/hyperlink" Target="http://www.sec.gov/Archives/edgar/data/1508655/000119312514293593/d769019dex103.htm" TargetMode="External"/><Relationship Id="rId44" Type="http://schemas.openxmlformats.org/officeDocument/2006/relationships/hyperlink" Target="http://www.sec.gov/Archives/edgar/data/1508655/000119312514293593/d769019dex104.htm" TargetMode="External"/><Relationship Id="rId45" Type="http://schemas.openxmlformats.org/officeDocument/2006/relationships/hyperlink" Target="http://www.sec.gov/Archives/edgar/data/1508655/000119312514293593/d769019dex105.htm" TargetMode="External"/><Relationship Id="rId47" Type="http://schemas.openxmlformats.org/officeDocument/2006/relationships/hyperlink" Target="http://www.sec.gov/Archives/edgar/data/1508655/000119312514394267/d813731dex101.htm" TargetMode="External"/><Relationship Id="rId48" Type="http://schemas.openxmlformats.org/officeDocument/2006/relationships/hyperlink" Target="http://www.sec.gov/Archives/edgar/data/1508655/000156459015009165/tslx-ex101_394.htm" TargetMode="External"/><Relationship Id="rId49" Type="http://schemas.openxmlformats.org/officeDocument/2006/relationships/hyperlink" Target="http://www.sec.gov/Archives/edgar/data/1508655/000156459017002010/tslx-ex1015_196.htm" TargetMode="External"/><Relationship Id="rId50" Type="http://schemas.openxmlformats.org/officeDocument/2006/relationships/hyperlink" Target="http://www.sec.gov/Archives/edgar/data/1508655/000156459017002010/tslx-ex1016_267.htm" TargetMode="External"/><Relationship Id="rId51" Type="http://schemas.openxmlformats.org/officeDocument/2006/relationships/hyperlink" Target="http://www.sec.gov/Archives/edgar/data/1508655/000156459018002665/tslx-ex1016_374.htm" TargetMode="External"/><Relationship Id="rId52" Type="http://schemas.openxmlformats.org/officeDocument/2006/relationships/hyperlink" Target="http://www.sec.gov/Archives/edgar/data/1508655/000119312518099500/d558335dex99l.htm" TargetMode="External"/><Relationship Id="rId53" Type="http://schemas.openxmlformats.org/officeDocument/2006/relationships/hyperlink" Target="http://www.sec.gov/Archives/edgar/data/0001508655/000119312518196986/d206986dex99l2.htm" TargetMode="External"/><Relationship Id="rId54" Type="http://schemas.openxmlformats.org/officeDocument/2006/relationships/hyperlink" Target="http://www.sec.gov/Archives/edgar/data/1508655/000119312518159844/d558335dex99n2.htm" TargetMode="External"/><Relationship Id="rId55" Type="http://schemas.openxmlformats.org/officeDocument/2006/relationships/hyperlink" Target="http://www.sec.gov/Archives/edgar/data/1508655/000119312518089142/d463543dex99n6.htm" TargetMode="External"/><Relationship Id="rId56" Type="http://schemas.openxmlformats.org/officeDocument/2006/relationships/hyperlink" Target="http://www.sec.gov/Archives/edgar/data/1508655/000119312514102674/d630521dex99r1.htm" TargetMode="External"/><Relationship Id="rId57" Type="http://schemas.openxmlformats.org/officeDocument/2006/relationships/hyperlink" Target="http://www.sec.gov/Archives/edgar/data/1508655/000119312514102674/d630521dex99r2.htm" TargetMode="External"/><Relationship Id="rId58" Type="http://schemas.openxmlformats.org/officeDocument/2006/relationships/hyperlink" Target="http://www.sec.gov/Archives/edgar/data/1508655/000119312514280584/d744245dex991.htm" TargetMode="External"/><Relationship Id="rId59" Type="http://schemas.openxmlformats.org/officeDocument/2006/relationships/hyperlink" Target="http://www.sec.gov/Archives/edgar/data/1508655/000119312514280584/d744245dex992.htm" TargetMode="External"/><Relationship Id="rId60" Type="http://schemas.openxmlformats.org/officeDocument/2006/relationships/hyperlink" Target="http://www.sec.gov/Archives/edgar/data/1508655/000119312514280584/d744245dex993.htm" TargetMode="External"/><Relationship Id="rId61" Type="http://schemas.openxmlformats.org/officeDocument/2006/relationships/hyperlink" Target="http://www.sec.gov/Archives/edgar/data/1508655/000119312514280584/d744245dex994.htm" TargetMode="External"/><Relationship Id="rId62" Type="http://schemas.openxmlformats.org/officeDocument/2006/relationships/hyperlink" Target="http://www.sec.gov/Archives/edgar/data/1508655/000119312514280584/d744245dex995.htm" TargetMode="External"/><Relationship Id="rId63" Type="http://schemas.openxmlformats.org/officeDocument/2006/relationships/hyperlink" Target="http://www.sec.gov/Archives/edgar/data/1508655/000119312518159844/d558335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2019-12-07T21:27:20Z</dcterms:created>
  <dcterms:modified xsi:type="dcterms:W3CDTF">2019-12-07T21:27:20Z</dcterms:modified>
</cp:coreProperties>
</file>