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August 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41"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41"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41"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41"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 Results of Operations and Financial Condition</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August 3, 2016, the registrant issued a press release announcing its financial results for the quarter ended June 30, 2016. The text of the press release is included as Exhibit 99.1 to this Form 8-K.</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August 3, 2016, the registrant issued a press release, included herewith as Exhibit 99.1, announcing the declaration of a third fiscal quarter 2016 dividend of $0.39 per share, payable on or about October 31, 2016 to stockholders of record as of September 30, 2016.</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3, 2016</w:t>
      </w:r>
    </w:p>
    <w:p>
      <w:pPr>
        <w:sectPr>
          <w:pgSz w:w="11900" w:h="16838" w:orient="portrait"/>
          <w:cols w:equalWidth="0" w:num="1">
            <w:col w:w="11300"/>
          </w:cols>
          <w:pgMar w:left="240" w:top="270"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266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7"/>
          <w:szCs w:val="17"/>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4" w:right="4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TPG Specialty Lending, Inc. Announces Quarter Ended June 30, 2016 Financial Results; Board Declares Quarterly Dividend of $0.39 Per Share for the Third Fiscal Quarter of 2016 and Approves an Extension of Stock Repurchase Plan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YORK—(BUSINESS WIRE)—August 3, 2016— TPG Specialty Lending, Inc. (NYSE: TSLX, or the “Company”) today reported net investment income of $25.5 million, or $0.43 per share, for the quarter ended June 30, 2016. Net asset value per share was $15.55 at June 30, 2016 as compared to $15.11 at March 31, 2016. The Company’s Board of Directors previously declared a second quarter dividend of $0.39 per share, payable to stockholders of record as of June 30, 2016 that was paid on July 29, 2016.</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also announced that its Board of Directors has declared a quarterly dividend of $0.39 per share for stockholders of record as of September 30, 2016, payable on or about October 31, 2016.</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Board of Directors approved an extension of the Company’s stock repurchase plan (“Company 10b5-1 Plan”) to acquire up to $50 million in the aggregate of TSLX’s common stock at prices just below TSLX’s net asset value per share, in accordance with the guidelines specified in Rule 10b-18 and Rule 10b5-1 of the Securities Exchange Act of 1934. Unless extended or terminated by its Board of Directors, the Company expects that the stock repurchase plan will be in effect through the earlier of February 28, 2017, or such time as the current approved repurchase amount of up to $50 million has been fully utilized, subject to certain conditions. Under the Company 10b5-1 Plan, no shares were purchased during the three months ended June 30,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(amounts in millions, except per share amounts)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0" w:type="dxa"/>
            <w:vAlign w:val="bottom"/>
            <w:gridSpan w:val="3"/>
          </w:tcPr>
          <w:p>
            <w:pPr>
              <w:jc w:val="center"/>
              <w:ind w:right="680"/>
              <w:spacing w:after="0" w:line="155" w:lineRule="exact"/>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300" w:type="dxa"/>
            <w:vAlign w:val="bottom"/>
            <w:gridSpan w:val="2"/>
            <w:vMerge w:val="restart"/>
          </w:tcPr>
          <w:p>
            <w:pPr>
              <w:jc w:val="right"/>
              <w:ind w:right="93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73"/>
              <w:spacing w:after="0" w:line="119" w:lineRule="exact"/>
              <w:rPr>
                <w:sz w:val="20"/>
                <w:szCs w:val="20"/>
                <w:color w:val="auto"/>
              </w:rPr>
            </w:pPr>
            <w:r>
              <w:rPr>
                <w:rFonts w:ascii="Arial" w:cs="Arial" w:eastAsia="Arial" w:hAnsi="Arial"/>
                <w:sz w:val="13"/>
                <w:szCs w:val="13"/>
                <w:b w:val="1"/>
                <w:bCs w:val="1"/>
                <w:color w:val="auto"/>
              </w:rPr>
              <w:t>(unaudited)</w:t>
            </w:r>
          </w:p>
        </w:tc>
        <w:tc>
          <w:tcPr>
            <w:tcW w:w="680" w:type="dxa"/>
            <w:vAlign w:val="bottom"/>
          </w:tcPr>
          <w:p>
            <w:pPr>
              <w:spacing w:after="0"/>
              <w:rPr>
                <w:sz w:val="10"/>
                <w:szCs w:val="10"/>
                <w:color w:val="auto"/>
              </w:rPr>
            </w:pPr>
          </w:p>
        </w:tc>
        <w:tc>
          <w:tcPr>
            <w:tcW w:w="13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6"/>
              </w:rPr>
              <w:t>March 31, 2016</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1,611.0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1,397.6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30"/>
              <w:spacing w:after="0"/>
              <w:rPr>
                <w:sz w:val="20"/>
                <w:szCs w:val="20"/>
                <w:color w:val="auto"/>
              </w:rPr>
            </w:pPr>
            <w:r>
              <w:rPr>
                <w:rFonts w:ascii="Arial" w:cs="Arial" w:eastAsia="Arial" w:hAnsi="Arial"/>
                <w:sz w:val="18"/>
                <w:szCs w:val="18"/>
                <w:color w:val="auto"/>
                <w:w w:val="99"/>
              </w:rPr>
              <w:t>1,628.8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1,584.3</w:t>
            </w: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w w:val="99"/>
              </w:rPr>
              <w:t>1,445.6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30"/>
              <w:spacing w:after="0"/>
              <w:rPr>
                <w:sz w:val="20"/>
                <w:szCs w:val="20"/>
                <w:color w:val="auto"/>
              </w:rPr>
            </w:pPr>
            <w:r>
              <w:rPr>
                <w:rFonts w:ascii="Arial" w:cs="Arial" w:eastAsia="Arial" w:hAnsi="Arial"/>
                <w:sz w:val="18"/>
                <w:szCs w:val="18"/>
                <w:color w:val="auto"/>
              </w:rPr>
              <w:t>46.0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42.8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30"/>
              <w:spacing w:after="0"/>
              <w:rPr>
                <w:sz w:val="20"/>
                <w:szCs w:val="20"/>
                <w:color w:val="auto"/>
              </w:rPr>
            </w:pPr>
            <w:r>
              <w:rPr>
                <w:rFonts w:ascii="Arial" w:cs="Arial" w:eastAsia="Arial" w:hAnsi="Arial"/>
                <w:sz w:val="18"/>
                <w:szCs w:val="18"/>
                <w:color w:val="auto"/>
              </w:rPr>
              <w:t>49.6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17.8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Realized and Unrealized Gains (and Losses) Per Share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30"/>
              <w:spacing w:after="0"/>
              <w:rPr>
                <w:sz w:val="20"/>
                <w:szCs w:val="20"/>
                <w:color w:val="auto"/>
              </w:rPr>
            </w:pPr>
            <w:r>
              <w:rPr>
                <w:rFonts w:ascii="Arial" w:cs="Arial" w:eastAsia="Arial" w:hAnsi="Arial"/>
                <w:sz w:val="18"/>
                <w:szCs w:val="18"/>
                <w:color w:val="auto"/>
              </w:rPr>
              <w:t>0.41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(0.10)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0.84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310"/>
        </w:trPr>
        <w:tc>
          <w:tcPr>
            <w:tcW w:w="5740" w:type="dxa"/>
            <w:vAlign w:val="bottom"/>
            <w:gridSpan w:val="2"/>
          </w:tcPr>
          <w:p>
            <w:pPr>
              <w:spacing w:after="0"/>
              <w:rPr>
                <w:sz w:val="20"/>
                <w:szCs w:val="20"/>
                <w:color w:val="auto"/>
              </w:rPr>
            </w:pPr>
            <w:r>
              <w:rPr>
                <w:rFonts w:ascii="Arial" w:cs="Arial" w:eastAsia="Arial" w:hAnsi="Arial"/>
                <w:sz w:val="18"/>
                <w:szCs w:val="18"/>
                <w:color w:val="auto"/>
                <w:w w:val="98"/>
              </w:rPr>
              <w:t>Weighted Average Yield of Debt and Income Producing Securities at Fair</w:t>
            </w: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Value</w:t>
            </w:r>
          </w:p>
        </w:tc>
        <w:tc>
          <w:tcPr>
            <w:tcW w:w="660" w:type="dxa"/>
            <w:vAlign w:val="bottom"/>
          </w:tcPr>
          <w:p>
            <w:pPr>
              <w:spacing w:after="0"/>
              <w:rPr>
                <w:sz w:val="20"/>
                <w:szCs w:val="20"/>
                <w:color w:val="auto"/>
              </w:rPr>
            </w:pPr>
          </w:p>
        </w:tc>
        <w:tc>
          <w:tcPr>
            <w:tcW w:w="1640" w:type="dxa"/>
            <w:vAlign w:val="bottom"/>
          </w:tcPr>
          <w:p>
            <w:pPr>
              <w:jc w:val="right"/>
              <w:ind w:right="79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0"/>
                <w:szCs w:val="20"/>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 Producing Securities at</w:t>
            </w:r>
          </w:p>
        </w:tc>
        <w:tc>
          <w:tcPr>
            <w:tcW w:w="6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Amortized Cost</w:t>
            </w:r>
          </w:p>
        </w:tc>
        <w:tc>
          <w:tcPr>
            <w:tcW w:w="66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w:t>
            </w: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Percentage of Debt Investment Commitments at Floating Rates</w:t>
            </w:r>
          </w:p>
        </w:tc>
        <w:tc>
          <w:tcPr>
            <w:tcW w:w="660" w:type="dxa"/>
            <w:vAlign w:val="bottom"/>
          </w:tcPr>
          <w:p>
            <w:pPr>
              <w:spacing w:after="0"/>
              <w:rPr>
                <w:sz w:val="24"/>
                <w:szCs w:val="24"/>
                <w:color w:val="auto"/>
              </w:rPr>
            </w:pPr>
          </w:p>
        </w:tc>
        <w:tc>
          <w:tcPr>
            <w:tcW w:w="1640" w:type="dxa"/>
            <w:vAlign w:val="bottom"/>
          </w:tcPr>
          <w:p>
            <w:pPr>
              <w:jc w:val="right"/>
              <w:ind w:right="610"/>
              <w:spacing w:after="0"/>
              <w:rPr>
                <w:sz w:val="20"/>
                <w:szCs w:val="20"/>
                <w:color w:val="auto"/>
              </w:rPr>
            </w:pPr>
            <w:r>
              <w:rPr>
                <w:rFonts w:ascii="Arial" w:cs="Arial" w:eastAsia="Arial" w:hAnsi="Arial"/>
                <w:sz w:val="18"/>
                <w:szCs w:val="18"/>
                <w:color w:val="auto"/>
              </w:rPr>
              <w:t>96%</w:t>
            </w:r>
            <w:r>
              <w:rPr>
                <w:rFonts w:ascii="Arial" w:cs="Arial" w:eastAsia="Arial" w:hAnsi="Arial"/>
                <w:sz w:val="15"/>
                <w:szCs w:val="15"/>
                <w:color w:val="auto"/>
              </w:rPr>
              <w:t>(1)</w:t>
            </w:r>
          </w:p>
        </w:tc>
        <w:tc>
          <w:tcPr>
            <w:tcW w:w="160" w:type="dxa"/>
            <w:vAlign w:val="bottom"/>
          </w:tcPr>
          <w:p>
            <w:pPr>
              <w:spacing w:after="0"/>
              <w:rPr>
                <w:sz w:val="24"/>
                <w:szCs w:val="24"/>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96%</w:t>
            </w:r>
            <w:r>
              <w:rPr>
                <w:rFonts w:ascii="Arial" w:cs="Arial" w:eastAsia="Arial" w:hAnsi="Arial"/>
                <w:sz w:val="15"/>
                <w:szCs w:val="15"/>
                <w:color w:val="auto"/>
              </w:rPr>
              <w:t>(1)</w:t>
            </w:r>
          </w:p>
        </w:tc>
        <w:tc>
          <w:tcPr>
            <w:tcW w:w="5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one fixed rate investment for which we entered into an interest rate swap agreement to swap to a floating rate.</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The conference call will be broadcast live at 8:30 a.m. Eastern Time on August 4, 2016. </w:t>
      </w:r>
      <w:r>
        <w:rPr>
          <w:rFonts w:ascii="Arial" w:cs="Arial" w:eastAsia="Arial" w:hAnsi="Arial"/>
          <w:sz w:val="18"/>
          <w:szCs w:val="18"/>
          <w:b w:val="1"/>
          <w:bCs w:val="1"/>
          <w:i w:val="1"/>
          <w:iCs w:val="1"/>
          <w:color w:val="auto"/>
        </w:rPr>
        <w:t>Please visit TSLX’s webcast link located on the Events &amp;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Presentation 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w:t>
      </w:r>
      <w:r>
        <w:rPr>
          <w:rFonts w:ascii="Arial" w:cs="Arial" w:eastAsia="Arial" w:hAnsi="Arial"/>
          <w:sz w:val="18"/>
          <w:szCs w:val="18"/>
          <w:color w:val="auto"/>
        </w:rPr>
        <w:t>. Please visit the website to test your connection before the webcast.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38155488</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 archived replay will be available from approximately 12:00 p.m. Eastern Time on August 4 through August 18 via a webcast link located on the Investor Resources section of the Company’s website, and via the dial-in numbers listed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38155488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June 30, 2016, gross originations totaled $199.7 million. This compares to $164.6 million for the three months ended March 31, 2016 and $112.3 million for the three months ended June 30, 2015.</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three months ended June 30, 2016, the Company made new investment commitments of $184.7 million, $170.0 million in three new portfolio companies and $14.7 million in three existing portfolio companies. For this period, the Company had $114.7 million aggregate principal amount in exits and repayments, resulting in a net portfolio increase of $31.1 million aggregate principal amount.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three months ended June 30, 2015, the Company made new investment commitments of $112.3 million, $96.8 million in five new portfolio companies and $15.5 million in three existing portfolio companies. For this period, the Company had $21.6 million aggregate principal amount in exits and repayments, resulting in a net portfolio increase of $62.5 million aggregate principal amount.</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June 30, 2016 and March 31, 2016, the Company had investments in 50 and 48 portfolio companies, respectively, with an aggregate fair value of $1,611.0 million and $1,563.7 million, respectively.</w:t>
      </w:r>
    </w:p>
    <w:p>
      <w:pPr>
        <w:sectPr>
          <w:pgSz w:w="11900" w:h="16838" w:orient="portrait"/>
          <w:cols w:equalWidth="0" w:num="1">
            <w:col w:w="11420"/>
          </w:cols>
          <w:pgMar w:left="240" w:top="270" w:right="239" w:bottom="1440" w:gutter="0" w:footer="0" w:header="0"/>
        </w:sectPr>
      </w:pPr>
    </w:p>
    <w:bookmarkStart w:id="5" w:name="page6"/>
    <w:bookmarkEnd w:id="5"/>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June 30, 2016, the portfolio based on fair value consisted of 92.9% first-lien debt investments, 3.7% second-lien debt investments, 1.9% mezzanine and unsecured debt investments, and 1.5% equity and other investments. As of March 31, 2016, the portfolio consisted of 89.0% first-lien debt investments, 7.7% second-lien debt investments, 1.9% mezzanine and unsecured debt investments, and 1.4% equity and other investments.</w:t>
      </w:r>
    </w:p>
    <w:p>
      <w:pPr>
        <w:spacing w:after="0" w:line="16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of June 30, 2016, 96.4% of debt investments based on fair value in the Company’s portfolio bore interest at floating rates (when including investment specific hedges), with 92.6% of these subject to interest rate floors. The Company’s credit facility also bears interest at floating rates.</w:t>
      </w:r>
    </w:p>
    <w:p>
      <w:pPr>
        <w:spacing w:after="0" w:line="147"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As of June 30, 2016 and March 31, 2016, the weighted average total yield of debt and income producing securities at fair value (which includes interest income and amortization of fees and discounts) was 10.6% and 10.5%, respectively, and the weighted average total yield of debt and income producing securities at amortized cost (which includes interest income and amortization of fees and discounts) was 10.5% and 10.3%, respectively.</w:t>
      </w:r>
    </w:p>
    <w:p>
      <w:pPr>
        <w:spacing w:after="0" w:line="147" w:lineRule="exact"/>
        <w:rPr>
          <w:sz w:val="20"/>
          <w:szCs w:val="20"/>
          <w:color w:val="auto"/>
        </w:rPr>
      </w:pPr>
    </w:p>
    <w:p>
      <w:pPr>
        <w:jc w:val="both"/>
        <w:ind w:right="500"/>
        <w:spacing w:after="0" w:line="277" w:lineRule="auto"/>
        <w:rPr>
          <w:sz w:val="20"/>
          <w:szCs w:val="20"/>
          <w:color w:val="auto"/>
        </w:rPr>
      </w:pPr>
      <w:r>
        <w:rPr>
          <w:rFonts w:ascii="Arial" w:cs="Arial" w:eastAsia="Arial" w:hAnsi="Arial"/>
          <w:sz w:val="18"/>
          <w:szCs w:val="18"/>
          <w:color w:val="auto"/>
        </w:rPr>
        <w:t>As of June 30, 2016, 99.5% of debt investments based on fair value were meeting all payment and covenant requirements. One investment was on non-accrual status at June 30, 2016.</w:t>
      </w:r>
    </w:p>
    <w:p>
      <w:pPr>
        <w:spacing w:after="0" w:line="275" w:lineRule="exact"/>
        <w:rPr>
          <w:sz w:val="20"/>
          <w:szCs w:val="20"/>
          <w:color w:val="auto"/>
        </w:rPr>
      </w:pPr>
    </w:p>
    <w:p>
      <w:pPr>
        <w:ind w:right="2360"/>
        <w:spacing w:after="0" w:line="378" w:lineRule="auto"/>
        <w:rPr>
          <w:sz w:val="20"/>
          <w:szCs w:val="20"/>
          <w:color w:val="auto"/>
        </w:rPr>
      </w:pPr>
      <w:r>
        <w:rPr>
          <w:rFonts w:ascii="Arial" w:cs="Arial" w:eastAsia="Arial" w:hAnsi="Arial"/>
          <w:sz w:val="18"/>
          <w:szCs w:val="18"/>
          <w:b w:val="1"/>
          <w:bCs w:val="1"/>
          <w:color w:val="auto"/>
        </w:rPr>
        <w:t xml:space="preserve">Results of Operations for the Three Months Ended June 30, 2016 compared to the Three Months Ended June 30, 2015 </w:t>
      </w:r>
      <w:r>
        <w:rPr>
          <w:rFonts w:ascii="Arial" w:cs="Arial" w:eastAsia="Arial" w:hAnsi="Arial"/>
          <w:sz w:val="18"/>
          <w:szCs w:val="18"/>
          <w:b w:val="1"/>
          <w:bCs w:val="1"/>
          <w:i w:val="1"/>
          <w:iCs w:val="1"/>
          <w:color w:val="auto"/>
        </w:rPr>
        <w:t>Investment Income</w:t>
      </w:r>
    </w:p>
    <w:p>
      <w:pPr>
        <w:ind w:right="140"/>
        <w:spacing w:after="0" w:line="259" w:lineRule="auto"/>
        <w:rPr>
          <w:sz w:val="20"/>
          <w:szCs w:val="20"/>
          <w:color w:val="auto"/>
        </w:rPr>
      </w:pPr>
      <w:r>
        <w:rPr>
          <w:rFonts w:ascii="Arial" w:cs="Arial" w:eastAsia="Arial" w:hAnsi="Arial"/>
          <w:sz w:val="18"/>
          <w:szCs w:val="18"/>
          <w:color w:val="auto"/>
        </w:rPr>
        <w:t>For the three months ended June 30, 2016 and 2015, investment income totaled $46.0 million and $45.4 million, respectively. The increase in investment income for the quarter was primarily driven by an increase in the average size of the total investment portfolio, higher syndication, amendment and agency fees, and dividend income, partially offset by lower prepayment fees and accelerated amortization of upfront fees from unscheduled paydowns, as compared to the same period in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expenses totaled $20.0 million and $19.8 million for the three months ended June 30, 2016 and 2015, respectively. The increase in net expenses was primarily due to higher interest expense related to an increase in the weighted average debt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June 30, 2016, the Company had $3.9 million in cash and cash equivalents, total debt outstanding of $675.4 million, and $260.9 million of undrawn commitments on its revolving credit facility, subject to borrowing base and other limitations. The weighted average interest rate on debt outstanding was 2.6% for the three months ended June 30, 2016 and 2.5% for the three months ended June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rated BBB- by Fitch Ratings and Standard and Poor’s, each with a stable outlook.</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2"/>
              </w:rPr>
              <w:t>June 30, 2016</w:t>
            </w:r>
          </w:p>
        </w:tc>
        <w:tc>
          <w:tcPr>
            <w:tcW w:w="1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June 30, 2015</w:t>
            </w:r>
          </w:p>
        </w:tc>
        <w:tc>
          <w:tcPr>
            <w:tcW w:w="240" w:type="dxa"/>
            <w:vAlign w:val="bottom"/>
          </w:tcPr>
          <w:p>
            <w:pPr>
              <w:spacing w:after="0"/>
              <w:rPr>
                <w:sz w:val="14"/>
                <w:szCs w:val="14"/>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June 30, 2016</w:t>
            </w:r>
          </w:p>
        </w:tc>
        <w:tc>
          <w:tcPr>
            <w:tcW w:w="24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June 30, 2015</w:t>
            </w: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from investments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41,674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76,054</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w:t>
            </w:r>
          </w:p>
        </w:tc>
      </w:tr>
      <w:tr>
        <w:trPr>
          <w:trHeight w:val="209"/>
        </w:trPr>
        <w:tc>
          <w:tcPr>
            <w:tcW w:w="5720" w:type="dxa"/>
            <w:vAlign w:val="bottom"/>
          </w:tcPr>
          <w:p>
            <w:pPr>
              <w:ind w:left="720"/>
              <w:spacing w:after="0"/>
              <w:rPr>
                <w:sz w:val="20"/>
                <w:szCs w:val="20"/>
                <w:color w:val="auto"/>
              </w:rPr>
            </w:pPr>
            <w:r>
              <w:rPr>
                <w:rFonts w:ascii="Arial" w:cs="Arial" w:eastAsia="Arial" w:hAnsi="Arial"/>
                <w:sz w:val="18"/>
                <w:szCs w:val="18"/>
                <w:color w:val="auto"/>
              </w:rPr>
              <w:t>Total investment income from non-controlled, non-affiliated</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20" w:type="dxa"/>
            <w:vAlign w:val="bottom"/>
          </w:tcPr>
          <w:p>
            <w:pPr>
              <w:ind w:left="90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43,565</w:t>
            </w:r>
          </w:p>
        </w:tc>
        <w:tc>
          <w:tcPr>
            <w:tcW w:w="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43,804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83,932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80,060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Interest from investments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2,418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4,751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2,909</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30"/>
        </w:trPr>
        <w:tc>
          <w:tcPr>
            <w:tcW w:w="5720" w:type="dxa"/>
            <w:vAlign w:val="bottom"/>
          </w:tcPr>
          <w:p>
            <w:pPr>
              <w:ind w:left="720"/>
              <w:spacing w:after="0"/>
              <w:rPr>
                <w:sz w:val="20"/>
                <w:szCs w:val="20"/>
                <w:color w:val="auto"/>
              </w:rPr>
            </w:pPr>
            <w:r>
              <w:rPr>
                <w:rFonts w:ascii="Arial" w:cs="Arial" w:eastAsia="Arial" w:hAnsi="Arial"/>
                <w:sz w:val="18"/>
                <w:szCs w:val="18"/>
                <w:color w:val="auto"/>
              </w:rPr>
              <w:t>Total investment income from controlled, affiliated investments</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0"/>
                <w:szCs w:val="20"/>
                <w:color w:val="auto"/>
              </w:rPr>
            </w:pPr>
          </w:p>
        </w:tc>
      </w:tr>
      <w:tr>
        <w:trPr>
          <w:trHeight w:val="216"/>
        </w:trPr>
        <w:tc>
          <w:tcPr>
            <w:tcW w:w="57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Investment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46,034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88,784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83,081</w:t>
            </w: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Management fees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5,993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5,296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10,247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Professional fees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1,971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2,312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2,427</w:t>
            </w: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20,140</w:t>
            </w: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36,435</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Management and incentive fees waived</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57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20,041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36,435</w:t>
            </w: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46,646</w:t>
            </w:r>
          </w:p>
        </w:tc>
        <w:tc>
          <w:tcPr>
            <w:tcW w:w="10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25,503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48,694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45,806</w:t>
            </w:r>
          </w:p>
        </w:tc>
        <w:tc>
          <w:tcPr>
            <w:tcW w:w="10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14,801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8,493</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Controlled, affiliated investments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4,208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of assets and liabilities in foreign currencies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(1,208)</w:t>
            </w: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net change in unrealized gains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23,840</w:t>
            </w: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11,123</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Realized gains (losses):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30"/>
        </w:trPr>
        <w:tc>
          <w:tcPr>
            <w:tcW w:w="5720" w:type="dxa"/>
            <w:vAlign w:val="bottom"/>
          </w:tcPr>
          <w:p>
            <w:pPr>
              <w:ind w:left="1080"/>
              <w:spacing w:after="0"/>
              <w:rPr>
                <w:sz w:val="20"/>
                <w:szCs w:val="20"/>
                <w:color w:val="auto"/>
              </w:rPr>
            </w:pPr>
            <w:r>
              <w:rPr>
                <w:rFonts w:ascii="Arial" w:cs="Arial" w:eastAsia="Arial" w:hAnsi="Arial"/>
                <w:sz w:val="18"/>
                <w:szCs w:val="18"/>
                <w:color w:val="auto"/>
              </w:rPr>
              <w:t>Total realized gains (losses)</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0"/>
                <w:szCs w:val="20"/>
                <w:color w:val="auto"/>
              </w:rPr>
            </w:pPr>
          </w:p>
        </w:tc>
      </w:tr>
      <w:tr>
        <w:trPr>
          <w:trHeight w:val="216"/>
        </w:trPr>
        <w:tc>
          <w:tcPr>
            <w:tcW w:w="5720" w:type="dxa"/>
            <w:vAlign w:val="bottom"/>
            <w:shd w:val="clear" w:color="auto" w:fill="CCEEFF"/>
          </w:tcPr>
          <w:p>
            <w:pPr>
              <w:ind w:left="1260"/>
              <w:spacing w:after="0"/>
              <w:rPr>
                <w:sz w:val="20"/>
                <w:szCs w:val="20"/>
                <w:color w:val="auto"/>
              </w:rPr>
            </w:pPr>
            <w:r>
              <w:rPr>
                <w:rFonts w:ascii="Arial" w:cs="Arial" w:eastAsia="Arial" w:hAnsi="Arial"/>
                <w:sz w:val="18"/>
                <w:szCs w:val="18"/>
                <w:b w:val="1"/>
                <w:bCs w:val="1"/>
                <w:color w:val="auto"/>
              </w:rPr>
              <w:t>Total Unrealized and Realized Gains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24,135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12,767</w:t>
            </w:r>
          </w:p>
        </w:tc>
      </w:tr>
      <w:tr>
        <w:trPr>
          <w:trHeight w:val="223"/>
        </w:trPr>
        <w:tc>
          <w:tcPr>
            <w:tcW w:w="5720" w:type="dxa"/>
            <w:vAlign w:val="bottom"/>
          </w:tcPr>
          <w:p>
            <w:pPr>
              <w:ind w:left="1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58,573</w:t>
            </w:r>
          </w:p>
        </w:tc>
        <w:tc>
          <w:tcPr>
            <w:tcW w:w="1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w w:val="95"/>
              </w:rPr>
              <w:t>Weighted average shares of common stock outstanding—basic and diluted</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59,348,460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53,987,627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57,575,365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53,945,087</w:t>
            </w:r>
          </w:p>
        </w:tc>
        <w:tc>
          <w:tcPr>
            <w:tcW w:w="10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2016</w:t>
            </w:r>
          </w:p>
        </w:tc>
        <w:tc>
          <w:tcPr>
            <w:tcW w:w="2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Non-controlled, non-affiliated investments (amortized cost of $1,548,473 and $1,443,017, respectively)</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1,542,664</w:t>
            </w:r>
          </w:p>
        </w:tc>
        <w:tc>
          <w:tcPr>
            <w:tcW w:w="5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$91,686 and $86,659, respectively)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68,375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$1,640,159 and $1,529,676, respectively)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1,611,039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3,941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1,967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1,628,812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Debt (net of deferred financing costs of $9,215 and $10,365, respectively)</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663,925</w:t>
            </w:r>
          </w:p>
        </w:tc>
        <w:tc>
          <w:tcPr>
            <w:tcW w:w="50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5,999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5,309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23,171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5,107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704,793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685,827</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$0.01 par value; 400,000,000 shares authorized, 59,500,972 and 54,166,959 shares issued,</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 and 59,411,892 and 54,163,960 shares outstanding, respectively</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895,554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89,080 and 2,999 shares held, respectively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29,044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(10,165)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10,350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924,019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1,628,812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15.55</w:t>
            </w:r>
          </w:p>
        </w:tc>
        <w:tc>
          <w:tcPr>
            <w:tcW w:w="5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investment activity for the three months ended June 30, 2016 and 2015 is presented below (information presented herein is at par value unless otherwise indicated).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2016</w:t>
            </w: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199.7</w:t>
            </w:r>
          </w:p>
        </w:tc>
        <w:tc>
          <w:tcPr>
            <w:tcW w:w="520" w:type="dxa"/>
            <w:vAlign w:val="bottom"/>
          </w:tcPr>
          <w:p>
            <w:pPr>
              <w:spacing w:after="0"/>
              <w:rPr>
                <w:sz w:val="18"/>
                <w:szCs w:val="18"/>
                <w:color w:val="auto"/>
              </w:rPr>
            </w:pPr>
          </w:p>
        </w:tc>
        <w:tc>
          <w:tcPr>
            <w:tcW w:w="7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4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145.8</w:t>
            </w:r>
          </w:p>
        </w:tc>
        <w:tc>
          <w:tcPr>
            <w:tcW w:w="520" w:type="dxa"/>
            <w:vAlign w:val="bottom"/>
          </w:tcPr>
          <w:p>
            <w:pPr>
              <w:spacing w:after="0"/>
              <w:rPr>
                <w:sz w:val="18"/>
                <w:szCs w:val="18"/>
                <w:color w:val="auto"/>
              </w:rPr>
            </w:pPr>
          </w:p>
        </w:tc>
        <w:tc>
          <w:tcPr>
            <w:tcW w:w="7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Pr>
          <w:p>
            <w:pPr>
              <w:ind w:left="72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52.2</w:t>
            </w:r>
          </w:p>
        </w:tc>
        <w:tc>
          <w:tcPr>
            <w:tcW w:w="520" w:type="dxa"/>
            <w:vAlign w:val="bottom"/>
          </w:tcPr>
          <w:p>
            <w:pPr>
              <w:spacing w:after="0"/>
              <w:rPr>
                <w:sz w:val="18"/>
                <w:szCs w:val="18"/>
                <w:color w:val="auto"/>
              </w:rPr>
            </w:pPr>
          </w:p>
        </w:tc>
        <w:tc>
          <w:tcPr>
            <w:tcW w:w="7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60" w:type="dxa"/>
            <w:vAlign w:val="bottom"/>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4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180"/>
              <w:spacing w:after="0"/>
              <w:rPr>
                <w:sz w:val="20"/>
                <w:szCs w:val="20"/>
                <w:color w:val="auto"/>
              </w:rPr>
            </w:pPr>
            <w:r>
              <w:rPr>
                <w:rFonts w:ascii="Arial" w:cs="Arial" w:eastAsia="Arial" w:hAnsi="Arial"/>
                <w:sz w:val="18"/>
                <w:szCs w:val="18"/>
                <w:b w:val="1"/>
                <w:bCs w:val="1"/>
                <w:color w:val="auto"/>
              </w:rPr>
              <w:t>companies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Average new investment commitment amount in new portfolio</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companies</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5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6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Weighted average term for new investment commitments in new</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180"/>
              <w:spacing w:after="0"/>
              <w:rPr>
                <w:sz w:val="20"/>
                <w:szCs w:val="20"/>
                <w:color w:val="auto"/>
              </w:rPr>
            </w:pPr>
            <w:r>
              <w:rPr>
                <w:rFonts w:ascii="Arial" w:cs="Arial" w:eastAsia="Arial" w:hAnsi="Arial"/>
                <w:sz w:val="18"/>
                <w:szCs w:val="18"/>
                <w:b w:val="1"/>
                <w:bCs w:val="1"/>
                <w:color w:val="auto"/>
              </w:rPr>
              <w:t>portfolio companies (in years)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Percentage of new debt investment commitments at floating rates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Weighted average interest rate of new investment commitments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8"/>
        </w:trPr>
        <w:tc>
          <w:tcPr>
            <w:tcW w:w="546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 rate</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180"/>
              <w:spacing w:after="0"/>
              <w:rPr>
                <w:sz w:val="20"/>
                <w:szCs w:val="20"/>
                <w:color w:val="auto"/>
              </w:rPr>
            </w:pPr>
            <w:r>
              <w:rPr>
                <w:rFonts w:ascii="Arial" w:cs="Arial" w:eastAsia="Arial" w:hAnsi="Arial"/>
                <w:sz w:val="18"/>
                <w:szCs w:val="18"/>
                <w:b w:val="1"/>
                <w:bCs w:val="1"/>
                <w:color w:val="auto"/>
              </w:rPr>
              <w:t>investment commitments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Weighted average interest rate on investments sold or paid down</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www.tpgspecialtylending.com.</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080"/>
      </w:cols>
      <w:pgMar w:left="2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2019-12-08T20:33:51Z</dcterms:created>
  <dcterms:modified xsi:type="dcterms:W3CDTF">2019-12-08T20:33:51Z</dcterms:modified>
</cp:coreProperties>
</file>