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b w:val="1"/>
          <w:bCs w:val="1"/>
          <w:color w:val="auto"/>
        </w:rPr>
        <w:t>Filed pursuant to Rule 497(a)</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File No. 333-196969</w:t>
      </w:r>
    </w:p>
    <w:p>
      <w:pPr>
        <w:spacing w:after="0" w:line="9"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Rule 482ad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2955290</wp:posOffset>
            </wp:positionH>
            <wp:positionV relativeFrom="paragraph">
              <wp:posOffset>5715</wp:posOffset>
            </wp:positionV>
            <wp:extent cx="1346200" cy="660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TPG Specialty Lending, Inc.</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Dated: August 5, 2014</w:t>
      </w:r>
    </w:p>
    <w:p>
      <w:pPr>
        <w:spacing w:after="0" w:line="117" w:lineRule="exact"/>
        <w:rPr>
          <w:sz w:val="24"/>
          <w:szCs w:val="24"/>
          <w:color w:val="auto"/>
        </w:rPr>
      </w:pPr>
    </w:p>
    <w:p>
      <w:pPr>
        <w:ind w:right="340"/>
        <w:spacing w:after="0" w:line="308" w:lineRule="auto"/>
        <w:rPr>
          <w:sz w:val="20"/>
          <w:szCs w:val="20"/>
          <w:color w:val="auto"/>
        </w:rPr>
      </w:pPr>
      <w:r>
        <w:rPr>
          <w:rFonts w:ascii="Arial" w:cs="Arial" w:eastAsia="Arial" w:hAnsi="Arial"/>
          <w:sz w:val="17"/>
          <w:szCs w:val="17"/>
          <w:i w:val="1"/>
          <w:iCs w:val="1"/>
          <w:color w:val="auto"/>
        </w:rPr>
        <w:t>The following offering notification is provided for your convenience and information. The information herein is qualified in its entirety by reference to the prospectus relating to the security. Capitalized terms used but not defined herein have the meaning ascribed to them in the prospectus.</w:t>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Offering Notification – TPG Specialty Lending, Inc.</w:t>
      </w:r>
    </w:p>
    <w:p>
      <w:pPr>
        <w:sectPr>
          <w:pgSz w:w="11900" w:h="16838" w:orient="portrait"/>
          <w:cols w:equalWidth="0" w:num="1">
            <w:col w:w="11420"/>
          </w:cols>
          <w:pgMar w:left="240" w:top="688" w:right="239" w:bottom="1440" w:gutter="0" w:footer="0" w:header="0"/>
        </w:sectPr>
      </w:pPr>
    </w:p>
    <w:p>
      <w:pPr>
        <w:spacing w:after="0" w:line="256" w:lineRule="exact"/>
        <w:rPr>
          <w:sz w:val="24"/>
          <w:szCs w:val="24"/>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rPr>
          <w:sz w:val="20"/>
          <w:szCs w:val="20"/>
          <w:color w:val="auto"/>
        </w:rPr>
      </w:pPr>
      <w:r>
        <w:rPr>
          <w:rFonts w:ascii="Arial" w:cs="Arial" w:eastAsia="Arial" w:hAnsi="Arial"/>
          <w:sz w:val="16"/>
          <w:szCs w:val="16"/>
          <w:color w:val="auto"/>
        </w:rPr>
        <w:t>TPG Specialty Lending, Inc. (the “Company”)</w:t>
      </w:r>
    </w:p>
    <w:p>
      <w:pPr>
        <w:spacing w:after="0" w:line="140" w:lineRule="exact"/>
        <w:rPr>
          <w:sz w:val="24"/>
          <w:szCs w:val="24"/>
          <w:color w:val="auto"/>
        </w:rPr>
      </w:pPr>
    </w:p>
    <w:p>
      <w:pPr>
        <w:sectPr>
          <w:pgSz w:w="11900" w:h="16838" w:orient="portrait"/>
          <w:cols w:equalWidth="0" w:num="2">
            <w:col w:w="2020" w:space="720"/>
            <w:col w:w="8680"/>
          </w:cols>
          <w:pgMar w:left="240" w:top="688" w:right="239" w:bottom="1440" w:gutter="0" w:footer="0" w:header="0"/>
          <w:type w:val="continuous"/>
        </w:sectPr>
      </w:pPr>
    </w:p>
    <w:p>
      <w:pPr>
        <w:spacing w:after="0"/>
        <w:rPr>
          <w:sz w:val="20"/>
          <w:szCs w:val="20"/>
          <w:color w:val="auto"/>
        </w:rPr>
      </w:pPr>
      <w:r>
        <w:rPr>
          <w:rFonts w:ascii="Arial" w:cs="Arial" w:eastAsia="Arial" w:hAnsi="Arial"/>
          <w:sz w:val="16"/>
          <w:szCs w:val="16"/>
          <w:color w:val="auto"/>
        </w:rPr>
        <w:t>Ticker Symbol (Exchange):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TSLX (NYSE)</w:t>
      </w:r>
    </w:p>
    <w:p>
      <w:pPr>
        <w:spacing w:after="0" w:line="129" w:lineRule="exact"/>
        <w:rPr>
          <w:sz w:val="24"/>
          <w:szCs w:val="24"/>
          <w:color w:val="auto"/>
        </w:rPr>
      </w:pPr>
    </w:p>
    <w:p>
      <w:pPr>
        <w:sectPr>
          <w:pgSz w:w="11900" w:h="16838" w:orient="portrait"/>
          <w:cols w:equalWidth="0" w:num="2">
            <w:col w:w="2020" w:space="720"/>
            <w:col w:w="8680"/>
          </w:cols>
          <w:pgMar w:left="240" w:top="688" w:right="239" w:bottom="1440" w:gutter="0" w:footer="0" w:header="0"/>
          <w:type w:val="continuous"/>
        </w:sectPr>
      </w:pPr>
    </w:p>
    <w:p>
      <w:pPr>
        <w:spacing w:after="0"/>
        <w:rPr>
          <w:sz w:val="20"/>
          <w:szCs w:val="20"/>
          <w:color w:val="auto"/>
        </w:rPr>
      </w:pPr>
      <w:r>
        <w:rPr>
          <w:rFonts w:ascii="Arial" w:cs="Arial" w:eastAsia="Arial" w:hAnsi="Arial"/>
          <w:sz w:val="17"/>
          <w:szCs w:val="17"/>
          <w:color w:val="auto"/>
        </w:rPr>
        <w:t>Type of Offering: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Secondary Offering of Common Stock</w:t>
      </w:r>
    </w:p>
    <w:p>
      <w:pPr>
        <w:spacing w:after="0" w:line="140" w:lineRule="exact"/>
        <w:rPr>
          <w:sz w:val="24"/>
          <w:szCs w:val="24"/>
          <w:color w:val="auto"/>
        </w:rPr>
      </w:pPr>
    </w:p>
    <w:p>
      <w:pPr>
        <w:sectPr>
          <w:pgSz w:w="11900" w:h="16838" w:orient="portrait"/>
          <w:cols w:equalWidth="0" w:num="2">
            <w:col w:w="2020" w:space="720"/>
            <w:col w:w="8680"/>
          </w:cols>
          <w:pgMar w:left="240" w:top="688" w:right="239" w:bottom="1440" w:gutter="0" w:footer="0" w:header="0"/>
          <w:type w:val="continuous"/>
        </w:sectPr>
      </w:pPr>
    </w:p>
    <w:p>
      <w:pPr>
        <w:spacing w:after="0"/>
        <w:rPr>
          <w:sz w:val="20"/>
          <w:szCs w:val="20"/>
          <w:color w:val="auto"/>
        </w:rPr>
      </w:pPr>
      <w:r>
        <w:rPr>
          <w:rFonts w:ascii="Arial" w:cs="Arial" w:eastAsia="Arial" w:hAnsi="Arial"/>
          <w:sz w:val="16"/>
          <w:szCs w:val="16"/>
          <w:color w:val="auto"/>
        </w:rPr>
        <w:t>Expected Pricing: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August [6], 2014</w:t>
      </w:r>
    </w:p>
    <w:p>
      <w:pPr>
        <w:spacing w:after="0" w:line="129" w:lineRule="exact"/>
        <w:rPr>
          <w:sz w:val="24"/>
          <w:szCs w:val="24"/>
          <w:color w:val="auto"/>
        </w:rPr>
      </w:pPr>
    </w:p>
    <w:p>
      <w:pPr>
        <w:sectPr>
          <w:pgSz w:w="11900" w:h="16838" w:orient="portrait"/>
          <w:cols w:equalWidth="0" w:num="2">
            <w:col w:w="2020" w:space="720"/>
            <w:col w:w="8680"/>
          </w:cols>
          <w:pgMar w:left="240" w:top="688" w:right="239" w:bottom="1440" w:gutter="0" w:footer="0" w:header="0"/>
          <w:type w:val="continuous"/>
        </w:sectPr>
      </w:pPr>
    </w:p>
    <w:p>
      <w:pPr>
        <w:spacing w:after="0"/>
        <w:rPr>
          <w:sz w:val="20"/>
          <w:szCs w:val="20"/>
          <w:color w:val="auto"/>
        </w:rPr>
      </w:pPr>
      <w:r>
        <w:rPr>
          <w:rFonts w:ascii="Arial" w:cs="Arial" w:eastAsia="Arial" w:hAnsi="Arial"/>
          <w:sz w:val="17"/>
          <w:szCs w:val="17"/>
          <w:color w:val="auto"/>
        </w:rPr>
        <w:t>Size of Offering: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5,000,000 shares (not including underwriters’ option to purchase up to an additional 750,000 shares of common stock)</w:t>
      </w:r>
    </w:p>
    <w:p>
      <w:pPr>
        <w:spacing w:after="0" w:line="140" w:lineRule="exact"/>
        <w:rPr>
          <w:sz w:val="24"/>
          <w:szCs w:val="24"/>
          <w:color w:val="auto"/>
        </w:rPr>
      </w:pPr>
    </w:p>
    <w:p>
      <w:pPr>
        <w:sectPr>
          <w:pgSz w:w="11900" w:h="16838" w:orient="portrait"/>
          <w:cols w:equalWidth="0" w:num="2">
            <w:col w:w="2020" w:space="720"/>
            <w:col w:w="8680"/>
          </w:cols>
          <w:pgMar w:left="240" w:top="688" w:right="239" w:bottom="1440" w:gutter="0" w:footer="0" w:header="0"/>
          <w:type w:val="continuous"/>
        </w:sectPr>
      </w:pPr>
    </w:p>
    <w:p>
      <w:pPr>
        <w:spacing w:after="0"/>
        <w:rPr>
          <w:sz w:val="20"/>
          <w:szCs w:val="20"/>
          <w:color w:val="auto"/>
        </w:rPr>
      </w:pPr>
      <w:r>
        <w:rPr>
          <w:rFonts w:ascii="Arial" w:cs="Arial" w:eastAsia="Arial" w:hAnsi="Arial"/>
          <w:sz w:val="18"/>
          <w:szCs w:val="18"/>
          <w:color w:val="auto"/>
        </w:rPr>
        <w:t>Underwriters’ Option to</w:t>
      </w:r>
    </w:p>
    <w:p>
      <w:pPr>
        <w:spacing w:after="0" w:line="23" w:lineRule="exact"/>
        <w:rPr>
          <w:sz w:val="24"/>
          <w:szCs w:val="24"/>
          <w:color w:val="auto"/>
        </w:rPr>
      </w:pPr>
    </w:p>
    <w:p>
      <w:pPr>
        <w:ind w:left="180"/>
        <w:spacing w:after="0"/>
        <w:rPr>
          <w:sz w:val="20"/>
          <w:szCs w:val="20"/>
          <w:color w:val="auto"/>
        </w:rPr>
      </w:pPr>
      <w:r>
        <w:rPr>
          <w:rFonts w:ascii="Arial" w:cs="Arial" w:eastAsia="Arial" w:hAnsi="Arial"/>
          <w:sz w:val="16"/>
          <w:szCs w:val="16"/>
          <w:color w:val="auto"/>
        </w:rPr>
        <w:t>Purchase Additional Shares: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color w:val="auto"/>
        </w:rPr>
        <w:t>15%</w:t>
      </w:r>
    </w:p>
    <w:p>
      <w:pPr>
        <w:sectPr>
          <w:pgSz w:w="11900" w:h="16838" w:orient="portrait"/>
          <w:cols w:equalWidth="0" w:num="2">
            <w:col w:w="2220" w:space="520"/>
            <w:col w:w="8680"/>
          </w:cols>
          <w:pgMar w:left="240" w:top="68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7660" w:type="dxa"/>
            <w:vAlign w:val="bottom"/>
            <w:gridSpan w:val="2"/>
          </w:tcPr>
          <w:p>
            <w:pPr>
              <w:ind w:left="220"/>
              <w:spacing w:after="0"/>
              <w:rPr>
                <w:sz w:val="20"/>
                <w:szCs w:val="20"/>
                <w:color w:val="auto"/>
              </w:rPr>
            </w:pPr>
            <w:r>
              <w:rPr>
                <w:rFonts w:ascii="Arial" w:cs="Arial" w:eastAsia="Arial" w:hAnsi="Arial"/>
                <w:sz w:val="18"/>
                <w:szCs w:val="18"/>
                <w:color w:val="auto"/>
                <w:w w:val="92"/>
              </w:rPr>
              <w:t>BofA Merrill Lynch; J.P. Morgan; Goldman, Sachs &amp; Co.; Morgan Stanley and Wells Fargo Securities</w:t>
            </w:r>
          </w:p>
        </w:tc>
      </w:tr>
      <w:tr>
        <w:trPr>
          <w:trHeight w:val="324"/>
        </w:trPr>
        <w:tc>
          <w:tcPr>
            <w:tcW w:w="2520" w:type="dxa"/>
            <w:vAlign w:val="bottom"/>
          </w:tcPr>
          <w:p>
            <w:pPr>
              <w:spacing w:after="0"/>
              <w:rPr>
                <w:sz w:val="20"/>
                <w:szCs w:val="20"/>
                <w:color w:val="auto"/>
              </w:rPr>
            </w:pPr>
            <w:r>
              <w:rPr>
                <w:rFonts w:ascii="Arial" w:cs="Arial" w:eastAsia="Arial" w:hAnsi="Arial"/>
                <w:sz w:val="18"/>
                <w:szCs w:val="18"/>
                <w:color w:val="auto"/>
              </w:rPr>
              <w:t>Co-Managers:</w:t>
            </w:r>
          </w:p>
        </w:tc>
        <w:tc>
          <w:tcPr>
            <w:tcW w:w="7660" w:type="dxa"/>
            <w:vAlign w:val="bottom"/>
            <w:gridSpan w:val="2"/>
          </w:tcPr>
          <w:p>
            <w:pPr>
              <w:ind w:left="220"/>
              <w:spacing w:after="0"/>
              <w:rPr>
                <w:sz w:val="20"/>
                <w:szCs w:val="20"/>
                <w:color w:val="auto"/>
              </w:rPr>
            </w:pPr>
            <w:r>
              <w:rPr>
                <w:rFonts w:ascii="Arial" w:cs="Arial" w:eastAsia="Arial" w:hAnsi="Arial"/>
                <w:sz w:val="18"/>
                <w:szCs w:val="18"/>
                <w:color w:val="auto"/>
                <w:w w:val="92"/>
              </w:rPr>
              <w:t>TPG Capital BD, LLC; SunTrust Robinson Humphrey; Imperial Capital; HSBC and Mizuho Securities</w:t>
            </w:r>
          </w:p>
        </w:tc>
      </w:tr>
      <w:tr>
        <w:trPr>
          <w:trHeight w:val="310"/>
        </w:trPr>
        <w:tc>
          <w:tcPr>
            <w:tcW w:w="2520" w:type="dxa"/>
            <w:vAlign w:val="bottom"/>
          </w:tcPr>
          <w:p>
            <w:pPr>
              <w:spacing w:after="0"/>
              <w:rPr>
                <w:sz w:val="20"/>
                <w:szCs w:val="20"/>
                <w:color w:val="auto"/>
              </w:rPr>
            </w:pPr>
            <w:r>
              <w:rPr>
                <w:rFonts w:ascii="Arial" w:cs="Arial" w:eastAsia="Arial" w:hAnsi="Arial"/>
                <w:sz w:val="18"/>
                <w:szCs w:val="18"/>
                <w:color w:val="auto"/>
              </w:rPr>
              <w:t>Marketing Details</w:t>
            </w:r>
          </w:p>
        </w:tc>
        <w:tc>
          <w:tcPr>
            <w:tcW w:w="1940" w:type="dxa"/>
            <w:vAlign w:val="bottom"/>
          </w:tcPr>
          <w:p>
            <w:pPr>
              <w:ind w:left="220"/>
              <w:spacing w:after="0"/>
              <w:rPr>
                <w:sz w:val="20"/>
                <w:szCs w:val="20"/>
                <w:color w:val="auto"/>
              </w:rPr>
            </w:pPr>
            <w:r>
              <w:rPr>
                <w:rFonts w:ascii="Arial" w:cs="Arial" w:eastAsia="Arial" w:hAnsi="Arial"/>
                <w:sz w:val="18"/>
                <w:szCs w:val="18"/>
                <w:color w:val="auto"/>
                <w:w w:val="96"/>
              </w:rPr>
              <w:t>[Management Team: [</w:t>
            </w:r>
          </w:p>
        </w:tc>
        <w:tc>
          <w:tcPr>
            <w:tcW w:w="5720" w:type="dxa"/>
            <w:vAlign w:val="bottom"/>
          </w:tcPr>
          <w:p>
            <w:pPr>
              <w:jc w:val="right"/>
              <w:ind w:right="4730"/>
              <w:spacing w:after="0"/>
              <w:rPr>
                <w:sz w:val="20"/>
                <w:szCs w:val="20"/>
                <w:color w:val="auto"/>
              </w:rPr>
            </w:pPr>
            <w:r>
              <w:rPr>
                <w:rFonts w:ascii="Arial" w:cs="Arial" w:eastAsia="Arial" w:hAnsi="Arial"/>
                <w:sz w:val="18"/>
                <w:szCs w:val="18"/>
                <w:color w:val="auto"/>
              </w:rPr>
              <w:t>]]</w:t>
            </w:r>
          </w:p>
        </w:tc>
      </w:tr>
      <w:tr>
        <w:trPr>
          <w:trHeight w:val="216"/>
        </w:trPr>
        <w:tc>
          <w:tcPr>
            <w:tcW w:w="2520" w:type="dxa"/>
            <w:vAlign w:val="bottom"/>
          </w:tcPr>
          <w:p>
            <w:pPr>
              <w:spacing w:after="0"/>
              <w:rPr>
                <w:sz w:val="18"/>
                <w:szCs w:val="18"/>
                <w:color w:val="auto"/>
              </w:rPr>
            </w:pPr>
          </w:p>
        </w:tc>
        <w:tc>
          <w:tcPr>
            <w:tcW w:w="7660" w:type="dxa"/>
            <w:vAlign w:val="bottom"/>
            <w:gridSpan w:val="2"/>
          </w:tcPr>
          <w:p>
            <w:pPr>
              <w:ind w:left="220"/>
              <w:spacing w:after="0"/>
              <w:rPr>
                <w:sz w:val="20"/>
                <w:szCs w:val="20"/>
                <w:color w:val="auto"/>
              </w:rPr>
            </w:pPr>
            <w:r>
              <w:rPr>
                <w:rFonts w:ascii="Arial" w:cs="Arial" w:eastAsia="Arial" w:hAnsi="Arial"/>
                <w:sz w:val="18"/>
                <w:szCs w:val="18"/>
                <w:color w:val="auto"/>
              </w:rPr>
              <w:t>Management Call for Accounts</w:t>
            </w:r>
          </w:p>
        </w:tc>
      </w:tr>
      <w:tr>
        <w:trPr>
          <w:trHeight w:val="216"/>
        </w:trPr>
        <w:tc>
          <w:tcPr>
            <w:tcW w:w="2520" w:type="dxa"/>
            <w:vAlign w:val="bottom"/>
          </w:tcPr>
          <w:p>
            <w:pPr>
              <w:spacing w:after="0"/>
              <w:rPr>
                <w:sz w:val="18"/>
                <w:szCs w:val="18"/>
                <w:color w:val="auto"/>
              </w:rPr>
            </w:pPr>
          </w:p>
        </w:tc>
        <w:tc>
          <w:tcPr>
            <w:tcW w:w="7660" w:type="dxa"/>
            <w:vAlign w:val="bottom"/>
            <w:gridSpan w:val="2"/>
          </w:tcPr>
          <w:p>
            <w:pPr>
              <w:ind w:left="220"/>
              <w:spacing w:after="0"/>
              <w:rPr>
                <w:sz w:val="20"/>
                <w:szCs w:val="20"/>
                <w:color w:val="auto"/>
              </w:rPr>
            </w:pPr>
            <w:r>
              <w:rPr>
                <w:rFonts w:ascii="Arial" w:cs="Arial" w:eastAsia="Arial" w:hAnsi="Arial"/>
                <w:sz w:val="18"/>
                <w:szCs w:val="18"/>
                <w:color w:val="auto"/>
              </w:rPr>
              <w:t>Tuesday, August [5th] @ 4:30PM ET</w:t>
            </w:r>
          </w:p>
        </w:tc>
      </w:tr>
      <w:tr>
        <w:trPr>
          <w:trHeight w:val="216"/>
        </w:trPr>
        <w:tc>
          <w:tcPr>
            <w:tcW w:w="2520" w:type="dxa"/>
            <w:vAlign w:val="bottom"/>
          </w:tcPr>
          <w:p>
            <w:pPr>
              <w:spacing w:after="0"/>
              <w:rPr>
                <w:sz w:val="18"/>
                <w:szCs w:val="18"/>
                <w:color w:val="auto"/>
              </w:rPr>
            </w:pPr>
          </w:p>
        </w:tc>
        <w:tc>
          <w:tcPr>
            <w:tcW w:w="1940" w:type="dxa"/>
            <w:vAlign w:val="bottom"/>
          </w:tcPr>
          <w:p>
            <w:pPr>
              <w:ind w:left="220"/>
              <w:spacing w:after="0"/>
              <w:rPr>
                <w:sz w:val="20"/>
                <w:szCs w:val="20"/>
                <w:color w:val="auto"/>
              </w:rPr>
            </w:pPr>
            <w:r>
              <w:rPr>
                <w:rFonts w:ascii="Arial" w:cs="Arial" w:eastAsia="Arial" w:hAnsi="Arial"/>
                <w:sz w:val="18"/>
                <w:szCs w:val="18"/>
                <w:color w:val="auto"/>
                <w:w w:val="98"/>
              </w:rPr>
              <w:t>Location: Dial-In Only</w:t>
            </w:r>
          </w:p>
        </w:tc>
        <w:tc>
          <w:tcPr>
            <w:tcW w:w="572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940" w:type="dxa"/>
            <w:vAlign w:val="bottom"/>
          </w:tcPr>
          <w:p>
            <w:pPr>
              <w:ind w:left="220"/>
              <w:spacing w:after="0"/>
              <w:rPr>
                <w:sz w:val="20"/>
                <w:szCs w:val="20"/>
                <w:color w:val="auto"/>
              </w:rPr>
            </w:pPr>
            <w:r>
              <w:rPr>
                <w:rFonts w:ascii="Arial" w:cs="Arial" w:eastAsia="Arial" w:hAnsi="Arial"/>
                <w:sz w:val="18"/>
                <w:szCs w:val="18"/>
                <w:color w:val="auto"/>
                <w:w w:val="99"/>
              </w:rPr>
              <w:t>Dial-In #‘s (US/Int’l): [</w:t>
            </w:r>
          </w:p>
        </w:tc>
        <w:tc>
          <w:tcPr>
            <w:tcW w:w="5720" w:type="dxa"/>
            <w:vAlign w:val="bottom"/>
          </w:tcPr>
          <w:p>
            <w:pPr>
              <w:jc w:val="right"/>
              <w:ind w:right="4690"/>
              <w:spacing w:after="0"/>
              <w:rPr>
                <w:sz w:val="20"/>
                <w:szCs w:val="20"/>
                <w:color w:val="auto"/>
              </w:rPr>
            </w:pPr>
            <w:r>
              <w:rPr>
                <w:rFonts w:ascii="Arial" w:cs="Arial" w:eastAsia="Arial" w:hAnsi="Arial"/>
                <w:sz w:val="18"/>
                <w:szCs w:val="18"/>
                <w:color w:val="auto"/>
              </w:rPr>
              <w:t>]</w:t>
            </w:r>
          </w:p>
        </w:tc>
      </w:tr>
      <w:tr>
        <w:trPr>
          <w:trHeight w:val="216"/>
        </w:trPr>
        <w:tc>
          <w:tcPr>
            <w:tcW w:w="2520" w:type="dxa"/>
            <w:vAlign w:val="bottom"/>
          </w:tcPr>
          <w:p>
            <w:pPr>
              <w:spacing w:after="0"/>
              <w:rPr>
                <w:sz w:val="18"/>
                <w:szCs w:val="18"/>
                <w:color w:val="auto"/>
              </w:rPr>
            </w:pPr>
          </w:p>
        </w:tc>
        <w:tc>
          <w:tcPr>
            <w:tcW w:w="1940" w:type="dxa"/>
            <w:vAlign w:val="bottom"/>
          </w:tcPr>
          <w:p>
            <w:pPr>
              <w:ind w:left="220"/>
              <w:spacing w:after="0"/>
              <w:rPr>
                <w:sz w:val="20"/>
                <w:szCs w:val="20"/>
                <w:color w:val="auto"/>
              </w:rPr>
            </w:pPr>
            <w:r>
              <w:rPr>
                <w:rFonts w:ascii="Arial" w:cs="Arial" w:eastAsia="Arial" w:hAnsi="Arial"/>
                <w:sz w:val="18"/>
                <w:szCs w:val="18"/>
                <w:color w:val="auto"/>
              </w:rPr>
              <w:t>Conference ID: [</w:t>
            </w:r>
          </w:p>
        </w:tc>
        <w:tc>
          <w:tcPr>
            <w:tcW w:w="5720" w:type="dxa"/>
            <w:vAlign w:val="bottom"/>
          </w:tcPr>
          <w:p>
            <w:pPr>
              <w:jc w:val="right"/>
              <w:ind w:right="5170"/>
              <w:spacing w:after="0"/>
              <w:rPr>
                <w:sz w:val="20"/>
                <w:szCs w:val="20"/>
                <w:color w:val="auto"/>
              </w:rPr>
            </w:pPr>
            <w:r>
              <w:rPr>
                <w:rFonts w:ascii="Arial" w:cs="Arial" w:eastAsia="Arial" w:hAnsi="Arial"/>
                <w:sz w:val="18"/>
                <w:szCs w:val="18"/>
                <w:color w:val="auto"/>
              </w:rPr>
              <w:t>]</w:t>
            </w:r>
          </w:p>
        </w:tc>
      </w:tr>
      <w:tr>
        <w:trPr>
          <w:trHeight w:val="216"/>
        </w:trPr>
        <w:tc>
          <w:tcPr>
            <w:tcW w:w="2520" w:type="dxa"/>
            <w:vAlign w:val="bottom"/>
          </w:tcPr>
          <w:p>
            <w:pPr>
              <w:spacing w:after="0"/>
              <w:rPr>
                <w:sz w:val="18"/>
                <w:szCs w:val="18"/>
                <w:color w:val="auto"/>
              </w:rPr>
            </w:pPr>
          </w:p>
        </w:tc>
        <w:tc>
          <w:tcPr>
            <w:tcW w:w="1940" w:type="dxa"/>
            <w:vAlign w:val="bottom"/>
          </w:tcPr>
          <w:p>
            <w:pPr>
              <w:ind w:left="220"/>
              <w:spacing w:after="0"/>
              <w:rPr>
                <w:sz w:val="20"/>
                <w:szCs w:val="20"/>
                <w:color w:val="auto"/>
              </w:rPr>
            </w:pPr>
            <w:r>
              <w:rPr>
                <w:rFonts w:ascii="Arial" w:cs="Arial" w:eastAsia="Arial" w:hAnsi="Arial"/>
                <w:sz w:val="18"/>
                <w:szCs w:val="18"/>
                <w:color w:val="auto"/>
              </w:rPr>
              <w:t>No Replay Available</w:t>
            </w:r>
          </w:p>
        </w:tc>
        <w:tc>
          <w:tcPr>
            <w:tcW w:w="572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7660" w:type="dxa"/>
            <w:vAlign w:val="bottom"/>
            <w:gridSpan w:val="2"/>
          </w:tcPr>
          <w:p>
            <w:pPr>
              <w:ind w:left="220"/>
              <w:spacing w:after="0"/>
              <w:rPr>
                <w:sz w:val="20"/>
                <w:szCs w:val="20"/>
                <w:color w:val="auto"/>
              </w:rPr>
            </w:pPr>
            <w:r>
              <w:rPr>
                <w:rFonts w:ascii="Arial" w:cs="Arial" w:eastAsia="Arial" w:hAnsi="Arial"/>
                <w:sz w:val="18"/>
                <w:szCs w:val="18"/>
                <w:color w:val="auto"/>
              </w:rPr>
              <w:t>NetRoadshow slides will be available for the duration of the call.</w:t>
            </w:r>
          </w:p>
        </w:tc>
      </w:tr>
      <w:tr>
        <w:trPr>
          <w:trHeight w:val="216"/>
        </w:trPr>
        <w:tc>
          <w:tcPr>
            <w:tcW w:w="2520" w:type="dxa"/>
            <w:vAlign w:val="bottom"/>
          </w:tcPr>
          <w:p>
            <w:pPr>
              <w:spacing w:after="0"/>
              <w:rPr>
                <w:sz w:val="18"/>
                <w:szCs w:val="18"/>
                <w:color w:val="auto"/>
              </w:rPr>
            </w:pPr>
          </w:p>
        </w:tc>
        <w:tc>
          <w:tcPr>
            <w:tcW w:w="7660" w:type="dxa"/>
            <w:vAlign w:val="bottom"/>
            <w:gridSpan w:val="2"/>
          </w:tcPr>
          <w:p>
            <w:pPr>
              <w:ind w:left="220"/>
              <w:spacing w:after="0"/>
              <w:rPr>
                <w:sz w:val="20"/>
                <w:szCs w:val="20"/>
                <w:color w:val="auto"/>
              </w:rPr>
            </w:pPr>
            <w:r>
              <w:rPr>
                <w:rFonts w:ascii="Arial" w:cs="Arial" w:eastAsia="Arial" w:hAnsi="Arial"/>
                <w:sz w:val="18"/>
                <w:szCs w:val="18"/>
                <w:color w:val="auto"/>
              </w:rPr>
              <w:t>You may access the roadshow through the following URL:</w:t>
            </w:r>
          </w:p>
        </w:tc>
      </w:tr>
      <w:tr>
        <w:trPr>
          <w:trHeight w:val="216"/>
        </w:trPr>
        <w:tc>
          <w:tcPr>
            <w:tcW w:w="2520" w:type="dxa"/>
            <w:vAlign w:val="bottom"/>
          </w:tcPr>
          <w:p>
            <w:pPr>
              <w:spacing w:after="0"/>
              <w:rPr>
                <w:sz w:val="18"/>
                <w:szCs w:val="18"/>
                <w:color w:val="auto"/>
              </w:rPr>
            </w:pPr>
          </w:p>
        </w:tc>
        <w:tc>
          <w:tcPr>
            <w:tcW w:w="7660" w:type="dxa"/>
            <w:vAlign w:val="bottom"/>
            <w:gridSpan w:val="2"/>
          </w:tcPr>
          <w:p>
            <w:pPr>
              <w:ind w:left="220"/>
              <w:spacing w:after="0"/>
              <w:rPr>
                <w:sz w:val="20"/>
                <w:szCs w:val="20"/>
                <w:color w:val="auto"/>
              </w:rPr>
            </w:pPr>
            <w:r>
              <w:rPr>
                <w:rFonts w:ascii="Arial" w:cs="Arial" w:eastAsia="Arial" w:hAnsi="Arial"/>
                <w:sz w:val="18"/>
                <w:szCs w:val="18"/>
                <w:color w:val="auto"/>
              </w:rPr>
              <w:t>http://www.netroadshow.com</w:t>
            </w:r>
          </w:p>
        </w:tc>
      </w:tr>
      <w:tr>
        <w:trPr>
          <w:trHeight w:val="230"/>
        </w:trPr>
        <w:tc>
          <w:tcPr>
            <w:tcW w:w="2520" w:type="dxa"/>
            <w:vAlign w:val="bottom"/>
          </w:tcPr>
          <w:p>
            <w:pPr>
              <w:spacing w:after="0"/>
              <w:rPr>
                <w:sz w:val="20"/>
                <w:szCs w:val="20"/>
                <w:color w:val="auto"/>
              </w:rPr>
            </w:pPr>
          </w:p>
        </w:tc>
        <w:tc>
          <w:tcPr>
            <w:tcW w:w="1940" w:type="dxa"/>
            <w:vAlign w:val="bottom"/>
          </w:tcPr>
          <w:p>
            <w:pPr>
              <w:ind w:left="220"/>
              <w:spacing w:after="0"/>
              <w:rPr>
                <w:sz w:val="20"/>
                <w:szCs w:val="20"/>
                <w:color w:val="auto"/>
              </w:rPr>
            </w:pPr>
            <w:r>
              <w:rPr>
                <w:rFonts w:ascii="Arial" w:cs="Arial" w:eastAsia="Arial" w:hAnsi="Arial"/>
                <w:sz w:val="18"/>
                <w:szCs w:val="18"/>
                <w:color w:val="auto"/>
              </w:rPr>
              <w:t>Password: [</w:t>
            </w:r>
          </w:p>
        </w:tc>
        <w:tc>
          <w:tcPr>
            <w:tcW w:w="5720" w:type="dxa"/>
            <w:vAlign w:val="bottom"/>
          </w:tcPr>
          <w:p>
            <w:pPr>
              <w:jc w:val="right"/>
              <w:ind w:right="4090"/>
              <w:spacing w:after="0"/>
              <w:rPr>
                <w:sz w:val="20"/>
                <w:szCs w:val="20"/>
                <w:color w:val="auto"/>
              </w:rPr>
            </w:pPr>
            <w:r>
              <w:rPr>
                <w:rFonts w:ascii="Arial" w:cs="Arial" w:eastAsia="Arial" w:hAnsi="Arial"/>
                <w:sz w:val="18"/>
                <w:szCs w:val="18"/>
                <w:color w:val="auto"/>
                <w:w w:val="91"/>
              </w:rPr>
              <w:t>] (not case-sensitive)</w:t>
            </w: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right="40"/>
        <w:spacing w:after="0" w:line="289" w:lineRule="auto"/>
        <w:rPr>
          <w:sz w:val="20"/>
          <w:szCs w:val="20"/>
          <w:color w:val="auto"/>
        </w:rPr>
      </w:pPr>
      <w:r>
        <w:rPr>
          <w:rFonts w:ascii="Arial" w:cs="Arial" w:eastAsia="Arial" w:hAnsi="Arial"/>
          <w:sz w:val="17"/>
          <w:szCs w:val="17"/>
          <w:b w:val="1"/>
          <w:bCs w:val="1"/>
          <w:color w:val="auto"/>
        </w:rPr>
        <w:t>Investors are advised to carefully consider the investment objectives, risks, charges and expenses of the Company before investing. The preliminary prospectus supplement dated August [5], 2014 and the accompanying prospectus dated August 1, 2014, which have been filed with the SEC, contain this and other information about the Company and should be read carefully before investing.</w:t>
      </w:r>
    </w:p>
    <w:p>
      <w:pPr>
        <w:spacing w:after="0" w:line="1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information in the preliminary prospectus supplement, the accompanying prospectus and this announcement is not complete and may be changed. The preliminary prospectus supplement, the accompanying prospectus and this announcement are not offers to sell any securities of the Company and are not soliciting an offer to buy such securities in any state where such offer and sale is not permitted.</w:t>
      </w:r>
    </w:p>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A shelf registration statement relating to these securities is on file and has been declared effective by the SEC. The offering may be made only by means of a prospectus supplement and an accompanying prospectus, copies of which may be obtained from: BofA Merrill Lynch, 222 Broadway, New York, NY 10038, Attn: Prospectus Department, or e-mail dg.prospectus_requests@baml.com; J.P. Morgan, c/o Broadridge Financial Solutions, 1155 Long Island Avenue, Edgewood, NY 11717, Attn: Prospectus Department, (866) 803-9204; or Goldman, Sachs &amp; Co., 200 West Street, New York, NY 10282, Attention: Prospectus Department, by calling (866) 471-2526, or by e-mailing prospectus-ny@ny.email.gs.com.</w:t>
      </w:r>
    </w:p>
    <w:p>
      <w:pPr>
        <w:spacing w:after="0" w:line="15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ANY DISCLAIMERS OR OTHER NOTICES THAT MAY APPEAR AFTER THIS MESSAGE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1360"/>
      </w:cols>
      <w:pgMar w:left="240" w:top="38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2019-12-08T00:08:34Z</dcterms:created>
  <dcterms:modified xsi:type="dcterms:W3CDTF">2019-12-08T00:08:34Z</dcterms:modified>
</cp:coreProperties>
</file>