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56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00"/>
          </w:cols>
          <w:pgMar w:left="240" w:top="230" w:right="35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406400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pleased to invite you to attend the 2014 Annual Meeting of Stockholders of TPG Specialty Lending, Inc. to be held on May 22, 2014, at 10:00 a.m., local time, at the offices of Cleary Gottlieb Steen &amp; Hamilton LLP, One Liberty Plaza (on Broadway between Liberty and Cortlandt Streets), 38</w:t>
      </w:r>
      <w:r>
        <w:rPr>
          <w:rFonts w:ascii="Arial" w:cs="Arial" w:eastAsia="Arial" w:hAnsi="Arial"/>
          <w:sz w:val="11"/>
          <w:szCs w:val="11"/>
          <w:color w:val="auto"/>
        </w:rPr>
        <w:t>th</w:t>
      </w:r>
      <w:r>
        <w:rPr>
          <w:rFonts w:ascii="Arial" w:cs="Arial" w:eastAsia="Arial" w:hAnsi="Arial"/>
          <w:sz w:val="18"/>
          <w:szCs w:val="18"/>
          <w:color w:val="auto"/>
        </w:rPr>
        <w:t xml:space="preserve"> Floor, New York, NY 10006.</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pages include a formal notice of the meeting and our proxy statement. The proxy statement describes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this proxy statement.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Joshua Easterly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 for the Annual Meeting of Stockholders to Be Held on May 22, 2014.</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Our proxy statement and annual report on Form 10-K and Form 10-K/A for the year ended December 31, 2013, are available online at </w:t>
      </w:r>
      <w:r>
        <w:rPr>
          <w:rFonts w:ascii="Arial" w:cs="Arial" w:eastAsia="Arial" w:hAnsi="Arial"/>
          <w:sz w:val="15"/>
          <w:szCs w:val="15"/>
          <w:i w:val="1"/>
          <w:iCs w:val="1"/>
          <w:color w:val="auto"/>
        </w:rPr>
        <w:t>www.proxyvote.com</w:t>
      </w:r>
      <w:r>
        <w:rPr>
          <w:rFonts w:ascii="Arial" w:cs="Arial" w:eastAsia="Arial" w:hAnsi="Arial"/>
          <w:sz w:val="15"/>
          <w:szCs w:val="15"/>
          <w:color w:val="auto"/>
        </w:rPr>
        <w:t>.</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13"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Fort Worth, Texas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the 2014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NOTICE IS HEREBY GIVEN that the 2014 Annual Meeting of Stockholders of TPG Specialty Lending, Inc. will be held at the offices of Cleary Gottlieb Steen &amp; Hamilton LLP, One Liberty Plaza (on Broadway between Liberty and Cortlandt Streets), 38</w:t>
      </w:r>
      <w:r>
        <w:rPr>
          <w:rFonts w:ascii="Arial" w:cs="Arial" w:eastAsia="Arial" w:hAnsi="Arial"/>
          <w:sz w:val="11"/>
          <w:szCs w:val="11"/>
          <w:color w:val="auto"/>
        </w:rPr>
        <w:t>th</w:t>
      </w:r>
      <w:r>
        <w:rPr>
          <w:rFonts w:ascii="Arial" w:cs="Arial" w:eastAsia="Arial" w:hAnsi="Arial"/>
          <w:sz w:val="18"/>
          <w:szCs w:val="18"/>
          <w:color w:val="auto"/>
        </w:rPr>
        <w:t xml:space="preserve"> Floor, New York, NY 10006 on May 22, 2014, at 10:00 a.m., local time. The 2014 Annual Meeting of Stockholders is being held for the following purposes:</w:t>
      </w:r>
    </w:p>
    <w:p>
      <w:pPr>
        <w:spacing w:after="0" w:line="59" w:lineRule="exact"/>
        <w:rPr>
          <w:sz w:val="20"/>
          <w:szCs w:val="20"/>
          <w:color w:val="auto"/>
        </w:rPr>
      </w:pPr>
    </w:p>
    <w:p>
      <w:pPr>
        <w:ind w:left="460" w:right="60" w:firstLine="443"/>
        <w:spacing w:after="0" w:line="268" w:lineRule="auto"/>
        <w:tabs>
          <w:tab w:leader="none" w:pos="10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Class III directors, each to serve for a three-year term and until a successor has been duly elected and qualified or until the director’s earlier resignation or removal.</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selection of KPMG LLP as our independent registered public accounting firm for the fiscal year ending December 31, 2014.</w:t>
      </w:r>
    </w:p>
    <w:p>
      <w:pPr>
        <w:spacing w:after="0" w:line="113" w:lineRule="exact"/>
        <w:rPr>
          <w:rFonts w:ascii="Arial" w:cs="Arial" w:eastAsia="Arial" w:hAnsi="Arial"/>
          <w:sz w:val="16"/>
          <w:szCs w:val="16"/>
          <w:color w:val="auto"/>
        </w:rPr>
      </w:pPr>
    </w:p>
    <w:p>
      <w:pPr>
        <w:ind w:left="1080" w:hanging="177"/>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2014 Annual Meeting of Stockholders or any postponement or adjournment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Only stockholders of record at the close of business on April 14, 2014, are entitled to notice of and to vote at the 2014 Annual Meeting of Stockholders or any postponement or adjournment thereof.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10795</wp:posOffset>
            </wp:positionV>
            <wp:extent cx="2761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Mello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17, 2014</w:t>
      </w:r>
    </w:p>
    <w:p>
      <w:pPr>
        <w:spacing w:after="0" w:line="15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420" w:type="dxa"/>
            <w:vAlign w:val="bottom"/>
            <w:gridSpan w:val="8"/>
            <w:vMerge w:val="restart"/>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Proxy Statement for the 2014 Annual Meeting of Stockholders</w:t>
              </w:r>
            </w:hyperlink>
          </w:p>
        </w:tc>
        <w:tc>
          <w:tcPr>
            <w:tcW w:w="6620" w:type="dxa"/>
            <w:vAlign w:val="bottom"/>
            <w:gridSpan w:val="4"/>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4420" w:type="dxa"/>
            <w:vAlign w:val="bottom"/>
            <w:tcBorders>
              <w:bottom w:val="single" w:sz="8" w:color="0000EE"/>
            </w:tcBorders>
            <w:gridSpan w:val="8"/>
            <w:vMerge w:val="continue"/>
          </w:tcPr>
          <w:p>
            <w:pPr>
              <w:spacing w:after="0"/>
              <w:rPr>
                <w:sz w:val="13"/>
                <w:szCs w:val="13"/>
                <w:color w:val="auto"/>
              </w:rPr>
            </w:pPr>
          </w:p>
        </w:tc>
        <w:tc>
          <w:tcPr>
            <w:tcW w:w="6620" w:type="dxa"/>
            <w:vAlign w:val="bottom"/>
            <w:gridSpan w:val="4"/>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Security Ownership of Certain Beneficial Owners and Management</w:t>
              </w:r>
            </w:hyperlink>
          </w:p>
        </w:tc>
        <w:tc>
          <w:tcPr>
            <w:tcW w:w="6260" w:type="dxa"/>
            <w:vAlign w:val="bottom"/>
            <w:gridSpan w:val="3"/>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2"/>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Proposal No. 1—Election of Directors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83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Proposal No. 2—Ratification of Selection of Independent Registered Public Accounting Firm</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Audit Committee Report</w:t>
              </w:r>
            </w:hyperlink>
          </w:p>
        </w:tc>
        <w:tc>
          <w:tcPr>
            <w:tcW w:w="4820" w:type="dxa"/>
            <w:vAlign w:val="bottom"/>
            <w:tcBorders>
              <w:top w:val="single" w:sz="8" w:color="0000EE"/>
            </w:tcBorders>
            <w:gridSpan w:val="6"/>
          </w:tcPr>
          <w:p>
            <w:pPr>
              <w:spacing w:after="0"/>
              <w:rPr>
                <w:sz w:val="17"/>
                <w:szCs w:val="17"/>
                <w:color w:val="auto"/>
              </w:rPr>
            </w:pPr>
          </w:p>
        </w:tc>
        <w:tc>
          <w:tcPr>
            <w:tcW w:w="4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08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36">
              <w:r>
                <w:rPr>
                  <w:rFonts w:ascii="Arial" w:cs="Arial" w:eastAsia="Arial" w:hAnsi="Arial"/>
                  <w:sz w:val="18"/>
                  <w:szCs w:val="18"/>
                  <w:color w:val="0000EE"/>
                  <w:w w:val="86"/>
                </w:rPr>
                <w:t>Other Business</w:t>
              </w:r>
            </w:hyperlink>
          </w:p>
        </w:tc>
        <w:tc>
          <w:tcPr>
            <w:tcW w:w="996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Stockholder Proposals and Nominations for 2015 Annual Meeting of Stockholders</w:t>
              </w:r>
            </w:hyperlink>
          </w:p>
        </w:tc>
        <w:tc>
          <w:tcPr>
            <w:tcW w:w="52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40" w:type="dxa"/>
            <w:vAlign w:val="bottom"/>
            <w:gridSpan w:val="12"/>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Annual Report</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6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Householding of Proxy Materials</w:t>
              </w:r>
            </w:hyperlink>
          </w:p>
        </w:tc>
        <w:tc>
          <w:tcPr>
            <w:tcW w:w="86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Privacy Principles</w:t>
              </w:r>
            </w:hyperlink>
          </w:p>
        </w:tc>
        <w:tc>
          <w:tcPr>
            <w:tcW w:w="97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46200" cy="660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accompanying proxy is solicited on behalf of the Board of Directors (the “Board”) of TPG Specialty Lending, Inc., which is sometimes referred to in this proxy statement as “TSL”, “we”, “us”, “our”, or the “Company,” for use at the 2014 Annual Meeting of Stockholders (the “Meeting”) to be held at the offices of Cleary Gottlieb Steen &amp; Hamilton LLP, One Liberty Plaza (on Broadway between Liberty and Cortlandt Streets), 38</w:t>
      </w:r>
      <w:r>
        <w:rPr>
          <w:rFonts w:ascii="Arial" w:cs="Arial" w:eastAsia="Arial" w:hAnsi="Arial"/>
          <w:sz w:val="11"/>
          <w:szCs w:val="11"/>
          <w:color w:val="auto"/>
        </w:rPr>
        <w:t>th</w:t>
      </w:r>
      <w:r>
        <w:rPr>
          <w:rFonts w:ascii="Arial" w:cs="Arial" w:eastAsia="Arial" w:hAnsi="Arial"/>
          <w:sz w:val="18"/>
          <w:szCs w:val="18"/>
          <w:color w:val="auto"/>
        </w:rPr>
        <w:t xml:space="preserve"> Floor, New York, NY 10006 on May 22, 2014, at 10:00 a.m., local time. Only holders of record of our common stock at the close of business on April 14, 2014, which is the record date, will be entitled to vote at the Meeting. At the close of business on the record date, we had 52,937,708 shares of common stock outstanding and entitled to vote. This proxy statement, including the accompanying form of proxy (collectively, the “Proxy Statement”), and the Company’s Annual Report for the fiscal year ended December 31, 2013, are first being sent to stockholders on or about April 17, 2014. The Annual Report and Proxy Statement can both be accessed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45"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TSL common stock represented by the proxy will be voted (1)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Class III director candidates nominated by the Board and (2)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KPMG LLP as our independent registered public accounting firm for the fiscal year ending December 31, 2014. Should any matter not described above be properly presented at the Meeting, the named proxies will vote in accordance with their judgment as permitted.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2014 Annual Meeting of Stockholders is being held for the following purposes:</w:t>
      </w:r>
    </w:p>
    <w:p>
      <w:pPr>
        <w:spacing w:after="0" w:line="171" w:lineRule="exact"/>
        <w:rPr>
          <w:sz w:val="20"/>
          <w:szCs w:val="20"/>
          <w:color w:val="auto"/>
        </w:rPr>
      </w:pPr>
    </w:p>
    <w:p>
      <w:pPr>
        <w:ind w:right="80" w:firstLine="464"/>
        <w:spacing w:after="0" w:line="268"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two Class III directors, each to serve for a three-year term and until a successor has been duly elected and qualified or until the director’s earlier resignation or removal.</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selection of KPMG LLP as our independent registered public accounting firm for the fiscal year ending December 31, 2014.</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2014 Annual Meeting of Stockholders or any postponement or adjournment thereof.</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majority of the outstanding shares of common stock must be present or represented by proxy at the Meeting in order to have a quorum. If you have properly voted by proxy online, by phone, or via mail, you will be considered part of the quorum. We will count “abstain” and “withhold” votes as present for the purpose of</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43"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our independent registered public accounting firm. For each of these proposals, “abstain” votes and broker non-votes, if any, though counted for purposes of establishing a quorum, will have no effect on the outcome of the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inspector of elections appointed for the Meeting will separately tabulate affirmative and “withhold” votes, “abstain” votes and broker non-votes.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of Meeting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thirty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for the Meeting</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named proxies for the Meeting are Justin Meagher and David Stiepleman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TSL will pay the expenses of soliciting proxies to be voted at the Meeting. TSL has retained Broadridge Investor Communications Solutions, Inc. to assist with the solicitation of proxies for a fee of approximately $11,500, plus reimbursement of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stockholder may revoke any proxy that is not irrevocable by attending the Meeting and voting in person or by delivering a new proxy in accordance with applicable law bearing a later date to the Secretary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96"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 xml:space="preserve">You can contact us by mail sent to the attention of the Secretary of the Company, Jennifer Mello, at our principal executive offices located at 301 Commerce Street, Suite 3300, Fort Worth, Texas 76102. You can call us by dialing (817) 871-4000. You can access our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Beneficial ownership is determined in accordance with the rules and regulations of the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April 14, 2014, the beneficial ownership as indicated in the Company’s books and records of each current director, the nominees for director, the Company’s Named Executive Officers, the Company’s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percentage ownership is based on 52,937,708 shares of common stock outstanding as of April 14, 2014.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Texas 76102.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Percent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Number of Shares of</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of Common</w:t>
            </w:r>
          </w:p>
        </w:tc>
        <w:tc>
          <w:tcPr>
            <w:tcW w:w="0" w:type="dxa"/>
            <w:vAlign w:val="bottom"/>
          </w:tcPr>
          <w:p>
            <w:pPr>
              <w:spacing w:after="0"/>
              <w:rPr>
                <w:sz w:val="1"/>
                <w:szCs w:val="1"/>
                <w:color w:val="auto"/>
              </w:rPr>
            </w:pPr>
          </w:p>
        </w:tc>
      </w:tr>
      <w:tr>
        <w:trPr>
          <w:trHeight w:val="14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w w:val="95"/>
              </w:rPr>
              <w:t>Name of Individual or Identity of Group</w:t>
            </w:r>
          </w:p>
        </w:tc>
        <w:tc>
          <w:tcPr>
            <w:tcW w:w="5040" w:type="dxa"/>
            <w:vAlign w:val="bottom"/>
            <w:vMerge w:val="restart"/>
          </w:tcPr>
          <w:p>
            <w:pPr>
              <w:spacing w:after="0"/>
              <w:rPr>
                <w:sz w:val="12"/>
                <w:szCs w:val="12"/>
                <w:color w:val="auto"/>
              </w:rPr>
            </w:pPr>
          </w:p>
        </w:tc>
        <w:tc>
          <w:tcPr>
            <w:tcW w:w="264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Common Stock Beneficially</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0" w:type="dxa"/>
            <w:vAlign w:val="bottom"/>
          </w:tcPr>
          <w:p>
            <w:pPr>
              <w:spacing w:after="0"/>
              <w:rPr>
                <w:sz w:val="1"/>
                <w:szCs w:val="1"/>
                <w:color w:val="auto"/>
              </w:rPr>
            </w:pPr>
          </w:p>
        </w:tc>
      </w:tr>
      <w:tr>
        <w:trPr>
          <w:trHeight w:val="168"/>
        </w:trPr>
        <w:tc>
          <w:tcPr>
            <w:tcW w:w="2500" w:type="dxa"/>
            <w:vAlign w:val="bottom"/>
            <w:tcBorders>
              <w:bottom w:val="single" w:sz="8" w:color="auto"/>
            </w:tcBorders>
            <w:vMerge w:val="continue"/>
          </w:tcPr>
          <w:p>
            <w:pPr>
              <w:spacing w:after="0"/>
              <w:rPr>
                <w:sz w:val="14"/>
                <w:szCs w:val="14"/>
                <w:color w:val="auto"/>
              </w:rPr>
            </w:pPr>
          </w:p>
        </w:tc>
        <w:tc>
          <w:tcPr>
            <w:tcW w:w="5040" w:type="dxa"/>
            <w:vAlign w:val="bottom"/>
            <w:vMerge w:val="continue"/>
          </w:tcPr>
          <w:p>
            <w:pPr>
              <w:spacing w:after="0"/>
              <w:rPr>
                <w:sz w:val="14"/>
                <w:szCs w:val="14"/>
                <w:color w:val="auto"/>
              </w:rPr>
            </w:pPr>
          </w:p>
        </w:tc>
        <w:tc>
          <w:tcPr>
            <w:tcW w:w="2640" w:type="dxa"/>
            <w:vAlign w:val="bottom"/>
            <w:gridSpan w:val="2"/>
          </w:tcPr>
          <w:p>
            <w:pPr>
              <w:jc w:val="center"/>
              <w:ind w:right="1040"/>
              <w:spacing w:after="0" w:line="148" w:lineRule="exact"/>
              <w:rPr>
                <w:sz w:val="20"/>
                <w:szCs w:val="20"/>
                <w:color w:val="auto"/>
              </w:rPr>
            </w:pPr>
            <w:r>
              <w:rPr>
                <w:rFonts w:ascii="Arial" w:cs="Arial" w:eastAsia="Arial" w:hAnsi="Arial"/>
                <w:sz w:val="14"/>
                <w:szCs w:val="14"/>
                <w:b w:val="1"/>
                <w:bCs w:val="1"/>
                <w:color w:val="auto"/>
                <w:w w:val="88"/>
              </w:rPr>
              <w:t>Owned (1)</w:t>
            </w:r>
          </w:p>
        </w:tc>
        <w:tc>
          <w:tcPr>
            <w:tcW w:w="12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8"/>
              </w:rPr>
              <w:t>Owned (1)</w:t>
            </w:r>
          </w:p>
        </w:tc>
        <w:tc>
          <w:tcPr>
            <w:tcW w:w="0" w:type="dxa"/>
            <w:vAlign w:val="bottom"/>
          </w:tcPr>
          <w:p>
            <w:pPr>
              <w:spacing w:after="0"/>
              <w:rPr>
                <w:sz w:val="1"/>
                <w:szCs w:val="1"/>
                <w:color w:val="auto"/>
              </w:rPr>
            </w:pPr>
          </w:p>
        </w:tc>
      </w:tr>
      <w:tr>
        <w:trPr>
          <w:trHeight w:val="190"/>
        </w:trPr>
        <w:tc>
          <w:tcPr>
            <w:tcW w:w="7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6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Joshua Easterly (Director Nominee) (2)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gridSpan w:val="2"/>
          </w:tcPr>
          <w:p>
            <w:pPr>
              <w:ind w:left="220"/>
              <w:spacing w:after="0"/>
              <w:rPr>
                <w:sz w:val="20"/>
                <w:szCs w:val="20"/>
                <w:color w:val="auto"/>
              </w:rPr>
            </w:pPr>
            <w:r>
              <w:rPr>
                <w:rFonts w:ascii="Arial" w:cs="Arial" w:eastAsia="Arial" w:hAnsi="Arial"/>
                <w:sz w:val="18"/>
                <w:szCs w:val="18"/>
                <w:color w:val="auto"/>
              </w:rPr>
              <w:t>Michael Fishman (Director Nominee) (3)</w:t>
            </w:r>
          </w:p>
        </w:tc>
        <w:tc>
          <w:tcPr>
            <w:tcW w:w="1620" w:type="dxa"/>
            <w:vAlign w:val="bottom"/>
          </w:tcPr>
          <w:p>
            <w:pPr>
              <w:jc w:val="right"/>
              <w:spacing w:after="0"/>
              <w:rPr>
                <w:sz w:val="20"/>
                <w:szCs w:val="20"/>
                <w:color w:val="auto"/>
              </w:rPr>
            </w:pPr>
            <w:r>
              <w:rPr>
                <w:rFonts w:ascii="Arial" w:cs="Arial" w:eastAsia="Arial" w:hAnsi="Arial"/>
                <w:sz w:val="18"/>
                <w:szCs w:val="18"/>
                <w:color w:val="auto"/>
              </w:rPr>
              <w:t>36,362</w:t>
            </w:r>
          </w:p>
        </w:tc>
        <w:tc>
          <w:tcPr>
            <w:tcW w:w="10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220"/>
              <w:spacing w:after="0"/>
              <w:rPr>
                <w:sz w:val="20"/>
                <w:szCs w:val="20"/>
                <w:color w:val="auto"/>
              </w:rPr>
            </w:pPr>
            <w:r>
              <w:rPr>
                <w:rFonts w:ascii="Arial" w:cs="Arial" w:eastAsia="Arial" w:hAnsi="Arial"/>
                <w:sz w:val="18"/>
                <w:szCs w:val="18"/>
                <w:color w:val="auto"/>
              </w:rPr>
              <w:t>Richard Higginbotham</w:t>
            </w:r>
          </w:p>
        </w:tc>
        <w:tc>
          <w:tcPr>
            <w:tcW w:w="26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John Ross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1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gridSpan w:val="2"/>
          </w:tcPr>
          <w:p>
            <w:pPr>
              <w:ind w:left="220"/>
              <w:spacing w:after="0"/>
              <w:rPr>
                <w:sz w:val="20"/>
                <w:szCs w:val="20"/>
                <w:color w:val="auto"/>
              </w:rPr>
            </w:pPr>
            <w:r>
              <w:rPr>
                <w:rFonts w:ascii="Arial" w:cs="Arial" w:eastAsia="Arial" w:hAnsi="Arial"/>
                <w:sz w:val="18"/>
                <w:szCs w:val="18"/>
                <w:color w:val="auto"/>
              </w:rPr>
              <w:t>Ronald Tanemura</w:t>
            </w:r>
          </w:p>
        </w:tc>
        <w:tc>
          <w:tcPr>
            <w:tcW w:w="1620" w:type="dxa"/>
            <w:vAlign w:val="bottom"/>
          </w:tcPr>
          <w:p>
            <w:pPr>
              <w:jc w:val="right"/>
              <w:spacing w:after="0"/>
              <w:rPr>
                <w:sz w:val="20"/>
                <w:szCs w:val="20"/>
                <w:color w:val="auto"/>
              </w:rPr>
            </w:pPr>
            <w:r>
              <w:rPr>
                <w:rFonts w:ascii="Arial" w:cs="Arial" w:eastAsia="Arial" w:hAnsi="Arial"/>
                <w:sz w:val="18"/>
                <w:szCs w:val="18"/>
                <w:color w:val="auto"/>
              </w:rPr>
              <w:t>31,091</w:t>
            </w:r>
          </w:p>
        </w:tc>
        <w:tc>
          <w:tcPr>
            <w:tcW w:w="10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220"/>
              <w:spacing w:after="0"/>
              <w:rPr>
                <w:sz w:val="20"/>
                <w:szCs w:val="20"/>
                <w:color w:val="auto"/>
              </w:rPr>
            </w:pPr>
            <w:r>
              <w:rPr>
                <w:rFonts w:ascii="Arial" w:cs="Arial" w:eastAsia="Arial" w:hAnsi="Arial"/>
                <w:sz w:val="18"/>
                <w:szCs w:val="18"/>
                <w:color w:val="auto"/>
              </w:rPr>
              <w:t>Alan Kirshenbaum (4)</w:t>
            </w:r>
          </w:p>
        </w:tc>
        <w:tc>
          <w:tcPr>
            <w:tcW w:w="1620" w:type="dxa"/>
            <w:vAlign w:val="bottom"/>
          </w:tcPr>
          <w:p>
            <w:pPr>
              <w:jc w:val="right"/>
              <w:spacing w:after="0"/>
              <w:rPr>
                <w:sz w:val="20"/>
                <w:szCs w:val="20"/>
                <w:color w:val="auto"/>
              </w:rPr>
            </w:pPr>
            <w:r>
              <w:rPr>
                <w:rFonts w:ascii="Arial" w:cs="Arial" w:eastAsia="Arial" w:hAnsi="Arial"/>
                <w:sz w:val="18"/>
                <w:szCs w:val="18"/>
                <w:color w:val="auto"/>
              </w:rPr>
              <w:t>4,181</w:t>
            </w:r>
          </w:p>
        </w:tc>
        <w:tc>
          <w:tcPr>
            <w:tcW w:w="10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 (5)(6)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2,897,520</w:t>
            </w:r>
          </w:p>
        </w:tc>
        <w:tc>
          <w:tcPr>
            <w:tcW w:w="1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of New Jersey Common Pension Funds (7)</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7,102,217</w:t>
            </w:r>
          </w:p>
        </w:tc>
        <w:tc>
          <w:tcPr>
            <w:tcW w:w="1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MSSB TPG Specialty Lending Onshore Feeder Fund (8)</w:t>
            </w:r>
          </w:p>
        </w:tc>
        <w:tc>
          <w:tcPr>
            <w:tcW w:w="1620" w:type="dxa"/>
            <w:vAlign w:val="bottom"/>
          </w:tcPr>
          <w:p>
            <w:pPr>
              <w:jc w:val="right"/>
              <w:spacing w:after="0"/>
              <w:rPr>
                <w:sz w:val="20"/>
                <w:szCs w:val="20"/>
                <w:color w:val="auto"/>
              </w:rPr>
            </w:pPr>
            <w:r>
              <w:rPr>
                <w:rFonts w:ascii="Arial" w:cs="Arial" w:eastAsia="Arial" w:hAnsi="Arial"/>
                <w:sz w:val="18"/>
                <w:szCs w:val="18"/>
                <w:color w:val="auto"/>
              </w:rPr>
              <w:t>5,994,646</w:t>
            </w:r>
          </w:p>
        </w:tc>
        <w:tc>
          <w:tcPr>
            <w:tcW w:w="10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 (9)</w:t>
            </w:r>
          </w:p>
        </w:tc>
        <w:tc>
          <w:tcPr>
            <w:tcW w:w="26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3,911,472</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State Teachers Retirement System of Ohio (10)</w:t>
            </w:r>
          </w:p>
        </w:tc>
        <w:tc>
          <w:tcPr>
            <w:tcW w:w="1620" w:type="dxa"/>
            <w:vAlign w:val="bottom"/>
          </w:tcPr>
          <w:p>
            <w:pPr>
              <w:jc w:val="right"/>
              <w:spacing w:after="0"/>
              <w:rPr>
                <w:sz w:val="20"/>
                <w:szCs w:val="20"/>
                <w:color w:val="auto"/>
              </w:rPr>
            </w:pPr>
            <w:r>
              <w:rPr>
                <w:rFonts w:ascii="Arial" w:cs="Arial" w:eastAsia="Arial" w:hAnsi="Arial"/>
                <w:sz w:val="18"/>
                <w:szCs w:val="18"/>
                <w:color w:val="auto"/>
              </w:rPr>
              <w:t>3,571,124</w:t>
            </w:r>
          </w:p>
        </w:tc>
        <w:tc>
          <w:tcPr>
            <w:tcW w:w="10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TPG Funds (6)</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3,234,929</w:t>
            </w:r>
          </w:p>
        </w:tc>
        <w:tc>
          <w:tcPr>
            <w:tcW w:w="1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Silver Creek Group (11)</w:t>
            </w:r>
          </w:p>
        </w:tc>
        <w:tc>
          <w:tcPr>
            <w:tcW w:w="1620" w:type="dxa"/>
            <w:vAlign w:val="bottom"/>
          </w:tcPr>
          <w:p>
            <w:pPr>
              <w:jc w:val="right"/>
              <w:spacing w:after="0"/>
              <w:rPr>
                <w:sz w:val="20"/>
                <w:szCs w:val="20"/>
                <w:color w:val="auto"/>
              </w:rPr>
            </w:pPr>
            <w:r>
              <w:rPr>
                <w:rFonts w:ascii="Arial" w:cs="Arial" w:eastAsia="Arial" w:hAnsi="Arial"/>
                <w:sz w:val="18"/>
                <w:szCs w:val="18"/>
                <w:color w:val="auto"/>
              </w:rPr>
              <w:t>3,178,051</w:t>
            </w:r>
          </w:p>
        </w:tc>
        <w:tc>
          <w:tcPr>
            <w:tcW w:w="10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Oregon Public Employees Retirement Fund (12)</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3,013,977</w:t>
            </w:r>
          </w:p>
        </w:tc>
        <w:tc>
          <w:tcPr>
            <w:tcW w:w="10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5" w:lineRule="exact"/>
        <w:rPr>
          <w:sz w:val="20"/>
          <w:szCs w:val="20"/>
          <w:color w:val="auto"/>
        </w:rPr>
      </w:pPr>
    </w:p>
    <w:p>
      <w:pPr>
        <w:ind w:left="460" w:right="20" w:hanging="452"/>
        <w:spacing w:after="0" w:line="287"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Easterly is a TPG and TPG Special Situations Partners (“TSSP”) Partner. TPG and TSSP are affiliated with Tarrant and Group Advisors (both as defined below). Mr. Easterly disclaims beneficial ownership of the shares that are or may be beneficially owned by Tarrant, Group Advisors or any of its affiliates.</w:t>
      </w:r>
    </w:p>
    <w:p>
      <w:pPr>
        <w:ind w:left="460" w:right="28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Fishman is employed by TSL Advisers, LLC (the “Adviser” or “TSL Advisers”), which is affiliated with Tarrant and Group Advisors. Mr. Fishman disclaims beneficial ownership of the shares that are or may be beneficially owned by Tarrant, Group Advisors or any of its affiliates.</w:t>
      </w:r>
    </w:p>
    <w:p>
      <w:pPr>
        <w:spacing w:after="0" w:line="1" w:lineRule="exact"/>
        <w:rPr>
          <w:rFonts w:ascii="Arial" w:cs="Arial" w:eastAsia="Arial" w:hAnsi="Arial"/>
          <w:sz w:val="16"/>
          <w:szCs w:val="16"/>
          <w:color w:val="auto"/>
        </w:rPr>
      </w:pPr>
    </w:p>
    <w:p>
      <w:pPr>
        <w:ind w:left="460" w:right="4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Kirshenbaum is the Chief Financial Officer of TSL. Mr. Kirshenbaum disclaims beneficial ownership of the shares that are or may be beneficially owned by Tarrant, Group Advisors or any of its affiliates.</w:t>
      </w:r>
    </w:p>
    <w:p>
      <w:pPr>
        <w:ind w:left="460" w:right="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w:t>
      </w:r>
    </w:p>
    <w:p>
      <w:pPr>
        <w:jc w:val="both"/>
        <w:ind w:left="460" w:right="200" w:hanging="452"/>
        <w:spacing w:after="0" w:line="331"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common stock held by the TPG Funds (as defined below) includes (i) 2,799,517 shares of common stock, or the TSL Shares, held by TSL Advisers; (ii) 435,346 shares of common stock, or the TSL FOF Shares, held by TSL FOF, L.P., a Delaware limited partnership, or TSL FOF; and (iii) 66 shares of common stock held by Tarrant Advisors, Inc., a Delaware corporation, or Tarrant, and, together with TSL Advisers and TSL FOF, the TPG Funds.</w:t>
      </w:r>
    </w:p>
    <w:p>
      <w:pPr>
        <w:spacing w:after="0" w:line="90"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The business and affairs of TSL Advisers are managed by its board of managers, whose sole members are Messrs. Bonderman, Coulter and Waxman. Any decision or determination by the board of managers requires the approval of each of Messrs. Bonderman, Coulter and Waxman.</w:t>
      </w:r>
    </w:p>
    <w:p>
      <w:pPr>
        <w:spacing w:after="0" w:line="85" w:lineRule="exact"/>
        <w:rPr>
          <w:sz w:val="20"/>
          <w:szCs w:val="20"/>
          <w:color w:val="auto"/>
        </w:rPr>
      </w:pPr>
    </w:p>
    <w:p>
      <w:pPr>
        <w:ind w:left="460" w:right="40"/>
        <w:spacing w:after="0" w:line="314" w:lineRule="auto"/>
        <w:rPr>
          <w:sz w:val="20"/>
          <w:szCs w:val="20"/>
          <w:color w:val="auto"/>
        </w:rPr>
      </w:pPr>
      <w:r>
        <w:rPr>
          <w:rFonts w:ascii="Arial" w:cs="Arial" w:eastAsia="Arial" w:hAnsi="Arial"/>
          <w:sz w:val="15"/>
          <w:szCs w:val="15"/>
          <w:color w:val="auto"/>
        </w:rPr>
        <w:t>TPG Group Holdings (SBS) Advisors, Inc., a Delaware corporation, or 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or Holdings II Sub, which is a member of TSL Advisers. Because of the relationship between Holdings II Sub and TSL Advisers, Group Advisors may be deemed to beneficially own the TSL Shares. The principal business of Group Advisors is serving as the sole ultimate general partner, managing member or similar entity of related entities (including TSL Advisers) engaged in making or recommending investments in securities of public and private companies.</w:t>
      </w:r>
    </w:p>
    <w:p>
      <w:pPr>
        <w:spacing w:after="0" w:line="105"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Tarrant Capital Advisors, Inc., a Delaware corporation, or Tarrant Capital, is the sole stockholder of Tarrant, which is the general partner of TSL Equity Partners, L.P., a Delaware limited partnership, or Equity Partners, which is a member of TSL Advisers. Because of the investment by Equity Partners in TSL Advisers, Tarrant Capital may be deemed to beneficially own 2,374,970 of the TSL Shares, or the Tarrant TSL Shares. Tarrant is also the general partner of TSL FOF. Because of the relationship between Tarrant and TSL FOF, Tarrant Capital may be deemed to beneficially own the TSL FOF Shares and, together with the Tarrant TSL Shares and the 66 shares of common stock held directly by Tarrant, the Tarrant Shares.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118"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TSL Advisers is required to solicit voting instructions from Equity Partners and Holdings II Sub in respect of the shares of common stock beneficially owned by Equity Partners and Holdings II Sub, respectively, in connection with any matter on which TSL Advisers is entitled to vote the TSL Shares. TSL Advisers is required to vote all proxies in respect of the TSL Shares proportionately in accordance with such instructions. 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16"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Messrs. Bonderman and Coulter are officers and sole stockholders of each of Tarrant Capital and Group Advisors. As officers and sole stockholders of Group Advisors, Mr. Bonderman and Mr. Coulter may indirectly issue voting instructions to TSL Advisers in respect of the shares of common stock beneficially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83" w:lineRule="auto"/>
        <w:rPr>
          <w:sz w:val="20"/>
          <w:szCs w:val="20"/>
          <w:color w:val="auto"/>
        </w:rPr>
      </w:pPr>
      <w:r>
        <w:rPr>
          <w:rFonts w:ascii="Arial" w:cs="Arial" w:eastAsia="Arial" w:hAnsi="Arial"/>
          <w:sz w:val="16"/>
          <w:szCs w:val="16"/>
          <w:color w:val="auto"/>
        </w:rPr>
        <w:t>owned by Holdings II Sub.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 The address of Group Advisors, Tarrant Capital and Messrs. Bonderman, Coulter and Waxman is c/o TPG Global, LLC, 301 Commerce Street, Suite 3300, Fort Worth, TX 76102.</w:t>
      </w:r>
    </w:p>
    <w:p>
      <w:pPr>
        <w:spacing w:after="0" w:line="1" w:lineRule="exact"/>
        <w:rPr>
          <w:sz w:val="20"/>
          <w:szCs w:val="20"/>
          <w:color w:val="auto"/>
        </w:rPr>
      </w:pPr>
    </w:p>
    <w:p>
      <w:pPr>
        <w:ind w:left="460" w:right="1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the State of New Jersey Common Pension Fund B and the State of New Jersey Common Pension Fund E. The address of the State of New Jersey Common Pension Fund B and the State of New Jersey Common Pension Fund E is New Jersey Division of Investment 50 West State Street, 9</w:t>
      </w:r>
      <w:r>
        <w:rPr>
          <w:rFonts w:ascii="Arial" w:cs="Arial" w:eastAsia="Arial" w:hAnsi="Arial"/>
          <w:sz w:val="11"/>
          <w:szCs w:val="11"/>
          <w:color w:val="auto"/>
        </w:rPr>
        <w:t>th</w:t>
      </w:r>
      <w:r>
        <w:rPr>
          <w:rFonts w:ascii="Arial" w:cs="Arial" w:eastAsia="Arial" w:hAnsi="Arial"/>
          <w:sz w:val="18"/>
          <w:szCs w:val="18"/>
          <w:color w:val="auto"/>
        </w:rPr>
        <w:t xml:space="preserve"> Floor Trenton, NJ 08608.</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upon a Form 4 filed by MSSB TPG Specialty Lending Onshore Feeder Fund, or the MSSB Onshore Feeder Fund, on January 3, 2014, although MSSB Onshore Feeder Fund beneficially owns 5,994,646 shares of common stock and would otherwise be entitled to vote such shares, MSSB Onshore Feeder Fund has contractually agreed to pass such voting rights through to its underlying investors, or MSSB Unitholders, pro rata in accordance with each MSSB Unitholder’s relative ownership of units of the MSSB Onshore Feeder Fund. Each MSSB Unitholder will make its own determination as to whether and how to vote its portion of the MSSB Onshore Feeder Fund’s shares of us, as well as whether or not to vote with respect to such shares. If MSSB Unitholders representing a certain percentage vote their interests, MSSB Onshore Feeder Fund will vote all shares in accordance with the votes received. If, however, less than the agreed upon representative vote is received, MSSB Onshore Feeder Fund will not vote any of the shares. The address of the MSSB TPG Specialty Lending Onshore Feeder Fund is 522 Fifth Avenue, 13th Floor, New York, NY 10036.</w:t>
      </w:r>
    </w:p>
    <w:p>
      <w:pPr>
        <w:spacing w:after="0" w:line="5"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Universities Superannuation Scheme Ltd. is Royal Liver Building, Liverpool L3 1PY, United Kingdom.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State Teachers Retirement System of Ohio is 275 East Broad Street, Columbus, OH 43215-3771.</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a Schedule 13G filed with the SEC on February 14, 2014 by Silver Creek Capital Management LLC, Silver Creek Advisory Partners LLC, Silver Creek Special Opportunities Fund III, L.P., Silver Creek Special Opportunities Fund Cayman III, L.P, Silver Creek Credit Opportunities II Fund A Master Fund, L.P. and Silver Creek Credit Opportunities III Fund B Master Fund, L.P. (collectively, the Silver Creek Group) and other information known to us.</w:t>
      </w:r>
    </w:p>
    <w:p>
      <w:pPr>
        <w:spacing w:after="0" w:line="1"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Oregon Public Employees Retirement Fund is c/o Office of the Oregon Treasurer, 6650 SW Redwood Lane, Suite 190, Tigard, Oregon 97224-7184.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Pursuant to our certificate of incorporation, our Board consists of five members.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expire at the Meeting.</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board has nominated Joshua Easterly and Michael Fishman as Class III directors, each to serve until his successor is duly elected and qualified at the annual meeting of stockholders held in 2017 or until his earlier death, resignation or removal. Messers. Easterly and Fishman are currently directors of TSL and Mr. Easterly serves as chairman of the Board.</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Messers. Easterly and Fishman have consented to being named in this proxy statement and to serving as directors if elected at the Meeting. If for any reason, either or both of them become unable or unwilling to serve at the time of the Meeting, the persons named as proxies in the proxy will have the authority to vote for a substitute nominee or nominees. We do not anticipate that either Mr. Easterly or Mr. Fishman will be unable or unwilling to serve.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Messers. Easterly and Fishman are considered “interested persons” of the Company, of the Adviser, and of certain of their respective affiliates as defined in Section 2(a)(19) of the Investment Company Act of 1940 (the “1940 Act”).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“FOR” the Company’s nominees for Class III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Set forth below are brief biographies of Messers. Easterly and Fishman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Nominees for Election as Class III Directors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8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75"/>
              </w:rPr>
              <w:t>Age</w:t>
            </w:r>
          </w:p>
        </w:tc>
        <w:tc>
          <w:tcPr>
            <w:tcW w:w="4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3"/>
              </w:rPr>
              <w:t>Position</w:t>
            </w:r>
          </w:p>
        </w:tc>
        <w:tc>
          <w:tcPr>
            <w:tcW w:w="17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Expiration of Term</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Director Since</w:t>
            </w:r>
          </w:p>
        </w:tc>
      </w:tr>
      <w:tr>
        <w:trPr>
          <w:trHeight w:val="201"/>
        </w:trPr>
        <w:tc>
          <w:tcPr>
            <w:tcW w:w="29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Joshua Easterly</w:t>
            </w:r>
          </w:p>
        </w:tc>
        <w:tc>
          <w:tcPr>
            <w:tcW w:w="2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37</w:t>
            </w:r>
          </w:p>
        </w:tc>
        <w:tc>
          <w:tcPr>
            <w:tcW w:w="640" w:type="dxa"/>
            <w:vAlign w:val="bottom"/>
            <w:tcBorders>
              <w:top w:val="single" w:sz="8" w:color="CCEEFF"/>
            </w:tcBorders>
            <w:shd w:val="clear" w:color="auto" w:fill="CCEEFF"/>
          </w:tcPr>
          <w:p>
            <w:pPr>
              <w:spacing w:after="0"/>
              <w:rPr>
                <w:sz w:val="17"/>
                <w:szCs w:val="17"/>
                <w:color w:val="auto"/>
              </w:rPr>
            </w:pPr>
          </w:p>
        </w:tc>
        <w:tc>
          <w:tcPr>
            <w:tcW w:w="43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Chairman, Director (Interested) and Co-Chief Executive</w:t>
            </w:r>
          </w:p>
        </w:tc>
        <w:tc>
          <w:tcPr>
            <w:tcW w:w="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2017</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24"/>
        </w:trPr>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4"/>
              </w:rPr>
              <w:t>Officer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Michael Fishman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640" w:type="dxa"/>
            <w:vAlign w:val="bottom"/>
          </w:tcPr>
          <w:p>
            <w:pPr>
              <w:spacing w:after="0"/>
              <w:rPr>
                <w:sz w:val="19"/>
                <w:szCs w:val="19"/>
                <w:color w:val="auto"/>
              </w:rPr>
            </w:pPr>
          </w:p>
        </w:tc>
        <w:tc>
          <w:tcPr>
            <w:tcW w:w="492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Director (Interested) and Co-Chief Executive Officer</w:t>
            </w:r>
          </w:p>
        </w:tc>
        <w:tc>
          <w:tcPr>
            <w:tcW w:w="1120" w:type="dxa"/>
            <w:vAlign w:val="bottom"/>
          </w:tcPr>
          <w:p>
            <w:pPr>
              <w:jc w:val="right"/>
              <w:spacing w:after="0"/>
              <w:rPr>
                <w:sz w:val="20"/>
                <w:szCs w:val="20"/>
                <w:color w:val="auto"/>
              </w:rPr>
            </w:pPr>
            <w:r>
              <w:rPr>
                <w:rFonts w:ascii="Arial" w:cs="Arial" w:eastAsia="Arial" w:hAnsi="Arial"/>
                <w:sz w:val="18"/>
                <w:szCs w:val="18"/>
                <w:color w:val="auto"/>
              </w:rPr>
              <w:t>2017</w:t>
            </w: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5"/>
          <w:szCs w:val="15"/>
          <w:b w:val="1"/>
          <w:bCs w:val="1"/>
          <w:color w:val="auto"/>
        </w:rPr>
        <w:t xml:space="preserve">Joshua Easterly </w:t>
      </w:r>
      <w:r>
        <w:rPr>
          <w:rFonts w:ascii="Arial" w:cs="Arial" w:eastAsia="Arial" w:hAnsi="Arial"/>
          <w:sz w:val="15"/>
          <w:szCs w:val="15"/>
          <w:color w:val="auto"/>
        </w:rPr>
        <w:t>was appointed Co-Chief Executive Officer in December 2013 and elected a director and Chairman of TSL in March 2011. Mr. Easterly is</w:t>
      </w:r>
      <w:r>
        <w:rPr>
          <w:rFonts w:ascii="Arial" w:cs="Arial" w:eastAsia="Arial" w:hAnsi="Arial"/>
          <w:sz w:val="15"/>
          <w:szCs w:val="15"/>
          <w:b w:val="1"/>
          <w:bCs w:val="1"/>
          <w:color w:val="auto"/>
        </w:rPr>
        <w:t xml:space="preserve"> </w:t>
      </w:r>
      <w:r>
        <w:rPr>
          <w:rFonts w:ascii="Arial" w:cs="Arial" w:eastAsia="Arial" w:hAnsi="Arial"/>
          <w:sz w:val="15"/>
          <w:szCs w:val="15"/>
          <w:color w:val="auto"/>
        </w:rPr>
        <w:t>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w:t>
      </w:r>
    </w:p>
    <w:p>
      <w:pPr>
        <w:spacing w:after="0" w:line="10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Mr. Easterly’s depth of experience investing in a variety of distressed and special situations transactions, as well as his extensive knowledge of the business and operations of TSSP, provides the Board with valuable insight and expertise.</w:t>
      </w:r>
    </w:p>
    <w:p>
      <w:pPr>
        <w:spacing w:after="0" w:line="12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color w:val="auto"/>
        </w:rPr>
        <w:t xml:space="preserve">Michael Fishman </w:t>
      </w:r>
      <w:r>
        <w:rPr>
          <w:rFonts w:ascii="Arial" w:cs="Arial" w:eastAsia="Arial" w:hAnsi="Arial"/>
          <w:sz w:val="16"/>
          <w:szCs w:val="16"/>
          <w:color w:val="auto"/>
        </w:rPr>
        <w:t>was appointed director and Chief Executive Officer of TSL in April 2011 and became Co-Chief Executive Officer in December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Fishman has been an executive in corporate lending for more than 20 years with senior management experience in credit, portfolio management and primary loan originations. Prior to joining TSL,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degree in Finance from Rochester Institute of Technology. Mr. Fishman’s extensive experience in the credit markets provides the Board with valuable industry-specific knowledge.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 Directors: Term Expiring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5"/>
              </w:rPr>
              <w:t>Age</w:t>
            </w:r>
          </w:p>
        </w:tc>
        <w:tc>
          <w:tcPr>
            <w:tcW w:w="27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Position</w:t>
            </w: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Expiration of Term</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Director Since</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w:t>
            </w:r>
          </w:p>
        </w:tc>
        <w:tc>
          <w:tcPr>
            <w:tcW w:w="66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Director (Independent)</w:t>
            </w:r>
          </w:p>
        </w:tc>
        <w:tc>
          <w:tcPr>
            <w:tcW w:w="5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Ronald Tanemura</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50</w:t>
            </w:r>
          </w:p>
        </w:tc>
        <w:tc>
          <w:tcPr>
            <w:tcW w:w="660" w:type="dxa"/>
            <w:vAlign w:val="bottom"/>
          </w:tcPr>
          <w:p>
            <w:pPr>
              <w:spacing w:after="0"/>
              <w:rPr>
                <w:sz w:val="19"/>
                <w:szCs w:val="19"/>
                <w:color w:val="auto"/>
              </w:rPr>
            </w:pPr>
          </w:p>
        </w:tc>
        <w:tc>
          <w:tcPr>
            <w:tcW w:w="274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Director (Independent)</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2015</w:t>
            </w:r>
          </w:p>
        </w:tc>
        <w:tc>
          <w:tcPr>
            <w:tcW w:w="84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 in March 2011. From 2010 to 2013, he was a director of Healthcare Finance Group LLC.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2008 and March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3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 in March 2011. Since 2012, Mr. Tanemura has served as a director of Lehman Brothers Holdings Inc., or</w:t>
      </w:r>
      <w:r>
        <w:rPr>
          <w:rFonts w:ascii="Arial" w:cs="Arial" w:eastAsia="Arial" w:hAnsi="Arial"/>
          <w:sz w:val="16"/>
          <w:szCs w:val="16"/>
          <w:b w:val="1"/>
          <w:bCs w:val="1"/>
          <w:color w:val="auto"/>
        </w:rPr>
        <w:t xml:space="preserve"> </w:t>
      </w:r>
      <w:r>
        <w:rPr>
          <w:rFonts w:ascii="Arial" w:cs="Arial" w:eastAsia="Arial" w:hAnsi="Arial"/>
          <w:sz w:val="16"/>
          <w:szCs w:val="16"/>
          <w:color w:val="auto"/>
        </w:rPr>
        <w:t>LBHI, in New York and is a member of the Derivatives, Non-Controlled Affiliates and Finance committees of LBHI, and has also served on the Banks and Loans committee. In addition, he serves as a board member of several companies currently managed by LBHI under its plan of reorganization. Also, since November 2012, he has served as a non-executive director of ICE Clear Credit in Chicago and, since 2009, he has served as a non-executive director of ICE Clear Europe in London, both wholly owned subsidiaries of IntercontinentalExchange, Inc. From 2008 to 2010, he served as an independent advisor to the ICE Trust U.S. LLC. Between 2004 and 2006, Mr. Tanemura served as an Advisory Director to Goldman, Sachs &amp; Co. Prior to that, 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Incumbent Class II Director: Term Expiring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5"/>
              </w:rPr>
              <w:t>Age</w:t>
            </w:r>
          </w:p>
        </w:tc>
        <w:tc>
          <w:tcPr>
            <w:tcW w:w="480" w:type="dxa"/>
            <w:vAlign w:val="bottom"/>
          </w:tcPr>
          <w:p>
            <w:pPr>
              <w:spacing w:after="0"/>
              <w:rPr>
                <w:sz w:val="15"/>
                <w:szCs w:val="15"/>
                <w:color w:val="auto"/>
              </w:rPr>
            </w:pPr>
          </w:p>
        </w:tc>
        <w:tc>
          <w:tcPr>
            <w:tcW w:w="27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3"/>
              </w:rPr>
              <w:t>Position</w:t>
            </w:r>
          </w:p>
        </w:tc>
        <w:tc>
          <w:tcPr>
            <w:tcW w:w="17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7"/>
              </w:rPr>
              <w:t>Expiration of Term</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Director Since</w:t>
            </w: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John Ross</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Director (Independent)</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8"/>
                <w:szCs w:val="18"/>
                <w:color w:val="auto"/>
              </w:rPr>
            </w:pPr>
          </w:p>
        </w:tc>
      </w:tr>
      <w:tr>
        <w:trPr>
          <w:trHeight w:val="363"/>
        </w:trPr>
        <w:tc>
          <w:tcPr>
            <w:tcW w:w="5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jc w:val="right"/>
              <w:ind w:right="92"/>
              <w:spacing w:after="0"/>
              <w:rPr>
                <w:sz w:val="20"/>
                <w:szCs w:val="20"/>
                <w:color w:val="auto"/>
              </w:rPr>
            </w:pPr>
            <w:r>
              <w:rPr>
                <w:rFonts w:ascii="Arial" w:cs="Arial" w:eastAsia="Arial" w:hAnsi="Arial"/>
                <w:sz w:val="18"/>
                <w:szCs w:val="18"/>
                <w:color w:val="auto"/>
              </w:rPr>
              <w:t>7</w:t>
            </w: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John Ross </w:t>
      </w:r>
      <w:r>
        <w:rPr>
          <w:rFonts w:ascii="Arial" w:cs="Arial" w:eastAsia="Arial" w:hAnsi="Arial"/>
          <w:sz w:val="16"/>
          <w:szCs w:val="16"/>
          <w:color w:val="auto"/>
        </w:rPr>
        <w:t>was elected a director of TSL in March 2011. From 2003 to 2011, Mr. Ross was a director and member of the board risk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w:t>
      </w:r>
    </w:p>
    <w:p>
      <w:pPr>
        <w:jc w:val="both"/>
        <w:ind w:right="20"/>
        <w:spacing w:after="0" w:line="361" w:lineRule="auto"/>
        <w:rPr>
          <w:sz w:val="20"/>
          <w:szCs w:val="20"/>
          <w:color w:val="auto"/>
        </w:rPr>
      </w:pPr>
      <w:r>
        <w:rPr>
          <w:rFonts w:ascii="Arial" w:cs="Arial" w:eastAsia="Arial" w:hAnsi="Arial"/>
          <w:sz w:val="15"/>
          <w:szCs w:val="15"/>
          <w:color w:val="auto"/>
        </w:rPr>
        <w:t>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dollar range of equity securities of the Company beneficially owned by each director or director nominee as of April 14,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2014. The Company is not part of a “family of investment companies,” as that term is defined in the 1940 Act.</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7"/>
              </w:rPr>
              <w:t>Dollar Range of our Common Stock</w:t>
            </w:r>
          </w:p>
        </w:tc>
      </w:tr>
      <w:tr>
        <w:trPr>
          <w:trHeight w:val="161"/>
        </w:trPr>
        <w:tc>
          <w:tcPr>
            <w:tcW w:w="7500" w:type="dxa"/>
            <w:vAlign w:val="bottom"/>
            <w:tcBorders>
              <w:bottom w:val="single" w:sz="8" w:color="CCEEFF"/>
            </w:tcBorders>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Beneficially Owned (1) (2)</w:t>
            </w: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080" w:type="dxa"/>
            <w:vAlign w:val="bottom"/>
            <w:shd w:val="clear" w:color="auto" w:fill="CCEEFF"/>
          </w:tcPr>
          <w:p>
            <w:pPr>
              <w:spacing w:after="0"/>
              <w:rPr>
                <w:sz w:val="17"/>
                <w:szCs w:val="17"/>
                <w:color w:val="auto"/>
              </w:rPr>
            </w:pP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Joshua Easterly (Director Nominee)</w:t>
            </w:r>
          </w:p>
        </w:tc>
        <w:tc>
          <w:tcPr>
            <w:tcW w:w="2080" w:type="dxa"/>
            <w:vAlign w:val="bottom"/>
          </w:tcPr>
          <w:p>
            <w:pPr>
              <w:jc w:val="center"/>
              <w:spacing w:after="0"/>
              <w:rPr>
                <w:sz w:val="20"/>
                <w:szCs w:val="20"/>
                <w:color w:val="auto"/>
              </w:rPr>
            </w:pPr>
            <w:r>
              <w:rPr>
                <w:rFonts w:ascii="Arial" w:cs="Arial" w:eastAsia="Arial" w:hAnsi="Arial"/>
                <w:sz w:val="18"/>
                <w:szCs w:val="18"/>
                <w:color w:val="auto"/>
                <w:w w:val="86"/>
              </w:rPr>
              <w:t>over $100,000</w:t>
            </w: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Michael Fishman (Director Nominee)</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over $100,000</w:t>
            </w:r>
          </w:p>
        </w:tc>
      </w:tr>
      <w:tr>
        <w:trPr>
          <w:trHeight w:val="216"/>
        </w:trPr>
        <w:tc>
          <w:tcPr>
            <w:tcW w:w="750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080" w:type="dxa"/>
            <w:vAlign w:val="bottom"/>
          </w:tcPr>
          <w:p>
            <w:pPr>
              <w:spacing w:after="0"/>
              <w:rPr>
                <w:sz w:val="18"/>
                <w:szCs w:val="18"/>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Richard Higginbotham</w:t>
            </w:r>
          </w:p>
        </w:tc>
        <w:tc>
          <w:tcPr>
            <w:tcW w:w="20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7500" w:type="dxa"/>
            <w:vAlign w:val="bottom"/>
          </w:tcPr>
          <w:p>
            <w:pPr>
              <w:ind w:left="220"/>
              <w:spacing w:after="0"/>
              <w:rPr>
                <w:sz w:val="20"/>
                <w:szCs w:val="20"/>
                <w:color w:val="auto"/>
              </w:rPr>
            </w:pPr>
            <w:r>
              <w:rPr>
                <w:rFonts w:ascii="Arial" w:cs="Arial" w:eastAsia="Arial" w:hAnsi="Arial"/>
                <w:sz w:val="18"/>
                <w:szCs w:val="18"/>
                <w:color w:val="auto"/>
              </w:rPr>
              <w:t>John Ross</w:t>
            </w:r>
          </w:p>
        </w:tc>
        <w:tc>
          <w:tcPr>
            <w:tcW w:w="2080" w:type="dxa"/>
            <w:vAlign w:val="bottom"/>
          </w:tcPr>
          <w:p>
            <w:pPr>
              <w:jc w:val="center"/>
              <w:spacing w:after="0"/>
              <w:rPr>
                <w:sz w:val="20"/>
                <w:szCs w:val="20"/>
                <w:color w:val="auto"/>
              </w:rPr>
            </w:pPr>
            <w:r>
              <w:rPr>
                <w:rFonts w:ascii="Arial" w:cs="Arial" w:eastAsia="Arial" w:hAnsi="Arial"/>
                <w:sz w:val="18"/>
                <w:szCs w:val="18"/>
                <w:color w:val="auto"/>
                <w:w w:val="86"/>
              </w:rPr>
              <w:t>over $100,000</w:t>
            </w:r>
          </w:p>
        </w:tc>
      </w:tr>
      <w:tr>
        <w:trPr>
          <w:trHeight w:val="216"/>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Ronald Tanemura</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over $100,000</w:t>
            </w:r>
          </w:p>
        </w:tc>
      </w:tr>
    </w:tbl>
    <w:p>
      <w:pPr>
        <w:spacing w:after="0" w:line="19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5" w:lineRule="exact"/>
        <w:rPr>
          <w:rFonts w:ascii="Arial" w:cs="Arial" w:eastAsia="Arial" w:hAnsi="Arial"/>
          <w:sz w:val="18"/>
          <w:szCs w:val="18"/>
          <w:color w:val="auto"/>
        </w:rPr>
      </w:pPr>
    </w:p>
    <w:p>
      <w:pPr>
        <w:ind w:left="460" w:right="46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April 14, 2014, multiplied by the closing sale price of the Company’s common stock as reported on the New York Stock Exchange (“NYSE”) as of April 14, 2014.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gridSpan w:val="2"/>
          </w:tcPr>
          <w:p>
            <w:pPr>
              <w:ind w:left="2240"/>
              <w:spacing w:after="0"/>
              <w:rPr>
                <w:sz w:val="20"/>
                <w:szCs w:val="20"/>
                <w:color w:val="auto"/>
              </w:rPr>
            </w:pPr>
            <w:r>
              <w:rPr>
                <w:rFonts w:ascii="Arial" w:cs="Arial" w:eastAsia="Arial" w:hAnsi="Arial"/>
                <w:sz w:val="14"/>
                <w:szCs w:val="14"/>
                <w:b w:val="1"/>
                <w:bCs w:val="1"/>
                <w:color w:val="auto"/>
              </w:rPr>
              <w:t>Name</w:t>
            </w:r>
          </w:p>
        </w:tc>
        <w:tc>
          <w:tcPr>
            <w:tcW w:w="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4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Position</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Officer Since</w:t>
            </w:r>
          </w:p>
        </w:tc>
      </w:tr>
      <w:tr>
        <w:trPr>
          <w:trHeight w:val="210"/>
        </w:trPr>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Ronald Cami</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Vice President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Alan Kirshenbaum</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Chief Financial Officer</w:t>
            </w:r>
          </w:p>
        </w:tc>
        <w:tc>
          <w:tcPr>
            <w:tcW w:w="76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Meagher</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4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Chief Compliance Officer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Jennifer Mello</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Vice President and Secretary</w:t>
            </w:r>
          </w:p>
        </w:tc>
        <w:tc>
          <w:tcPr>
            <w:tcW w:w="76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Pluss</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w:t>
            </w:r>
          </w:p>
        </w:tc>
        <w:tc>
          <w:tcPr>
            <w:tcW w:w="4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Vice President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42</w:t>
            </w: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Vice President</w:t>
            </w:r>
          </w:p>
        </w:tc>
        <w:tc>
          <w:tcPr>
            <w:tcW w:w="76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4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Vice President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 xml:space="preserve">Ronald Cami </w:t>
      </w:r>
      <w:r>
        <w:rPr>
          <w:rFonts w:ascii="Arial" w:cs="Arial" w:eastAsia="Arial" w:hAnsi="Arial"/>
          <w:sz w:val="18"/>
          <w:szCs w:val="18"/>
          <w:color w:val="auto"/>
        </w:rPr>
        <w:t>is a Vice President of TSL. Mr. Cami joined TPG as Partner and General Counsel in June 2010. From 2000 until he joined TPG in 2010,</w:t>
      </w:r>
      <w:r>
        <w:rPr>
          <w:rFonts w:ascii="Arial" w:cs="Arial" w:eastAsia="Arial" w:hAnsi="Arial"/>
          <w:sz w:val="18"/>
          <w:szCs w:val="18"/>
          <w:b w:val="1"/>
          <w:bCs w:val="1"/>
          <w:color w:val="auto"/>
        </w:rPr>
        <w:t xml:space="preserve"> </w:t>
      </w:r>
      <w:r>
        <w:rPr>
          <w:rFonts w:ascii="Arial" w:cs="Arial" w:eastAsia="Arial" w:hAnsi="Arial"/>
          <w:sz w:val="18"/>
          <w:szCs w:val="18"/>
          <w:color w:val="auto"/>
        </w:rPr>
        <w:t>Mr. Cami was a partner at the law firm Cravath, Swaine &amp; Moore LLP, in New York, where his practice focused on mergers and acquisitions, leveraged transactions and general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corporate and board advice. From 1994 through 2000, Mr. Cami was an associate in the New York and London offices of Cravath, Swaine &amp; Moore LLP. Prior to that, Mr. Cami served as a law clerk to the Honorable Kevin Thomas Duffy of the Southern District of New York, during which time Judge Duffy presided over the World Trade Center bombing case. Mr. Cami has also served as a director of Blount International Inc. since December 2010. Mr. Cami received his B.A. from Harvard University and his J.D. from Rutgers Law School.</w:t>
      </w:r>
    </w:p>
    <w:p>
      <w:pPr>
        <w:spacing w:after="0" w:line="13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Alan Kirshenbaum </w:t>
      </w:r>
      <w:r>
        <w:rPr>
          <w:rFonts w:ascii="Arial" w:cs="Arial" w:eastAsia="Arial" w:hAnsi="Arial"/>
          <w:sz w:val="16"/>
          <w:szCs w:val="16"/>
          <w:color w:val="auto"/>
        </w:rPr>
        <w:t>is Chief Financial Officer of TSL. Prior to being named Chief Financial Officer, Mr. Kirshenbaum was a Vice President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since 2011. From 2011 to 2013, Mr. Kirshenbaum was Chief Financial Officer and Executive Director of TSSP. From 2007 to 2011, Mr. Kirshenbaum was the Chief Financial Officer of Natsource, a private investment firm. Mr. Kirshenbaum was a Managing Director, Chief Operating Officer and Chief Financial Officer of MainStay Investments from 2006 to 2007. Mr. Kirshenbaum joined Bear Stearns Asset Management, or BSAM, in 1999 and was BSAM’s Chief Financial Officer from 2003 to 2006. Prior to working at BSAM, Mr. Kirshenbaum worked in public accounting at KPMG from 1996 to 1999 and J.H. Cohn from 1994 to 1996. Mr. Kirshenbaum received a B.S. from Rutgers University in 1994 and an M.B.A. from New York University’s Stern School of Business in 2003.</w:t>
      </w:r>
    </w:p>
    <w:p>
      <w:pPr>
        <w:spacing w:after="0" w:line="11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Justin Meagher </w:t>
      </w:r>
      <w:r>
        <w:rPr>
          <w:rFonts w:ascii="Arial" w:cs="Arial" w:eastAsia="Arial" w:hAnsi="Arial"/>
          <w:sz w:val="18"/>
          <w:szCs w:val="18"/>
          <w:color w:val="auto"/>
        </w:rPr>
        <w:t>is the Chief Compliance Officer of TSL. Since 2013, he has been a Principal and Deputy Chief Compliance Officer of TSSP. From 2009</w:t>
      </w:r>
      <w:r>
        <w:rPr>
          <w:rFonts w:ascii="Arial" w:cs="Arial" w:eastAsia="Arial" w:hAnsi="Arial"/>
          <w:sz w:val="18"/>
          <w:szCs w:val="18"/>
          <w:b w:val="1"/>
          <w:bCs w:val="1"/>
          <w:color w:val="auto"/>
        </w:rPr>
        <w:t xml:space="preserve"> </w:t>
      </w:r>
      <w:r>
        <w:rPr>
          <w:rFonts w:ascii="Arial" w:cs="Arial" w:eastAsia="Arial" w:hAnsi="Arial"/>
          <w:sz w:val="18"/>
          <w:szCs w:val="18"/>
          <w:color w:val="auto"/>
        </w:rPr>
        <w:t>to 2013, Mr. Meagher held multiple senior legal and compliance positions at Lehman Brothers Holdings, Inc. following its bankruptcy filing. During 2008, Mr. Meagher was Managing Director and Chief Compliance Officer of Diamond Lake Investment Group, L.P. From 2001 to 2007, Mr. Meagher was legal counsel and Deputy Chief of Compliance for Clinton Group, Inc. Mr. Meagher received a B.A. from Iona College, an M.A. from New York University and a J.D. from New York Law School.</w:t>
      </w:r>
    </w:p>
    <w:p>
      <w:pPr>
        <w:spacing w:after="0" w:line="13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Jennifer Mello </w:t>
      </w:r>
      <w:r>
        <w:rPr>
          <w:rFonts w:ascii="Arial" w:cs="Arial" w:eastAsia="Arial" w:hAnsi="Arial"/>
          <w:sz w:val="18"/>
          <w:szCs w:val="18"/>
          <w:color w:val="auto"/>
        </w:rPr>
        <w:t>is a Vice President and Secretary of TSL. Since 2012, Ms. Mello has been the General Counsel and a Principal of TSSP and,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TSSP, she was Deputy General Counsel of TPG. Prior to joining TPG, she was a senior attorney at the law firm of Cleary Gottlieb Steen &amp; Hamilton LLP. Ms. Mello received her J.D. from Northwestern University School of Law and her B.S. from the Edmund A. Walsh School of Foreign Service at Georgetown University.</w:t>
      </w:r>
    </w:p>
    <w:p>
      <w:pPr>
        <w:spacing w:after="0" w:line="136"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 xml:space="preserve">Steven Pluss </w:t>
      </w:r>
      <w:r>
        <w:rPr>
          <w:rFonts w:ascii="Arial" w:cs="Arial" w:eastAsia="Arial" w:hAnsi="Arial"/>
          <w:sz w:val="16"/>
          <w:szCs w:val="16"/>
          <w:color w:val="auto"/>
        </w:rPr>
        <w:t>is a Vice President of TSL. He is also a TPG and TSSP Partner and has been the Chief Financial Officer and Chief Risk Officer of TSSP</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2013.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0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 He is also a TPG and TSSP Partner and has served as TSSP’s Chief Operating Officer since 2010. From</w:t>
      </w:r>
      <w:r>
        <w:rPr>
          <w:rFonts w:ascii="Arial" w:cs="Arial" w:eastAsia="Arial" w:hAnsi="Arial"/>
          <w:sz w:val="18"/>
          <w:szCs w:val="18"/>
          <w:b w:val="1"/>
          <w:bCs w:val="1"/>
          <w:color w:val="auto"/>
        </w:rPr>
        <w:t xml:space="preserve"> </w:t>
      </w:r>
      <w:r>
        <w:rPr>
          <w:rFonts w:ascii="Arial" w:cs="Arial" w:eastAsia="Arial" w:hAnsi="Arial"/>
          <w:sz w:val="18"/>
          <w:szCs w:val="18"/>
          <w:color w:val="auto"/>
        </w:rPr>
        <w:t>2007 to 2010, Mr. Stiepleman was a Managing Director and the Deputy General Counsel of Fortress Investment Group LLC, where he was the lead lawyer responsible for that firm’s new business initiatives. Prior to that, from 2003 to 2007, he was lead counsel to the Americas Special Situations Group and the Mortgages Department at Goldman, Sachs &amp; Co. Mr. Stiepleman received a B.A. in French and Political Science from Amherst College and a J.D. from Columbia University.</w:t>
      </w:r>
    </w:p>
    <w:p>
      <w:pPr>
        <w:spacing w:after="0" w:line="139"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 xml:space="preserve">Alan Waxman </w:t>
      </w:r>
      <w:r>
        <w:rPr>
          <w:rFonts w:ascii="Arial" w:cs="Arial" w:eastAsia="Arial" w:hAnsi="Arial"/>
          <w:sz w:val="16"/>
          <w:szCs w:val="16"/>
          <w:color w:val="auto"/>
        </w:rPr>
        <w:t>is a Vice President of TSL. Mr. Waxman is a TPG Partner and is a member of the TPG’s Executive Committee. He has been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Officer and TSSP Partner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their board of the School of Arts and Sciences.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90"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will expire at the 2015 annual meeting of stockholders; the term of our Class II director will expire at the 2016 annual meeting of stockholders; and the terms of our Class III directors will expire at the Meeting.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is an independent director under the applicable NYSE listing standards.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“Proposal No. 1 Election of Directors –Biographical Information.”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met four times in 2013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4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an Audit Committee, consisting solely of Independent Directors for the purposes of the NYSE corporate governance rules and Rule 10A-3 under the Exchange Act, a Nominating and Corporate Governance Committee and a Compensation Committee.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performs its risk oversight function primarily through its committees and monitoring by our Chief Compliance Officer in accordance with its compliance policies and procedures.</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As described below in more detail under “ – Board Committees – 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9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59"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Secretary of the Company, Jennifer Mello,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non-management directors via email is available on our website at http://www.tpgspecialtylending.com.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59"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Audit Committee has the sole authority to approve the engagement, and review the performance of, our independent registered public accounting firm.</w:t>
      </w:r>
    </w:p>
    <w:p>
      <w:pPr>
        <w:spacing w:after="0" w:line="20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held eight meetings in 2013 and acted on various occasions by written consent.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jc w:val="both"/>
        <w:ind w:right="680" w:firstLine="456"/>
        <w:spacing w:after="0" w:line="259"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59" w:lineRule="exact"/>
        <w:rPr>
          <w:sz w:val="20"/>
          <w:szCs w:val="20"/>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and Mr. Higginbotham serves as Chairman. The Nominating and Corporate Governance Committee will meet one time each year and at additional times as necessary to carry out its responsibilities.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51" w:lineRule="exact"/>
        <w:rPr>
          <w:sz w:val="20"/>
          <w:szCs w:val="20"/>
          <w:color w:val="auto"/>
        </w:rPr>
      </w:pPr>
    </w:p>
    <w:p>
      <w:pPr>
        <w:jc w:val="both"/>
        <w:ind w:left="1480" w:right="700" w:hanging="446"/>
        <w:spacing w:after="0" w:line="335" w:lineRule="auto"/>
        <w:tabs>
          <w:tab w:leader="none" w:pos="14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(the “Administration Agreement”);</w:t>
      </w:r>
    </w:p>
    <w:p>
      <w:pPr>
        <w:spacing w:after="0" w:line="7" w:lineRule="exact"/>
        <w:rPr>
          <w:rFonts w:ascii="Arial" w:cs="Arial" w:eastAsia="Arial" w:hAnsi="Arial"/>
          <w:sz w:val="15"/>
          <w:szCs w:val="15"/>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 – Compensation and Insider Participation – Compensation of Executive Officers.”</w:t>
      </w:r>
    </w:p>
    <w:p>
      <w:pPr>
        <w:spacing w:after="0" w:line="171"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will meet one time each year and at additional times as necessary to carry out its responsibilities.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IPO Committee</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IPO Committee, which was dissolved after our initial public offering (“IPO”), held one meeting in 2013. Messrs. Easterly, Fishman and Tanemura were members of the IPO Committee. Mr. Easterly served as Chairman.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maintain a corporate governance section on our website, which contains copies of the charters for the committees of our Board of Directors. The corporate governance section may be found at http://www.tpgspecialtylending.com in the “Investor Resources” section of our website. The corporate governance section contains the following documents, which are available in print to any stockholder who requests a copy in writing at 345 California Street, Suite 3300, San Francisco, CA 94104, Attention: TSL Investor Relations, or by emailing us at </w:t>
      </w:r>
      <w:r>
        <w:rPr>
          <w:rFonts w:ascii="Arial" w:cs="Arial" w:eastAsia="Arial" w:hAnsi="Arial"/>
          <w:sz w:val="16"/>
          <w:szCs w:val="16"/>
          <w:i w:val="1"/>
          <w:iCs w:val="1"/>
          <w:color w:val="auto"/>
        </w:rPr>
        <w:t>IRTSL@tpg.com</w:t>
      </w:r>
      <w:r>
        <w:rPr>
          <w:rFonts w:ascii="Arial" w:cs="Arial" w:eastAsia="Arial" w:hAnsi="Arial"/>
          <w:sz w:val="16"/>
          <w:szCs w:val="16"/>
          <w:color w:val="auto"/>
        </w:rPr>
        <w:t>:</w:t>
      </w:r>
    </w:p>
    <w:p>
      <w:pPr>
        <w:spacing w:after="0" w:line="32"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our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Mello, TPG Specialty Lending, Inc., 301 Commerce Street, Suite 3300, Fort Worth, TX 76102. Please refer to the text of our bylaws (including Article II, paragraph (K)), which are on file with the SEC, and “Bylaw Requirements for Stockholder Submission of Nominations and Proposals” in this proxy statement for additional information.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90"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 as defined in Section 2(a)(19) of the 1940 Act;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needs of TSL with respect to the particular talents and experience of its directors;</w:t>
      </w:r>
    </w:p>
    <w:p>
      <w:pPr>
        <w:spacing w:after="0" w:line="90" w:lineRule="exact"/>
        <w:rPr>
          <w:rFonts w:ascii="Arial" w:cs="Arial" w:eastAsia="Arial" w:hAnsi="Arial"/>
          <w:sz w:val="18"/>
          <w:szCs w:val="18"/>
          <w:color w:val="auto"/>
        </w:rPr>
      </w:pPr>
    </w:p>
    <w:p>
      <w:pPr>
        <w:ind w:left="1480" w:right="20" w:hanging="446"/>
        <w:spacing w:after="0" w:line="268"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90" w:lineRule="exact"/>
        <w:rPr>
          <w:rFonts w:ascii="Arial" w:cs="Arial" w:eastAsia="Arial" w:hAnsi="Arial"/>
          <w:sz w:val="18"/>
          <w:szCs w:val="18"/>
          <w:color w:val="auto"/>
        </w:rPr>
      </w:pPr>
    </w:p>
    <w:p>
      <w:pPr>
        <w:ind w:left="1480" w:right="280" w:hanging="446"/>
        <w:spacing w:after="0" w:line="268"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desire to balance the considerable benefit of continuity with the periodic injection of the fresh perspective provided by new members;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Nominating and Corporate Governance Committee’s goal is to assemble a board that brings to TSL a variety of perspectives and skills derived from high-quality business and professional experience.</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 and its stockholders. The Board also believes it appropriate for certain key members of our management to participate as members of the Board.</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Committee identifies the desired skills and experience of a new nominee in light of the criteria above. The members of the Board are polled for suggestions as to individuals meeting the aforementioned criteria. Research may also be performed to identify qualified individuals. To date, we have not engaged third parties to identify or evaluate or assist in identifying potential nominees, although we reserve the right in the future to retain a third-party search firm, if necessary.</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 and the interests of its stockholders.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adopted a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Co-Chief Executive Officers or Chief Financial Officer. Our Code of Business Conduct and Ethics can be accessed on our website at http://www.tpgspecialtylending.com.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elects our officers and our officers serve until their resignation or termination or until their successors are duly elected and qualified.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$100,000 annual retainer (which was $75,000 prior to the IPO);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additional fee of $5,000 per year for the chairman of the Audit Committee.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During the year ended December 31, 2013, we also reimbursed directors for certain out-of-pocket expenses each Independent Director incurred in connection with the fulfillment of his duties as an Independent Director. In each case these amounts were under $2,500 in the aggregate per Independent Director.</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2013:</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w w:val="84"/>
              </w:rPr>
              <w:t>Fees Earned or Paid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right"/>
              <w:ind w:right="1400"/>
              <w:spacing w:after="0"/>
              <w:rPr>
                <w:sz w:val="20"/>
                <w:szCs w:val="20"/>
                <w:color w:val="auto"/>
              </w:rPr>
            </w:pPr>
            <w:r>
              <w:rPr>
                <w:rFonts w:ascii="Arial" w:cs="Arial" w:eastAsia="Arial" w:hAnsi="Arial"/>
                <w:sz w:val="14"/>
                <w:szCs w:val="14"/>
                <w:b w:val="1"/>
                <w:bCs w:val="1"/>
                <w:color w:val="auto"/>
              </w:rPr>
              <w:t>in Cash</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Richard Higginbotham</w:t>
            </w:r>
          </w:p>
        </w:tc>
        <w:tc>
          <w:tcPr>
            <w:tcW w:w="3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John Ross</w:t>
            </w:r>
          </w:p>
        </w:tc>
        <w:tc>
          <w:tcPr>
            <w:tcW w:w="37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98,000</w:t>
            </w:r>
          </w:p>
        </w:tc>
        <w:tc>
          <w:tcPr>
            <w:tcW w:w="10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$98,000</w:t>
            </w: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376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$94,000</w:t>
            </w:r>
          </w:p>
        </w:tc>
        <w:tc>
          <w:tcPr>
            <w:tcW w:w="100" w:type="dxa"/>
            <w:vAlign w:val="bottom"/>
            <w:shd w:val="clear" w:color="auto" w:fill="CCEEFF"/>
          </w:tcPr>
          <w:p>
            <w:pPr>
              <w:spacing w:after="0"/>
              <w:rPr>
                <w:sz w:val="18"/>
                <w:szCs w:val="18"/>
                <w:color w:val="auto"/>
              </w:rPr>
            </w:pPr>
          </w:p>
        </w:tc>
      </w:tr>
      <w:tr>
        <w:trPr>
          <w:trHeight w:val="363"/>
        </w:trPr>
        <w:tc>
          <w:tcPr>
            <w:tcW w:w="3160" w:type="dxa"/>
            <w:vAlign w:val="bottom"/>
          </w:tcPr>
          <w:p>
            <w:pPr>
              <w:spacing w:after="0"/>
              <w:rPr>
                <w:sz w:val="24"/>
                <w:szCs w:val="24"/>
                <w:color w:val="auto"/>
              </w:rPr>
            </w:pPr>
          </w:p>
        </w:tc>
        <w:tc>
          <w:tcPr>
            <w:tcW w:w="3540" w:type="dxa"/>
            <w:vAlign w:val="bottom"/>
          </w:tcPr>
          <w:p>
            <w:pPr>
              <w:jc w:val="right"/>
              <w:ind w:right="1732"/>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Executive Officers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None of our executive officers receives direct compensation from us. We reimburse the Adviser the allocable portion of the compensation paid by the Adviser or its affiliates to our Chief Compliance Officer and Chief Financial Officer and their respective staffs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(the “Advisers Act”).</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an investment review committee (the “Investment Review Committee”), which includes senior personnel of TSSP and TPG.</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TSSP, which encompasses TPG Specialty Lending, TPG Opportunities Partners and TPG Institutional Credit Partners, is TPG’s special situations and credit platform. TSSP had over $8.5 billion of assets under management as of December 31, 2013, as adjusted for commitments accepted on January 2, 2014. TSSP has extensive experience with highly complex, global public and private investments executed through primary originations, secondary market purchases and restructurings, and has a team of over 80 investment and operating professionals. Approximately twenty of these personnel are dedicated to our business. The TSSP members of the Investment Review Committee are Joshua Easterly, Michael Fishman, Alan Waxman and David Stiepleman.</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TPG is a leading global private investment firm founded in 1992 with over $59 billion of assets under management as of December 31, 2013, as adjusted for commitments accepted on January 2, 2014, and offices in San Francisco, Fort Worth, Austin,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has a team of over 250 professionals. The TPG members of the Investment Review Committee are TPG co-founders, David Bonderman and James Coulter, and TPG Senior Partners, Jonathan Coslet and James Gates.</w:t>
      </w:r>
    </w:p>
    <w:p>
      <w:pPr>
        <w:spacing w:after="0" w:line="13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Management of the Adviser consists primarily of senior executives of TSSP and TPG. TSSP and TPG executives, including members of our Investment Review Committee and certain of our other senior personnel, own a significant stake in the Adviser. As of April 14, 2014, our Adviser owned 2,799,517 shares, or 5.3%, of our common stock. See “– Certain Relationships and Related Party Transactions” and “Security Ownership of Certain Beneficial Owners and Management.”</w:t>
      </w:r>
    </w:p>
    <w:p>
      <w:pPr>
        <w:spacing w:after="0" w:line="143"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The Adviser has also entered into an agreement with Goldman, Sachs &amp; Co. (the “10b5-1 Plan”) under which Goldman, Sachs &amp; Co., as agent for the Adviser, will buy up to $25 million in the aggregate of our common stock during the period beginning April 23, 2014 and ending on the earlier of the date on which all the capital committed to the 10b5-1 Plan has been exhausted or December 31, 2014, subject to certain conditions. See “– Certain Relationships and Related Party Transactions.”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Relationship with TPG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also holds 2,799,517 shares, or 5.3%, of our common stock as of April 14, 2014.</w:t>
      </w:r>
    </w:p>
    <w:p>
      <w:pPr>
        <w:spacing w:after="0" w:line="11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Adviser has entered into the 10b5-1 Plan under which Goldman, Sachs &amp; Co., as agent for the Adviser, will buy up to $25 million in the aggregate of our common stock during the period beginning April 23, 2014 and ending on the earlier of the date on which all the capital committed to the 10b5-1 Plan has been exhausted or December 31, 2014, subject to certain conditions. The 10b5-1 Plan will require Goldman, Sachs &amp; Co. to purchase for the 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us to any previously announced net asset value per share). The purchase of shares by Goldman, Sachs &amp; Co. pursuant to the 10b5-1 Plan is intended to satisfy the conditions of Rules 10b5-1 and 10b-18 under the Exchange Act, and will otherwise be subject to applicable law, including Regulation M, which may prohibit purchases under certain circumstances. Any shares of common stock purchased by the Adviser pursuant to the 10b5-1 Plan will be subject to the lock-up agreement between the Adviser and the underwriters, meaning the shares purchased will be locked-up until March 20, 2015.</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10b5-1 Plan, Goldman, Sachs &amp; Co. will increase the volume of purchases made as the price of our common stock declines, subject to volume restrictions. Whether purchases will be made under the 10b5-1 Plan and how much will be purchased at any time is uncertain, dependent on prevailing market prices and trading volumes, all of which we cannot predict. These activities may have the effect of maintaining the market price of the common stock or retarding a decline in the market price of the common stock, and, as a result, the price of our common stock may be higher than the price that otherwise might exist in the open market.</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Allocations of Loan Origination Investment Opportunities</w:t>
      </w:r>
    </w:p>
    <w:p>
      <w:pPr>
        <w:spacing w:after="0" w:line="90"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Certain 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4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(including TPG’s general counsel, who is also an executive officer of the Adviser and us) with a scope of responsibilities across all business units 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or TPG may in the future organize a separate investment vehicle aimed specifically at non-U.S. middle-market loan originations or other loan origination opportunities outside our primary focus.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TPG and the Adviser were to determine that an investment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Exemptive Relief Application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November 23, 2011, we, the Adviser and certain other affiliates of TPG filed an application with the SEC for exemptive relief. We most recently filed a revised application with the SEC on January 23, 2014. If granted, the exemptive relief would allow us to co-invest in middle-market loan origination activities for companies domiciled in the United States and certain follow-on investments in companies in which we have already invested with affiliates of TSSP and TPG if certain conditions are met. These conditions include prior approval by a majority of the Independent Directors. The terms and conditions of the investment applicable to any affiliates of TSSP and TPG also must be the same as those applicable to us.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our ability to complete co-investment transactions will increase favorable investment opportunities for us. A BDC that makes investments of the type contemplated by us typically limits its transaction sizes, which may be determined by legal or internally imposed prudential limits on exposure in a single investment. In addition, because we intend to continue to qualify as a RIC, our portfolio is subject to certain diversification requirements that similarly may limit the amount of capital that we may invest in any single investment. Currently, in cases where the Adviser identifies larger capital commitments that otherwise would be attractive investment opportunities, the Adviser must seek the participation of non-affiliated entities with similar investment mandates. The availability of co-investments with other funds affiliated with TSSP and TPG would alleviate some of that necessity. The affiliates with which we would be able to co-invest if the SEC grants our exemptive relief request are funds that would be investment companies but for Sections 3(c)(1),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3(c)(5) or 3(c)(7) of the 1940 Act and are managed by an investment adviser registered under the Advisers Act. The investment objectives of these funds include investment in secondary distressed or special credit situations across the credit cycle and making significant investments in the equity or debt of operating companies through acquisitions, as well as other similar objectives and strategies.</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If we obtain the requested exemptive relief, once an origination opportunity has been allocated to us, the Adviser will make an independent determination of the appropriateness of the investment for us. If the Adviser deems our participation in the investment to be appropriate, it will then determine an appropriate size of our investment. The Adviser will consider various factors, including the nature of the investment and our existing portfolio. If the amount of the investment opportunity were to exceed the amount the Adviser determined was appropriate for us to invest, then the excess amount would be offered to one or more funds affiliated with TSSP or TPG as a potential co-investment transaction. If we did not obtain the requested exemptive relief, allocations would be determined in the same manner as described in this paragraph. Middle-market loan origination opportunities would still be required to be allocated to us and the Adviser would still make an independent determination of the appropriateness of the investment for us and, if relevant, the appropriate size. The only difference would be that we would not be permitted to co-invest with other funds affiliated with TSSP and TPG, so in cases where the origination opportunity required a larger commitment than our Adviser deemed to be an attractive investment opportunity, we would have to seek co-investment from funds not affiliated with TSSP or TPG to make the investment.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however, when or whether the SEC will grant the requested exemptive relief.</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Administrator</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Certain Business Relationships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of our current directors and officers are directors or officers of the Adviser or its affiliates. See “Proposal No. 1 Election of Directors – Biographical Information.”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amended on December 12, 2011.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90" w:lineRule="exact"/>
        <w:rPr>
          <w:sz w:val="20"/>
          <w:szCs w:val="20"/>
          <w:color w:val="auto"/>
        </w:rPr>
      </w:pPr>
    </w:p>
    <w:p>
      <w:pPr>
        <w:ind w:left="5620" w:right="280" w:hanging="5045"/>
        <w:spacing w:after="0" w:line="440" w:lineRule="auto"/>
        <w:tabs>
          <w:tab w:leader="none" w:pos="8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those changes; 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5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Under the terms of the Investment Advisory Agreement, we pay the Adviser a base management fee (the “Management Fee”) and may also pay certain incentive fees (the “Incentive Fees”).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quarterly periods ended September 30, 2011 and June 30, 2011, the Management Fee was calculated at an annual rate of 1.5% based on the value of our gross assets, which equals total assets before deduction of any liabilities, at the end of that calendar quarter, adjusted for share issuances and repurchases during that period. Beginning October 1, 2011, the Management Fee has been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2013, Management Fees were $13.4 million, of which $7.1 million were waived (see below).</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Prior to the completion of our IPO,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Since the completion of our IPO, the Adviser does not intend to waive its right to receive the full Management Fee.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hanging="446"/>
        <w:spacing w:after="0" w:line="28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 increase from 15% prior to the IPO and for the quarter in which the IPO was completed) and for pre-Incentive fee net investment income in excess of 1.82% quarterly, 17.5% of all remaining pre-Incentive Fee net investment income for that quarter (an increase from 15% prior to the completion of the IPO and for the quarter in which the IPO was completed). The 100% “catch-up” provision for pre-Incentive Fee net investment income in excess of the 1.5% “hurdle rate” (6.0% annualized)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39" w:lineRule="exact"/>
        <w:rPr>
          <w:sz w:val="20"/>
          <w:szCs w:val="20"/>
          <w:color w:val="auto"/>
        </w:rPr>
      </w:pPr>
    </w:p>
    <w:p>
      <w:pPr>
        <w:ind w:left="920" w:right="520"/>
        <w:spacing w:after="0" w:line="298" w:lineRule="auto"/>
        <w:rPr>
          <w:sz w:val="20"/>
          <w:szCs w:val="20"/>
          <w:color w:val="auto"/>
        </w:rPr>
      </w:pPr>
      <w:r>
        <w:rPr>
          <w:rFonts w:ascii="Arial" w:cs="Arial" w:eastAsia="Arial" w:hAnsi="Arial"/>
          <w:sz w:val="16"/>
          <w:szCs w:val="16"/>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59" w:lineRule="exact"/>
        <w:rPr>
          <w:sz w:val="20"/>
          <w:szCs w:val="20"/>
          <w:color w:val="auto"/>
        </w:rPr>
      </w:pPr>
    </w:p>
    <w:p>
      <w:pPr>
        <w:ind w:left="900" w:hanging="446"/>
        <w:spacing w:after="0" w:line="285"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prior to the end of the quarter in which the IPO was completed equaled 15%, and following the completion of the IPO,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the IPO was completed, the Incentive Fee rate is 17.5%. The weighted percentage is intended to ensure that for each fiscal year following the completion of the IPO, the portion of our realized capital gains that accrued prior to the end of the quarter in which the IPO was completed will be subject to an Incentive Fee rate of 15% and the portion of our realized capital gains that accrued following the end of the quarter in which the IPO was completed will be subject to an Incentive Fee rate of 17.5%. Although unrealized gains that occur after the quarter in which the IPO occurred will lead to a higher fee accruing for such future unrealized gains than would have accrued prior to the IPO, at the date of the IPO, no additional amounts will accrue because the increase in the Incentive Fee rate to 17.5% does not apply to any unrealized gains accrued on our books through the date of the IPO. We accrue, but do not pay, a Capital Gains Fee with respect to unrealized appreciation because a Capital Gains Fee would be owed to the Adviser if we were to sell the relevant investments and realize a capital gain. The increase in fee rate will also cause a reduction in net asset value in the periods after the quarter in which the IPO occurred for the same reason.</w:t>
      </w:r>
    </w:p>
    <w:p>
      <w:pPr>
        <w:spacing w:after="0" w:line="12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4"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net assets as of the end of the calendar quarter immediately preceding the day; plus</w:t>
      </w:r>
    </w:p>
    <w:p>
      <w:pPr>
        <w:spacing w:after="0" w:line="90" w:lineRule="exact"/>
        <w:rPr>
          <w:rFonts w:ascii="Arial" w:cs="Arial" w:eastAsia="Arial" w:hAnsi="Arial"/>
          <w:sz w:val="18"/>
          <w:szCs w:val="18"/>
          <w:color w:val="auto"/>
        </w:rPr>
      </w:pPr>
    </w:p>
    <w:p>
      <w:pPr>
        <w:ind w:left="1480" w:right="18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our dividend reinvestment plan) from the beginning of the current quarter to the day; minus</w:t>
      </w:r>
    </w:p>
    <w:p>
      <w:pPr>
        <w:spacing w:after="0" w:line="50" w:lineRule="exact"/>
        <w:rPr>
          <w:rFonts w:ascii="Arial" w:cs="Arial" w:eastAsia="Arial" w:hAnsi="Arial"/>
          <w:sz w:val="18"/>
          <w:szCs w:val="18"/>
          <w:color w:val="auto"/>
        </w:rPr>
      </w:pPr>
    </w:p>
    <w:p>
      <w:pPr>
        <w:ind w:left="1480" w:hanging="446"/>
        <w:spacing w:after="0" w:line="332" w:lineRule="auto"/>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the completion of the IPO, if cumulative net realized losses from our inception exceeded the aggregate dollar amount of dividends paid by us through that date, the Adviser would forgo the right to receive its quarterly Incentive Fee payments with respect to pre-Incentive Fee net investment income until the time that cumulative net realized losses were less than or equal to the aggregate amount of dividend payments. To date, cumulative net realized losses from our inception have not exceeded the aggregate dollar amount of dividends paid by us. Since the completion of our IPO, the Adviser does not intend to continue forgoing its right to this fee.</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1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accrue the Incentive Fee taking into account unrealized gains and losses; however, Section 205(b)(3) of the Advisers Act, as amended, prohibits the Adviser from receiving the payment of fees until those gains are realized, if ever. For the year ended December 31, 2013, Incentive Fees were $11.8 million of which $10.5 million were realized and payable to the Adviser.</w:t>
      </w:r>
    </w:p>
    <w:p>
      <w:pPr>
        <w:spacing w:after="0" w:line="14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On November 5, 2013, the Board renewed the Investment Advisory Agreement. Unless earlier terminated as described below, the Investment Advisory Agreement will remain in effect until November 5, 2014, and may be extended subject to required approvals. The Investment Advisory Agreement will automatically terminate in the event of an assignment and may be terminated by either party without penalty upon at least 60 days’ written notice to the other party.</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December 12, 2011 amendment to the Investment Advisory Agreement revised the base against which the 1.5% hurdle rate is measured when calculating the Adviser’s entitlement to receive a portion of our pre-Incentive Fee net investment income in any given calendar quarter. The amendment applied retroactively to October 1, 2011. Since the completion of our IPO, the base against which the hurdle rate is calculated is determined as described above in this section.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 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14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For the year ended December 31, 2013, we incurred expenses of $1.4 million for administrative services payable under the terms of the Administration Agreement. In addition, the Adviser is permitted to delegate its duties under the Administration Agreement to affiliates or third parties and we pay or reimburse the Adviser expenses incurred by any such affiliates or third parties for work done on our behalf. Expenses incurred by the Adviser on behalf of the Company for the year ended December 31, 2013 were $5.0 million.</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Unless earlier terminated as described below, the Administration Agreement will remain in effect until November 5, 2014, and may be extended subject to required approvals. The Administration Agreement may be terminated by either party without penalty upon at least 60 days’ written notice to the other party.</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such related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 of Our Expenses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bear all other costs and expenses of our operations, administration and transactions, including those relating to:</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9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90" w:lineRule="exact"/>
        <w:rPr>
          <w:rFonts w:ascii="Arial" w:cs="Arial" w:eastAsia="Arial" w:hAnsi="Arial"/>
          <w:sz w:val="18"/>
          <w:szCs w:val="18"/>
          <w:color w:val="auto"/>
        </w:rPr>
      </w:pPr>
    </w:p>
    <w:p>
      <w:pPr>
        <w:ind w:left="900" w:right="100" w:hanging="325"/>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Duration and Termination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5, 2014,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Board, including our Independent Directors, and holders of a majority of our outstanding securities, approved our Investment Advisory Agreement in December 2011. Our Board, including a majority of the Independent Directors, renewed it in November 2013. In its consideration of the Investment Advisory Agreement at the time of approval and renewal, the Board focused on information it had received relating to, among other things:</w:t>
      </w:r>
    </w:p>
    <w:p>
      <w:pPr>
        <w:spacing w:after="0" w:line="2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about the services to be performed and the personnel performing those services under the Investment Advisory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Section 16(a) of the Exchange Act requires our directors and executive officers, as defined under the Exchange Act, and persons who own more than 10% of a registered class of our equity securities to file initial reports of ownership and reports of changes in ownership with the SEC. Such executive officers, directors and stockholders are required by SEC regulations to furnish us with copies of all Section 16(a) forms they file. Based solely upon a review of the copies of such forms furnished to us and written representations from our directors and executive officers, all persons subject to the reporting requirements of</w:t>
      </w:r>
    </w:p>
    <w:p>
      <w:pPr>
        <w:spacing w:after="0" w:line="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Section 16(a) filed all required reports on a timely basis in 2013, except for a late Form 3 required to be filed pursuant to Section 16(a) of the Exchange Act by Jennifer Mello, in her capacity as an executive officer of the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Audit Committee has selected KPMG LLP to serve as our independent registered public accounting firm to audit our consolidated financial statements for the year ending December 31, 2014. While the Audit Committee is responsible for the appointment, compensation, retention, termination and oversight of the independent auditor, we are requesting, as a matter of good corporate governance, that the stockholders ratify the appointment of KPMG LLP as our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26"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our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 LLP</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Fees</w:t>
      </w:r>
    </w:p>
    <w:p>
      <w:pPr>
        <w:spacing w:after="0" w:line="9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For the year ended December 31, 2013, the aggregate fees billed by KPMG LLP for the audit of our consolidated financial statements, review of our interim financial statements and other professional services related to SEC registration statements were $885,000. In addition, we reimbursed KPMG LLP $13,401 for out-of-pocket expenses incurred in the performance of audit services.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the year ended December 31, 2012, the aggregate fees billed by KPMG LLP for the audit of our consolidated financial statements, review of our interim financial statements and other professional services related to SEC registration statements were $535,000. In addition, we reimbursed KPMG LLP $8,378 for out-of-pocket expenses incurred in the performance of the audit. Also, during the year ended December 31, 2012, we paid KPMG LLP $75,000 related to the audit of our consolidated financial statements for the year ended December 31, 2011.</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Audit-Related Fees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year ended December 31, 2013, the aggregate fees billed by KPMG LLP for audit-related services, which consist of assurance and related services that are reasonably related to the performance of the audit or review of our consolidated financial statements, but which are not reportable as Audit Fees, were $210,000.</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year ended December 31, 2012, the aggregate fees billed by KPMG LLP for audit-related services, which consist of assurance and related services that are reasonably related to the performance of the audit or review of our consolidated financial statements, but which are not reportable as Audit Fees, were $42,170.</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the aggregate fees billed by KPMG LLP for tax compliance, tax advice and tax planning services were $132,000.</w:t>
      </w:r>
    </w:p>
    <w:p>
      <w:pPr>
        <w:spacing w:after="0" w:line="194" w:lineRule="exact"/>
        <w:rPr>
          <w:sz w:val="20"/>
          <w:szCs w:val="20"/>
          <w:color w:val="auto"/>
        </w:rPr>
      </w:pPr>
    </w:p>
    <w:p>
      <w:pPr>
        <w:jc w:val="center"/>
        <w:ind w:left="560" w:right="140"/>
        <w:spacing w:after="0" w:line="440" w:lineRule="auto"/>
        <w:rPr>
          <w:sz w:val="20"/>
          <w:szCs w:val="20"/>
          <w:color w:val="auto"/>
        </w:rPr>
      </w:pPr>
      <w:r>
        <w:rPr>
          <w:rFonts w:ascii="Arial" w:cs="Arial" w:eastAsia="Arial" w:hAnsi="Arial"/>
          <w:sz w:val="18"/>
          <w:szCs w:val="18"/>
          <w:color w:val="auto"/>
        </w:rPr>
        <w:t>For the year ended December 31, 2012, the aggregate fees billed by KPMG LLP for tax compliance, tax advice and tax planning services were $220,550. 27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services include tax compliance, tax planning, and tax advice.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years ended December 31, 2013 and 2012, there were no other fees billed for services rendered by KPMG LLP not reportable as Audit Fees, Audit-Related Fees or Tax Fees.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has considered whether the provision of the above-noted services is compatible with maintaining the independence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independent registered public accounting firm and has determined that the provision of such services has not adversely affected KPMG LLP’s independence.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Audit Committee of our Board operates under a written charter adopted by the Board. The Audit Committee is currently composed of Messrs. Ross, Higginbotham and Tanemura.</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The Audit Committee’s responsibility is to monitor and oversee these processes. The Audit Committee is also directly responsible for the appointment, compensation and oversight of the Company’s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0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with Management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designed to ensure full, fair and adequate financial reporting and disclosures, including procedures for certifications by the Company’s Co-Chief Executive Officers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Discussion with Independent Registered Public Accounting Firm</w:t>
      </w:r>
    </w:p>
    <w:p>
      <w:pPr>
        <w:spacing w:after="0" w:line="90"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The Audit Committee has reviewed and discussed the Company’s audited financial statements with management and KPMG LLP, the Company’s independent registered public accounting firm, with and without management present. The Audit Committee included in its review results of KPMG’s examinations and the quality of the Company’s financial reporting.</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Audit Committee also has discussed with KPMG matters relating to KPMG’s judgments about the quality, as well as the acceptability, of the Company’s accounting principles as applied in its financial reporting as required by Public Company Accounting Oversight Board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In addition, the Audit Committee has discussed with KPMG their independence from management and the Company,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the matters in the written disclosures received from KPMG and required by Public Company Accounting Oversight Board Rule 3520 (Auditor Independence). The Audit Committee received a written communication from KPMG confirming their independence and discussed it with them. The 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and Form 10-K/A for the year ended December 31, 2013 for filing with the Securities and Exchange Commission. The Audit Committee also recommended the selection of KPMG LLP to serve as the independent registered public accounting firm for the year ending December 31, 2014.</w:t>
      </w:r>
    </w:p>
    <w:p>
      <w:pPr>
        <w:spacing w:after="0" w:line="110"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Respectfully Submitted,</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Ronald Tanemura</w:t>
      </w:r>
    </w:p>
    <w:p>
      <w:pPr>
        <w:spacing w:after="0" w:line="159" w:lineRule="exact"/>
        <w:rPr>
          <w:sz w:val="20"/>
          <w:szCs w:val="20"/>
          <w:color w:val="auto"/>
        </w:rPr>
      </w:pPr>
    </w:p>
    <w:p>
      <w:pPr>
        <w:ind w:right="60" w:firstLine="456"/>
        <w:spacing w:after="0" w:line="339" w:lineRule="auto"/>
        <w:rPr>
          <w:sz w:val="20"/>
          <w:szCs w:val="20"/>
          <w:color w:val="auto"/>
        </w:rPr>
      </w:pPr>
      <w:r>
        <w:rPr>
          <w:rFonts w:ascii="Arial" w:cs="Arial" w:eastAsia="Arial" w:hAnsi="Arial"/>
          <w:sz w:val="16"/>
          <w:szCs w:val="16"/>
          <w:b w:val="1"/>
          <w:bCs w:val="1"/>
          <w:color w:val="auto"/>
        </w:rPr>
        <w:t>Unless marked to the contrary, the shares represented by the enclosed proxy card will be voted for ratification of the appointment of KPMG LLP as the independent registered public accounting firm of the Company for the year ending December 31, 2014.</w:t>
      </w:r>
    </w:p>
    <w:p>
      <w:pPr>
        <w:spacing w:after="0" w:line="74"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The material contained in the foregoing Audit Committee Report is not “soliciting material,” is not deemed “filed” with the SEC, and is not to be incorporated by reference into any filing of the Company under the Securities Act of 1933, as amended, or the Exchange Act, whether made before or after the date hereof and irrespective of any general incorporation language in any such filing.</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Board is not aware of any other matter to be submitted at the Meeting. If any other matter properly comes before the Meeting, the persons named in the enclosed form of proxy generally will have discretionary authority to vote the shares thereby represented in accordance with their judgment.</w:t>
      </w:r>
    </w:p>
    <w:p>
      <w:pPr>
        <w:spacing w:after="0" w:line="241" w:lineRule="exact"/>
        <w:rPr>
          <w:sz w:val="20"/>
          <w:szCs w:val="20"/>
          <w:color w:val="auto"/>
        </w:rPr>
      </w:pPr>
    </w:p>
    <w:p>
      <w:pPr>
        <w:ind w:right="1240" w:firstLine="1238"/>
        <w:spacing w:after="0" w:line="347" w:lineRule="auto"/>
        <w:rPr>
          <w:sz w:val="20"/>
          <w:szCs w:val="20"/>
          <w:color w:val="auto"/>
        </w:rPr>
      </w:pPr>
      <w:r>
        <w:rPr>
          <w:rFonts w:ascii="Arial" w:cs="Arial" w:eastAsia="Arial" w:hAnsi="Arial"/>
          <w:sz w:val="18"/>
          <w:szCs w:val="18"/>
          <w:b w:val="1"/>
          <w:bCs w:val="1"/>
          <w:color w:val="auto"/>
        </w:rPr>
        <w:t>STOCKHOLDER PROPOSALS AND NOMINATIONS FOR THE 2015 ANNUAL MEETING OF STOCKHOLDERS Inclusion of Proposals in Our Proxy Statement and Proxy Card Under the SEC’s Rules</w:t>
      </w:r>
    </w:p>
    <w:p>
      <w:pPr>
        <w:spacing w:after="0" w:line="2"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Any proposal of a stockholder intended to be included in our proxy statement and form of proxy/voting instruction card for the 2015 annual meeting of stockholders pursuant to Rule 14a-8 of the SEC’s rules must be received by us no later than December 17, 2014. Such proposals must also comply with the requirements as to form and substance established by the SEC if such proposals are to be included in the proxy statement and form of proxy. All proposals should be addressed to the Secretary of the Company, Jennifer Mello, TPG Specialty Lending, Inc., 301 Commerce Street, Suite 3300, Fort Worth, Texas 76102.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stockholder recommendation for nomination of a person for election to our board or a proposal for consideration at our 2015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Our Bylaws require that the proposal or recommendation for nomination must be received by our Secretary at the above address no later than February 21, 2015, unless the date of our 2015 annual meeting is more than 30 days before or more than 60 days after May 22, 2015, the anniversary of our 2014 annual meeting, in which case notice by the stockholder to be timely must be so received not later than the later of the close of business ninety (90) days prior to such annual meeting or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such notice of the date of the annual meeting was mailed or such public disclosure of the date of the annual meeting was made.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copy of our Annual Report on Form 10-K and Form 10-K/A for the fiscal year ended December 31, 2013, which includes financial statements, is being furnished with this proxy statement.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year a number of brokers with account holders who are the Company’s stockholders will be “householding” the Company’s proxy materials. A single proxy statement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 xml:space="preserve">deliver a separate copy of these documents to you upon written or oral request to our Investor Relations Department by mail at TPG Specialty Lending, Inc., 345 California Street, Suite 3300, San Francisco, CA 94104, Attention: TSL Investor Relations, by email at </w:t>
      </w:r>
      <w:r>
        <w:rPr>
          <w:rFonts w:ascii="Arial" w:cs="Arial" w:eastAsia="Arial" w:hAnsi="Arial"/>
          <w:sz w:val="15"/>
          <w:szCs w:val="15"/>
          <w:i w:val="1"/>
          <w:iCs w:val="1"/>
          <w:color w:val="auto"/>
        </w:rPr>
        <w:t>IRTSL@tpg.com</w:t>
      </w:r>
      <w:r>
        <w:rPr>
          <w:rFonts w:ascii="Arial" w:cs="Arial" w:eastAsia="Arial" w:hAnsi="Arial"/>
          <w:sz w:val="15"/>
          <w:szCs w:val="15"/>
          <w:color w:val="auto"/>
        </w:rPr>
        <w:t xml:space="preserve"> or by phone at 415-486-5939. If, at any time, you no longer wish to participate in “householding” and would prefer to receive a separate proxy statement and annual report, please notify your broker.</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Stockholders who currently receive multiple copies of the proxy statement and annual report at their addresses and would like to request “householding” of their communications should contact their brokers.</w:t>
      </w:r>
    </w:p>
    <w:p>
      <w:pPr>
        <w:spacing w:after="0" w:line="132"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Mello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Vice President and Secretary</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PRIVACY PRINCIPLES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may collect nonpublic personal information regarding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in order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or Company transactions.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and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and Form 10-K/A are available at www.proxyvote.com.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22, 2014 10:00 AM EDT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stockholders hereby appoint Justin Meagher and David Stiepleman, or either of them, as proxies, each with the power to appoint his substitute, and hereby authorizes them to represent and to vote, as designated on the reverse side of this ballot, all of the shares of common stock of TPG SPECIALTY LENDING, INC. that the stockholders are entitled to vote at the Annual Meeting of stockholders to be held at 10:00 AM, EDT on May 22, 2014 at the offices of Cleary Gottlieb Steen &amp; Hamilton LLP, One Liberty Plaza (on Broadway between Liberty and Cortlandt Streets), 38th Floor, New York, NY 10006, and any adjournment or postponement thereof.</w:t>
      </w:r>
    </w:p>
    <w:p>
      <w:pPr>
        <w:spacing w:after="0" w:line="18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60" w:lineRule="exact"/>
        <w:rPr>
          <w:sz w:val="20"/>
          <w:szCs w:val="20"/>
          <w:color w:val="auto"/>
        </w:rPr>
      </w:pPr>
    </w:p>
    <w:p>
      <w:pPr>
        <w:spacing w:after="0" w:line="288"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25"/>
          <w:szCs w:val="25"/>
          <w:color w:val="auto"/>
        </w:rPr>
        <w:t>☒</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This Portion For Your Records</w:t>
      </w: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ectPr>
          <w:pgSz w:w="11900" w:h="16838" w:orient="portrait"/>
          <w:cols w:equalWidth="0" w:num="1">
            <w:col w:w="11420"/>
          </w:cols>
          <w:pgMar w:left="240" w:top="459" w:right="239" w:bottom="1440" w:gutter="0" w:footer="0" w:header="0"/>
        </w:sect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17" w:lineRule="exact"/>
        <w:rPr>
          <w:sz w:val="20"/>
          <w:szCs w:val="20"/>
          <w:color w:val="auto"/>
        </w:rPr>
      </w:pPr>
    </w:p>
    <w:p>
      <w:pPr>
        <w:ind w:left="860" w:hanging="177"/>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3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NOMINEES:</w:t>
      </w:r>
    </w:p>
    <w:p>
      <w:pPr>
        <w:spacing w:after="0" w:line="130" w:lineRule="exact"/>
        <w:rPr>
          <w:rFonts w:ascii="Arial" w:cs="Arial" w:eastAsia="Arial" w:hAnsi="Arial"/>
          <w:sz w:val="18"/>
          <w:szCs w:val="18"/>
          <w:color w:val="auto"/>
        </w:rPr>
      </w:pPr>
    </w:p>
    <w:p>
      <w:pPr>
        <w:ind w:left="1320" w:hanging="277"/>
        <w:spacing w:after="0"/>
        <w:tabs>
          <w:tab w:leader="none" w:pos="13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Joshua Easterly</w:t>
      </w:r>
    </w:p>
    <w:p>
      <w:pPr>
        <w:spacing w:after="0" w:line="130" w:lineRule="exact"/>
        <w:rPr>
          <w:rFonts w:ascii="Arial" w:cs="Arial" w:eastAsia="Arial" w:hAnsi="Arial"/>
          <w:sz w:val="18"/>
          <w:szCs w:val="18"/>
          <w:color w:val="auto"/>
        </w:rPr>
      </w:pPr>
    </w:p>
    <w:p>
      <w:pPr>
        <w:ind w:left="1320" w:hanging="277"/>
        <w:spacing w:after="0"/>
        <w:tabs>
          <w:tab w:leader="none" w:pos="13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Michael Fishman</w:t>
      </w:r>
    </w:p>
    <w:p>
      <w:pPr>
        <w:spacing w:after="0" w:line="131" w:lineRule="exact"/>
        <w:rPr>
          <w:sz w:val="20"/>
          <w:szCs w:val="20"/>
          <w:color w:val="auto"/>
        </w:rPr>
      </w:pPr>
    </w:p>
    <w:p>
      <w:pPr>
        <w:ind w:left="680" w:right="40"/>
        <w:spacing w:after="0" w:line="277" w:lineRule="auto"/>
        <w:rPr>
          <w:sz w:val="20"/>
          <w:szCs w:val="20"/>
          <w:color w:val="auto"/>
        </w:rPr>
      </w:pPr>
      <w:r>
        <w:rPr>
          <w:rFonts w:ascii="Arial" w:cs="Arial" w:eastAsia="Arial" w:hAnsi="Arial"/>
          <w:sz w:val="18"/>
          <w:szCs w:val="18"/>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91440</wp:posOffset>
            </wp:positionV>
            <wp:extent cx="20002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3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Board of Directors recommends you vote FOR the following proposal:</w:t>
      </w:r>
    </w:p>
    <w:p>
      <w:pPr>
        <w:spacing w:after="0" w:line="117" w:lineRule="exact"/>
        <w:rPr>
          <w:sz w:val="20"/>
          <w:szCs w:val="20"/>
          <w:color w:val="auto"/>
        </w:rPr>
      </w:pPr>
    </w:p>
    <w:p>
      <w:pPr>
        <w:ind w:left="680" w:right="40" w:firstLine="3"/>
        <w:spacing w:after="0" w:line="277" w:lineRule="auto"/>
        <w:tabs>
          <w:tab w:leader="none" w:pos="8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ratify the selection of KPMG LLP as the independent registered public accounting firm for the fiscal year ending December 31, 2014.</w:t>
      </w:r>
    </w:p>
    <w:p>
      <w:pPr>
        <w:spacing w:after="0" w:line="85" w:lineRule="exact"/>
        <w:rPr>
          <w:sz w:val="20"/>
          <w:szCs w:val="20"/>
          <w:color w:val="auto"/>
        </w:rPr>
      </w:pPr>
    </w:p>
    <w:p>
      <w:pPr>
        <w:ind w:left="680"/>
        <w:spacing w:after="0" w:line="266"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named proxies are also authorized to transact such other business as may</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come before the 2014 Annual Meeting of Stockholders or any postponement or adjournment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line="161" w:lineRule="exact"/>
        <w:tabs>
          <w:tab w:leader="none" w:pos="960" w:val="left"/>
          <w:tab w:leader="none" w:pos="2300" w:val="left"/>
        </w:tabs>
        <w:rPr>
          <w:sz w:val="20"/>
          <w:szCs w:val="20"/>
          <w:color w:val="auto"/>
        </w:rPr>
      </w:pPr>
      <w:r>
        <w:rPr>
          <w:rFonts w:ascii="Arial" w:cs="Arial" w:eastAsia="Arial" w:hAnsi="Arial"/>
          <w:sz w:val="14"/>
          <w:szCs w:val="14"/>
          <w:color w:val="auto"/>
        </w:rPr>
        <w:t>FOR ALL</w:t>
      </w:r>
      <w:r>
        <w:rPr>
          <w:sz w:val="20"/>
          <w:szCs w:val="20"/>
          <w:color w:val="auto"/>
        </w:rPr>
        <w:tab/>
      </w:r>
      <w:r>
        <w:rPr>
          <w:rFonts w:ascii="Arial" w:cs="Arial" w:eastAsia="Arial" w:hAnsi="Arial"/>
          <w:sz w:val="14"/>
          <w:szCs w:val="14"/>
          <w:color w:val="auto"/>
        </w:rPr>
        <w:t>WITHHOLD ALL</w:t>
      </w:r>
      <w:r>
        <w:rPr>
          <w:sz w:val="20"/>
          <w:szCs w:val="20"/>
          <w:color w:val="auto"/>
        </w:rPr>
        <w:tab/>
      </w:r>
      <w:r>
        <w:rPr>
          <w:rFonts w:ascii="Arial" w:cs="Arial" w:eastAsia="Arial" w:hAnsi="Arial"/>
          <w:sz w:val="13"/>
          <w:szCs w:val="13"/>
          <w:color w:val="auto"/>
        </w:rPr>
        <w:t xml:space="preserve">FOR ALL EXCEPT </w:t>
      </w:r>
      <w:r>
        <w:rPr>
          <w:rFonts w:ascii="MS PGothic" w:cs="MS PGothic" w:eastAsia="MS PGothic" w:hAnsi="MS PGothic"/>
          <w:sz w:val="13"/>
          <w:szCs w:val="13"/>
          <w:color w:val="auto"/>
        </w:rPr>
        <w:t>☐</w:t>
      </w:r>
    </w:p>
    <w:p>
      <w:pPr>
        <w:spacing w:after="0" w:line="15" w:lineRule="exact"/>
        <w:rPr>
          <w:sz w:val="20"/>
          <w:szCs w:val="20"/>
          <w:color w:val="auto"/>
        </w:rPr>
      </w:pPr>
    </w:p>
    <w:p>
      <w:pPr>
        <w:spacing w:after="0" w:line="181" w:lineRule="exact"/>
        <w:tabs>
          <w:tab w:leader="none" w:pos="9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 w:leader="none" w:pos="230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4"/>
          <w:szCs w:val="14"/>
          <w:color w:val="auto"/>
        </w:rPr>
        <w:t>ABSTAIN</w:t>
      </w:r>
    </w:p>
    <w:p>
      <w:pPr>
        <w:spacing w:after="0" w:line="40" w:lineRule="exact"/>
        <w:rPr>
          <w:sz w:val="20"/>
          <w:szCs w:val="20"/>
          <w:color w:val="auto"/>
        </w:rPr>
      </w:pPr>
    </w:p>
    <w:p>
      <w:pPr>
        <w:spacing w:after="0" w:line="181" w:lineRule="exact"/>
        <w:tabs>
          <w:tab w:leader="none" w:pos="960" w:val="left"/>
          <w:tab w:leader="none" w:pos="2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054" w:lineRule="exact"/>
        <w:rPr>
          <w:sz w:val="20"/>
          <w:szCs w:val="20"/>
          <w:color w:val="auto"/>
        </w:rPr>
      </w:pPr>
    </w:p>
    <w:p>
      <w:pPr>
        <w:sectPr>
          <w:pgSz w:w="11900" w:h="16838" w:orient="portrait"/>
          <w:cols w:equalWidth="0" w:num="2">
            <w:col w:w="7060" w:space="120"/>
            <w:col w:w="4240"/>
          </w:cols>
          <w:pgMar w:left="240" w:top="459" w:right="239" w:bottom="1440" w:gutter="0" w:footer="0" w:header="0"/>
          <w:type w:val="continuous"/>
        </w:sectPr>
      </w:pPr>
    </w:p>
    <w:p>
      <w:pPr>
        <w:ind w:left="580" w:right="2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98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SIGNATURE (Please Sign Within Box)</w:t>
            </w:r>
          </w:p>
        </w:tc>
        <w:tc>
          <w:tcPr>
            <w:tcW w:w="220" w:type="dxa"/>
            <w:vAlign w:val="bottom"/>
          </w:tcPr>
          <w:p>
            <w:pPr>
              <w:spacing w:after="0"/>
              <w:rPr>
                <w:sz w:val="11"/>
                <w:szCs w:val="11"/>
                <w:color w:val="auto"/>
              </w:rPr>
            </w:pPr>
          </w:p>
        </w:tc>
        <w:tc>
          <w:tcPr>
            <w:tcW w:w="264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1"/>
                <w:szCs w:val="11"/>
                <w:color w:val="auto"/>
              </w:rPr>
            </w:pPr>
          </w:p>
        </w:tc>
        <w:tc>
          <w:tcPr>
            <w:tcW w:w="262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1"/>
                <w:szCs w:val="11"/>
                <w:color w:val="auto"/>
              </w:rPr>
            </w:pPr>
          </w:p>
        </w:tc>
        <w:tc>
          <w:tcPr>
            <w:tcW w:w="2500" w:type="dxa"/>
            <w:vAlign w:val="bottom"/>
            <w:tcBorders>
              <w:top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DATE</w:t>
            </w:r>
          </w:p>
        </w:tc>
      </w:tr>
      <w:tr>
        <w:trPr>
          <w:trHeight w:val="186"/>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860" w:type="dxa"/>
            <w:vAlign w:val="bottom"/>
            <w:gridSpan w:val="2"/>
          </w:tcPr>
          <w:p>
            <w:pPr>
              <w:ind w:left="240"/>
              <w:spacing w:after="0"/>
              <w:rPr>
                <w:sz w:val="20"/>
                <w:szCs w:val="20"/>
                <w:color w:val="auto"/>
              </w:rPr>
            </w:pPr>
            <w:r>
              <w:rPr>
                <w:rFonts w:ascii="Arial" w:cs="Arial" w:eastAsia="Arial" w:hAnsi="Arial"/>
                <w:sz w:val="14"/>
                <w:szCs w:val="14"/>
                <w:b w:val="1"/>
                <w:bCs w:val="1"/>
                <w:color w:val="auto"/>
              </w:rPr>
              <w:t>(Joint Owners)</w:t>
            </w:r>
          </w:p>
        </w:tc>
        <w:tc>
          <w:tcPr>
            <w:tcW w:w="220" w:type="dxa"/>
            <w:vAlign w:val="bottom"/>
          </w:tcPr>
          <w:p>
            <w:pPr>
              <w:spacing w:after="0"/>
              <w:rPr>
                <w:sz w:val="16"/>
                <w:szCs w:val="16"/>
                <w:color w:val="auto"/>
              </w:rPr>
            </w:pPr>
          </w:p>
        </w:tc>
        <w:tc>
          <w:tcPr>
            <w:tcW w:w="2500" w:type="dxa"/>
            <w:vAlign w:val="bottom"/>
          </w:tcPr>
          <w:p>
            <w:pPr>
              <w:spacing w:after="0"/>
              <w:rPr>
                <w:sz w:val="16"/>
                <w:szCs w:val="16"/>
                <w:color w:val="auto"/>
              </w:rPr>
            </w:pPr>
          </w:p>
        </w:tc>
      </w:tr>
    </w:tbl>
    <w:p>
      <w:pPr>
        <w:spacing w:after="0" w:line="1" w:lineRule="exact"/>
        <w:rPr>
          <w:sz w:val="20"/>
          <w:szCs w:val="20"/>
          <w:color w:val="auto"/>
        </w:rPr>
      </w:pP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decimal"/>
      <w:start w:val="7"/>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Roman"/>
      <w:start w:val="1"/>
    </w:lvl>
  </w:abstractNum>
  <w:abstractNum w:abstractNumId="24">
    <w:nsid w:val="2CA88611"/>
    <w:multiLevelType w:val="hybridMultilevel"/>
    <w:lvl w:ilvl="0">
      <w:lvlJc w:val="left"/>
      <w:lvlText w:val="(%1)"/>
      <w:numFmt w:val="lowerRoman"/>
      <w:start w:val="2"/>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decimal"/>
      <w:start w:val="1"/>
    </w:lvl>
  </w:abstractNum>
  <w:abstractNum w:abstractNumId="30">
    <w:nsid w:val="7C3DBD3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2019-12-08T00:49:22Z</dcterms:created>
  <dcterms:modified xsi:type="dcterms:W3CDTF">2019-12-08T00:49:22Z</dcterms:modified>
</cp:coreProperties>
</file>