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tbl>
      <w:tblPr>
        <w:tblLayout w:type="fixed"/>
        <w:tblInd w:w="120" w:type="dxa"/>
        <w:tblCellMar>
          <w:top w:w="0" w:type="dxa"/>
          <w:left w:w="0" w:type="dxa"/>
          <w:bottom w:w="0" w:type="dxa"/>
          <w:right w:w="0" w:type="dxa"/>
        </w:tblCellMar>
      </w:tblPr>
      <w:tr>
        <w:trPr>
          <w:trHeight w:val="380"/>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286"/>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Times New Roman" w:cs="Times New Roman" w:eastAsia="Times New Roman" w:hAnsi="Times New Roman"/>
                <w:sz w:val="22"/>
                <w:szCs w:val="22"/>
                <w:b w:val="1"/>
                <w:bCs w:val="1"/>
                <w:color w:val="auto"/>
                <w:w w:val="98"/>
              </w:rPr>
              <w:t>(RULE 14a-101)</w:t>
            </w:r>
          </w:p>
        </w:tc>
      </w:tr>
      <w:tr>
        <w:trPr>
          <w:trHeight w:val="218"/>
        </w:trPr>
        <w:tc>
          <w:tcPr>
            <w:tcW w:w="2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00" w:type="dxa"/>
            <w:vAlign w:val="bottom"/>
          </w:tcPr>
          <w:p>
            <w:pPr>
              <w:spacing w:after="0"/>
              <w:rPr>
                <w:sz w:val="18"/>
                <w:szCs w:val="18"/>
                <w:color w:val="auto"/>
              </w:rPr>
            </w:pPr>
          </w:p>
        </w:tc>
      </w:tr>
      <w:tr>
        <w:trPr>
          <w:trHeight w:val="313"/>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Times New Roman" w:cs="Times New Roman" w:eastAsia="Times New Roman" w:hAnsi="Times New Roman"/>
                <w:sz w:val="22"/>
                <w:szCs w:val="22"/>
                <w:b w:val="1"/>
                <w:bCs w:val="1"/>
                <w:color w:val="auto"/>
                <w:w w:val="98"/>
              </w:rPr>
              <w:t>Proxy Statement Pursuant to Section 14(a) of the</w:t>
            </w:r>
          </w:p>
        </w:tc>
      </w:tr>
      <w:tr>
        <w:trPr>
          <w:trHeight w:val="286"/>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332"/>
        </w:trPr>
        <w:tc>
          <w:tcPr>
            <w:tcW w:w="23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3"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620" w:hanging="50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620" w:hanging="504"/>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20" w:hanging="504"/>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are pleased to invite you to attend the 2022 Annual Meeting of Stockholders of Sixth Street Specialty Lending, Inc. to be held on May 26, 2022, at 9:30 a.m., Eastern Time, on the internet via live webcast at www.virtualshareholdermeeting.com/TSLX2022. To support the health and well-being of our shareholders and other meeting participants, the 2022 Annual Meeting of Stockholders will be a completely virtual meeting, and stockholders will not be able to attend in person.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virtually. Please vote your shares as soon as possible through any of the voting options available to you as described in the Notice of Internet Availability of Proxy Materials and this proxy statement.</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You will also receive separate proxy materials for a Special Meeting of Stockholders, which will be held virtually and on the same date stated above, but not at the same time. Please be certain to vote separately each proxy card that you receive from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2022</w:t>
      </w:r>
    </w:p>
    <w:p>
      <w:pPr>
        <w:sectPr>
          <w:pgSz w:w="11900" w:h="16838" w:orient="portrait"/>
          <w:cols w:equalWidth="0" w:num="1">
            <w:col w:w="10960"/>
          </w:cols>
          <w:pgMar w:left="320" w:top="455" w:right="6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 for the Annual Meeting of Stockholders to Be Held on May 26,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proxy statement and annual report on Form 10-K for the year ended December 31, 2021 are available online at www.proxyvote.com.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information applicable to the Annual Meeting of Stockholders may be found in the proxy statement and accompanying proxy card:</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 to attend and vote at the virtual meeting;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virtually.</w:t>
      </w:r>
    </w:p>
    <w:p>
      <w:pPr>
        <w:spacing w:after="0" w:line="22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Please keep any control/identification number located on your proxy card in a safe place so it is available for the meeting, as you will need to attend and vote at the virtual meeting.</w:t>
      </w:r>
    </w:p>
    <w:p>
      <w:pPr>
        <w:sectPr>
          <w:pgSz w:w="11900" w:h="16838" w:orient="portrait"/>
          <w:cols w:equalWidth="0" w:num="1">
            <w:col w:w="11100"/>
          </w:cols>
          <w:pgMar w:left="32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2022 Annual Meeting of Stockholders of Sixth Street Specialty Lending, Inc. will be held on the internet via live webcast at www.virtualshareholdermeeting.com/TSLX2022 on May 26, 2022, at 9:30 a.m., Eastern Time. To support the health and well-being of our shareholders and other meeting participants, the 2022 Annual Meeting of Stockholders will be a completely virtual meeting, and stockholders will not be able to attend in person. The 2022 Annual Meeting of Stockholders is being held for the following purposes:</w:t>
      </w:r>
    </w:p>
    <w:p>
      <w:pPr>
        <w:spacing w:after="0" w:line="180" w:lineRule="exact"/>
        <w:rPr>
          <w:sz w:val="20"/>
          <w:szCs w:val="20"/>
          <w:color w:val="auto"/>
        </w:rPr>
      </w:pPr>
    </w:p>
    <w:p>
      <w:pPr>
        <w:ind w:left="560" w:right="200" w:firstLine="419"/>
        <w:spacing w:after="0" w:line="282" w:lineRule="auto"/>
        <w:tabs>
          <w:tab w:leader="none" w:pos="11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each to serve for a three-year term and until a successor has been duly elected and qualified or until the director’s earlier resignation or removal.</w:t>
      </w:r>
    </w:p>
    <w:p>
      <w:pPr>
        <w:spacing w:after="0" w:line="161" w:lineRule="exact"/>
        <w:rPr>
          <w:rFonts w:ascii="Times New Roman" w:cs="Times New Roman" w:eastAsia="Times New Roman" w:hAnsi="Times New Roman"/>
          <w:sz w:val="18"/>
          <w:szCs w:val="18"/>
          <w:color w:val="auto"/>
        </w:rPr>
      </w:pPr>
    </w:p>
    <w:p>
      <w:pPr>
        <w:ind w:left="560" w:right="740" w:firstLine="419"/>
        <w:spacing w:after="0" w:line="282" w:lineRule="auto"/>
        <w:tabs>
          <w:tab w:leader="none" w:pos="11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fiscal year ending December 31, 2022.</w:t>
      </w:r>
    </w:p>
    <w:p>
      <w:pPr>
        <w:spacing w:after="0" w:line="161" w:lineRule="exact"/>
        <w:rPr>
          <w:rFonts w:ascii="Times New Roman" w:cs="Times New Roman" w:eastAsia="Times New Roman" w:hAnsi="Times New Roman"/>
          <w:sz w:val="18"/>
          <w:szCs w:val="18"/>
          <w:color w:val="auto"/>
        </w:rPr>
      </w:pPr>
    </w:p>
    <w:p>
      <w:pPr>
        <w:ind w:left="560" w:right="760" w:firstLine="419"/>
        <w:spacing w:after="0" w:line="282" w:lineRule="auto"/>
        <w:tabs>
          <w:tab w:leader="none" w:pos="11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2022 Annual Meeting of Stockholders or any postponement or adjournment thereof.</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31, 2022, are entitled to notice of and to vote at the 2022 Annual Meeting of Stockholders or any postponement or adjournment thereof.</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2022 Annual Meeting of Stockholders virtually,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Further, from time to time we may repurchase shares of our common stock and are notifying you of this ability as required by applicable securities law. See “Stock Repurchases” in the proxy statement.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Ian Simmonds</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2022</w:t>
      </w:r>
    </w:p>
    <w:p>
      <w:pPr>
        <w:spacing w:after="0" w:line="221"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VIRTUALLY.</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20" w:type="dxa"/>
            <w:vAlign w:val="bottom"/>
            <w:gridSpan w:val="8"/>
            <w:vMerge w:val="restart"/>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Proxy Statement for the 2022 Annual Meeting of Stockholders</w:t>
              </w:r>
            </w:hyperlink>
          </w:p>
        </w:tc>
        <w:tc>
          <w:tcPr>
            <w:tcW w:w="6140" w:type="dxa"/>
            <w:vAlign w:val="bottom"/>
            <w:gridSpan w:val="4"/>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0000EE"/>
            </w:tcBorders>
            <w:gridSpan w:val="8"/>
            <w:vMerge w:val="continue"/>
          </w:tcPr>
          <w:p>
            <w:pPr>
              <w:spacing w:after="0"/>
              <w:rPr>
                <w:sz w:val="13"/>
                <w:szCs w:val="13"/>
                <w:color w:val="auto"/>
              </w:rPr>
            </w:pPr>
          </w:p>
        </w:tc>
        <w:tc>
          <w:tcPr>
            <w:tcW w:w="6140" w:type="dxa"/>
            <w:vAlign w:val="bottom"/>
            <w:gridSpan w:val="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Security Ownership of Certain Beneficial Owners and Management</w:t>
              </w:r>
            </w:hyperlink>
          </w:p>
        </w:tc>
        <w:tc>
          <w:tcPr>
            <w:tcW w:w="578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Proposal No. 1—Election of Directors</w:t>
              </w:r>
            </w:hyperlink>
          </w:p>
        </w:tc>
        <w:tc>
          <w:tcPr>
            <w:tcW w:w="79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Corporate Governance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Proposal No. 2—Ratification of Selection of Independent Registered Public Accounting Firm</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67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Audit Committee Report</w:t>
              </w:r>
            </w:hyperlink>
          </w:p>
        </w:tc>
        <w:tc>
          <w:tcPr>
            <w:tcW w:w="3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Other Business</w:t>
              </w:r>
            </w:hyperlink>
          </w:p>
        </w:tc>
        <w:tc>
          <w:tcPr>
            <w:tcW w:w="680" w:type="dxa"/>
            <w:vAlign w:val="bottom"/>
            <w:tcBorders>
              <w:top w:val="single" w:sz="8" w:color="0000EE"/>
            </w:tcBorders>
            <w:gridSpan w:val="3"/>
          </w:tcPr>
          <w:p>
            <w:pPr>
              <w:spacing w:after="0"/>
              <w:rPr>
                <w:sz w:val="17"/>
                <w:szCs w:val="17"/>
                <w:color w:val="auto"/>
              </w:rPr>
            </w:pPr>
          </w:p>
        </w:tc>
        <w:tc>
          <w:tcPr>
            <w:tcW w:w="88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Stock Repurchases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Stockholder Proposals and Nominations for the 2022 Annual Meeting of Stockholders</w:t>
              </w:r>
            </w:hyperlink>
          </w:p>
        </w:tc>
        <w:tc>
          <w:tcPr>
            <w:tcW w:w="4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Annual Report</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Householding of Proxy Materials</w:t>
              </w:r>
            </w:hyperlink>
          </w:p>
        </w:tc>
        <w:tc>
          <w:tcPr>
            <w:tcW w:w="82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Privacy Principles</w:t>
              </w:r>
            </w:hyperlink>
          </w:p>
        </w:tc>
        <w:tc>
          <w:tcPr>
            <w:tcW w:w="93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5445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the 2022 Annual Meeting of Stockholders (the “Meeting”) to be held on the internet via live webcast at www.virtualshareholdermeeting.com/TSLX2022 on May 26, 2022, at 9:30 a.m., Eastern Time. To support the health and well-being of our shareholders and other meeting participants, the Meeting will be a completely virtual meeting, and stockholders will not be able to attend in person. Only holders of record of our common stock at the close of business on March 31, 2022, which is the record date, will be entitled to vote at the Meeting. At the close of business on the record date, we had 76,070,680 shares of common stock outstanding and entitled to vote.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April 13, 2022. This proxy statement, including the accompanying form of proxy (collectively, the “Proxy Statement”), and the Company’s Annual Report for the fiscal year ended December 31, 2021 will first be made available to stockholders on or about April 13, 2022. The Annual Report and Proxy Statement can both be accessed online at www.proxyvote.com.</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Class II director candidates nominated by the Board and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KPMG LLP as the Company’s independent registered public accounting firm for the fiscal year ending December 31, 2022. Should any matter not described above be properly presented at the Meeting, the named proxies will vote in accordance with their judgment as permitted.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Annual Meeting of Stockholders is being held for the following purposes:</w:t>
      </w:r>
    </w:p>
    <w:p>
      <w:pPr>
        <w:spacing w:after="0" w:line="225" w:lineRule="exact"/>
        <w:rPr>
          <w:sz w:val="20"/>
          <w:szCs w:val="20"/>
          <w:color w:val="auto"/>
        </w:rPr>
      </w:pPr>
    </w:p>
    <w:p>
      <w:pPr>
        <w:ind w:left="120" w:right="620" w:firstLine="436"/>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each to serve for a three-year term and until a successor has been duly elected and qualified or until the director’s earlier resignation or removal.</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fiscal year ending December 31,</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w:t>
      </w:r>
    </w:p>
    <w:p>
      <w:pPr>
        <w:spacing w:after="0" w:line="206"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2022 Annual Meeting of Stockholders or any postponement or adjournment</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inspector of elections appointed for the Meeting will separately tabulate affirmative votes, “against” votes or “withhold” votes, as applicable, “abstain” votes and broker non-votes.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any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Jennifer Gordon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 Regarding This Proxy</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$75,000, plus reimbursement of expenses.</w:t>
      </w:r>
    </w:p>
    <w:p>
      <w:pPr>
        <w:spacing w:after="0" w:line="176"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virtually. However, the mere presence of the stockholder at the Meeting does not revoke the proxy.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Ian Simmonds, Sixth Street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35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10106, or by email at ISimmonds@sixthstreet.com. You can call us by dialing (212) 601-4753. You can access our proxy materials online at www.proxyvote.com.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Meeting will be conducted virtually on the internet via live webcast at www.virtualshareholdermeeting.com/TSLX2022. Stockholders will not be able to attend the Meeting in person. Stockholders as of the close of business on March 31, 2022, the record date, are entitled to participate in and vote at the Meeting by logging into the webcast. If you have a question pertaining to the business of the Meeting, please submit it in accordance with the procedures described below.</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webcast will begin promptly at 9:30 a.m., Eastern Time, and the Special Meeting of Stockholders webcast will begin promptly at 10:00 a.m., Eastern Time. Participants should allow plenty of time to log in prior to the start of the meetings. Online access and check-in will begin at 9:15 a.m., Eastern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part of the virtual Meeting, we will hold a live Q&amp;A session, during which we intend to answer questions as time permits. Questions must comply with the Meeting procedures and be pertinent to the Company, our shareholders and the Meeting matters.</w:t>
      </w:r>
    </w:p>
    <w:p>
      <w:pPr>
        <w:spacing w:after="0" w:line="63" w:lineRule="exact"/>
        <w:rPr>
          <w:sz w:val="20"/>
          <w:szCs w:val="20"/>
          <w:color w:val="auto"/>
        </w:rPr>
      </w:pPr>
    </w:p>
    <w:p>
      <w:pPr>
        <w:ind w:left="1080" w:right="8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you wish to submit a question in advance of the virtual Meeting, </w:t>
      </w:r>
      <w:r>
        <w:rPr>
          <w:rFonts w:ascii="Times New Roman" w:cs="Times New Roman" w:eastAsia="Times New Roman" w:hAnsi="Times New Roman"/>
          <w:sz w:val="18"/>
          <w:szCs w:val="18"/>
          <w:color w:val="auto"/>
        </w:rPr>
        <w:t>you may do so by visiting www.proxyvote.com. You should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proxy card, voting instruction form or Notice of Internet Availability of Proxy Materials in hand when you access the website and follow the instructions. Questions may be submitted beginning on April 13, 2022.</w:t>
      </w:r>
    </w:p>
    <w:p>
      <w:pPr>
        <w:spacing w:after="0" w:line="76" w:lineRule="exact"/>
        <w:rPr>
          <w:rFonts w:ascii="Times New Roman" w:cs="Times New Roman" w:eastAsia="Times New Roman" w:hAnsi="Times New Roman"/>
          <w:sz w:val="18"/>
          <w:szCs w:val="18"/>
          <w:color w:val="auto"/>
        </w:rPr>
      </w:pPr>
    </w:p>
    <w:p>
      <w:pPr>
        <w:ind w:left="1080" w:right="36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you wish to ask a question during the virtual Meeting, </w:t>
      </w:r>
      <w:r>
        <w:rPr>
          <w:rFonts w:ascii="Times New Roman" w:cs="Times New Roman" w:eastAsia="Times New Roman" w:hAnsi="Times New Roman"/>
          <w:sz w:val="18"/>
          <w:szCs w:val="18"/>
          <w:color w:val="auto"/>
        </w:rPr>
        <w:t>log in to the virtual Meeting website using your 16-digit control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on your proxy card and follow the instructions on the website.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Questions pertinent to the business of the Meeting will be read aloud and answered during the virtual Meeting, subject to time constraints.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for any purpose germane to the Meeting. Beginning 15 minutes prior to, and during, the Meeting, the stockholder list will be viewable at www.virtualshareholdermeeting.com/TSLX2022.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Technical Difficulties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Technical support will be available on the virtual meeting platform at www.virtualshareholdermeeting.com/TSLX2022 beginning at 9:15 a.m., Eastern Time on May 26, 2022 through the conclusion of the Meeting. You may also contact technical service (toll-free) at 844-986-0822 (US) or 303-562-9302 (International).</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455" w:right="5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2022,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76,070,080 shares of common stock outstanding as of March 31, 2022.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7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5660" w:type="dxa"/>
            <w:vAlign w:val="bottom"/>
            <w:vMerge w:val="restart"/>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72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0"/>
        </w:trPr>
        <w:tc>
          <w:tcPr>
            <w:tcW w:w="8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Joshua Easterly </w:t>
            </w:r>
            <w:r>
              <w:rPr>
                <w:rFonts w:ascii="Times New Roman" w:cs="Times New Roman" w:eastAsia="Times New Roman" w:hAnsi="Times New Roman"/>
                <w:sz w:val="15"/>
                <w:szCs w:val="15"/>
                <w:color w:val="auto"/>
              </w:rPr>
              <w:t>(2)</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53,690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Michael Fishman </w:t>
            </w:r>
            <w:r>
              <w:rPr>
                <w:rFonts w:ascii="Times New Roman" w:cs="Times New Roman" w:eastAsia="Times New Roman" w:hAnsi="Times New Roman"/>
                <w:sz w:val="15"/>
                <w:szCs w:val="15"/>
                <w:color w:val="auto"/>
              </w:rPr>
              <w:t>(3)</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36,366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Gordon (Director Nominee)</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David Stiepleman </w:t>
            </w:r>
            <w:r>
              <w:rPr>
                <w:rFonts w:ascii="Times New Roman" w:cs="Times New Roman" w:eastAsia="Times New Roman" w:hAnsi="Times New Roman"/>
                <w:sz w:val="15"/>
                <w:szCs w:val="15"/>
                <w:color w:val="auto"/>
              </w:rPr>
              <w:t>(4)</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11,079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15,532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John Ross (Director Nominee)</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35,000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Judy Slotkin (Director Nominee)</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9,008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86,516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Ian Simmonds</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3,806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Robert (Bo) Stanley </w:t>
            </w:r>
            <w:r>
              <w:rPr>
                <w:rFonts w:ascii="Times New Roman" w:cs="Times New Roman" w:eastAsia="Times New Roman" w:hAnsi="Times New Roman"/>
                <w:sz w:val="15"/>
                <w:szCs w:val="15"/>
                <w:color w:val="auto"/>
              </w:rPr>
              <w:t>(5)</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14,907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(15 persons) </w:t>
            </w:r>
            <w:r>
              <w:rPr>
                <w:rFonts w:ascii="Times New Roman" w:cs="Times New Roman" w:eastAsia="Times New Roman" w:hAnsi="Times New Roman"/>
                <w:sz w:val="15"/>
                <w:szCs w:val="15"/>
                <w:color w:val="auto"/>
              </w:rPr>
              <w:t>(6)(7)</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2,973,772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FMR LLC </w:t>
            </w:r>
            <w:r>
              <w:rPr>
                <w:rFonts w:ascii="Times New Roman" w:cs="Times New Roman" w:eastAsia="Times New Roman" w:hAnsi="Times New Roman"/>
                <w:sz w:val="15"/>
                <w:szCs w:val="15"/>
                <w:color w:val="auto"/>
              </w:rPr>
              <w:t>(8)</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4,018,756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540" w:right="20" w:hanging="424"/>
        <w:spacing w:after="0" w:line="25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540"/>
        <w:spacing w:after="0" w:line="261" w:lineRule="auto"/>
        <w:rPr>
          <w:sz w:val="20"/>
          <w:szCs w:val="20"/>
          <w:color w:val="auto"/>
        </w:rPr>
      </w:pPr>
      <w:r>
        <w:rPr>
          <w:rFonts w:ascii="Times New Roman" w:cs="Times New Roman" w:eastAsia="Times New Roman" w:hAnsi="Times New Roman"/>
          <w:sz w:val="18"/>
          <w:szCs w:val="18"/>
          <w:color w:val="auto"/>
        </w:rPr>
        <w:t>of more than five percent of common stock and each director and executive officer has sole voting and/or investment power over the shares reported.</w:t>
      </w:r>
    </w:p>
    <w:p>
      <w:pPr>
        <w:ind w:left="540" w:right="16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18,792 shares of common stock beneficially owned by Mr. Easterly have been pledged as security in connection with a line of credit with a third party financial institution unaffiliated with the Company.</w:t>
      </w:r>
    </w:p>
    <w:p>
      <w:pPr>
        <w:ind w:left="540" w:right="2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right="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30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3,907 shares of common stock beneficially owned by Mr. Stanley have been pledged as security in connection with a line of credit with a third party financial institution unaffiliated with the Company.</w:t>
      </w:r>
    </w:p>
    <w:p>
      <w:pPr>
        <w:ind w:left="540" w:right="18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2,716,977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February 9, 2022 by FMR LLC and Abigail P. Johnson. FMR LLC had (i) sole power to vote or to direct the vote of 806,698 shares and (ii) sole power to dispose or direct the disposition of 4,018,756 shares. Abigail P. Johnson had sole power to dispose of 4,018,756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Pursuant to our certificate of incorporation, our Board consists of nine members. The Board is divided into three classes, with the members of each class each serving staggered, three-year terms. The terms of our Class II directors will expire at the Meeting; the terms of our Class III directors will expire at the 2023 annual meeting of stockholders; and the terms of our Class I directors will expire at the 2024 annual meeting of stockholders.</w:t>
      </w:r>
    </w:p>
    <w:p>
      <w:pPr>
        <w:spacing w:after="0" w:line="15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has nominated Jennifer Gordon, John Ross and Judy Slotkin, each to serve until her or his successor is duly elected and qualified at the annual meeting of stockholders held in 2025 or until her or his earlier death, resignation or removal. Ms. Gordon, Mr. Ross and Ms. Slotkin are currently directors of TSLX.</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Ms. Gordon, Mr. Ross and Ms. Slotkin have consented to being named in this proxy statement and to serving as directors if elected at the Meeting. If, for any reason, any of them become unable or unwilling to serve at the time of the Meeting, the persons named as proxies in the proxy will have the authority to vote for a substitute nominee or nominees. We do not anticipate that Ms. Gordon, Mr. Ross and Ms. Slotkin will be unable or unwilling to serve.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Mr. Ross and Ms. Slotkin are not “interested persons” of the Company, of the Adviser, or of any of their respective affiliates as defined in Section 2(a)(19) of the 1940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“FOR” the Company’s nominees for Class II Director.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Set forth below are brief biographies of Ms. Gordon, Mr. Ross and Ms. Slotkin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as Class II Director</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Expiration of Term</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 (Interested) and Vice President</w:t>
            </w: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John Ross</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77</w:t>
            </w:r>
          </w:p>
        </w:tc>
        <w:tc>
          <w:tcPr>
            <w:tcW w:w="4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Director (Independent)</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68</w:t>
            </w:r>
          </w:p>
        </w:tc>
        <w:tc>
          <w:tcPr>
            <w:tcW w:w="42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Director (Independent)</w:t>
            </w:r>
          </w:p>
        </w:tc>
        <w:tc>
          <w:tcPr>
            <w:tcW w:w="1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94"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was elected a director of TSLX in January 2019. Ms. Gordon is a Vice President of TSLX and is a Partner, Co-Chief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Chief Compliance Officer of Sixth Street. Until Ms. Gordon’s election to the Company’s Board, she also served as the Chief Compliance Officer and Secretary of the Company since 2015.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8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John Ross </w:t>
      </w:r>
      <w:r>
        <w:rPr>
          <w:rFonts w:ascii="Times New Roman" w:cs="Times New Roman" w:eastAsia="Times New Roman" w:hAnsi="Times New Roman"/>
          <w:sz w:val="18"/>
          <w:szCs w:val="18"/>
          <w:color w:val="auto"/>
        </w:rPr>
        <w:t>was elected a director of TSLX in March 2011. From 2003 to 2011, Mr. Ross was a director and member of the board risk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7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Judy Slotkin </w:t>
      </w:r>
      <w:r>
        <w:rPr>
          <w:rFonts w:ascii="Times New Roman" w:cs="Times New Roman" w:eastAsia="Times New Roman" w:hAnsi="Times New Roman"/>
          <w:sz w:val="18"/>
          <w:szCs w:val="18"/>
          <w:color w:val="auto"/>
        </w:rPr>
        <w:t>was elected a director of TSLX in September 2019. Ms. Slotkin retired as a Managing Director from Bank of America in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III Directors: Term Expiring 2023</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5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Expiration of Term</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 (Independent)</w:t>
            </w: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4"/>
              </w:rPr>
              <w:t>2023</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Joshua Easterly</w:t>
            </w:r>
          </w:p>
        </w:tc>
        <w:tc>
          <w:tcPr>
            <w:tcW w:w="74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4560" w:type="dxa"/>
            <w:vAlign w:val="bottom"/>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rPr>
              <w:t>Chairman, Director (Interested)</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1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w:t>
            </w:r>
          </w:p>
        </w:tc>
        <w:tc>
          <w:tcPr>
            <w:tcW w:w="45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Director (Interested) and Vice President</w:t>
            </w:r>
          </w:p>
        </w:tc>
        <w:tc>
          <w:tcPr>
            <w:tcW w:w="16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bl>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director of TSLX in January 2019. Mr. Doddy is a Managing Director, Founding Partner and Co-Chief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Mr. Doddy is an experienced chief executive and board director with over 38 years of investing for growth across international borders, overmultiple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TSLX in January 2018 and elected a director and Chairman of TSLX in March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his appointment, Mr. Easterly served as a Vice President of TSLX since March 2011 and as the Co-Chief Executive Officer of TSLX since December 2013, along with Michael Fishman. 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WFCF, formerly known as Wells Fargo Foothill and Foothill Capital Corporation, the commercial finance company of Wells Fargo and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Easterly graduated from California State University, Fresno with a Bachelor of Science in Business Administration, magna cum laude.</w:t>
      </w:r>
    </w:p>
    <w:p>
      <w:pPr>
        <w:spacing w:after="0" w:line="9"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7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was elected a director of TSLX in April 2011. From April 2011 to December 2013, he served as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December 2013 to December 2017, he served as Co-Chief Executive Officer with Joshua Easterly. Mr. Fishman is a Vice President of TSLX and is a Sixth Street Partner. He has been an executive in corporate lending for more than 30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 Directors: Term Expiring 2024</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Expiration of Term</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Director (Independent)</w:t>
            </w: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w:t>
            </w:r>
          </w:p>
        </w:tc>
        <w:tc>
          <w:tcPr>
            <w:tcW w:w="4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Director (Interested) and Vice President</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w:t>
            </w:r>
          </w:p>
        </w:tc>
        <w:tc>
          <w:tcPr>
            <w:tcW w:w="4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Director (Independent)</w:t>
            </w:r>
          </w:p>
        </w:tc>
        <w:tc>
          <w:tcPr>
            <w:tcW w:w="1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bl>
    <w:p>
      <w:pPr>
        <w:spacing w:after="0" w:line="194"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TSLX in March 2011.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8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director of TSLX in September 2019. Mr. Stiepleman is a Vice President of TSLX. He is a Co-Founding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w:t>
      </w:r>
    </w:p>
    <w:p>
      <w:pPr>
        <w:spacing w:after="0" w:line="3" w:lineRule="exact"/>
        <w:rPr>
          <w:sz w:val="20"/>
          <w:szCs w:val="20"/>
          <w:color w:val="auto"/>
        </w:rPr>
      </w:pP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Mr. Stiepleman received a B.A. in French and Political Science from Amherst College and a J.D. from Columbia University. Mr. Stiepleman’s legal, regulatory and operational experience provides the Board with valuable knowledge and guidance.</w:t>
      </w:r>
    </w:p>
    <w:p>
      <w:pPr>
        <w:spacing w:after="0" w:line="177"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Ronald Tanemura </w:t>
      </w:r>
      <w:r>
        <w:rPr>
          <w:rFonts w:ascii="Times New Roman" w:cs="Times New Roman" w:eastAsia="Times New Roman" w:hAnsi="Times New Roman"/>
          <w:sz w:val="18"/>
          <w:szCs w:val="18"/>
          <w:color w:val="auto"/>
        </w:rPr>
        <w:t>was elected a director of TSLX in March 2011. Since 2012, Mr. Tanemura has served as a director of post-reorganization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40"/>
        <w:spacing w:after="0" w:line="281" w:lineRule="auto"/>
        <w:rPr>
          <w:sz w:val="20"/>
          <w:szCs w:val="20"/>
          <w:color w:val="auto"/>
        </w:rPr>
      </w:pPr>
      <w:r>
        <w:rPr>
          <w:rFonts w:ascii="Times New Roman" w:cs="Times New Roman" w:eastAsia="Times New Roman" w:hAnsi="Times New Roman"/>
          <w:sz w:val="17"/>
          <w:szCs w:val="17"/>
          <w:color w:val="auto"/>
        </w:rPr>
        <w:t>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Owned by Directors and Nominees in the Company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Company beneficially owned by each director or director nominee as of March 31, 2022. The Company is not part of a “family of investment companies,” as that term is defined in the 1940 Act.</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4260" w:type="dxa"/>
            <w:vAlign w:val="bottom"/>
            <w:gridSpan w:val="3"/>
          </w:tcPr>
          <w:p>
            <w:pPr>
              <w:jc w:val="center"/>
              <w:ind w:left="1828"/>
              <w:spacing w:after="0"/>
              <w:rPr>
                <w:sz w:val="20"/>
                <w:szCs w:val="20"/>
                <w:color w:val="auto"/>
              </w:rPr>
            </w:pPr>
            <w:r>
              <w:rPr>
                <w:rFonts w:ascii="Times New Roman" w:cs="Times New Roman" w:eastAsia="Times New Roman" w:hAnsi="Times New Roman"/>
                <w:sz w:val="14"/>
                <w:szCs w:val="14"/>
                <w:b w:val="1"/>
                <w:bCs w:val="1"/>
                <w:color w:val="auto"/>
              </w:rPr>
              <w:t>Dollar Range of our Common Stock</w:t>
            </w:r>
          </w:p>
        </w:tc>
      </w:tr>
      <w:tr>
        <w:trPr>
          <w:trHeight w:val="173"/>
        </w:trPr>
        <w:tc>
          <w:tcPr>
            <w:tcW w:w="5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xml:space="preserve">Beneficially Owned </w:t>
            </w:r>
            <w:r>
              <w:rPr>
                <w:rFonts w:ascii="Times New Roman" w:cs="Times New Roman" w:eastAsia="Times New Roman" w:hAnsi="Times New Roman"/>
                <w:sz w:val="12"/>
                <w:szCs w:val="12"/>
                <w:b w:val="1"/>
                <w:bCs w:val="1"/>
                <w:color w:val="auto"/>
              </w:rPr>
              <w:t>(1) (2)</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Interested Directors</w:t>
            </w:r>
          </w:p>
        </w:tc>
        <w:tc>
          <w:tcPr>
            <w:tcW w:w="19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Joshua Easterly</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Fishman</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Jennifer Gordon (Director Nominee)</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Stiepleman</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Ross (Director Nominee)</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Judy Slotkin (Director Nominee)</w:t>
            </w:r>
          </w:p>
        </w:tc>
        <w:tc>
          <w:tcPr>
            <w:tcW w:w="19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ranges used in the above table are $1—$10,000, $10,001—$50,000, $50,001—$100,000, or over $100,000.</w:t>
      </w:r>
    </w:p>
    <w:p>
      <w:pPr>
        <w:spacing w:after="0" w:line="27"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were determined using the number of shares that are beneficially owned as of March 31, 2022, multiplied by the closing sale price of the Company’s common stock as reported on the New York Stock Exchange (“NYSE”) as of March 31, 2022.</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Involving Directors and Nominees Adverse to the Company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Executive Officers Who Are Not Directors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98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Officer Since</w:t>
            </w: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Deputy Chief Financial Officer and Principal Accounting Officer</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Hamrah</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6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Pluss</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w:t>
            </w:r>
          </w:p>
        </w:tc>
        <w:tc>
          <w:tcPr>
            <w:tcW w:w="65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w:t>
            </w:r>
          </w:p>
        </w:tc>
        <w:tc>
          <w:tcPr>
            <w:tcW w:w="6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Chief Financial Officer, Chief Compliance Officer and Secretary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(Bo) Stanley</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65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8"/>
              </w:rPr>
              <w:t>President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Waxman</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6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r>
    </w:tbl>
    <w:p>
      <w:pPr>
        <w:spacing w:after="0" w:line="17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a Principal and Deputy Chief Financial Officer of TSLX. Mr. Graf has been TSLX’s Controller since 2013. From 2010 to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Craig Hamrah </w:t>
      </w:r>
      <w:r>
        <w:rPr>
          <w:rFonts w:ascii="Times New Roman" w:cs="Times New Roman" w:eastAsia="Times New Roman" w:hAnsi="Times New Roman"/>
          <w:sz w:val="18"/>
          <w:szCs w:val="18"/>
          <w:color w:val="auto"/>
        </w:rPr>
        <w:t>is a Vice President of TSLX, Senior Credit Underwriter of the Adviser and Managing Director of Sixth Street. Mr. Hamrah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79"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TSLX. He is a Co-Founding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7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Chief Compliance Officer and Secretary of TSLX and a Managing Director of Sixth Street.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2005 to 2015, Mr. Simmonds was a 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President of TSLX, a Partner of Sixth Street, and co-head of Sixth Street Growth. Mr. Stanley focuses on originating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TSLX. Mr. Waxman is a Co-Founding Partner and Chief Executive Officer of Sixth Street.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our Board consists of nine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2024 annual meeting of stockholders; the terms of our Class II directors will expire at the Meeting; and the terms of our Class III directors will expire at the 2023 annual meeting of stockholders.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Doddy, Higginbotham, Ross,</w:t>
      </w: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Ms. Slotkin and Mr.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A majority of the voting members of the Risk Management Committee are Independent Directors.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Messrs. Easterly, Fishman, Ms. Gordon and Mr. Stiepleman are considered “interested persons” (as defined in the 1940 Act) of the Company since both of them are employed by the Adviser. See “Proposal No. 1 Election of Directors – Biographical Information.”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Meetings and Attendance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Board met four times in 2021 and acted on various occasions by written consent. Our Board also holds informal periodic telephonic update meetings. No incumbent director attended fewer than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 at the Meeting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policy is to encourage our directors to attend each annual meeting of stockholders; however, attendance is not required. Mr. Easterly attended the 2021 annual meeting of stockholders virtually, as the meeting was held completely virtually.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performs its risk oversight function primarily through its committees and monitoring by our Chief Compliance Officer in accordance with its compliance policies and procedures.</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1" w:lineRule="exact"/>
        <w:rPr>
          <w:sz w:val="20"/>
          <w:szCs w:val="20"/>
          <w:color w:val="auto"/>
        </w:rPr>
      </w:pPr>
    </w:p>
    <w:p>
      <w:pPr>
        <w:ind w:left="5540" w:right="190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 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meets separately in executive session with the Independent Directors periodically, typically every quarter, but in no event less than once each year.</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Ian Simmonds, Sixth Street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35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http://www.sixthstreetspecialtylending.com.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We currently have four standing committees: the Audit Committee, the Nominating and Corporate Governance Committee, the Compensation Committee and the Risk Management Committee.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has the sole authority to approve the engagement, and review the performance of, our independent registered public accounting firm.</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Messrs. Doddy, Higginbotham, Ross, Ms. Slotkin and Mr. Tanemura are members of the Audit Committee and Mr. Ross serves as Chairman. The Audit Committee held eight meetings in 2021.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Doddy (elected February 2020), Higginbotham, Ross,</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Ms. Slotkin (elected February 2020) and Mr. Tanemura, each of whom is independent for purposes of the NYSE corporate governance rules, and each of whom is not an “interested person” of the Company, of the Adviser, or of any of their respective affiliates as defined in Section 2(a)(19) of the 1940 Act. Mr. Higginbotham serves as Chairman. The Nominating and Corporate Governance Committee held two meetings in 2021.</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67" w:lineRule="exact"/>
        <w:rPr>
          <w:sz w:val="20"/>
          <w:szCs w:val="20"/>
          <w:color w:val="auto"/>
        </w:rPr>
      </w:pPr>
    </w:p>
    <w:p>
      <w:pPr>
        <w:ind w:left="1080" w:right="220" w:hanging="424"/>
        <w:spacing w:after="0" w:line="289" w:lineRule="auto"/>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as amended (the “Administration Agreement”);</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setting compensation for our directors;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800" w:firstLine="96"/>
        <w:spacing w:after="0" w:line="500" w:lineRule="auto"/>
        <w:tabs>
          <w:tab w:leader="none" w:pos="10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 Board, approving or renewing the Investment Advisory Agreement and Administration Agreement. See “—Compensation and Insider Participation—Compensation of Executive Officers.”</w:t>
      </w:r>
    </w:p>
    <w:p>
      <w:pPr>
        <w:spacing w:after="0" w:line="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Messrs. Doddy, Higginbotham, Ross, Ms. Slotkin and Mr. Tanemura, each of whom is independent for purposes of the NYSE corporate governance rules. Mr. Ross serves as Chairman. The Compensation Committee held one meeting in 2021.</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Committee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voting members of the Risk Management Committee are Messrs. Easterly, Ross and Tanemura, and the non-voting members of the committee are Messrs. Simmonds and Pluss. Messrs. Ross and Tanemura are independent for purposes of the NYSE corporate governance rules. Mr. Easterly serves as Chairman. The Risk Management Committee held four meetings in 2021, which were held jointly with a meeting of the full board.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maintain a corporate governance section on our website, which contains copies of the charters for the committees of our Board. The corporate governance section may be found at http://www.sixthstreetspecialtylending.com in the “Investor Resources” section of our website. The corporate governance section contains the following documents:</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Committee Charter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Ian Simmonds, Sixth Street Specialty Lending, Inc., 2100 McKinney Avenue, Suite 1500, Dallas, TX 75201. Please refer to the text of our bylaws (including Article II, paragraph (K)), which are on file with the SEC, and “Bylaw Requirements for Stockholder Submission of Nominations and Proposals” in this proxy statement for additional information.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size and composition of our Board;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person is an “interested person” of TSLX as defined in Section 2(a)(19) of the 1940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needs of TSLX with respect to the particular talents and experience of its directors;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and experience of nominees in light of prevailing business conditions and the knowledge, skills and experience already possessed by other members of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 and integrity;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national and international business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with accounting rules and practices;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balance the considerable benefit of continuity with the periodic injection of the fresh perspective provided by new members;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rules, regulations, and listing standards.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62"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or if there are otherwise any vacancies on the Board,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7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and ethnicity,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and our Corporate Governance Guidelines can be accessed on our website at http://www.sixthstreetspecialtylending.com in the “Investor Resources” section. We intend to disclose any substantive amendments to or waivers of required provisions of the SOX Code of Business Conduct and Ethics on our website or on a current report on Form 8-K.</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Involvement in Certain 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Election of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elects our officers and our officers serve until their resignation or termination or until their successors are duly elected and qualified.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and Insider Participation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pay each Independent Director the following amounts for serving as a director:</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also reimbursed directors for certain out-of-pocket expenses each Independent Director incurred in connection with the fulfillment of his duties as an Independent Director.</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total compensation earned by or paid to each of our Independent Directors during the fiscal year ended December 31, 2021:</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340" w:type="dxa"/>
            <w:vAlign w:val="bottom"/>
          </w:tcPr>
          <w:p>
            <w:pPr>
              <w:spacing w:after="0"/>
              <w:rPr>
                <w:sz w:val="13"/>
                <w:szCs w:val="13"/>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3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2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3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154,000</w:t>
            </w:r>
          </w:p>
        </w:tc>
        <w:tc>
          <w:tcPr>
            <w:tcW w:w="10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$154,000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Ross</w:t>
            </w:r>
          </w:p>
        </w:tc>
        <w:tc>
          <w:tcPr>
            <w:tcW w:w="238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158,000</w:t>
            </w:r>
          </w:p>
        </w:tc>
        <w:tc>
          <w:tcPr>
            <w:tcW w:w="10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$158,000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23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144,000</w:t>
            </w:r>
          </w:p>
        </w:tc>
        <w:tc>
          <w:tcPr>
            <w:tcW w:w="10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$144,000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238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143,000</w:t>
            </w:r>
          </w:p>
        </w:tc>
        <w:tc>
          <w:tcPr>
            <w:tcW w:w="10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$143,000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Executive Officers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Policy on Hedging and Speculative Transactions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consider it improper and inappropriate for our directors and officers, as well as employees of the Adviser, to engage in short-term or speculative transactions in our securities. Pursuant to the insider trading policy applicable to our directors and officers and employees of the Adviser, all trades in our securities by such parties must be pre-cleared with Sixth Street Legal and Compliance. The insider trading policy prohibits those directors, officers and employees from engaging in certain transactions that can allow the offset of downside risk associated with investment in our securities. This prohibition applies to short sales and transactions in publicly traded options, such as puts, calls or other derivative securities. We strongly discourage, but do not prohibit, those directors, officers, and employees from engaging in other types of hedging transactions, such as exchange funds. Any such proposed transaction must be approved by Sixth Street Legal and Compliance. Our directors and officers and employees of the Adviser may not hold our securities in a margin account or pledge our securities as collateral for a loan or other transaction. Exceptions may be granted by Sixth Street Legal and Compliance in certain situations, including if our securities are pledged as collateral for a loan and the person clearly demonstrates the financial capacity to repay the loan without resort to the pledged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Sixth Street Specialty Lending Advisers, LLC is our external manager. 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Sixth Street. The members of the Investment Review Committee are Joshua Easterly, Michael Fishman, Bo Stanley, David Stiepleman and Alan Waxman.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Sixth Street is a global investment business with over $60 billion of assets under management. Sixth Street operates nine diversified, collaborative investment platforms: TAO, Growth, Specialty Lending, Fundamental Strategies, Infrastructure, Opportunities, Insurance, Agriculture, and Credit Market Strategies.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320 investment and operating professionals. As of December 31, 2021, thirty three (33) of these personnel are dedicated to our business, including twenty five (25) investment professionals.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Adviser’s address is 2100 McKinney Avenue, Suite 1500, Dallas, TX 75201.</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Relationship with Sixth Street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activities are managed by our Adviser, which is responsible for sourcing, researching and structuring potential investments,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monitoring our portfolio companies and providing operating, managerial and administrative assistance to us and to our portfolio companies as required.</w:t>
      </w:r>
    </w:p>
    <w:p>
      <w:pPr>
        <w:spacing w:after="0" w:line="20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Adviser is registered under the Advisers Act and is an affiliate of Sixth Street. Other affiliates of Sixth Street are also registered investment advisers and provide investment advisory services to a number of private investment funds. In addition, Sixth Street and its affiliates engage in a broad range of other investment activities, including pursuing investments for their own account and for the account of associated funds and providing other services to these funds and their portfolio companies. The Adviser held 2,716,977 shares, or 3.6%, of our common stock as of March 31, 2022.</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we benefit from the Adviser’s relationships with Sixth Street. The Adviser has access to the contacts and industry knowledge of Sixth Street’s investment professionals, and is also able to consult with Sixth Street investment professionals on specific industry issues, trends and other matters to complement our investment process. However, the Adviser and members of the Investment Review Committee are expected to face a number of actual and potential conflicts of interest involving us, Sixth Street and other private investment funds affiliated with Sixth Street, including conflicts in the allocation of investment opportunities among us and other Sixth Street vehicles, as well as in their time and attention requirements as to these other vehicles. Additionally, various potential and actual conflicts of interest may arise from the overall advisory, investment and other activities of the Adviser, its affiliates, including Sixth Street and its clients.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Allocations of Loan Origination Investment Opportunities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that pursue investment opportunities that could overlap with those pursued by us. However, the Adviser and its affiliates intend to allocate investment opportunities in a fair and equitable manner in accordance with their allocation principles. In particular, Sixth Street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Exemptive Order</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Adviser has independently determined is appropriate for us to invest, with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45" w:lineRule="exact"/>
        <w:rPr>
          <w:sz w:val="20"/>
          <w:szCs w:val="20"/>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our investment strategies and policies;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Allocation of Non-Loan Origination Investment Opportunities</w:t>
      </w:r>
    </w:p>
    <w:p>
      <w:pPr>
        <w:spacing w:after="0" w:line="119" w:lineRule="exact"/>
        <w:rPr>
          <w:sz w:val="20"/>
          <w:szCs w:val="20"/>
          <w:color w:val="auto"/>
        </w:rPr>
      </w:pPr>
    </w:p>
    <w:p>
      <w:pPr>
        <w:ind w:left="120" w:right="300" w:firstLine="440"/>
        <w:spacing w:after="0" w:line="270" w:lineRule="auto"/>
        <w:rPr>
          <w:sz w:val="20"/>
          <w:szCs w:val="20"/>
          <w:color w:val="auto"/>
        </w:rPr>
      </w:pPr>
      <w:r>
        <w:rPr>
          <w:rFonts w:ascii="Times New Roman" w:cs="Times New Roman" w:eastAsia="Times New Roman" w:hAnsi="Times New Roman"/>
          <w:sz w:val="17"/>
          <w:szCs w:val="17"/>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$250 million or more, certain high yield bonds and other instruments or assets (including consumer and commercial loans). Many of these opportunities may be required to be offered to, or may be otherwise suitable for, other Sixth Street funds and investment vehicles. In the event that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for middle-market loan originations for companies domiciled in the United States is subject to the allocation decisions by Sixth Street senior professionals. Such non-loan origination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the Adviser were to determine that an investment that is not a middle-market loan origination for a company domiciled in the United States is appropriate both for us and for one or more other Sixth Street vehicles, we would only be able to make the investment in conjunction with another such vehicle to the extent the exemptive order granted to us by the SEC permits us to do so or the investment is otherwise permitted under relevant SEC guidance.</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Adviser believes this allocation system is fair and equitable, and consistent with its fiduciary duty to us. In particular, we have disclosed to investors that Sixth Street will refer to us all middle-market loan origination activities for companies domiciled in the United States. In addition, we have disclosed how allocation determinations are made among Sixth Street vehicles in connection with other opportunities, including those circumstances in which the Adviser may be required to offer them to these affiliated vehicles.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Administrator</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Adviser also serves as our administrator. 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Directors.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course of our investing activities, we pay fees to the Adviser, incur direct expenses and reimburse the Adviser for certain expenses it incurs.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Business Relationships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Certain of our current directors and officers are directors or officers of the Adviser or its affiliates. See “Proposal No. 1 Election of Directors – Biographical Information.”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Indebtedness of Management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31" w:lineRule="exact"/>
        <w:rPr>
          <w:sz w:val="20"/>
          <w:szCs w:val="20"/>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or the “Management Fee,” and may also pay certain incentive fees, or “Incentive Fees”.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Management Fees were $37.1 million. For the year ended December 31, 2021, Management Fees of $0.2 million were waived consisting solely of Management Fees pursuant to the Leverage Waiver.</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 ended December 31, 2021, Management Fees of $0.2 million were waived pursuant to the Leverage Waiver. Any waived Management Fees are not subject to recoupment by the Adviser.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1080" w:hanging="532"/>
        <w:spacing w:after="0" w:line="25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3" w:lineRule="exact"/>
        <w:rPr>
          <w:rFonts w:ascii="Times New Roman" w:cs="Times New Roman" w:eastAsia="Times New Roman" w:hAnsi="Times New Roman"/>
          <w:sz w:val="18"/>
          <w:szCs w:val="18"/>
          <w:color w:val="auto"/>
        </w:rPr>
      </w:pPr>
    </w:p>
    <w:p>
      <w:pPr>
        <w:ind w:left="110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94"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53" w:lineRule="auto"/>
        <w:rPr>
          <w:sz w:val="20"/>
          <w:szCs w:val="20"/>
          <w:color w:val="auto"/>
        </w:rPr>
      </w:pPr>
      <w:r>
        <w:rPr>
          <w:rFonts w:ascii="Times New Roman" w:cs="Times New Roman" w:eastAsia="Times New Roman" w:hAnsi="Times New Roman"/>
          <w:sz w:val="18"/>
          <w:szCs w:val="18"/>
          <w:color w:val="auto"/>
        </w:rPr>
        <w:t>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 For the year ended December 31, 2021, Incentive Fees were $46.6 million, $33.1 million of which was realized and payable to the Adviser. The Adviser did not waive any Incentive Fees for the year ended December 31, 2021.</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Since our IPO, with the exception of its waiver of Management Fees and certain Incentive Fees attributable to our ownership of certain portfolio companies, the Adviser has not waived its right to receive any Management Fees or Incentive Fees payable pursuant to the Investment Advisory Agreement.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November 2021, the Board renewed the Investment Advisory Agreement. Unless earlier terminated as described below, the Investment Advisory Agreement will remain in effect until November 2022,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8"/>
          <w:szCs w:val="18"/>
          <w:i w:val="1"/>
          <w:iCs w:val="1"/>
          <w:color w:val="auto"/>
        </w:rPr>
        <w:t>Payment of Our Expenses</w:t>
      </w:r>
      <w:r>
        <w:rPr>
          <w:rFonts w:ascii="Times New Roman" w:cs="Times New Roman" w:eastAsia="Times New Roman" w:hAnsi="Times New Roman"/>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2021, we incurred expenses of $4.8 million for administrative services payable under the terms of the Administration Agreement.</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November 2021, the Board renewed the Administration Agreement. Unless earlier terminated as described below, the Administration Agreement will remain in effect until November 2022,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9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8"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Amounts payable to the Adviser are settled in the normal course of business without formal payment terms. We also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allocable portion of the compensation paid by the Adviser or its affiliates to our Chief Compliance Officer, Chief Financial Officer, and other professionals who spend time on those related activities,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such individuals devote, on an estimated basis, to our business and affairs and in acting on behalf of the Company. We may also reimburse the Adviser or its affiliates for the allocable portion of overhead expenses (including rent, office equipment and utilities) attributable thereto.</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2022,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3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Board Approval of the Investment Advisory Agreement</w:t>
      </w:r>
    </w:p>
    <w:p>
      <w:pPr>
        <w:spacing w:after="0" w:line="119"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2021. A discussion regarding the basis for our Board’s approval and renewal of the Investment Advisory Agreement is available in our Annual Report on Form 10-K for the fiscal year ended December 31, 2021.</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Review, Approval or Ratification of Transactions with Related Persons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is required to review and approve any transactions with related persons (as such term is defined in Item 404 of Regulation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Audit Committee has selected KPMG LLP to serve as our independent registered public accounting firm to audit our consolidated financial statements for the year ending December 31, 2022.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5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our stockholders vote “FOR” ratification of the selection of KPMG LLP as the Company’s independent registered public accounting firm for the fiscal year ending December 31, 2022.</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KPMG LLP</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aggregate fees billed by KPMG LLP for the audit of our consolidated financial statements, review of our interim financial statements and other professional services related to SEC registration statements were $826,000. In addition, we reimbursed KPMG LLP $15,158 for out-of-pocket expenses incurred in the performance of audit services.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aggregate fees billed by KPMG LLP for the audit of our consolidated financial statements, review of our interim financial statements and other professional services related to SEC registration statements were $812,000. In addition, we reimbursed KPMG LLP $3,873 for out-of-pocket expenses incurred in the performance of audit services.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aggregate fees billed by KPMG LLP for audit-related services, which consist of assurance and related services that are reasonably related to the performance of the audit or review of our consolidated financial statements, but which are not reportable as Audit Fees, were $165,000.</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aggregate fees billed by KPMG LLP for audit-related services, which consist of assurance and related services that are reasonably related to the performance of the audit or review of our consolidated financial statements, but which are not reportable as Audit Fees, were $70,000.</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20121, the aggregate fees billed by KPMG LLP for tax compliance, tax advice and tax planning services were $318,000.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aggregate fees billed by KPMG LLP for tax compliance, tax advice and tax planning services were $213,200.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Tax services include tax compliance, tax planning and tax advice.</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2021 and 2020, there were no fees billed for services rendered by KPMG LLP not reportable as Audit Fees, Audit-Related Fees or Tax Fees.</w:t>
      </w:r>
    </w:p>
    <w:p>
      <w:pPr>
        <w:spacing w:after="0" w:line="2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Audit Committee of our Board operates under a written charter adopted by the Board. The Audit Committee is currently composed of Messrs.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Ross, Doddy, Higginbotham and Tanemura and Ms. Slotkin.</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5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also has discussed with KPMG matters relating to KPMG’s judgments about the quality, as well as the acceptability, of the Company’s accounting principles as applied in its financial reporting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 .</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2021 for filing with the Securities and Exchange Commission. The Audit Committee also recommended the selection of KPMG LLP to serve as the independent registered public accounting firm for the year ending December 31, 2022.</w:t>
      </w:r>
    </w:p>
    <w:p>
      <w:pPr>
        <w:spacing w:after="0" w:line="3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Respectfully Submitted,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John Ross, Chairman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Hurley Doddy</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Richard Higginbotham</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Judy Slotkin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Ronald Tanemura</w:t>
      </w:r>
    </w:p>
    <w:p>
      <w:pPr>
        <w:spacing w:after="0" w:line="203"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2022.</w:t>
      </w:r>
    </w:p>
    <w:p>
      <w:pPr>
        <w:spacing w:after="0" w:line="15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Section 23(c)(1) under the 1940 Act, the Company hereby advises you that it may repurchase shares of its common stock from time to time.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2023 ANNUAL MEETING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2023 annual meeting of stockholders pursuant to Rule 14a-8 of the SEC’s rules must be received by us at our principal executive offices no later than December 14, 2022.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Ian Simmonds, Sixth Street Specialty Lending, Inc., 2100 McKinney Avenue, Suite 1500, Dallas, TX 75201.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2023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February 25, 2023, unless the date of our 2023 annual meeting is more than 30 days before or more than 60 days after May 26, 2023, the anniversary of our 2022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2021, which includes financial statements, is being furnished with this proxy statement.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7th Avenue, 35th Floor, New York, NY 10106, Attention: TSLX Investor Relations, by email at IRTSLX@sixthstreet.com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0"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VIRTUALLY,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6828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5" w:right="5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39" w:name="page40"/>
    <w:bookmarkEnd w:id="3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2022-04-13T15:11:27Z</dcterms:created>
  <dcterms:modified xsi:type="dcterms:W3CDTF">2022-04-13T15:11:27Z</dcterms:modified>
</cp:coreProperties>
</file>