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55692ddefr14a.htm"/>
      <w:bookmarkStart w:id="1" w:name="ksd255692ddefr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Sixth Street Specialty Lending,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1 TO THE 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DATED APRIL 9, 2026 FOR THE </w:t>
      </w:r>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OF STOCKHOLDERS TO BE HELD ON MAY 21, 2026 </w:t>
      </w:r>
    </w:p>
    <w:p>
      <w:pPr>
        <w:pStyle w:val="TextBody"/>
        <w:bidi w:val="0"/>
        <w:spacing w:before="24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1 to Schedule 14A (“Amendment No. 1”) is being filed to amend Sixth Street Specialty Lending, Inc.’s definitive proxy statement for its 2026 Annual Meeting of Shareholders (the “Meeting”), which was filed with the Securities and Exchange Commission on April 9, 2026 (the “Proxy Statement”). This Amendment No. 1 amends the disclosures provided in the section “Security Ownership of Certain Beneficial Owners and Management” as set forth on page 5 of the Proxy Statement in order to correct the amount of shares held by certain directors as of March 31, 2026. There is no change to the total number of shares held by all directors and officers as a group. All other items of the Proxy Statement are incorporated herein by reference without changes. </w:t>
      </w:r>
    </w:p>
    <w:p>
      <w:pPr>
        <w:pStyle w:val="TextBody"/>
        <w:bidi w:val="0"/>
        <w:spacing w:before="240" w:after="0"/>
        <w:jc w:val="left"/>
        <w:rPr>
          <w:rFonts w:ascii="Times New Roman" w:hAnsi="Times New Roman"/>
          <w:sz w:val="20"/>
        </w:rPr>
      </w:pPr>
      <w:r>
        <w:rPr>
          <w:rFonts w:ascii="Times New Roman" w:hAnsi="Times New Roman"/>
          <w:sz w:val="20"/>
        </w:rPr>
        <w:t xml:space="preserve">Except as specifically discussed in this Explanatory Note, this Amendment No. 1 does not otherwise modify or update any other disclosures presented in the Proxy Statement. In addition, this Amendment No. 1 does not reflect events occurring after the date of the Proxy Statement or modify or update disclosures that may have been affected by subsequent events. </w:t>
      </w:r>
    </w:p>
    <w:p>
      <w:pPr>
        <w:pStyle w:val="TextBody"/>
        <w:bidi w:val="0"/>
        <w:spacing w:before="480" w:after="0"/>
        <w:jc w:val="center"/>
        <w:rPr>
          <w:rFonts w:ascii="Times New Roman" w:hAnsi="Times New Roman"/>
          <w:b/>
          <w:sz w:val="20"/>
        </w:rPr>
      </w:pPr>
      <w:r>
        <w:rPr>
          <w:rFonts w:ascii="Times New Roman" w:hAnsi="Times New Roman"/>
          <w:b/>
          <w:sz w:val="20"/>
        </w:rPr>
        <w:t xml:space="preserve">CHANGE TO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under the heading “Security Ownership of Certain Beneficial Owners and Management” on page 5 of the Proxy Statement is amended and restated to read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31, 2026, the beneficial ownership as indicated in the Company’s books and records of each current director, the nominees for director, the Company’s Named Executive Officers and the Company’s executive officers and directors as a group. Based upon Schedule 13D or Schedule 13G filings with the SEC, the Company is not aware of any person that beneficially owns 5% or more of the outstanding shares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ownership is based on 95,019,600 shares of common stock outstanding as of March 31, 2026.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07"/>
        <w:gridCol w:w="316"/>
        <w:gridCol w:w="92"/>
        <w:gridCol w:w="1538"/>
        <w:gridCol w:w="60"/>
        <w:gridCol w:w="316"/>
        <w:gridCol w:w="191"/>
        <w:gridCol w:w="1407"/>
        <w:gridCol w:w="278"/>
      </w:tblGrid>
      <w:tr>
        <w:trPr/>
        <w:tc>
          <w:tcPr>
            <w:tcW w:w="6007"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60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Individual or Identity of Group</w:t>
            </w:r>
          </w:p>
        </w:tc>
        <w:tc>
          <w:tcPr>
            <w:tcW w:w="316" w:type="dxa"/>
            <w:tcBorders/>
            <w:vAlign w:val="bottom"/>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of</w:t>
            </w:r>
            <w:r>
              <w:rPr/>
              <w:br/>
            </w:r>
            <w:r>
              <w:rPr>
                <w:b/>
              </w:rPr>
              <w:t>Common Stock</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bottom"/>
          </w:tcPr>
          <w:p>
            <w:pPr>
              <w:pStyle w:val="TableContents"/>
              <w:bidi w:val="0"/>
              <w:spacing w:before="0" w:after="283"/>
              <w:jc w:val="center"/>
              <w:rPr/>
            </w:pPr>
            <w:r>
              <w:rPr>
                <w:b/>
              </w:rPr>
              <w:t>Percent of</w:t>
            </w:r>
            <w:r>
              <w:rPr/>
              <w:br/>
            </w:r>
            <w:r>
              <w:rPr>
                <w:b/>
              </w:rPr>
              <w:t>Common Stock</w:t>
            </w:r>
            <w:r>
              <w:rPr/>
              <w:br/>
            </w:r>
            <w:r>
              <w:rPr>
                <w:b/>
              </w:rPr>
              <w:t>Beneficially</w:t>
            </w:r>
            <w:r>
              <w:rPr/>
              <w:br/>
            </w:r>
            <w:r>
              <w:rPr>
                <w:b/>
              </w:rPr>
              <w:t>Owned</w:t>
            </w:r>
          </w:p>
        </w:tc>
        <w:tc>
          <w:tcPr>
            <w:tcW w:w="278" w:type="dxa"/>
            <w:tcBorders/>
            <w:vAlign w:val="bottom"/>
          </w:tcPr>
          <w:p>
            <w:pPr>
              <w:pStyle w:val="TableContents"/>
              <w:bidi w:val="0"/>
              <w:spacing w:before="0" w:after="283"/>
              <w:jc w:val="left"/>
              <w:rPr/>
            </w:pPr>
            <w:r>
              <w:rPr/>
              <w:t> </w:t>
            </w:r>
          </w:p>
        </w:tc>
      </w:tr>
      <w:tr>
        <w:trPr/>
        <w:tc>
          <w:tcPr>
            <w:tcW w:w="6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w:t>
            </w:r>
          </w:p>
        </w:tc>
        <w:tc>
          <w:tcPr>
            <w:tcW w:w="31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5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6007" w:type="dxa"/>
            <w:tcBorders/>
          </w:tcPr>
          <w:p>
            <w:pPr>
              <w:pStyle w:val="TableContents"/>
              <w:bidi w:val="0"/>
              <w:spacing w:before="0" w:after="0"/>
              <w:jc w:val="left"/>
              <w:rPr>
                <w:rFonts w:ascii="Times New Roman" w:hAnsi="Times New Roman"/>
                <w:i/>
                <w:sz w:val="20"/>
              </w:rPr>
            </w:pPr>
            <w:r>
              <w:rPr>
                <w:rFonts w:ascii="Times New Roman" w:hAnsi="Times New Roman"/>
                <w:i/>
                <w:sz w:val="20"/>
              </w:rPr>
              <w:t>Interested Directors</w:t>
            </w:r>
          </w:p>
        </w:tc>
        <w:tc>
          <w:tcPr>
            <w:tcW w:w="31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407"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Joshua Easterly(1)</w:t>
            </w:r>
          </w:p>
        </w:tc>
        <w:tc>
          <w:tcPr>
            <w:tcW w:w="31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65,790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sz w:val="20"/>
              </w:rPr>
            </w:pPr>
            <w:r>
              <w:rPr>
                <w:rFonts w:ascii="Times New Roman" w:hAnsi="Times New Roman"/>
                <w:sz w:val="20"/>
              </w:rPr>
              <w:t>Michael Fishman (Director Nominee)(2)</w:t>
            </w:r>
          </w:p>
        </w:tc>
        <w:tc>
          <w:tcPr>
            <w:tcW w:w="31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36,366</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Gordon</w:t>
            </w:r>
          </w:p>
        </w:tc>
        <w:tc>
          <w:tcPr>
            <w:tcW w:w="31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sz w:val="20"/>
              </w:rPr>
            </w:pPr>
            <w:r>
              <w:rPr>
                <w:rFonts w:ascii="Times New Roman" w:hAnsi="Times New Roman"/>
                <w:sz w:val="20"/>
              </w:rPr>
              <w:t>Robert (“Bo”) Stanley (Director Nominee)(3)</w:t>
            </w:r>
          </w:p>
        </w:tc>
        <w:tc>
          <w:tcPr>
            <w:tcW w:w="31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24,907</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Stiepleman(4)</w:t>
            </w:r>
          </w:p>
        </w:tc>
        <w:tc>
          <w:tcPr>
            <w:tcW w:w="31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31,418</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i/>
                <w:sz w:val="20"/>
              </w:rPr>
            </w:pPr>
            <w:r>
              <w:rPr>
                <w:rFonts w:ascii="Times New Roman" w:hAnsi="Times New Roman"/>
                <w:i/>
                <w:sz w:val="20"/>
              </w:rPr>
              <w:t>Independent Directors</w:t>
            </w:r>
          </w:p>
        </w:tc>
        <w:tc>
          <w:tcPr>
            <w:tcW w:w="31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407"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Hurley Doddy (Director Nominee)</w:t>
            </w:r>
          </w:p>
        </w:tc>
        <w:tc>
          <w:tcPr>
            <w:tcW w:w="31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27,119</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sz w:val="20"/>
              </w:rPr>
            </w:pPr>
            <w:r>
              <w:rPr>
                <w:rFonts w:ascii="Times New Roman" w:hAnsi="Times New Roman"/>
                <w:sz w:val="20"/>
              </w:rPr>
              <w:t>John D. Hershey</w:t>
            </w:r>
          </w:p>
        </w:tc>
        <w:tc>
          <w:tcPr>
            <w:tcW w:w="31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25,621</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Higginbotham</w:t>
            </w:r>
          </w:p>
        </w:tc>
        <w:tc>
          <w:tcPr>
            <w:tcW w:w="31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29,000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sz w:val="20"/>
              </w:rPr>
            </w:pPr>
            <w:r>
              <w:rPr>
                <w:rFonts w:ascii="Times New Roman" w:hAnsi="Times New Roman"/>
                <w:sz w:val="20"/>
              </w:rPr>
              <w:t>Judy Slotkin</w:t>
            </w:r>
          </w:p>
        </w:tc>
        <w:tc>
          <w:tcPr>
            <w:tcW w:w="31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21,667</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Tanemura</w:t>
            </w:r>
          </w:p>
        </w:tc>
        <w:tc>
          <w:tcPr>
            <w:tcW w:w="31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85,516</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sz w:val="20"/>
              </w:rPr>
            </w:pPr>
            <w:r>
              <w:rPr>
                <w:rFonts w:ascii="Times New Roman" w:hAnsi="Times New Roman"/>
                <w:sz w:val="20"/>
              </w:rPr>
              <w:t>P. Emery Covington</w:t>
            </w:r>
          </w:p>
        </w:tc>
        <w:tc>
          <w:tcPr>
            <w:tcW w:w="31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15,000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600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Named Executive Officers Who Are Not Directors</w:t>
            </w:r>
          </w:p>
        </w:tc>
        <w:tc>
          <w:tcPr>
            <w:tcW w:w="31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5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6007" w:type="dxa"/>
            <w:tcBorders/>
          </w:tcPr>
          <w:p>
            <w:pPr>
              <w:pStyle w:val="TableContents"/>
              <w:bidi w:val="0"/>
              <w:spacing w:before="0" w:after="0"/>
              <w:jc w:val="left"/>
              <w:rPr>
                <w:rFonts w:ascii="Times New Roman" w:hAnsi="Times New Roman"/>
                <w:sz w:val="20"/>
              </w:rPr>
            </w:pPr>
            <w:r>
              <w:rPr>
                <w:rFonts w:ascii="Times New Roman" w:hAnsi="Times New Roman"/>
                <w:sz w:val="20"/>
              </w:rPr>
              <w:t>Ian Simmonds</w:t>
            </w:r>
          </w:p>
        </w:tc>
        <w:tc>
          <w:tcPr>
            <w:tcW w:w="31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6,772</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Graf</w:t>
            </w:r>
          </w:p>
        </w:tc>
        <w:tc>
          <w:tcPr>
            <w:tcW w:w="31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7,385</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6007" w:type="dxa"/>
            <w:tcBorders/>
          </w:tcPr>
          <w:p>
            <w:pPr>
              <w:pStyle w:val="TableContents"/>
              <w:bidi w:val="0"/>
              <w:spacing w:before="0" w:after="0"/>
              <w:jc w:val="left"/>
              <w:rPr>
                <w:rFonts w:ascii="Times New Roman" w:hAnsi="Times New Roman"/>
                <w:sz w:val="20"/>
              </w:rPr>
            </w:pPr>
            <w:r>
              <w:rPr>
                <w:rFonts w:ascii="Times New Roman" w:hAnsi="Times New Roman"/>
                <w:sz w:val="20"/>
              </w:rPr>
              <w:t>Anton Brett</w:t>
            </w:r>
          </w:p>
        </w:tc>
        <w:tc>
          <w:tcPr>
            <w:tcW w:w="31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6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Directors and Officers as a Group (18 persons)(5)(6)</w:t>
            </w:r>
          </w:p>
        </w:tc>
        <w:tc>
          <w:tcPr>
            <w:tcW w:w="31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3,640,068</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3.83</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0.1%.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18,792 shares of common stock beneficially owned by Mr. Easterly have been pledged as security in connection with a line of credit with a third party financial institution unaffiliated with the Company and are held indirectly through entities for which Mr. Easterly has pass through voting power and no dispositive power. On February 19, 2026, pursuant to the Third Amended and Restated Bylaws of the Company, Joshua Easterly informed the Company of his intention to retire from the Board, effective as of the close of business on May 21, 2026. Accordingly, Mr. Easterly will not run for re-election to the Board at the Meeting. Mr. Easterly’s decision was not a result of any disagreement with the Company on any matter relating to the Company’s operations, policies or practices.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36,366 shares of common stock beneficially owned by Mr. Fishman have been pledged as security in connection with a line of credit with a third party financial institution unaffiliated with the Company and are held indirectly through entities for which Mr. Fishman has pass through voting power and no dispositive power.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3,907 shares of common stock beneficially owned by Mr. Stanley have been pledged as security in connection with a line of credit with a third party financial institution unaffiliated with the Company and are held indirectly through entities for which Mr. Stanley has pass through voting power and no dispositive power.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5,544 shares of common stock beneficially owned by Mr. Stiepleman have been pledged as security in connection with a line of credit with a third party financial institution unaffiliated with the Company and are held indirectly through entities for which Mr. Stiepleman has pass through voting power and no dispositive power.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owned by executive officers that are not “Named Executive Officers,” already presented by name in the table above. 64,609 shares of common stock beneficially owned by these other executive officers have been pledged as security in connection with lines of credit with a third party financial institution unaffiliated with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Specialty Lending Advisers, LLC (the “Adviser”) holds 2,714,226 shares of common stock (the “Sixth Street Specialty Lending Advisers Shares”). The Adviser is managed by Sixth Street Specialty Lending Advisers Holdings, LLC, a Delaware limited liability company, the sole member of the Adviser. Sixth Street Specialty Lending Advisers Holdings, LLC is managed by TSSP Holdco Management, LLC, which is managed by a board of directors, which is currently comprised of Alan Waxman. Mr. Waxman is the CEO of TSSP Holdco Management, LLC. Mr. Waxman disclaims beneficial ownership of the Sixth Street Specialty Lending Advisers Shares except to the extent of his pecuniary interest therein.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Notice Regarding the Availability of Proxy Material for the Annual Meeting of Stockholders to Be Held on May 21, 2026. </w:t>
      </w:r>
    </w:p>
    <w:p>
      <w:pPr>
        <w:pStyle w:val="TextBody"/>
        <w:bidi w:val="0"/>
        <w:spacing w:before="120" w:after="0"/>
        <w:jc w:val="left"/>
        <w:rPr>
          <w:rFonts w:ascii="Times New Roman" w:hAnsi="Times New Roman"/>
          <w:sz w:val="20"/>
        </w:rPr>
      </w:pPr>
      <w:r>
        <w:rPr>
          <w:rFonts w:ascii="Times New Roman" w:hAnsi="Times New Roman"/>
          <w:sz w:val="20"/>
        </w:rPr>
        <w:t xml:space="preserve">This change to the Proxy Statement in this Amendment No. 1 has been incorporated into the Notice of the Meeting and the Proxy Statement which are available on the internet at www.proxyvote.com. This material is first being distributed to stockholders on or about May 15, 2026, and should be read together with the Proxy Statement.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1260</Words>
  <Characters>6590</Characters>
  <CharactersWithSpaces>7935</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DEFR14A</dc:title>
</cp:coreProperties>
</file>