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-2642870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-1167765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-584835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COPY SUBJECT TO COMPLETION DATED OCTOBER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 IN OPPOSITION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RELATING TO THE PROPOSED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 NEW ADVISORY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TICC CAPITAL CORP. AND TICC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THE ENCLOSED GOLD PROXY CARD TODAY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TPG Specialty Lending, Inc. (“TSLX” or “we”) is a stockholder of TICC Capital Corp. (“TICC” or the “Company”), owning approximately 3.0% of its outstanding shares of common stock, $0.01 par value per share (the “Shares”). TSLX is writing to you regarding a new investment advisory agreement (the “New Advisory Agreement”) that is proposed to be entered into between TICC and TICC Management, LLC (the “Existing Adviser”), in connection with the acquisition of the Existing Adviser (the “BSP Transaction”) pursuant to a purchase agreement between the Existing Adviser and an affiliate of Benefit Street Partners L.L.C. (“BSP”). The BSP Transaction would result in a change in control of the Existing Adviser for purposes of the Investment Company Act of 1940, as amended (the “1940 Act”), and as a result, an assignment and subsequent termination of the current investment advisory agreement, dated July 1, 2011, between the Company and the Existing Adviser (the “Existing Advisory Agreement”) would occur in accordance with its terms, thereby requiring TICC to enter into, and seek stockholder approval for, the New Advisory Agreement in order to effect the BSP Transaction. The Board of Directors of TICC (the “Board”) has scheduled a special meeting of stockholders for the purpose of approving the proposed New Advisory Agreement (the “Special Meeting”). The Special Meeting is scheduled to be held on Tuesday, October 27, 2015 at 10:00 a.m., Eastern Time, at the offices of Sutherland Asbill &amp; Brennan LLP located at 1114 Avenue of the Americas, 40th Floor, New York, New York 10036.</w:t>
      </w:r>
    </w:p>
    <w:p>
      <w:pPr>
        <w:spacing w:after="0" w:line="183"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Pursuant to this Proxy Statement, TSLX is soliciting proxies from holders of the Shares in respect of the following proposals to be considered at the Special Meeting, each as described in greater detail in the definitive proxy statement of TICC (the “TICC Proxy Statement”) filed with the Securities and Exchange Commission (the “SEC”) on September 3, 2015 for the Special Meeting (such proposals, the “TICC Special Meeting Proposals”):</w:t>
      </w:r>
    </w:p>
    <w:p>
      <w:pPr>
        <w:spacing w:after="0" w:line="147" w:lineRule="exact"/>
        <w:rPr>
          <w:sz w:val="20"/>
          <w:szCs w:val="20"/>
          <w:color w:val="auto"/>
        </w:rPr>
      </w:pPr>
    </w:p>
    <w:p>
      <w:pPr>
        <w:ind w:right="160"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approve the New Advisory Agreement between the Company and the Existing Adviser, to take effect upon a change of control of the Existing Adviser (the “New Advisory Agreement Proposal”);</w:t>
      </w:r>
    </w:p>
    <w:p>
      <w:pPr>
        <w:spacing w:after="0" w:line="170" w:lineRule="exact"/>
        <w:rPr>
          <w:rFonts w:ascii="Arial" w:cs="Arial" w:eastAsia="Arial" w:hAnsi="Arial"/>
          <w:sz w:val="18"/>
          <w:szCs w:val="18"/>
          <w:color w:val="auto"/>
        </w:rPr>
      </w:pPr>
    </w:p>
    <w:p>
      <w:pPr>
        <w:ind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 and</w:t>
      </w:r>
    </w:p>
    <w:p>
      <w:pPr>
        <w:spacing w:after="0" w:line="170" w:lineRule="exact"/>
        <w:rPr>
          <w:rFonts w:ascii="Arial" w:cs="Arial" w:eastAsia="Arial" w:hAnsi="Arial"/>
          <w:sz w:val="18"/>
          <w:szCs w:val="18"/>
          <w:color w:val="auto"/>
        </w:rPr>
      </w:pPr>
    </w:p>
    <w:p>
      <w:pPr>
        <w:ind w:right="860"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Special Meeting, if necessary or appropriate, to solicit additional proxies (the “Adjournment Proposal”).</w:t>
      </w:r>
    </w:p>
    <w:p>
      <w:pPr>
        <w:sectPr>
          <w:pgSz w:w="11900" w:h="16838" w:orient="portrait"/>
          <w:cols w:equalWidth="0" w:num="1">
            <w:col w:w="11400"/>
          </w:cols>
          <w:pgMar w:left="240" w:top="270" w:right="25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YOU TO VOTE THE GOLD PROXY CARD (1) “AGAINST” THE NEW ADVISORY AGREEMENT PROPOSAL,</w:t>
      </w:r>
    </w:p>
    <w:p>
      <w:pPr>
        <w:spacing w:after="0" w:line="27" w:lineRule="exact"/>
        <w:rPr>
          <w:sz w:val="20"/>
          <w:szCs w:val="20"/>
          <w:color w:val="auto"/>
        </w:rPr>
      </w:pPr>
    </w:p>
    <w:p>
      <w:pPr>
        <w:ind w:right="340" w:firstLine="8"/>
        <w:spacing w:after="0" w:line="261" w:lineRule="auto"/>
        <w:tabs>
          <w:tab w:leader="none" w:pos="2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“AGAINST” EACH OF THE DIRECTOR NOMINEES DESCRIBED IN PROPOSAL NO. 2 AND (3) “AGAINST” THE ADJOURNMENT PROPOSAL.</w:t>
      </w:r>
    </w:p>
    <w:p>
      <w:pPr>
        <w:spacing w:after="0" w:line="18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For additional information concerning TSLX and the other participants in this proxy solicitation, please refer to the information set forth under the heading “Additional Participant Information.” This Proxy Statement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TICC’s stockholders on or about</w:t>
      </w:r>
    </w:p>
    <w:p>
      <w:pPr>
        <w:ind w:left="960" w:hanging="95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2015.</w:t>
      </w:r>
    </w:p>
    <w:p>
      <w:pPr>
        <w:spacing w:after="0" w:line="21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has set the close of business on August 31, 2015 as the record date for determining stockholders entitled to notice of and to vote at the Special Meeting (the “Record Date”). The principal executive offices of TICC are located at 8 Sound Shore Drive, Suite 255, Greenwich, Connecticut</w:t>
      </w:r>
    </w:p>
    <w:p>
      <w:pPr>
        <w:spacing w:after="0"/>
        <w:rPr>
          <w:sz w:val="20"/>
          <w:szCs w:val="20"/>
          <w:color w:val="auto"/>
        </w:rPr>
      </w:pPr>
      <w:r>
        <w:rPr>
          <w:rFonts w:ascii="Arial" w:cs="Arial" w:eastAsia="Arial" w:hAnsi="Arial"/>
          <w:sz w:val="17"/>
          <w:szCs w:val="17"/>
          <w:color w:val="auto"/>
        </w:rPr>
        <w:t>06830. Stockholders of record on the Record Date will be entitled to vote at the Special Meeting. As of the Record Date, there were 59,987,986 Shares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outstanding and entitled to vote at the Special Meeting. As of [ ], 2015, the approximate date on which TSLX expects to mail this Proxy Statement to the stockholders, TSLX is the beneficial owner of an aggregate of 1,633,660 Shares, which represents approximately 3.0% of the Shares outstanding. Of the Shares beneficially owned by TSLX, all such Shares may be voted by TSLX at the Special Meeting.</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SPECIAL MEETING. SHOULD OTHER MATTERS, WHICH TSLX IS NOT AWARE OF A REASONABLE TIME BEFORE THIS SOLICITATION, BE BROUGHT BEFORE THE SPECIAL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TSLX URGES YOU TO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VOTE (1) “AGAINST” THE NEW ADVISORY AGREEMENT PROPOSAL, (2) “AGAINST” EACH OF THE DIRECTOR NOMINEES DESCRIBED IN PROPOSAL NO. 2 AND (3) “AGAINST” THE ADJOURNMENT PROPOSAL.</w:t>
      </w:r>
    </w:p>
    <w:p>
      <w:pPr>
        <w:spacing w:after="0" w:line="180"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 xml:space="preserve">IF YOU HAVE ALREADY SENT A PROXY CARD FURNISHED BY TICC OR ANY OTHER PERSON, YOU MAY REVOKE THAT PROXY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 LATEST DATED PROXY IS THE ONLY ONE THAT COUNTS. ANY PROXY MAY BE REVOKED PRIOR TO 9:00 A.M., EASTERN TIME, ON OCTOBER 26, 2015 BY DELIVERING A WRITTEN NOTICE OF REVOCATION OR A LATER DATED PROXY FOR THE SPECIAL MEETING TO TSLX, C/O MACKENZIE PARTNERS, WHICH IS ASSISTING IN THIS SOLICITATION, OR TO TICC, C/O COMPUTERSHARE, OR BY VOTING IN PERSON AT THE SPECIAL MEETING.</w:t>
      </w:r>
    </w:p>
    <w:p>
      <w:pPr>
        <w:sectPr>
          <w:pgSz w:w="11900" w:h="16838" w:orient="portrait"/>
          <w:cols w:equalWidth="0" w:num="1">
            <w:col w:w="11420"/>
          </w:cols>
          <w:pgMar w:left="240" w:top="270" w:right="239" w:bottom="1440" w:gutter="0" w:footer="0" w:header="0"/>
        </w:sectPr>
      </w:pPr>
    </w:p>
    <w:bookmarkStart w:id="4" w:name="page5"/>
    <w:bookmarkEnd w:id="4"/>
    <w:p>
      <w:pPr>
        <w:jc w:val="center"/>
        <w:ind w:left="280"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AVAILABILITY OF PROXY MATERIALS FOR THE SPECIAL MEETING OF STOCKHOLDERS TO BE HELD ON OCTOBER 27, 2015</w:t>
      </w:r>
    </w:p>
    <w:p>
      <w:pPr>
        <w:spacing w:after="0" w:line="162" w:lineRule="exact"/>
        <w:rPr>
          <w:sz w:val="20"/>
          <w:szCs w:val="20"/>
          <w:color w:val="auto"/>
        </w:rPr>
      </w:pPr>
    </w:p>
    <w:p>
      <w:pPr>
        <w:ind w:left="3800"/>
        <w:spacing w:after="0"/>
        <w:tabs>
          <w:tab w:leader="none" w:pos="7560" w:val="left"/>
        </w:tabs>
        <w:rPr>
          <w:sz w:val="20"/>
          <w:szCs w:val="20"/>
          <w:color w:val="auto"/>
        </w:rPr>
      </w:pPr>
      <w:r>
        <w:rPr>
          <w:rFonts w:ascii="Arial" w:cs="Arial" w:eastAsia="Arial" w:hAnsi="Arial"/>
          <w:sz w:val="18"/>
          <w:szCs w:val="18"/>
          <w:b w:val="1"/>
          <w:bCs w:val="1"/>
          <w:color w:val="auto"/>
        </w:rPr>
        <w:t>The proxy materials are available at [</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Your vote is important, no matter how many or how few Shares you own. TSLX urges you to sign, date, and return the enclosed GOLD proxy card today to vote AGAINST Proposals 1, 2 and 3.</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 xml:space="preserve">TSLX believes that the New Advisory Agreement is NOT in the best interest of the Company’s stockholders.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proposals to be considered at the Special Meeting will enable you – as the owners of TICC – to send a message to the Board that you are committed to maximizing the value of your Shares and that you will not approve a proposed transaction that does not provide you with the best opportunity to do so. Note, however, that voting against one or all of the TICC proposals is not equivalent to voting in favor of TSLX’s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79" w:lineRule="exact"/>
        <w:rPr>
          <w:sz w:val="20"/>
          <w:szCs w:val="20"/>
          <w:color w:val="auto"/>
        </w:rPr>
      </w:pPr>
    </w:p>
    <w:p>
      <w:pPr>
        <w:ind w:left="900" w:right="440" w:hanging="325"/>
        <w:spacing w:after="0" w:line="28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If your Shares are registered in your own name, please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to TSLX, c/o MacKenzie Partners, in the enclosed envelope today.</w:t>
      </w:r>
    </w:p>
    <w:p>
      <w:pPr>
        <w:spacing w:after="0" w:line="71"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your Shares are held in a brokerage account or bank, you are considered the beneficial owner of the Shares, and these proxy materials, together with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form, are being forwarded to you by your broker or bank. As a beneficial owner, you must instruct your broker, trustee or other representative how to vote. Your broker cannot vote your Shares on your behalf without your instructions.</w:t>
      </w:r>
    </w:p>
    <w:p>
      <w:pPr>
        <w:spacing w:after="0" w:line="70" w:lineRule="exact"/>
        <w:rPr>
          <w:rFonts w:ascii="Arial" w:cs="Arial" w:eastAsia="Arial" w:hAnsi="Arial"/>
          <w:sz w:val="17"/>
          <w:szCs w:val="17"/>
          <w:color w:val="auto"/>
        </w:rPr>
      </w:pPr>
    </w:p>
    <w:p>
      <w:pPr>
        <w:ind w:left="900" w:right="2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you have any questions regarding your proxy,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 need assistance in voting your Shares by telephone or Internet, please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133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540" w:firstLine="30"/>
        <w:spacing w:after="0" w:line="281" w:lineRule="auto"/>
        <w:tabs>
          <w:tab w:leader="none" w:pos="5078"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CALL TOLL FREE (800) 322-2885</w:t>
      </w:r>
    </w:p>
    <w:p>
      <w:pPr>
        <w:sectPr>
          <w:pgSz w:w="11900" w:h="16838" w:orient="portrait"/>
          <w:cols w:equalWidth="0" w:num="1">
            <w:col w:w="11380"/>
          </w:cols>
          <w:pgMar w:left="240" w:top="270"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 OF THE SOLICITATION</w:t>
      </w:r>
    </w:p>
    <w:p>
      <w:pPr>
        <w:spacing w:after="0" w:line="22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August 4, 2015, TICC issued a press release announcing that members of the Existing Adviser had entered into an agreement with BSP, pursuant to which an affiliate of BSP would acquire the Existing Adviser and enter into the New Advisory Agreement on the same terms as the Existing Advisory Agreement, subject to approval by TICC’s stockholders at the Special Meeting. In connection with the New Advisory Agreement, BSP also proposed to replace the current members of the Existing Adviser’s investment committee, to expand the size of the TICC Board to accommodate the addition of four new non-interested directors selected by BSP for election at the Special Meeting, and to replace the two existing interested directors on the TICC Board with Thomas Gahan, Founder and CEO of BSP, and Richard Byrne, President of BSP. In response to the announcement, shares of TICC stock trading on the Nasdaq Stock Market closed at $6.46 on August 4, 2015, up 2.9% over the prior day’s close.</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From August 5 to August 24, 2015, TSLX acquired through purchases in the open market 1,633,660 shares of TICC, $0.01 par value per share (“TICC Common Stock”), which represented 2.72% of the number of shares of TICC Common Stock outstanding as of August 6, 2015.</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August 11, 2015, according to a press release issued on August 19, NexPoint Advisors, L.P. (“NexPoint”) proposed to the TICC Board that it be selected as the investment adviser of TICC instead of the BSP affiliate (the “First NexPoint Proposal”). According to the TICC Proxy Statement, following receipt of the First NexPoint Proposal, the TICC Board formed a special committee consisting of TICC’s three non-interested directors (the “Special Committee”) in order to evaluate the First NexPoint Proposal. On August 19, 2015, NexPoint publicly announced in a press release that it had tendered the First NexPoint Proposal to the TICC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 2015, NexPoint submitted a revised proposal (the “Second NexPoint Proposal”) to the TICC Board.</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According to the TICC Proxy Statement, after consideration of the First NexPoint Proposal and the Second NexPoint Proposal, the Special Committee determined to continue to support the BSP Transaction and directed TICC’s management to renegotiate the terms of the New Advisory Agreement with BSP in light of NexPoint’s proposals. As a result of these discussions, BSP agreed to revise the New Advisory Agreement to provide for lower fees and other commitments. The TICC Board subsequently determined to approve and recommend to TICC stockholders the New Advisory Agreement.</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September 3, 2015, TICC filed a definitive proxy statement on Schedule 14A in respect of the Special Meeting, in which it announced that the date of the Special Meeting would be October 27, 2015.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Chairman of the Special Committee, to convey TSLX’s interest in acquiring TICC. TSLX is interested in pursuing an acquisition of TICC principally because we believe that the poor stewardship of TICC’s assets has caused TICC’s stockholders to suffer a loss in the market value of their shares that would not have occured under TSLX’s management. In particular, we think there is an opportunity to realize improved returns by rotating TICC’s assets into less liquid but higher earning credit investments. However, prior to September 2015, TSLX had not proactively initiated contact with TICC with respect to any potential transaction between the parties. Following the call on September 10, 2015, Mr. Easterly delivered to Mr. Novak, on behalf of the Special Committee, a letter setting forth a proposal for TSLX to acquire TICC in an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all-stock transaction that would result in TICC stockholders receiving a number of shares of TSLX common stock that results in TICC stockholders receiving $7.50 in value per share as of the signing date of a definitive agreement (the “TSLX Proposal”). The text of the letter from Mr. Easterly and his Co-Chief Executive Officer, Michael Fishman, 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August 10, 2015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Mr. Steven P. Novak, Chairman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20" w:firstLine="438"/>
        <w:spacing w:after="0" w:line="279" w:lineRule="auto"/>
        <w:rPr>
          <w:sz w:val="20"/>
          <w:szCs w:val="20"/>
          <w:color w:val="auto"/>
        </w:rPr>
      </w:pPr>
      <w:r>
        <w:rPr>
          <w:rFonts w:ascii="Arial" w:cs="Arial" w:eastAsia="Arial" w:hAnsi="Arial"/>
          <w:sz w:val="17"/>
          <w:szCs w:val="17"/>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71"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 Alternatively, we would also be open to discussing with you a transaction in which TICC stockholders receive a combination of cash and shares of TSLX common stock for their TICC stock.</w:t>
      </w:r>
    </w:p>
    <w:p>
      <w:pPr>
        <w:spacing w:after="0" w:line="178"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8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left="460" w:right="160" w:firstLine="438"/>
        <w:spacing w:after="0" w:line="312" w:lineRule="auto"/>
        <w:rPr>
          <w:sz w:val="20"/>
          <w:szCs w:val="20"/>
          <w:color w:val="auto"/>
        </w:rPr>
      </w:pPr>
      <w:r>
        <w:rPr>
          <w:rFonts w:ascii="Arial" w:cs="Arial" w:eastAsia="Arial" w:hAnsi="Arial"/>
          <w:sz w:val="16"/>
          <w:szCs w:val="16"/>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left="452" w:right="10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66" w:lineRule="exact"/>
        <w:rPr>
          <w:sz w:val="20"/>
          <w:szCs w:val="20"/>
          <w:color w:val="auto"/>
        </w:rPr>
      </w:pPr>
    </w:p>
    <w:p>
      <w:pPr>
        <w:ind w:left="452" w:right="60" w:firstLine="438"/>
        <w:spacing w:after="0" w:line="272" w:lineRule="auto"/>
        <w:rPr>
          <w:sz w:val="20"/>
          <w:szCs w:val="20"/>
          <w:color w:val="auto"/>
        </w:rPr>
      </w:pPr>
      <w:r>
        <w:rPr>
          <w:rFonts w:ascii="Arial" w:cs="Arial" w:eastAsia="Arial" w:hAnsi="Arial"/>
          <w:sz w:val="17"/>
          <w:szCs w:val="17"/>
          <w:color w:val="auto"/>
        </w:rPr>
        <w:t>Further, among business development companies, TSLX has one of the largest proportions of institutional stockholders. We strive for transparency with investors and have a proven track record of returns to our stockholders. Last year, we generated total returns of 14.7% compared to the sector average of -7.5%.</w:t>
      </w:r>
      <w:r>
        <w:rPr>
          <w:rFonts w:ascii="Arial" w:cs="Arial" w:eastAsia="Arial" w:hAnsi="Arial"/>
          <w:sz w:val="14"/>
          <w:szCs w:val="14"/>
          <w:color w:val="auto"/>
        </w:rPr>
        <w:t>1</w:t>
      </w:r>
      <w:r>
        <w:rPr>
          <w:rFonts w:ascii="Arial" w:cs="Arial" w:eastAsia="Arial" w:hAnsi="Arial"/>
          <w:sz w:val="17"/>
          <w:szCs w:val="17"/>
          <w:color w:val="auto"/>
        </w:rPr>
        <w:t xml:space="preserve"> We have over-earned our dividend on a net investment income per share basis [including realized gains in 2012] every year since our inception [by which we mean commencement of TSLX’s investing activities in July 2011; prior to March 2014, TSLX was a privately-held business development company that did not have publicly traded or listed shares], while growing net asset value per share from $14.06 [as of June 30, 2011 (the quarter-end immediately prior to the beginning of our investing activities)] to $15.84 as of June 30, 2015. As of June 30, 2015, our portfolio had a fair value of approximately $1,398 million invested across 40 portfolio companies.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combination with TSLX offers clear advantages to the existing proposals to replace TICC’s current investment advisory agreement:</w:t>
      </w:r>
    </w:p>
    <w:p>
      <w:pPr>
        <w:spacing w:after="0" w:line="131" w:lineRule="exact"/>
        <w:rPr>
          <w:sz w:val="20"/>
          <w:szCs w:val="20"/>
          <w:color w:val="auto"/>
        </w:rPr>
      </w:pPr>
    </w:p>
    <w:p>
      <w:pPr>
        <w:ind w:left="1112" w:right="60" w:hanging="315"/>
        <w:spacing w:after="0" w:line="259"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TICC stockholders would be able to exchange their shares at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w:t>
      </w:r>
    </w:p>
    <w:p>
      <w:pPr>
        <w:spacing w:after="0" w:line="92" w:lineRule="exact"/>
        <w:rPr>
          <w:rFonts w:ascii="Arial" w:cs="Arial" w:eastAsia="Arial" w:hAnsi="Arial"/>
          <w:sz w:val="18"/>
          <w:szCs w:val="18"/>
          <w:color w:val="auto"/>
        </w:rPr>
      </w:pPr>
    </w:p>
    <w:p>
      <w:pPr>
        <w:ind w:left="1112" w:right="540" w:hanging="315"/>
        <w:spacing w:after="0" w:line="342" w:lineRule="auto"/>
        <w:tabs>
          <w:tab w:leader="none" w:pos="11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29" w:lineRule="exact"/>
        <w:rPr>
          <w:rFonts w:ascii="Arial" w:cs="Arial" w:eastAsia="Arial" w:hAnsi="Arial"/>
          <w:sz w:val="16"/>
          <w:szCs w:val="16"/>
          <w:color w:val="auto"/>
        </w:rPr>
      </w:pPr>
    </w:p>
    <w:p>
      <w:pPr>
        <w:ind w:left="1112" w:hanging="315"/>
        <w:spacing w:after="0" w:line="255"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TSLX has a proven track record [since commencement of TSLX’s investing activities in July 2011] of delivering superior returns to stockholders and of stable dividends. Not only has TSLX over-earned its dividend on net investment income [including realized gains in 2012] every year since inception [by which we mean commencement of TSLX’s investing activities in July 2011],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98" w:lineRule="exact"/>
        <w:rPr>
          <w:rFonts w:ascii="Arial" w:cs="Arial" w:eastAsia="Arial" w:hAnsi="Arial"/>
          <w:sz w:val="18"/>
          <w:szCs w:val="18"/>
          <w:color w:val="auto"/>
        </w:rPr>
      </w:pPr>
    </w:p>
    <w:p>
      <w:pPr>
        <w:ind w:left="1112" w:right="260" w:hanging="315"/>
        <w:spacing w:after="0" w:line="264"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Fourth, as a result of our proposed transaction, TICC stockholders would benefit from [potential] increased liquidity, by owning shares in a combined company having a pro forma market capitalization potentially in excess of $1.3 billion, as compared to TICC’s current market capitalization of approximately $415 million.</w:t>
      </w:r>
    </w:p>
    <w:p>
      <w:pPr>
        <w:spacing w:after="0" w:line="181" w:lineRule="exact"/>
        <w:rPr>
          <w:sz w:val="20"/>
          <w:szCs w:val="20"/>
          <w:color w:val="auto"/>
        </w:rPr>
      </w:pPr>
    </w:p>
    <w:p>
      <w:pPr>
        <w:ind w:left="452" w:firstLine="438"/>
        <w:spacing w:after="0" w:line="264" w:lineRule="auto"/>
        <w:rPr>
          <w:sz w:val="20"/>
          <w:szCs w:val="20"/>
          <w:color w:val="auto"/>
        </w:rPr>
      </w:pPr>
      <w:r>
        <w:rPr>
          <w:rFonts w:ascii="Arial" w:cs="Arial" w:eastAsia="Arial" w:hAnsi="Arial"/>
          <w:sz w:val="18"/>
          <w:szCs w:val="18"/>
          <w:color w:val="auto"/>
        </w:rPr>
        <w:t>In sum, any proposal focused solely on replacing TICC’s current investment advisory agreement cannot deliver the significant and tangible benefits of the substantial and immediate up-front premium we are offering, nor the [potential] increased liquidity and opportunity for long-term growth provided by our proposal.</w:t>
      </w:r>
    </w:p>
    <w:p>
      <w:pPr>
        <w:spacing w:after="0" w:line="181" w:lineRule="exact"/>
        <w:rPr>
          <w:sz w:val="20"/>
          <w:szCs w:val="20"/>
          <w:color w:val="auto"/>
        </w:rPr>
      </w:pPr>
    </w:p>
    <w:p>
      <w:pPr>
        <w:ind w:left="452" w:right="80" w:firstLine="438"/>
        <w:spacing w:after="0" w:line="264" w:lineRule="auto"/>
        <w:rPr>
          <w:sz w:val="20"/>
          <w:szCs w:val="20"/>
          <w:color w:val="auto"/>
        </w:rPr>
      </w:pPr>
      <w:r>
        <w:rPr>
          <w:rFonts w:ascii="Arial" w:cs="Arial" w:eastAsia="Arial" w:hAnsi="Arial"/>
          <w:sz w:val="18"/>
          <w:szCs w:val="18"/>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12" w:right="100" w:hanging="212"/>
        <w:spacing w:after="0" w:line="277" w:lineRule="auto"/>
        <w:tabs>
          <w:tab w:leader="none" w:pos="212"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Sector average calculated as the average 2014 total share price return of ARCC, ACAS, PSEC, AINV, MAIN, FSC, SLRC, GBDC, HTGC, PNNT, MCC, TCAP, NMFC, BKCC, and TCRD.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8" w:name="page9"/>
    <w:bookmarkEnd w:id="8"/>
    <w:p>
      <w:pPr>
        <w:ind w:right="6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147" w:lineRule="exact"/>
        <w:rPr>
          <w:sz w:val="20"/>
          <w:szCs w:val="20"/>
          <w:color w:val="auto"/>
        </w:rPr>
      </w:pPr>
    </w:p>
    <w:p>
      <w:pPr>
        <w:ind w:right="200" w:firstLine="438"/>
        <w:spacing w:after="0" w:line="255" w:lineRule="auto"/>
        <w:rPr>
          <w:sz w:val="20"/>
          <w:szCs w:val="20"/>
          <w:color w:val="auto"/>
        </w:rPr>
      </w:pPr>
      <w:r>
        <w:rPr>
          <w:rFonts w:ascii="Arial" w:cs="Arial" w:eastAsia="Arial" w:hAnsi="Arial"/>
          <w:sz w:val="18"/>
          <w:szCs w:val="18"/>
          <w:color w:val="auto"/>
        </w:rPr>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193"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8"/>
          <w:szCs w:val="18"/>
          <w:color w:val="auto"/>
        </w:rPr>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81"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As we are sure you can appreciate, our proposal is also subject, among other things, to the negotiation and execution of mutually acceptable definitive agreements. Accordingly, this letter does not constitute or create any commitment, undertaking or other binding obligation or limitation on the part of any person in any respect. Only those obligations set forth in definitive agreements will be binding upon the parties. [While the TSLX Proposal is non-binding and is subject to change or withdrawal, TSLX currently intends to pursue its proposal if and when TICC’s Board is willing to engage in negotiations with respect to 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hope you will be as excited as we are about this transaction, and we look forward to discussing it with you.</w:t>
      </w:r>
    </w:p>
    <w:p>
      <w:pPr>
        <w:sectPr>
          <w:pgSz w:w="11900" w:h="16838" w:orient="portrait"/>
          <w:cols w:equalWidth="0" w:num="1">
            <w:col w:w="10940"/>
          </w:cols>
          <w:pgMar w:left="700" w:top="274"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ectPr>
          <w:pgSz w:w="11900" w:h="16838" w:orient="portrait"/>
          <w:cols w:equalWidth="0" w:num="2">
            <w:col w:w="4100" w:space="720"/>
            <w:col w:w="6120"/>
          </w:cols>
          <w:pgMar w:left="700" w:top="274" w:right="259" w:bottom="1440" w:gutter="0" w:footer="0" w:header="0"/>
          <w:type w:val="continuous"/>
        </w:sectPr>
      </w:pPr>
    </w:p>
    <w:p>
      <w:pPr>
        <w:spacing w:after="0" w:line="25" w:lineRule="exact"/>
        <w:rPr>
          <w:sz w:val="20"/>
          <w:szCs w:val="20"/>
          <w:color w:val="auto"/>
        </w:rPr>
      </w:pPr>
    </w:p>
    <w:p>
      <w:pPr>
        <w:ind w:left="460" w:right="80" w:firstLine="420"/>
        <w:spacing w:after="0" w:line="257" w:lineRule="auto"/>
        <w:rPr>
          <w:sz w:val="20"/>
          <w:szCs w:val="20"/>
          <w:color w:val="auto"/>
        </w:rPr>
      </w:pPr>
      <w:r>
        <w:rPr>
          <w:rFonts w:ascii="Arial" w:cs="Arial" w:eastAsia="Arial" w:hAnsi="Arial"/>
          <w:sz w:val="18"/>
          <w:szCs w:val="18"/>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 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94" w:lineRule="exact"/>
        <w:rPr>
          <w:sz w:val="20"/>
          <w:szCs w:val="20"/>
          <w:color w:val="auto"/>
        </w:rPr>
      </w:pPr>
    </w:p>
    <w:p>
      <w:pPr>
        <w:ind w:left="1240" w:right="18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(“TSLX”), a NYSE-listed business development company focused primarily on directly originating loans to U.S.-domiciled middle market companies;</w:t>
      </w:r>
    </w:p>
    <w:p>
      <w:pPr>
        <w:spacing w:after="0" w:line="75" w:lineRule="exact"/>
        <w:rPr>
          <w:rFonts w:ascii="Arial" w:cs="Arial" w:eastAsia="Arial" w:hAnsi="Arial"/>
          <w:sz w:val="18"/>
          <w:szCs w:val="18"/>
          <w:color w:val="auto"/>
        </w:rPr>
      </w:pPr>
    </w:p>
    <w:p>
      <w:pPr>
        <w:ind w:left="1240" w:right="14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Institutional Credit Partners (“TICP”), which is a public-side credit investment platform focused on investment opportunities in broadly syndicated leveraged loan markets;</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Europe, which is aimed at European middle-market loan originations;</w:t>
      </w:r>
    </w:p>
    <w:p>
      <w:pPr>
        <w:spacing w:after="0" w:line="130" w:lineRule="exact"/>
        <w:rPr>
          <w:rFonts w:ascii="Arial" w:cs="Arial" w:eastAsia="Arial" w:hAnsi="Arial"/>
          <w:sz w:val="18"/>
          <w:szCs w:val="18"/>
          <w:color w:val="auto"/>
        </w:rPr>
      </w:pPr>
    </w:p>
    <w:p>
      <w:pPr>
        <w:ind w:left="1240" w:right="20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Opportunities Partners and TPG Adjacent Opportunities Partners, which invest in special situations and distressed investments across the credit cycle; and</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Austin Credit Macro, which is focused on macro credit opportunities.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type w:val="continuous"/>
        </w:sectPr>
      </w:pPr>
    </w:p>
    <w:bookmarkStart w:id="9" w:name="page10"/>
    <w:bookmarkEnd w:id="9"/>
    <w:p>
      <w:pPr>
        <w:ind w:left="920" w:right="200" w:firstLine="4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4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September 12, 2015, Mr. Easterly contacted Mr. Novak via e-mail to request an estimate of when the Special Committee expected to respond to the TSLX Proposal. Mr. Easterly also indicated that the TSLX team was anxious to start a dialogue with the Special Committee that TSLX believed would be very productive for TICC stockholders. Later that day, Mr. Novak responded by indicating that the Special Committee and TICC Board was meeting the next day and that he would be in touch once they concluded how to proceed.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September 13, 2015, Mr. Novak called Mr. Easterly to acknowledge receipt of Mr. Easterly’s letter and to request certain background information regarding TSLX and its businesses. Later on the same day, Mr. Easterly sent to Mr. Novak the requested background information, noting it was based on information that was publicly available about TSLX. In this e-mail, Mr. Easterly indicated that TSLX would be willing to consider an exchange of non-public information in the context of good faith negotiations of the TSLX Proposal, subject to execution of a non-disclosure agreement.</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September 14, 2015, Mr. Novak sent an e-mail to Mr. Easterly requesting further background information regarding TSLX, to which Mr. Easterly responded later the same day by e-mail, the text of which is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Thanks again for taking the time over the weekend to engage with us on our proposal. We along with our advisers, Goldman Sachs and Cleary Gottlieb, stand ready to engage and provide additional information to the Special Committee in its evaluation of our proposal. To that end, attached is the additional background information that you requested. We hope it is helpful in providing the Committee with a fuller understanding of our company.</w:t>
      </w:r>
    </w:p>
    <w:p>
      <w:pPr>
        <w:spacing w:after="0" w:line="79"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color w:val="auto"/>
        </w:rPr>
        <w:t>As these materials reflect, TSLX is a best-in-class business development company with a proven track record of value creation for its stockholders [since commencement of TSLX’s investing activities in July 2011]. Our shares trade at a premium to their peer group, reflecting our market leading performance, balance sheet which includes an investment grade credit rating, strong financial policies and a culture of alignment with our shareholders (e.g., avoid raising capital unless we can clearly articulate a sufficient return for shareholders). An investment in our shares generated a total return of 14.7% compared to the sector average of -7.5% in 2014, with our net asset value per share increasing from $14.06 [as of June 30, 2011 (the quarter-end immediately prior to the beginning of our investing activities)] to $15.84 as of June 30, 2015.</w:t>
      </w:r>
    </w:p>
    <w:p>
      <w:pPr>
        <w:spacing w:after="0" w:line="70"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Further, while we operate within the larger TPG Special Situations Partners (“TSSP”) and TPG platforms, we take great pride in the fact that TSLX has achieved its outstanding performance through largely its own proprietary and directly originated deal flow and dedicated team of investment professionals. Since its founding, TSLX has generated over $3.7 billion of gross originations and approximately $2.7 billion of commitments, with over 90% of TSLX’s investments originating from non-intermediated channels. What is clear from this strategy, is that we have been able to provide significantly higher ROEs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ind w:left="46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shareholder returns than the peer set while taking less risk. This is accomplished by earnings additional economics that are the fruits of our labor, dedicated team and large scale platform of TSSP/TPG. For example, a $1 invested in the peer group at the beginning of 2012 would have produced approximately $1.06, while investing in TSLX would have produced $1.40.</w:t>
      </w:r>
    </w:p>
    <w:p>
      <w:pPr>
        <w:spacing w:after="0" w:line="73" w:lineRule="exact"/>
        <w:rPr>
          <w:sz w:val="20"/>
          <w:szCs w:val="20"/>
          <w:color w:val="auto"/>
        </w:rPr>
      </w:pPr>
    </w:p>
    <w:p>
      <w:pPr>
        <w:jc w:val="both"/>
        <w:ind w:left="460" w:right="160" w:firstLine="438"/>
        <w:spacing w:after="0" w:line="286" w:lineRule="auto"/>
        <w:rPr>
          <w:sz w:val="20"/>
          <w:szCs w:val="20"/>
          <w:color w:val="auto"/>
        </w:rPr>
      </w:pPr>
      <w:r>
        <w:rPr>
          <w:rFonts w:ascii="Arial" w:cs="Arial" w:eastAsia="Arial" w:hAnsi="Arial"/>
          <w:sz w:val="17"/>
          <w:szCs w:val="17"/>
          <w:color w:val="auto"/>
        </w:rPr>
        <w:t>While we stand ready to respond to any requests for further information, we believe the materials we have furnished should provide you with a clear and comprehensive understanding of TSLX. We remain open to the possibility of exchanging non-public information with you as part of a good faith dialogue towards a transaction, subject to entering into a mutually acceptable non-disclosure agreement.</w:t>
      </w:r>
    </w:p>
    <w:p>
      <w:pPr>
        <w:spacing w:after="0" w:line="57" w:lineRule="exact"/>
        <w:rPr>
          <w:sz w:val="20"/>
          <w:szCs w:val="20"/>
          <w:color w:val="auto"/>
        </w:rPr>
      </w:pPr>
    </w:p>
    <w:p>
      <w:pPr>
        <w:ind w:left="460" w:firstLine="438"/>
        <w:spacing w:after="0" w:line="286" w:lineRule="auto"/>
        <w:rPr>
          <w:sz w:val="20"/>
          <w:szCs w:val="20"/>
          <w:color w:val="auto"/>
        </w:rPr>
      </w:pPr>
      <w:r>
        <w:rPr>
          <w:rFonts w:ascii="Arial" w:cs="Arial" w:eastAsia="Arial" w:hAnsi="Arial"/>
          <w:sz w:val="17"/>
          <w:szCs w:val="17"/>
          <w:color w:val="auto"/>
        </w:rPr>
        <w:t>As you can imagine, we are eager to ascertain quickly the Special Committee’s views on our proposal, and whether it is willing to engage in good faith discussions with us. Accordingly, I will call you tomorrow to obtain your feedback. As mentioned previously, we continue to reserve the right to publicly disclose the contents of this and our previous letter and to take other steps in furtherance of our proposal.</w:t>
      </w:r>
    </w:p>
    <w:p>
      <w:pPr>
        <w:spacing w:after="0" w:line="57" w:lineRule="exact"/>
        <w:rPr>
          <w:sz w:val="20"/>
          <w:szCs w:val="20"/>
          <w:color w:val="auto"/>
        </w:rPr>
      </w:pPr>
    </w:p>
    <w:p>
      <w:pPr>
        <w:ind w:left="460" w:right="740" w:firstLine="438"/>
        <w:spacing w:after="0" w:line="277" w:lineRule="auto"/>
        <w:rPr>
          <w:sz w:val="20"/>
          <w:szCs w:val="20"/>
          <w:color w:val="auto"/>
        </w:rPr>
      </w:pPr>
      <w:r>
        <w:rPr>
          <w:rFonts w:ascii="Arial" w:cs="Arial" w:eastAsia="Arial" w:hAnsi="Arial"/>
          <w:sz w:val="18"/>
          <w:szCs w:val="18"/>
          <w:color w:val="auto"/>
        </w:rPr>
        <w:t>We hope you are as excited as we are about this transaction, and we look forward to continuing to discuss it with you. Steve, I sincerely appreciate the time and effort you and the special committee have put into this process.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Joshua</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September 15, 2015, Mr. Novak called Mr. Easterly to convey that TICC was not interested in pursuing the TSLX Proposal and that the Special Committee would continue to support the BSP Transaction.</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at the Special Meeting and to solicit proxies to vote against the proposals at the Special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morning of September 16,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PROPOSES TO ACQUIRE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 FOR $7.50 PER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Proposal Would Deliver Immediate 20% Premium to TICC Capital Stockholders while Providing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Opportunity to Benefit from Long-Term Value Creation Within the Industry’s Leading Platform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Combination Would Be Immediately Accretive to Net Asset Value per Share</w:t>
      </w:r>
    </w:p>
    <w:p>
      <w:pPr>
        <w:spacing w:after="0" w:line="225" w:lineRule="exact"/>
        <w:rPr>
          <w:sz w:val="20"/>
          <w:szCs w:val="20"/>
          <w:color w:val="auto"/>
        </w:rPr>
      </w:pPr>
    </w:p>
    <w:p>
      <w:pPr>
        <w:jc w:val="center"/>
        <w:ind w:left="260" w:right="1840"/>
        <w:spacing w:after="0" w:line="264" w:lineRule="auto"/>
        <w:rPr>
          <w:sz w:val="20"/>
          <w:szCs w:val="20"/>
          <w:color w:val="auto"/>
        </w:rPr>
      </w:pPr>
      <w:r>
        <w:rPr>
          <w:rFonts w:ascii="Arial" w:cs="Arial" w:eastAsia="Arial" w:hAnsi="Arial"/>
          <w:sz w:val="18"/>
          <w:szCs w:val="18"/>
          <w:i w:val="1"/>
          <w:iCs w:val="1"/>
          <w:color w:val="auto"/>
        </w:rPr>
        <w:t>Opportunity to Drive Higher Return on Equity and Corresponding Dividends Through Rotation into Assets With More Attractive Risk-Adjusted Returns or Return Capital to Stockholders and Protect Accretion Created in the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is Fully Committed to Realizing the Value of This Transaction for All Stockholders and Urges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TICC’s Special Committee to Enter into Constructive Discussions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Intends to Solicit Stockholder Proxies Against Proposed Advisory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YORK, September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8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[For reference, the TSLX Proposal represents a 12.8% discount to TICC’s NAV as of June 30, 2015, a narrower discount than the price at which the shares have traded since June 30th.] After giving effect to the proposed transaction, TICC stockholders would have the opportunity to participate in the future value creation of an industry-leading platform.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substantial up-front premium to TICC stockholders, key aspects of the proposal include:</w:t>
      </w:r>
    </w:p>
    <w:p>
      <w:pPr>
        <w:spacing w:after="0" w:line="127" w:lineRule="exact"/>
        <w:rPr>
          <w:sz w:val="20"/>
          <w:szCs w:val="20"/>
          <w:color w:val="auto"/>
        </w:rPr>
      </w:pPr>
    </w:p>
    <w:p>
      <w:pPr>
        <w:ind w:left="660" w:right="34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ACCRETIVE TO NET ASSET VALUE </w:t>
      </w:r>
      <w:r>
        <w:rPr>
          <w:rFonts w:ascii="Arial" w:cs="Arial" w:eastAsia="Arial" w:hAnsi="Arial"/>
          <w:sz w:val="18"/>
          <w:szCs w:val="18"/>
          <w:color w:val="auto"/>
        </w:rPr>
        <w:t>– [The TSLX Proposal would be immediately accretive to net asset value per share for TSLX</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for this reason, could drive a higher market price for TSLX common stock. This in turn would result in greater value for TICC stockholders of the TSLX common stock that they would receive under the TSLX Proposal.]</w:t>
      </w:r>
    </w:p>
    <w:p>
      <w:pPr>
        <w:spacing w:after="0" w:line="81" w:lineRule="exact"/>
        <w:rPr>
          <w:rFonts w:ascii="Arial" w:cs="Arial" w:eastAsia="Arial" w:hAnsi="Arial"/>
          <w:sz w:val="18"/>
          <w:szCs w:val="18"/>
          <w:color w:val="auto"/>
        </w:rPr>
      </w:pPr>
    </w:p>
    <w:p>
      <w:pPr>
        <w:ind w:left="660" w:right="12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TRACK RECORD </w:t>
      </w:r>
      <w:r>
        <w:rPr>
          <w:rFonts w:ascii="Arial" w:cs="Arial" w:eastAsia="Arial" w:hAnsi="Arial"/>
          <w:sz w:val="18"/>
          <w:szCs w:val="18"/>
          <w:color w:val="auto"/>
        </w:rPr>
        <w:t>– TSLX has a proven track record of delivering superior returns and stable dividends to stockholders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TSLX’s investing activities in July 2011].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85" w:lineRule="exact"/>
        <w:rPr>
          <w:rFonts w:ascii="Arial" w:cs="Arial" w:eastAsia="Arial" w:hAnsi="Arial"/>
          <w:sz w:val="18"/>
          <w:szCs w:val="18"/>
          <w:color w:val="auto"/>
        </w:rPr>
      </w:pPr>
    </w:p>
    <w:p>
      <w:pPr>
        <w:ind w:left="66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INCREASED LIQUIDITY </w:t>
      </w:r>
      <w:r>
        <w:rPr>
          <w:rFonts w:ascii="Arial" w:cs="Arial" w:eastAsia="Arial" w:hAnsi="Arial"/>
          <w:sz w:val="18"/>
          <w:szCs w:val="18"/>
          <w:color w:val="auto"/>
        </w:rPr>
        <w:t>– TICC stockholders would benefit from [potential] increased liquidity, by owning shares in a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having a pro forma market capitalization potentially in excess of $1.3 billion, as compared to TICC’s current market capitalization of approximately $380 million.</w:t>
      </w:r>
    </w:p>
    <w:p>
      <w:pPr>
        <w:spacing w:after="0" w:line="81" w:lineRule="exact"/>
        <w:rPr>
          <w:rFonts w:ascii="Arial" w:cs="Arial" w:eastAsia="Arial" w:hAnsi="Arial"/>
          <w:sz w:val="18"/>
          <w:szCs w:val="18"/>
          <w:color w:val="auto"/>
        </w:rPr>
      </w:pPr>
    </w:p>
    <w:p>
      <w:pPr>
        <w:ind w:left="660" w:hanging="315"/>
        <w:spacing w:after="0" w:line="277"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CONSISTENT AND STABLE DIVIDEND </w:t>
      </w:r>
      <w:r>
        <w:rPr>
          <w:rFonts w:ascii="Arial" w:cs="Arial" w:eastAsia="Arial" w:hAnsi="Arial"/>
          <w:sz w:val="17"/>
          <w:szCs w:val="17"/>
          <w:color w:val="auto"/>
        </w:rPr>
        <w:t>– TSLX believes business development companies should maintain consistent dividends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well covered by net investment income. TSLX has earned per share net investment income [including realized gains in 2012] in excess of its dividend every year since its inception [by which we mean commencement of TSLX’s investing activities in 2011]. It is 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73" w:lineRule="exact"/>
        <w:rPr>
          <w:rFonts w:ascii="Arial" w:cs="Arial" w:eastAsia="Arial" w:hAnsi="Arial"/>
          <w:sz w:val="17"/>
          <w:szCs w:val="17"/>
          <w:color w:val="auto"/>
        </w:rPr>
      </w:pPr>
    </w:p>
    <w:p>
      <w:pPr>
        <w:ind w:left="660" w:right="6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ABILITY TO GENERATE RETURN ON EQUITY FOR STOCKHOLDERS </w:t>
      </w:r>
      <w:r>
        <w:rPr>
          <w:rFonts w:ascii="Arial" w:cs="Arial" w:eastAsia="Arial" w:hAnsi="Arial"/>
          <w:sz w:val="18"/>
          <w:szCs w:val="18"/>
          <w:color w:val="auto"/>
        </w:rPr>
        <w:t>– TICC stockholders would benefit from</w:t>
      </w:r>
      <w:r>
        <w:rPr>
          <w:rFonts w:ascii="Arial" w:cs="Arial" w:eastAsia="Arial" w:hAnsi="Arial"/>
          <w:sz w:val="18"/>
          <w:szCs w:val="18"/>
          <w:b w:val="1"/>
          <w:bCs w:val="1"/>
          <w:color w:val="auto"/>
        </w:rPr>
        <w:t xml:space="preserve"> </w:t>
      </w:r>
      <w:r>
        <w:rPr>
          <w:rFonts w:ascii="Arial" w:cs="Arial" w:eastAsia="Arial" w:hAnsi="Arial"/>
          <w:sz w:val="18"/>
          <w:szCs w:val="18"/>
          <w:color w:val="auto"/>
        </w:rPr>
        <w:t>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84"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2" w:name="page13"/>
    <w:bookmarkEnd w:id="12"/>
    <w:p>
      <w:pPr>
        <w:ind w:right="4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 to protect net asset value per share accretion that was created in the transaction.</w:t>
      </w:r>
    </w:p>
    <w:p>
      <w:pPr>
        <w:spacing w:after="0" w:line="188" w:lineRule="exact"/>
        <w:rPr>
          <w:sz w:val="20"/>
          <w:szCs w:val="20"/>
          <w:color w:val="auto"/>
        </w:rPr>
      </w:pPr>
    </w:p>
    <w:p>
      <w:pPr>
        <w:ind w:right="120" w:firstLine="438"/>
        <w:spacing w:after="0" w:line="302" w:lineRule="auto"/>
        <w:rPr>
          <w:sz w:val="20"/>
          <w:szCs w:val="20"/>
          <w:color w:val="auto"/>
        </w:rPr>
      </w:pPr>
      <w:r>
        <w:rPr>
          <w:rFonts w:ascii="Arial" w:cs="Arial" w:eastAsia="Arial" w:hAnsi="Arial"/>
          <w:sz w:val="16"/>
          <w:szCs w:val="16"/>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[i.e., negotiations] regarding the proposal. TSLX remains fully committed to pursuing this transaction for the benefit of all stockholders and urges the Special Committee to enter into constructive discussions with TSLX pursuant to its fiduciary duties.</w:t>
      </w:r>
    </w:p>
    <w:p>
      <w:pPr>
        <w:spacing w:after="0" w:line="154" w:lineRule="exact"/>
        <w:rPr>
          <w:sz w:val="20"/>
          <w:szCs w:val="20"/>
          <w:color w:val="auto"/>
        </w:rPr>
      </w:pPr>
    </w:p>
    <w:p>
      <w:pPr>
        <w:ind w:right="120" w:firstLine="438"/>
        <w:spacing w:after="0" w:line="259" w:lineRule="auto"/>
        <w:rPr>
          <w:sz w:val="20"/>
          <w:szCs w:val="20"/>
          <w:color w:val="auto"/>
        </w:rPr>
      </w:pPr>
      <w:r>
        <w:rPr>
          <w:rFonts w:ascii="Arial" w:cs="Arial" w:eastAsia="Arial" w:hAnsi="Arial"/>
          <w:sz w:val="18"/>
          <w:szCs w:val="18"/>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87"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[TICC’s] external managers [i.e., the purchase of the Existing Adviser as distinguished from normal advisory fees that would be payable to any external manager, which incremental base management and incentive fees would accrue to TSLX’s adviser under the TSLX Proposal as a result of increased assets under management to the extent TSLX does not return capital to stockholders through share buy-backs or otherwise, which it has already committed to do if it can’t rotate the portfolio].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66" w:lineRule="exact"/>
        <w:rPr>
          <w:sz w:val="20"/>
          <w:szCs w:val="20"/>
          <w:color w:val="auto"/>
        </w:rPr>
      </w:pPr>
    </w:p>
    <w:p>
      <w:pPr>
        <w:ind w:right="60" w:firstLine="438"/>
        <w:spacing w:after="0" w:line="264" w:lineRule="auto"/>
        <w:rPr>
          <w:sz w:val="20"/>
          <w:szCs w:val="20"/>
          <w:color w:val="auto"/>
        </w:rPr>
      </w:pPr>
      <w:r>
        <w:rPr>
          <w:rFonts w:ascii="Arial" w:cs="Arial" w:eastAsia="Arial" w:hAnsi="Arial"/>
          <w:sz w:val="18"/>
          <w:szCs w:val="18"/>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81"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“We agree with NexPoint that stockholders should reject the Benefit Street Partners proposal. However, the NexPoint proposal is equally flawed as both transactions provide returns only for external managers and offer no immediate value to stockholders [i.e., no delivery of upfront consideration other than the prospect of lower fees going forward and the possibility of potential share buy-backs]. This focus on fees for an external manager is in sharp contrast to the upfront 20% premium [For reference, the TSLX Proposal represents a 12.8% discount to TICC’s NAV as of June 30, 2015, a narrower discount than the price at which the shares have traded since June 30th.] and long-term value creation potential that our proposal delivers to the long-suffering TICC stockholders.”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Goldman, Sachs &amp; Co. is acting as financial advisor and Cleary Gottlieb Steen &amp; Hamilton LLP is acting as legal advisor to TSLX.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16, 2015, TICC sent a letter to its stockholders encouraging them to return management’s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17, 2015, NexPoint issued a press release attacking the TSLX Proposal.</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morning of September 21,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TPG Specialty Lending, Inc. Sends Letter to TICC Capital Corp. Stockholders</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Outlining Merits of Proposal</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Highlights Superior Value of TSLX’s Proposal that Provides Immediate, Substantial and Sustainable</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Value to TICC Stockholders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Underscores the Chance for Stockholders to Send a Clear Message that it is Time for an End to</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TICC’s Failed Leadership</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Urges TICC Stockholders to Vote Against All Proposals at Upcoming Special Meeting of</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Stockholders on October 27, 2015</w:t>
      </w:r>
    </w:p>
    <w:p>
      <w:pPr>
        <w:spacing w:after="0" w:line="211" w:lineRule="exact"/>
        <w:rPr>
          <w:sz w:val="20"/>
          <w:szCs w:val="20"/>
          <w:color w:val="auto"/>
        </w:rPr>
      </w:pPr>
    </w:p>
    <w:p>
      <w:pPr>
        <w:ind w:right="460" w:firstLine="438"/>
        <w:spacing w:after="0" w:line="286" w:lineRule="auto"/>
        <w:rPr>
          <w:sz w:val="20"/>
          <w:szCs w:val="20"/>
          <w:color w:val="auto"/>
        </w:rPr>
      </w:pPr>
      <w:r>
        <w:rPr>
          <w:rFonts w:ascii="Arial" w:cs="Arial" w:eastAsia="Arial" w:hAnsi="Arial"/>
          <w:sz w:val="17"/>
          <w:szCs w:val="17"/>
          <w:color w:val="auto"/>
        </w:rPr>
        <w:t>NEW YORK– (BUSINESS WIRE) – Sep. 21, 2015 – TPG Specialty Lending, Inc. (“TSLX”; NYSE: TSLX), a specialty finance company focused on lending to middle-market companies, filed its preliminary proxy with the U.S. Securities and Exchange Commission (“SEC”) on September 18, 2015 and today sent a letter to all stockholders of TICC Capital Corp. (“TICC”; Nasdaq: TICC).</w:t>
      </w:r>
    </w:p>
    <w:p>
      <w:pPr>
        <w:spacing w:after="0" w:line="166" w:lineRule="exact"/>
        <w:rPr>
          <w:sz w:val="20"/>
          <w:szCs w:val="20"/>
          <w:color w:val="auto"/>
        </w:rPr>
      </w:pPr>
    </w:p>
    <w:p>
      <w:pPr>
        <w:ind w:right="40" w:firstLine="438"/>
        <w:spacing w:after="0" w:line="272" w:lineRule="auto"/>
        <w:rPr>
          <w:sz w:val="20"/>
          <w:szCs w:val="20"/>
          <w:color w:val="auto"/>
        </w:rPr>
      </w:pPr>
      <w:r>
        <w:rPr>
          <w:rFonts w:ascii="Arial" w:cs="Arial" w:eastAsia="Arial" w:hAnsi="Arial"/>
          <w:sz w:val="17"/>
          <w:szCs w:val="17"/>
          <w:color w:val="auto"/>
        </w:rPr>
        <w:t>The letter urges TICC stockholders to vote against the management proposals regarding TICC’s proposed transaction to change its external manager at the upcoming special meeting of stockholders on October 27, 2015. In the letter, TSLX demonstrated that stockholders have a clear choice: send a message to the TICC board that stockholders want the immediate, substantial and sustainable value offered by the TSLX proposal and do not want to reward [TICC’s] external manager [i.e., the purchase of the Existing Adviser as distinguished from normal advisory fees that would be payable to any external manager, which incremental base management and incentive fees would accrue to TSLX’s adviser under the TSLX Proposal as a result of increased assets under management to the extent TSLX does not return capital to stockholders through share buy-backs or otherwise, which it has already committed to do if it can’t rotate the portfolio].</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Dear Fellow TICC Stockholders:</w:t>
      </w:r>
    </w:p>
    <w:p>
      <w:pPr>
        <w:spacing w:after="0" w:line="225" w:lineRule="exact"/>
        <w:rPr>
          <w:sz w:val="20"/>
          <w:szCs w:val="20"/>
          <w:color w:val="auto"/>
        </w:rPr>
      </w:pPr>
    </w:p>
    <w:p>
      <w:pPr>
        <w:ind w:left="460" w:firstLine="420"/>
        <w:spacing w:after="0" w:line="257" w:lineRule="auto"/>
        <w:rPr>
          <w:sz w:val="20"/>
          <w:szCs w:val="20"/>
          <w:color w:val="auto"/>
        </w:rPr>
      </w:pPr>
      <w:r>
        <w:rPr>
          <w:rFonts w:ascii="Arial" w:cs="Arial" w:eastAsia="Arial" w:hAnsi="Arial"/>
          <w:sz w:val="18"/>
          <w:szCs w:val="18"/>
          <w:color w:val="auto"/>
        </w:rPr>
        <w:t>I write to you today on behalf of TPG Specialty Lending, Inc. (“TSLX”), a publicly traded specialty finance company focused on lending to middle-market companies. We are reaching out to you, our fellow stockholders, because you will soon be asked to make an important decision that will have tremendous impact on the value of your investment in TICC Capital Corp (“TICC”). Specifically, this is a powerful opportunity to tell the board of directors that you, the stockholders, are fed up with their poor management and value destructive actions and that change is necessary.</w:t>
      </w:r>
    </w:p>
    <w:p>
      <w:pPr>
        <w:spacing w:after="0" w:line="188"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Recently, our organization presented TICC’s special committee with a proposal to acquire TICC in a transaction that would have delivered to you, TICC’s owners, shares of TSLX stock with a market value of $7.50 for each share of TICC stock you own. Our proposal represented a 20% premium to TICC’s undisturbed stock price [as of September 15, 2015, the day immediately preceding the public announcement of the TSLX Proposal – for reference, the TSLX Proposal represents a 12.8% discount to TICC’s net asset value as of June 30, 2015, a narrower discount than the price at which the shares have traded since June 30th – ] and offered TICC stockholders the opportunity to participate in the future value creation of our industry-leading platform. This proposal that delivers immediate and long-term value to you, the stockholders, was rejected by the TICC special committee without engaging in any substantive dialogue [i.e., negotiations] with us.</w:t>
      </w:r>
    </w:p>
    <w:p>
      <w:pPr>
        <w:spacing w:after="0" w:line="167" w:lineRule="exact"/>
        <w:rPr>
          <w:sz w:val="20"/>
          <w:szCs w:val="20"/>
          <w:color w:val="auto"/>
        </w:rPr>
      </w:pPr>
    </w:p>
    <w:p>
      <w:pPr>
        <w:jc w:val="both"/>
        <w:ind w:left="460" w:right="220" w:firstLine="420"/>
        <w:spacing w:after="0" w:line="286" w:lineRule="auto"/>
        <w:rPr>
          <w:sz w:val="20"/>
          <w:szCs w:val="20"/>
          <w:color w:val="auto"/>
        </w:rPr>
      </w:pPr>
      <w:r>
        <w:rPr>
          <w:rFonts w:ascii="Arial" w:cs="Arial" w:eastAsia="Arial" w:hAnsi="Arial"/>
          <w:sz w:val="17"/>
          <w:szCs w:val="17"/>
          <w:color w:val="auto"/>
        </w:rPr>
        <w:t>Instead of presenting you with a transaction that will generate substantial and immediate value for stockholders, TICC’s board has asked you to approve a proposal to change its external manager that rewards its external manager while providing NO immediate or certain value to stockholders [i.e., the delivery of upfront consideration other than the prospect of lower fees going forward and the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14" w:name="page15"/>
    <w:bookmarkEnd w:id="14"/>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possibility of potential share buy-backs]. According to industry analysts, the proposal by TICC’s board to change TICC’s external manager from TICC Management, LLC to Benefit Street Partners, LLC is estimated to generate $60 million in payments to TICC Management, LLC.</w:t>
      </w:r>
    </w:p>
    <w:p>
      <w:pPr>
        <w:spacing w:after="0" w:line="124" w:lineRule="exact"/>
        <w:rPr>
          <w:sz w:val="20"/>
          <w:szCs w:val="20"/>
          <w:color w:val="auto"/>
        </w:rPr>
      </w:pPr>
    </w:p>
    <w:p>
      <w:pPr>
        <w:ind w:right="60" w:firstLine="420"/>
        <w:spacing w:after="0" w:line="257" w:lineRule="auto"/>
        <w:rPr>
          <w:sz w:val="20"/>
          <w:szCs w:val="20"/>
          <w:color w:val="auto"/>
        </w:rPr>
      </w:pPr>
      <w:r>
        <w:rPr>
          <w:rFonts w:ascii="Arial" w:cs="Arial" w:eastAsia="Arial" w:hAnsi="Arial"/>
          <w:sz w:val="18"/>
          <w:szCs w:val="18"/>
          <w:color w:val="auto"/>
        </w:rPr>
        <w:t>We note that if the external manager was no longer interested in managing the assets, as the Benefit Street Partner transaction indicates, the most stockholder friendly move would be to have sold the portfolio and delivered the proceeds to stockholders. [We have not advocated for a liquidation as we believe we can turn these assets around and do so with greater returns to stockholders than Benefit Street Partners can deliver.] That did not happen. In our view, the value destroyed as part of the proposed Benefit Street transaction is only further proof that the Board has once again put stockholders as a lesser priority.</w:t>
      </w:r>
    </w:p>
    <w:p>
      <w:pPr>
        <w:spacing w:after="0" w:line="188" w:lineRule="exact"/>
        <w:rPr>
          <w:sz w:val="20"/>
          <w:szCs w:val="20"/>
          <w:color w:val="auto"/>
        </w:rPr>
      </w:pPr>
    </w:p>
    <w:p>
      <w:pPr>
        <w:ind w:right="20" w:firstLine="420"/>
        <w:spacing w:after="0" w:line="273" w:lineRule="auto"/>
        <w:rPr>
          <w:sz w:val="20"/>
          <w:szCs w:val="20"/>
          <w:color w:val="auto"/>
        </w:rPr>
      </w:pPr>
      <w:r>
        <w:rPr>
          <w:rFonts w:ascii="Arial" w:cs="Arial" w:eastAsia="Arial" w:hAnsi="Arial"/>
          <w:sz w:val="17"/>
          <w:szCs w:val="17"/>
          <w:color w:val="auto"/>
        </w:rPr>
        <w:t>As a company that puts stockholder value first and as a fellow stockholder in TICC, we strongly believe that the proposal to change external managers to Benefit Street Partners is vastly inferior to our proposal to combine TSLX and TICC. To defend the value of your and our investments, we intend to solicit proxies of TICC shareholders in opposition to the proposals to be considered at the upcoming special meeting of stockholders on October 27, 2015. On September 18, 2015, we filed a preliminary proxy statement and accompanying GOLD proxy card with the SEC, and we plan to distribute each to stockholders once they have been cleared by the SEC. In the meantime, do not sign or return a WHITE proxy card that you receive from TICC or if you do, vote AGAINST the management proposals.</w:t>
      </w:r>
    </w:p>
    <w:p>
      <w:pPr>
        <w:spacing w:after="0" w:line="178"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Not only will a vote against the Benefit Street Partners transaction stop this inferior proposal from moving forward, but it will also send a clear message to the TICC special committee to put stockholders first and engage with TSLX on our highly compelling proposal.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93"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As a stock-for-stock transaction, TICC stockholders would gain the opportunity to participate in the future value creation of our industry-leading platform led by a seasoned management team with a track record of market-beating stockholder returns [since commencement of TSLX’s investing activities in July 2011 relative to both the S&amp;P 500 and a BDC composite index comprised of ACAS, AINV, ARCC, FSC, GBDC, HTGC, MAIN, MCC, NMFC, PNNT, PSEC, SLRC, TCAP, TCRD and BKCC]. We believe this is a highly compelling opportunity for TICC stockholders as you have seen a total stockholder return of -16% in 2014 while TSLX stockholders have enjoyed a total stockholder return of 14.7%, which represents 30% outperformance versus TICC.</w:t>
      </w:r>
    </w:p>
    <w:p>
      <w:pPr>
        <w:spacing w:after="0" w:line="193" w:lineRule="exact"/>
        <w:rPr>
          <w:sz w:val="20"/>
          <w:szCs w:val="20"/>
          <w:color w:val="auto"/>
        </w:rPr>
      </w:pPr>
    </w:p>
    <w:p>
      <w:pPr>
        <w:ind w:right="20" w:firstLine="420"/>
        <w:spacing w:after="0" w:line="264" w:lineRule="auto"/>
        <w:rPr>
          <w:sz w:val="20"/>
          <w:szCs w:val="20"/>
          <w:color w:val="auto"/>
        </w:rPr>
      </w:pPr>
      <w:r>
        <w:rPr>
          <w:rFonts w:ascii="Arial" w:cs="Arial" w:eastAsia="Arial" w:hAnsi="Arial"/>
          <w:sz w:val="18"/>
          <w:szCs w:val="18"/>
          <w:color w:val="auto"/>
        </w:rPr>
        <w:t>After making our proposal public, we were excited to see and hear that fellow investors, the market and third-parties echoed our excitement in this transaction and immediately recognized the value of our proposal. We urge stockholders to consider the below comments from leading equity analysts and fellow TICC stockholders regarding our proposal:</w:t>
      </w:r>
    </w:p>
    <w:p>
      <w:pPr>
        <w:spacing w:after="0" w:line="87" w:lineRule="exact"/>
        <w:rPr>
          <w:sz w:val="20"/>
          <w:szCs w:val="20"/>
          <w:color w:val="auto"/>
        </w:rPr>
      </w:pPr>
    </w:p>
    <w:p>
      <w:pPr>
        <w:ind w:left="780" w:right="74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“TSLX trumped BSP’s offer, in our view, by presenting TICC’s board with a proposal that would provide a 20% premium to shareholders.” - Cantor Fitzgerald, September 16, 2015</w:t>
      </w:r>
    </w:p>
    <w:p>
      <w:pPr>
        <w:spacing w:after="0" w:line="75" w:lineRule="exact"/>
        <w:rPr>
          <w:rFonts w:ascii="Arial" w:cs="Arial" w:eastAsia="Arial" w:hAnsi="Arial"/>
          <w:sz w:val="18"/>
          <w:szCs w:val="18"/>
          <w:color w:val="auto"/>
        </w:rPr>
      </w:pPr>
    </w:p>
    <w:p>
      <w:pPr>
        <w:ind w:left="780" w:right="26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find TPG’s offer the most compelling, given that it provides an opportunity for TICC Capital investors to exit with an immediate return.” - Mercer Capital Advisers Inc., September 16, 2015</w:t>
      </w:r>
    </w:p>
    <w:p>
      <w:pPr>
        <w:spacing w:after="0" w:line="75" w:lineRule="exact"/>
        <w:rPr>
          <w:rFonts w:ascii="Arial" w:cs="Arial" w:eastAsia="Arial" w:hAnsi="Arial"/>
          <w:sz w:val="18"/>
          <w:szCs w:val="18"/>
          <w:color w:val="auto"/>
        </w:rPr>
      </w:pPr>
    </w:p>
    <w:p>
      <w:pPr>
        <w:jc w:val="both"/>
        <w:ind w:left="780" w:right="320" w:hanging="328"/>
        <w:spacing w:after="0" w:line="34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believe that TSLX management has performed well for shareholders and their offer represents an attractive premium to TICC shareholders in the immediate future.” - PM at large investment manager in NYC cited in Wells Fargo report, September 17, 2015</w:t>
      </w:r>
    </w:p>
    <w:p>
      <w:pPr>
        <w:spacing w:after="0" w:line="5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15" w:name="page16"/>
    <w:bookmarkEnd w:id="15"/>
    <w:p>
      <w:pPr>
        <w:ind w:left="780" w:right="160" w:hanging="328"/>
        <w:spacing w:after="0" w:line="308"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has done the industry a favor by forcing this choice and presenting a visible example of how shareholders can seek to unlock value.” – Analyst/PM at a large NYC based investment manager, cited in Wells Fargo report, September 17, 2015</w:t>
      </w:r>
    </w:p>
    <w:p>
      <w:pPr>
        <w:spacing w:after="0" w:line="51"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TSLX offer presents shareholders a strong premium stock price.” – Wells Fargo analyst, September 17, 2015</w:t>
      </w:r>
    </w:p>
    <w:p>
      <w:pPr>
        <w:spacing w:after="0" w:line="130" w:lineRule="exact"/>
        <w:rPr>
          <w:rFonts w:ascii="Arial" w:cs="Arial" w:eastAsia="Arial" w:hAnsi="Arial"/>
          <w:sz w:val="18"/>
          <w:szCs w:val="18"/>
          <w:color w:val="auto"/>
        </w:rPr>
      </w:pPr>
    </w:p>
    <w:p>
      <w:pPr>
        <w:ind w:left="780" w:right="300" w:hanging="328"/>
        <w:spacing w:after="0" w:line="26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 TSLX’s commentary their offer was designed to ‘enter into constructive discussions’ with the Board…If ultimately the Board pushes the BSP offer through, this is another black eye for the BDC industry regarding shareholder returns vs. management compensation.” - Keefe, Bruyette &amp; Woods, September 16, 2015</w:t>
      </w:r>
    </w:p>
    <w:p>
      <w:pPr>
        <w:spacing w:after="0" w:line="181" w:lineRule="exact"/>
        <w:rPr>
          <w:sz w:val="20"/>
          <w:szCs w:val="20"/>
          <w:color w:val="auto"/>
        </w:rPr>
      </w:pPr>
    </w:p>
    <w:p>
      <w:pPr>
        <w:ind w:right="300" w:firstLine="420"/>
        <w:spacing w:after="0" w:line="276" w:lineRule="auto"/>
        <w:rPr>
          <w:sz w:val="20"/>
          <w:szCs w:val="20"/>
          <w:color w:val="auto"/>
        </w:rPr>
      </w:pPr>
      <w:r>
        <w:rPr>
          <w:rFonts w:ascii="Arial" w:cs="Arial" w:eastAsia="Arial" w:hAnsi="Arial"/>
          <w:sz w:val="17"/>
          <w:szCs w:val="17"/>
          <w:color w:val="auto"/>
        </w:rPr>
        <w:t>Because we are offering TSLX stock as part of our proposal, we recognize it is vital for you to understand the strength and growth prospects of our business. 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73" w:lineRule="exact"/>
        <w:rPr>
          <w:sz w:val="20"/>
          <w:szCs w:val="20"/>
          <w:color w:val="auto"/>
        </w:rPr>
      </w:pPr>
    </w:p>
    <w:p>
      <w:pPr>
        <w:ind w:right="200" w:firstLine="420"/>
        <w:spacing w:after="0" w:line="259" w:lineRule="auto"/>
        <w:rPr>
          <w:sz w:val="20"/>
          <w:szCs w:val="20"/>
          <w:color w:val="auto"/>
        </w:rPr>
      </w:pPr>
      <w:r>
        <w:rPr>
          <w:rFonts w:ascii="Arial" w:cs="Arial" w:eastAsia="Arial" w:hAnsi="Arial"/>
          <w:sz w:val="18"/>
          <w:szCs w:val="18"/>
          <w:color w:val="auto"/>
        </w:rPr>
        <w:t>Not only has our business delivered outstanding returns for stockholders, we feel we have achieved our success by abiding by our core belief of putting stockholder value first. This is reflected in our highly transparent governance, commitment to a stable, predictable dividend policy, and our pioneering of [share] buybacks in the Business Development Company sector. Jeff Davis, Managing Director at Mercer Capital Advisers, called TSLX “one of the best-managed companies in the industry.”</w:t>
      </w:r>
    </w:p>
    <w:p>
      <w:pPr>
        <w:spacing w:after="0" w:line="187" w:lineRule="exact"/>
        <w:rPr>
          <w:sz w:val="20"/>
          <w:szCs w:val="20"/>
          <w:color w:val="auto"/>
        </w:rPr>
      </w:pPr>
    </w:p>
    <w:p>
      <w:pPr>
        <w:jc w:val="both"/>
        <w:ind w:right="40" w:firstLine="420"/>
        <w:spacing w:after="0" w:line="312" w:lineRule="auto"/>
        <w:rPr>
          <w:sz w:val="20"/>
          <w:szCs w:val="20"/>
          <w:color w:val="auto"/>
        </w:rPr>
      </w:pPr>
      <w:r>
        <w:rPr>
          <w:rFonts w:ascii="Arial" w:cs="Arial" w:eastAsia="Arial" w:hAnsi="Arial"/>
          <w:sz w:val="16"/>
          <w:szCs w:val="16"/>
          <w:color w:val="auto"/>
        </w:rPr>
        <w:t>A critical part of our focus on value is our approach to dividends. This is a core aspect of the investment opportunity for our sector but also an issue that is too often misunderstood or mismanaged. Our belief is that business development companies should maintain consistent dividends that are well covered by net investment income. Put simply, companies should only pay dividends that they can afford.</w:t>
      </w:r>
    </w:p>
    <w:p>
      <w:pPr>
        <w:spacing w:after="0" w:line="147" w:lineRule="exact"/>
        <w:rPr>
          <w:sz w:val="20"/>
          <w:szCs w:val="20"/>
          <w:color w:val="auto"/>
        </w:rPr>
      </w:pPr>
    </w:p>
    <w:p>
      <w:pPr>
        <w:ind w:right="320" w:firstLine="420"/>
        <w:spacing w:after="0" w:line="293" w:lineRule="auto"/>
        <w:rPr>
          <w:sz w:val="20"/>
          <w:szCs w:val="20"/>
          <w:color w:val="auto"/>
        </w:rPr>
      </w:pPr>
      <w:r>
        <w:rPr>
          <w:rFonts w:ascii="Arial" w:cs="Arial" w:eastAsia="Arial" w:hAnsi="Arial"/>
          <w:sz w:val="16"/>
          <w:szCs w:val="16"/>
          <w:color w:val="auto"/>
        </w:rPr>
        <w:t>TSLX has earned net investment income [including realized gains in 2012] in excess of its dividend every year since its inception [by which we mean commencement of TSLX’s investing activities in July 2011; prior to March 2014, TSLX was a privately-held business development company that did not have publicly traded or listed shares]. TICC’s net investment income, on the other hand, has consistently fallen short of the dividend that has been paid to its stockholders. This has caused TICC to incur excessive debt loads to fund the dividend, resulting in consistent reductions in TICC’s net asset value. In fact, at least two third-party analysts have indicated that they expect that TICC will have to cut its dividend to survive because maintaining a dividend that exceeds net investment income is simply unsustainable.</w:t>
      </w:r>
    </w:p>
    <w:p>
      <w:pPr>
        <w:spacing w:after="0" w:line="165"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We think that a status quo TICC means an unsustainable dividend. With TSLX, we believe that TICC stockholders would gain confidence and visibility to a strong, durable and growing dividend. We expect to continue our dividend policy following any transaction and, to the extent we are successful in rotating the TICC portfolio into higher yielding investments, this policy would actually result in stockholders enjoying increased dividends. [Although TICC stockholders would receive dividends on a combined basis under the TSLX Proposal lower than they have on a historical basis, we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w:t>
      </w:r>
    </w:p>
    <w:p>
      <w:pPr>
        <w:spacing w:after="0" w:line="10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74" w:right="239" w:bottom="1440" w:gutter="0" w:footer="0" w:header="0"/>
        </w:sectPr>
      </w:pPr>
    </w:p>
    <w:bookmarkStart w:id="16" w:name="page17"/>
    <w:bookmarkEnd w:id="16"/>
    <w:p>
      <w:pPr>
        <w:ind w:left="920" w:right="20" w:firstLine="4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fellow stockholder, you should know well that the unsustainable status quo is a situation produced entirely by the mismanagement of the current TICC Board of Directors. As we have shown and you have felt, the results of this failed leadership have been incredibly destructive to your investment and even the future viability of TICC as an investment vehicle. As experts in this area, we cannot understand why value-creating strategies such as [significant share] buybacks or a shift in investment strategy have not been used. After years of destroying value, we were alarmed to see this board present a transaction that provides value to an external manager that has close ties to existing board members. Moves like this continue to put stockholders after the needs of a select few. We urge you to vote AGAINST the Benefit Street transaction and send a clear message that you are done with the board’s failed strategy and leadership. The time for change is now.</w:t>
      </w:r>
    </w:p>
    <w:p>
      <w:pPr>
        <w:spacing w:after="0" w:line="167" w:lineRule="exact"/>
        <w:rPr>
          <w:sz w:val="20"/>
          <w:szCs w:val="20"/>
          <w:color w:val="auto"/>
        </w:rPr>
      </w:pPr>
    </w:p>
    <w:p>
      <w:pPr>
        <w:ind w:left="920" w:right="20" w:firstLine="420"/>
        <w:spacing w:after="0" w:line="288" w:lineRule="auto"/>
        <w:rPr>
          <w:sz w:val="20"/>
          <w:szCs w:val="20"/>
          <w:color w:val="auto"/>
        </w:rPr>
      </w:pPr>
      <w:r>
        <w:rPr>
          <w:rFonts w:ascii="Arial" w:cs="Arial" w:eastAsia="Arial" w:hAnsi="Arial"/>
          <w:sz w:val="16"/>
          <w:szCs w:val="16"/>
          <w:color w:val="auto"/>
        </w:rPr>
        <w:t>In the coming weeks, you will hear many conflicting viewpoints from TICC, Benefit Street and NexPoint Advisors, LP, another external manager that has also proposed to take over management of TICC’s assets. As a stockholder of TICC, we urge you to focus on what matters most to you: immediate, substantial and sustainable value. At this point, the only proposal that delivers immediate, substantial and sustainable value to stockholders is the TSLX proposal [i.e., the delivery of upfront consideration other than the prospect of lower fees going forward and the possibility of potential share buy-backs]. Any debate over external managers is only a distraction from the simple, compelling facts of our proposal. As stockholders, you should push these other entities to clarify how you would directly and immediately benefit from transactions that pay external managers and board members instead of stockholders [i.e., a purchase price to buy the Existing Adviser as distinguished from normal advisory fees that would be payable to any external manager, which incremental base management and incentive fees would accrue to TSLX’s adviser under the TSLX Proposal as a result of increased assets under management to the extent TSLX does not return capital to stockholders through share buy-backs or otherwise, which it has already committed to do if it can’t rotate the portfolio].</w:t>
      </w:r>
    </w:p>
    <w:p>
      <w:pPr>
        <w:spacing w:after="0" w:line="169" w:lineRule="exact"/>
        <w:rPr>
          <w:sz w:val="20"/>
          <w:szCs w:val="20"/>
          <w:color w:val="auto"/>
        </w:rPr>
      </w:pPr>
    </w:p>
    <w:p>
      <w:pPr>
        <w:ind w:left="920" w:right="120" w:firstLine="420"/>
        <w:spacing w:after="0" w:line="264" w:lineRule="auto"/>
        <w:rPr>
          <w:sz w:val="20"/>
          <w:szCs w:val="20"/>
          <w:color w:val="auto"/>
        </w:rPr>
      </w:pPr>
      <w:r>
        <w:rPr>
          <w:rFonts w:ascii="Arial" w:cs="Arial" w:eastAsia="Arial" w:hAnsi="Arial"/>
          <w:sz w:val="18"/>
          <w:szCs w:val="18"/>
          <w:color w:val="auto"/>
        </w:rPr>
        <w:t>In the coming days, TSLX plans to distribute a definitive proxy statement and accompanying GOLD proxy card to shareholders once they have been cleared by the SEC. Do not sign or return any WHITE proxy cards you receive from TICC or, if you do, vote AGAINST the management proposals.</w:t>
      </w:r>
    </w:p>
    <w:p>
      <w:pPr>
        <w:spacing w:after="0" w:line="181"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We remain steadfast in our pursuit of this highly compelling proposal for TICC and feel passionately that our proposal is in the best interest of stockholders. YOUR VOTE CAN HELP UNLOCK THIS VALUE FOR STOCKHOLDERS. By voting AGAINST the proposals related to the Benefit Street Partners transaction you will send a clear message to the TICC special committee that stockholders are fed up with its value destructive leadership and demand that the special committee engage on our highly compelling proposal. [While the TSLX Proposal is non-binding and is subject to change or withdrawal, TSLX currently intends to pursue its proposal if and when TICC’s Board is willing to engage in negotiations with respect to it.]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21, 2015, TICC issued a press release reiterating the Special Committee’s rejection of the TSLX Proposal. On the same day, Raging Capital Management, LLC issued a press release calling on TICC to immediately postpone the upcoming Special Meeting of Stockholders of TICC scheduled to be held on October 27, 2015 and to engage a recognized investment bank in order to run a full, fair and complete strategic review process to maximize value for all TICC stockholders. In its release, Raging Capital stated: “Now,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right="5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want to ensure that the TICC Board is acting in accordance with its fiduciary obligations and in the best interests of all TICC stockholders…We find ourselves at a critical juncture in TICC’s history where the Board’s decisions and actions over the next few weeks will have significant ramifications to stockholders.”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24, 2015, TICC sent another letter to its stockholders citing the advantages of the BSP Transaction.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25, 2015, Muzinich &amp; Co., Inc., a top 5 stockholder of TICC,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Muzinich &amp; Co., Inc. Requests that TICC Board Postpone Special Meeting of</w:t>
      </w:r>
    </w:p>
    <w:p>
      <w:pPr>
        <w:spacing w:after="0" w:line="27"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Stockholders and Engage Independent Advisors to Run Comprehensive Evaluation</w:t>
      </w:r>
    </w:p>
    <w:p>
      <w:pPr>
        <w:spacing w:after="0" w:line="211" w:lineRule="exact"/>
        <w:rPr>
          <w:sz w:val="20"/>
          <w:szCs w:val="20"/>
          <w:color w:val="auto"/>
        </w:rPr>
      </w:pPr>
    </w:p>
    <w:p>
      <w:pPr>
        <w:ind w:left="460" w:right="80" w:firstLine="438"/>
        <w:spacing w:after="0" w:line="279" w:lineRule="auto"/>
        <w:rPr>
          <w:sz w:val="20"/>
          <w:szCs w:val="20"/>
          <w:color w:val="auto"/>
        </w:rPr>
      </w:pPr>
      <w:r>
        <w:rPr>
          <w:rFonts w:ascii="Arial" w:cs="Arial" w:eastAsia="Arial" w:hAnsi="Arial"/>
          <w:sz w:val="17"/>
          <w:szCs w:val="17"/>
          <w:color w:val="auto"/>
        </w:rPr>
        <w:t>NEW YORK, Sept. 25, 2015 /PRNewswire/ — Muzinich &amp; Co., Inc., a top 5 stockholder of TICC Capital Corp. (NASDAQ: TICC), announced today that it has delivered a letter to the Board of TICC, requesting that the board immediately postpone the Special Meeting of Stockholders currently scheduled for October 27, 2015 and that a reputable investment bank be engaged to undertake a comprehensive review of existing competing offers, solicit additional offers, and recommend action that is in the best interests of stockholders.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full text of the letter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TICC Capital Corp.</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920" w:right="40" w:firstLine="420"/>
        <w:spacing w:after="0" w:line="264" w:lineRule="auto"/>
        <w:rPr>
          <w:sz w:val="20"/>
          <w:szCs w:val="20"/>
          <w:color w:val="auto"/>
        </w:rPr>
      </w:pPr>
      <w:r>
        <w:rPr>
          <w:rFonts w:ascii="Arial" w:cs="Arial" w:eastAsia="Arial" w:hAnsi="Arial"/>
          <w:sz w:val="18"/>
          <w:szCs w:val="18"/>
          <w:color w:val="auto"/>
        </w:rPr>
        <w:t>We write with reference to recent events concerning TICC Capital Corp. (“TICC”). We wish to notify you that Muzinich &amp; Co., Inc. (“we” or “Muzinich”), an institutional investment manager acting on behalf of its clients, holds a material position in TICC. As of June 30, 2015, we were among the top 5 stockholders of TICC and have been a stockholder for over one year.</w:t>
      </w:r>
    </w:p>
    <w:p>
      <w:pPr>
        <w:spacing w:after="0" w:line="181" w:lineRule="exact"/>
        <w:rPr>
          <w:sz w:val="20"/>
          <w:szCs w:val="20"/>
          <w:color w:val="auto"/>
        </w:rPr>
      </w:pPr>
    </w:p>
    <w:p>
      <w:pPr>
        <w:ind w:left="920" w:right="100" w:firstLine="420"/>
        <w:spacing w:after="0" w:line="276" w:lineRule="auto"/>
        <w:rPr>
          <w:sz w:val="20"/>
          <w:szCs w:val="20"/>
          <w:color w:val="auto"/>
        </w:rPr>
      </w:pPr>
      <w:r>
        <w:rPr>
          <w:rFonts w:ascii="Arial" w:cs="Arial" w:eastAsia="Arial" w:hAnsi="Arial"/>
          <w:sz w:val="17"/>
          <w:szCs w:val="17"/>
          <w:color w:val="auto"/>
        </w:rPr>
        <w:t>Muzinich strongly believes that TICC’s Board of Directors must establish a comprehensive process to identify and independently evaluate existing competing offers, solicit additional offers, and recommend action that is in the best interests of stockholders. In discussions with your management, we mentioned that perhaps the Board of Directors should postpone the Special Meeting of Stockholders of TICC scheduled for October 27, 2015 and hire an investment banking firm to review existing offers as well as solicit additional offers. This course of action, we believe, would assure that the best interests of stockholders are being served.</w:t>
      </w:r>
    </w:p>
    <w:p>
      <w:pPr>
        <w:spacing w:after="0" w:line="173" w:lineRule="exact"/>
        <w:rPr>
          <w:sz w:val="20"/>
          <w:szCs w:val="20"/>
          <w:color w:val="auto"/>
        </w:rPr>
      </w:pPr>
    </w:p>
    <w:p>
      <w:pPr>
        <w:ind w:left="920" w:firstLine="420"/>
        <w:spacing w:after="0" w:line="312" w:lineRule="auto"/>
        <w:rPr>
          <w:sz w:val="20"/>
          <w:szCs w:val="20"/>
          <w:color w:val="auto"/>
        </w:rPr>
      </w:pPr>
      <w:r>
        <w:rPr>
          <w:rFonts w:ascii="Arial" w:cs="Arial" w:eastAsia="Arial" w:hAnsi="Arial"/>
          <w:sz w:val="16"/>
          <w:szCs w:val="16"/>
          <w:color w:val="auto"/>
        </w:rPr>
        <w:t>We were surprised when the Special Committee released a statement on September 21, 2015 reaffirming its initial position and, we believe, premature decision to pursue the Benefit Street Partners’ (“Benefit Street”) offer over competing offers. We believe, based on public disclosure, this decision was made without the benefit of appropriate advice and necessary deliberation, especially as the Benefit Street offer does not expire.</w:t>
      </w:r>
    </w:p>
    <w:p>
      <w:pPr>
        <w:spacing w:after="0" w:line="147" w:lineRule="exact"/>
        <w:rPr>
          <w:sz w:val="20"/>
          <w:szCs w:val="20"/>
          <w:color w:val="auto"/>
        </w:rPr>
      </w:pPr>
    </w:p>
    <w:p>
      <w:pPr>
        <w:ind w:left="920" w:right="40" w:firstLine="420"/>
        <w:spacing w:after="0" w:line="277" w:lineRule="auto"/>
        <w:rPr>
          <w:sz w:val="20"/>
          <w:szCs w:val="20"/>
          <w:color w:val="auto"/>
        </w:rPr>
      </w:pPr>
      <w:r>
        <w:rPr>
          <w:rFonts w:ascii="Arial" w:cs="Arial" w:eastAsia="Arial" w:hAnsi="Arial"/>
          <w:sz w:val="18"/>
          <w:szCs w:val="18"/>
          <w:color w:val="auto"/>
        </w:rPr>
        <w:t>We were further disappointed by the letter from the Special Committee to stockholders of September 24, 2015, again rejecting a competing offer without due consideration or process.</w:t>
      </w:r>
    </w:p>
    <w:p>
      <w:pPr>
        <w:spacing w:after="0" w:line="170"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We would like to note that the Board of Directors has continued to extend the management contract of the current investment manager of TICC (TICC Management LLC), who has pursued an investment strategy which has not proven to be in the best interests of stockholders. As you know, TICC’s share price has declined over 50% since its IPO and has declined during the past twelve months by approximately 25%. This poor share price performance has directly resulted from the continued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8" w:name="page19"/>
    <w:bookmarkEnd w:id="18"/>
    <w:p>
      <w:pPr>
        <w:ind w:left="2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pursuit of the current “non market” investment strategy and will likely make any portfolio rebalancing by a new investment manager more complex. Given this continued failure of process since the IPO, we would expect the Board of Directors to make every effort to ensure that any change of investment manager would be clearly in the best interests of stockholders and demonstrate good faith in this pursuit through a thorough, thoughtful, and comprehensive process.</w:t>
      </w:r>
    </w:p>
    <w:p>
      <w:pPr>
        <w:spacing w:after="0" w:line="187" w:lineRule="exact"/>
        <w:rPr>
          <w:sz w:val="20"/>
          <w:szCs w:val="20"/>
          <w:color w:val="auto"/>
        </w:rPr>
      </w:pPr>
    </w:p>
    <w:p>
      <w:pPr>
        <w:jc w:val="both"/>
        <w:ind w:left="20" w:right="620" w:firstLine="420"/>
        <w:spacing w:after="0" w:line="264" w:lineRule="auto"/>
        <w:rPr>
          <w:sz w:val="20"/>
          <w:szCs w:val="20"/>
          <w:color w:val="auto"/>
        </w:rPr>
      </w:pPr>
      <w:r>
        <w:rPr>
          <w:rFonts w:ascii="Arial" w:cs="Arial" w:eastAsia="Arial" w:hAnsi="Arial"/>
          <w:sz w:val="18"/>
          <w:szCs w:val="18"/>
          <w:color w:val="auto"/>
        </w:rPr>
        <w:t>Again, we are requesting that the Board of Directors of TICC immediately postpone the Special Meeting of Stockholders of TICC scheduled for October 27, 2015 and hire an investment banking firm to review, in good faith, all existing offers and, importantly, solicit additional offers to assure that the best interests of stockholders are being served.</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Muzinich &amp; Co.,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450 Park Avenue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 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September 28, 2015, TSLX issued the following press release:</w:t>
      </w:r>
    </w:p>
    <w:p>
      <w:pPr>
        <w:spacing w:after="0" w:line="22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TPG Specialty Lending, Inc. Demonstrates Superior Value of Its Proposal</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 Letter to TICC Capital Corp. Stockholders</w:t>
      </w:r>
    </w:p>
    <w:p>
      <w:pPr>
        <w:spacing w:after="0" w:line="211"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Highlights the Substantial Flaws of TICC’s Proposed Transaction and</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Failed History of Generating Stockholder Value</w:t>
      </w:r>
    </w:p>
    <w:p>
      <w:pPr>
        <w:spacing w:after="0" w:line="211"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Urges TICC Stockholders to Vote Against All Proposals at Upcoming</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Special Meeting of Stockholders on October 27, 2015</w:t>
      </w:r>
    </w:p>
    <w:p>
      <w:pPr>
        <w:spacing w:after="0" w:line="211" w:lineRule="exact"/>
        <w:rPr>
          <w:sz w:val="20"/>
          <w:szCs w:val="20"/>
          <w:color w:val="auto"/>
        </w:rPr>
      </w:pPr>
    </w:p>
    <w:p>
      <w:pPr>
        <w:ind w:left="20" w:right="40" w:firstLine="420"/>
        <w:spacing w:after="0" w:line="264" w:lineRule="auto"/>
        <w:rPr>
          <w:sz w:val="20"/>
          <w:szCs w:val="20"/>
          <w:color w:val="auto"/>
        </w:rPr>
      </w:pPr>
      <w:r>
        <w:rPr>
          <w:rFonts w:ascii="Arial" w:cs="Arial" w:eastAsia="Arial" w:hAnsi="Arial"/>
          <w:sz w:val="18"/>
          <w:szCs w:val="18"/>
          <w:color w:val="auto"/>
        </w:rPr>
        <w:t>NEW YORK—(BUSINESS WIRE)— TPG Specialty Lending, Inc. (“TSLX”; NYSE: TSLX), a specialty finance company focused on lending to middle-market companies, today sent a letter to all stockholders of TICC Capital Corp. (“TICC”; Nasdaq: TICC) urging them to vote against the management at the upcoming special meeting of stockholders on October 27, 2015.</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copy of the letter follows: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Fellow TICC Stockholders:</w:t>
      </w:r>
    </w:p>
    <w:p>
      <w:pPr>
        <w:spacing w:after="0" w:line="117" w:lineRule="exact"/>
        <w:rPr>
          <w:sz w:val="20"/>
          <w:szCs w:val="20"/>
          <w:color w:val="auto"/>
        </w:rPr>
      </w:pPr>
    </w:p>
    <w:p>
      <w:pPr>
        <w:jc w:val="both"/>
        <w:ind w:left="20" w:right="100" w:firstLine="420"/>
        <w:spacing w:after="0" w:line="264" w:lineRule="auto"/>
        <w:rPr>
          <w:sz w:val="20"/>
          <w:szCs w:val="20"/>
          <w:color w:val="auto"/>
        </w:rPr>
      </w:pPr>
      <w:r>
        <w:rPr>
          <w:rFonts w:ascii="Arial" w:cs="Arial" w:eastAsia="Arial" w:hAnsi="Arial"/>
          <w:sz w:val="18"/>
          <w:szCs w:val="18"/>
          <w:color w:val="auto"/>
        </w:rPr>
        <w:t>We are writing to you today on behalf of TPG Specialty Lending, Inc. (“TSLX”), a publicly traded specialty finance company focused on lending to middle-market companies and a fellow stockholder of TICC Capital Corp. (“TICC”). In only a matter of weeks, you will be asked to make a critical decision that will impact the future of your investment in TICC.</w:t>
      </w:r>
    </w:p>
    <w:p>
      <w:pPr>
        <w:spacing w:after="0" w:line="73" w:lineRule="exact"/>
        <w:rPr>
          <w:sz w:val="20"/>
          <w:szCs w:val="20"/>
          <w:color w:val="auto"/>
        </w:rPr>
      </w:pPr>
    </w:p>
    <w:p>
      <w:pPr>
        <w:jc w:val="both"/>
        <w:ind w:left="20" w:right="140" w:firstLine="420"/>
        <w:spacing w:after="0" w:line="264" w:lineRule="auto"/>
        <w:rPr>
          <w:sz w:val="20"/>
          <w:szCs w:val="20"/>
          <w:color w:val="auto"/>
        </w:rPr>
      </w:pPr>
      <w:r>
        <w:rPr>
          <w:rFonts w:ascii="Arial" w:cs="Arial" w:eastAsia="Arial" w:hAnsi="Arial"/>
          <w:sz w:val="18"/>
          <w:szCs w:val="18"/>
          <w:color w:val="auto"/>
        </w:rPr>
        <w:t>We know that TICC has been and will be reaching out to you directly to solicit support for what we believe is a transaction to replace the external manager with Benefit Street Partners L.L.C (“Benefit Street”) that does not deliver for stockholders and prioritizes delivering upfront monetary value to its external manager.</w:t>
      </w:r>
    </w:p>
    <w:p>
      <w:pPr>
        <w:spacing w:after="0" w:line="73" w:lineRule="exact"/>
        <w:rPr>
          <w:sz w:val="20"/>
          <w:szCs w:val="20"/>
          <w:color w:val="auto"/>
        </w:rPr>
      </w:pPr>
    </w:p>
    <w:p>
      <w:pPr>
        <w:ind w:left="20" w:firstLine="420"/>
        <w:spacing w:after="0" w:line="259" w:lineRule="auto"/>
        <w:rPr>
          <w:sz w:val="20"/>
          <w:szCs w:val="20"/>
          <w:color w:val="auto"/>
        </w:rPr>
      </w:pPr>
      <w:r>
        <w:rPr>
          <w:rFonts w:ascii="Arial" w:cs="Arial" w:eastAsia="Arial" w:hAnsi="Arial"/>
          <w:sz w:val="18"/>
          <w:szCs w:val="18"/>
          <w:color w:val="auto"/>
        </w:rPr>
        <w:t>What TICC is unlikely to tell you is that at TSLX, we stand committed to delivering immediate and substantial value directly to you, the stockholder. TICC is only proposing the prospect of lower management fees. Stockholders should question the utility of this when Benefit Street brings no experience managing a publicly traded business development company and therefore has no proven ability in this sector to effectively generate stockholder value to you.</w:t>
      </w:r>
    </w:p>
    <w:p>
      <w:pPr>
        <w:spacing w:after="0" w:line="79" w:lineRule="exact"/>
        <w:rPr>
          <w:sz w:val="20"/>
          <w:szCs w:val="20"/>
          <w:color w:val="auto"/>
        </w:rPr>
      </w:pPr>
    </w:p>
    <w:p>
      <w:pPr>
        <w:ind w:left="20" w:right="40" w:firstLine="420"/>
        <w:spacing w:after="0" w:line="257" w:lineRule="auto"/>
        <w:rPr>
          <w:sz w:val="20"/>
          <w:szCs w:val="20"/>
          <w:color w:val="auto"/>
        </w:rPr>
      </w:pPr>
      <w:r>
        <w:rPr>
          <w:rFonts w:ascii="Arial" w:cs="Arial" w:eastAsia="Arial" w:hAnsi="Arial"/>
          <w:sz w:val="18"/>
          <w:szCs w:val="18"/>
          <w:color w:val="auto"/>
        </w:rPr>
        <w:t>We have presented a proposal that would offer you shares of TSLX stock with a value of $7.50 for each of your existing shares of TICC (the “TSLX Proposal”). This represents a 20% premium to TICC’s undisturbed closing price on September 15, 2015— all “undisturbed” means is that we are comparing our offer to TICC’s stock price the day before TSLX publicly announced its proposal, before the market decided our proposal was worthwhile and caused TICC’s price to increase. The TSLX Proposal also provides you with the clear opportunity to participate in the further value creation</w:t>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0"/>
          </w:cols>
          <w:pgMar w:left="1140" w:top="274" w:right="319" w:bottom="1440" w:gutter="0" w:footer="0" w:header="0"/>
        </w:sectPr>
      </w:pPr>
    </w:p>
    <w:bookmarkStart w:id="19" w:name="page20"/>
    <w:bookmarkEnd w:id="19"/>
    <w:p>
      <w:pPr>
        <w:ind w:left="92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our industry-leading platform. Our proposal represents a 12.8% discount to TICC’s net asset value as of June 30, 2015, although this discount is less than the discount to net asset value at which the shares have traded since June 30th.</w:t>
      </w:r>
    </w:p>
    <w:p>
      <w:pPr>
        <w:spacing w:after="0" w:line="62" w:lineRule="exact"/>
        <w:rPr>
          <w:sz w:val="20"/>
          <w:szCs w:val="20"/>
          <w:color w:val="auto"/>
        </w:rPr>
      </w:pPr>
    </w:p>
    <w:p>
      <w:pPr>
        <w:jc w:val="both"/>
        <w:ind w:left="920" w:right="200" w:firstLine="420"/>
        <w:spacing w:after="0" w:line="342" w:lineRule="auto"/>
        <w:rPr>
          <w:sz w:val="20"/>
          <w:szCs w:val="20"/>
          <w:color w:val="auto"/>
        </w:rPr>
      </w:pPr>
      <w:r>
        <w:rPr>
          <w:rFonts w:ascii="Arial" w:cs="Arial" w:eastAsia="Arial" w:hAnsi="Arial"/>
          <w:sz w:val="16"/>
          <w:szCs w:val="16"/>
          <w:color w:val="auto"/>
        </w:rPr>
        <w:t>The TICC Board has thus far rejected our proposal without engaging with us in negotiations or even a discussion of the substance of our proposal, and remains steadfast in that rejection despite many third parties and even major TICC stockholders saying it warrants consideration.</w:t>
      </w:r>
    </w:p>
    <w:p>
      <w:pPr>
        <w:spacing w:after="0" w:line="16" w:lineRule="exact"/>
        <w:rPr>
          <w:sz w:val="20"/>
          <w:szCs w:val="20"/>
          <w:color w:val="auto"/>
        </w:rPr>
      </w:pPr>
    </w:p>
    <w:p>
      <w:pPr>
        <w:ind w:left="920" w:right="260" w:firstLine="420"/>
        <w:spacing w:after="0" w:line="264" w:lineRule="auto"/>
        <w:rPr>
          <w:sz w:val="20"/>
          <w:szCs w:val="20"/>
          <w:color w:val="auto"/>
        </w:rPr>
      </w:pPr>
      <w:r>
        <w:rPr>
          <w:rFonts w:ascii="Arial" w:cs="Arial" w:eastAsia="Arial" w:hAnsi="Arial"/>
          <w:sz w:val="18"/>
          <w:szCs w:val="18"/>
          <w:color w:val="auto"/>
        </w:rPr>
        <w:t xml:space="preserve">Voting AGAINST management’s proposals will 1) halt an inferior transaction from moving forward, 2) send a clear message to TICC to engage with TSLX and 3) tell the TICC Board that you are fed up with its failed strategy and leadership. For more information go to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73" w:lineRule="exact"/>
        <w:rPr>
          <w:sz w:val="20"/>
          <w:szCs w:val="20"/>
          <w:color w:val="auto"/>
        </w:rPr>
      </w:pPr>
    </w:p>
    <w:p>
      <w:pPr>
        <w:ind w:left="920" w:right="80" w:firstLine="420"/>
        <w:spacing w:after="0" w:line="277" w:lineRule="auto"/>
        <w:rPr>
          <w:sz w:val="20"/>
          <w:szCs w:val="20"/>
          <w:color w:val="auto"/>
        </w:rPr>
      </w:pPr>
      <w:r>
        <w:rPr>
          <w:rFonts w:ascii="Arial" w:cs="Arial" w:eastAsia="Arial" w:hAnsi="Arial"/>
          <w:sz w:val="18"/>
          <w:szCs w:val="18"/>
          <w:color w:val="auto"/>
        </w:rPr>
        <w:t>Stockholders should focus on the questions that matter most for their investment. We urge you to ask TICC these key questions should you be contacted by TICC.</w:t>
      </w:r>
    </w:p>
    <w:p>
      <w:pPr>
        <w:spacing w:after="0" w:line="62" w:lineRule="exact"/>
        <w:rPr>
          <w:sz w:val="20"/>
          <w:szCs w:val="20"/>
          <w:color w:val="auto"/>
        </w:rPr>
      </w:pPr>
    </w:p>
    <w:p>
      <w:pPr>
        <w:ind w:left="920" w:right="40" w:firstLine="420"/>
        <w:spacing w:after="0" w:line="277" w:lineRule="auto"/>
        <w:rPr>
          <w:sz w:val="20"/>
          <w:szCs w:val="20"/>
          <w:color w:val="auto"/>
        </w:rPr>
      </w:pPr>
      <w:r>
        <w:rPr>
          <w:rFonts w:ascii="Arial" w:cs="Arial" w:eastAsia="Arial" w:hAnsi="Arial"/>
          <w:sz w:val="18"/>
          <w:szCs w:val="18"/>
          <w:color w:val="auto"/>
        </w:rPr>
        <w:t>QUESTION 1: Are management or interested board members of TICC receiving compensation, remuneration, or other payments related to the proposed change of control of the TICC external manager?</w:t>
      </w:r>
    </w:p>
    <w:p>
      <w:pPr>
        <w:spacing w:after="0" w:line="62" w:lineRule="exact"/>
        <w:rPr>
          <w:sz w:val="20"/>
          <w:szCs w:val="20"/>
          <w:color w:val="auto"/>
        </w:rPr>
      </w:pPr>
    </w:p>
    <w:p>
      <w:pPr>
        <w:ind w:left="920" w:right="140" w:firstLine="420"/>
        <w:spacing w:after="0" w:line="272" w:lineRule="auto"/>
        <w:rPr>
          <w:sz w:val="20"/>
          <w:szCs w:val="20"/>
          <w:color w:val="auto"/>
        </w:rPr>
      </w:pPr>
      <w:r>
        <w:rPr>
          <w:rFonts w:ascii="Arial" w:cs="Arial" w:eastAsia="Arial" w:hAnsi="Arial"/>
          <w:sz w:val="17"/>
          <w:szCs w:val="17"/>
          <w:color w:val="auto"/>
        </w:rPr>
        <w:t>Stockholders should know that by changing the external manager it is estimated the transaction will generate $60 million in payments to TICC’s current external manager,</w:t>
      </w:r>
      <w:r>
        <w:rPr>
          <w:rFonts w:ascii="Arial" w:cs="Arial" w:eastAsia="Arial" w:hAnsi="Arial"/>
          <w:sz w:val="14"/>
          <w:szCs w:val="14"/>
          <w:color w:val="auto"/>
        </w:rPr>
        <w:t>2</w:t>
      </w:r>
      <w:r>
        <w:rPr>
          <w:rFonts w:ascii="Arial" w:cs="Arial" w:eastAsia="Arial" w:hAnsi="Arial"/>
          <w:sz w:val="17"/>
          <w:szCs w:val="17"/>
          <w:color w:val="auto"/>
        </w:rPr>
        <w:t xml:space="preserve"> which includes members of TICC’s Board, […] which represents 16% of closing market capitalization on September 15, 2015. TICC has thus far failed to disclose the amount of these payments but nevertheless asks for your vote in approving this transaction. There would be no immediate or certain benefits to TICC stockholders other than the prospect of lower fees going forward. In fact, we believe TICC’s refusal to utilize [significant share] buybacks to support net asset value is a sign of continued prioritization of its external manager (which would suffer under a buyback program—the external manager makes less if net asset value of TICC declines) over stockholder value (which would increase under such a program).</w:t>
      </w:r>
    </w:p>
    <w:p>
      <w:pPr>
        <w:spacing w:after="0" w:line="70" w:lineRule="exact"/>
        <w:rPr>
          <w:sz w:val="20"/>
          <w:szCs w:val="20"/>
          <w:color w:val="auto"/>
        </w:rPr>
      </w:pPr>
    </w:p>
    <w:p>
      <w:pPr>
        <w:ind w:left="920" w:right="600" w:firstLine="420"/>
        <w:spacing w:after="0" w:line="308" w:lineRule="auto"/>
        <w:rPr>
          <w:sz w:val="20"/>
          <w:szCs w:val="20"/>
          <w:color w:val="auto"/>
        </w:rPr>
      </w:pPr>
      <w:r>
        <w:rPr>
          <w:rFonts w:ascii="Arial" w:cs="Arial" w:eastAsia="Arial" w:hAnsi="Arial"/>
          <w:sz w:val="17"/>
          <w:szCs w:val="17"/>
          <w:color w:val="auto"/>
        </w:rPr>
        <w:t>QUESTION 2: As compared to other business development companies and asset classes, what results has management’s leadership produced for TICC stockholders in the past three years? What about since TICC’s initial public offering?</w:t>
      </w:r>
    </w:p>
    <w:p>
      <w:pPr>
        <w:spacing w:after="0" w:line="38" w:lineRule="exact"/>
        <w:rPr>
          <w:sz w:val="20"/>
          <w:szCs w:val="20"/>
          <w:color w:val="auto"/>
        </w:rPr>
      </w:pPr>
    </w:p>
    <w:p>
      <w:pPr>
        <w:ind w:left="920" w:right="100" w:firstLine="420"/>
        <w:spacing w:after="0" w:line="342" w:lineRule="auto"/>
        <w:rPr>
          <w:sz w:val="20"/>
          <w:szCs w:val="20"/>
          <w:color w:val="auto"/>
        </w:rPr>
      </w:pPr>
      <w:r>
        <w:rPr>
          <w:rFonts w:ascii="Arial" w:cs="Arial" w:eastAsia="Arial" w:hAnsi="Arial"/>
          <w:sz w:val="16"/>
          <w:szCs w:val="16"/>
          <w:color w:val="auto"/>
        </w:rPr>
        <w:t>As a TICC stockholder you likely know the underperformance of this platform very well. In fact, over the last three years, you would have generated higher returns investing in U.S. Treasuries – in an historic low interest rate environment – than you would have TICC’s stock.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TICC Relative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Total Return %</w:t>
            </w:r>
          </w:p>
        </w:tc>
        <w:tc>
          <w:tcPr>
            <w:tcW w:w="25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One</w:t>
            </w:r>
          </w:p>
        </w:tc>
        <w:tc>
          <w:tcPr>
            <w:tcW w:w="8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Three</w:t>
            </w:r>
          </w:p>
        </w:tc>
        <w:tc>
          <w:tcPr>
            <w:tcW w:w="9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Since</w:t>
            </w:r>
          </w:p>
        </w:tc>
        <w:tc>
          <w:tcPr>
            <w:tcW w:w="180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4"/>
                <w:szCs w:val="14"/>
                <w:b w:val="1"/>
                <w:bCs w:val="1"/>
                <w:color w:val="auto"/>
                <w:w w:val="94"/>
              </w:rPr>
              <w:t>Underperformance</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68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One</w:t>
            </w:r>
          </w:p>
        </w:tc>
        <w:tc>
          <w:tcPr>
            <w:tcW w:w="1120" w:type="dxa"/>
            <w:vAlign w:val="bottom"/>
          </w:tcPr>
          <w:p>
            <w:pPr>
              <w:ind w:left="240"/>
              <w:spacing w:after="0" w:line="119" w:lineRule="exact"/>
              <w:rPr>
                <w:sz w:val="20"/>
                <w:szCs w:val="20"/>
                <w:color w:val="auto"/>
              </w:rPr>
            </w:pPr>
            <w:r>
              <w:rPr>
                <w:rFonts w:ascii="Arial" w:cs="Arial" w:eastAsia="Arial" w:hAnsi="Arial"/>
                <w:sz w:val="13"/>
                <w:szCs w:val="13"/>
                <w:b w:val="1"/>
                <w:bCs w:val="1"/>
                <w:color w:val="auto"/>
              </w:rPr>
              <w:t>Three</w:t>
            </w:r>
          </w:p>
        </w:tc>
        <w:tc>
          <w:tcPr>
            <w:tcW w:w="50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Since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54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3</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IPO</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25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(21.8)%</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(13.9)%</w:t>
            </w:r>
          </w:p>
        </w:tc>
        <w:tc>
          <w:tcPr>
            <w:tcW w:w="9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51.6%</w:t>
            </w:r>
          </w:p>
        </w:tc>
        <w:tc>
          <w:tcPr>
            <w:tcW w:w="6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right="136"/>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BDC Composite</w:t>
            </w:r>
            <w:r>
              <w:rPr>
                <w:rFonts w:ascii="Arial" w:cs="Arial" w:eastAsia="Arial" w:hAnsi="Arial"/>
                <w:sz w:val="15"/>
                <w:szCs w:val="15"/>
                <w:b w:val="1"/>
                <w:bCs w:val="1"/>
                <w:color w:val="auto"/>
              </w:rPr>
              <w:t>4</w:t>
            </w:r>
          </w:p>
        </w:tc>
        <w:tc>
          <w:tcPr>
            <w:tcW w:w="2540" w:type="dxa"/>
            <w:vAlign w:val="bottom"/>
          </w:tcPr>
          <w:p>
            <w:pPr>
              <w:jc w:val="right"/>
              <w:ind w:right="194"/>
              <w:spacing w:after="0"/>
              <w:rPr>
                <w:sz w:val="20"/>
                <w:szCs w:val="20"/>
                <w:color w:val="auto"/>
              </w:rPr>
            </w:pPr>
            <w:r>
              <w:rPr>
                <w:rFonts w:ascii="Arial" w:cs="Arial" w:eastAsia="Arial" w:hAnsi="Arial"/>
                <w:sz w:val="18"/>
                <w:szCs w:val="18"/>
                <w:color w:val="auto"/>
              </w:rPr>
              <w:t>(9.8)</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7.4</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206.0</w:t>
            </w:r>
          </w:p>
        </w:tc>
        <w:tc>
          <w:tcPr>
            <w:tcW w:w="680" w:type="dxa"/>
            <w:vAlign w:val="bottom"/>
          </w:tcPr>
          <w:p>
            <w:pPr>
              <w:ind w:left="60"/>
              <w:spacing w:after="0"/>
              <w:rPr>
                <w:sz w:val="20"/>
                <w:szCs w:val="20"/>
                <w:color w:val="auto"/>
              </w:rPr>
            </w:pPr>
            <w:r>
              <w:rPr>
                <w:rFonts w:ascii="Arial" w:cs="Arial" w:eastAsia="Arial" w:hAnsi="Arial"/>
                <w:sz w:val="18"/>
                <w:szCs w:val="18"/>
                <w:color w:val="auto"/>
                <w:w w:val="95"/>
              </w:rPr>
              <w:t>(12.0)%</w:t>
            </w:r>
          </w:p>
        </w:tc>
        <w:tc>
          <w:tcPr>
            <w:tcW w:w="1120" w:type="dxa"/>
            <w:vAlign w:val="bottom"/>
          </w:tcPr>
          <w:p>
            <w:pPr>
              <w:ind w:left="260"/>
              <w:spacing w:after="0"/>
              <w:rPr>
                <w:sz w:val="20"/>
                <w:szCs w:val="20"/>
                <w:color w:val="auto"/>
              </w:rPr>
            </w:pPr>
            <w:r>
              <w:rPr>
                <w:rFonts w:ascii="Arial" w:cs="Arial" w:eastAsia="Arial" w:hAnsi="Arial"/>
                <w:sz w:val="18"/>
                <w:szCs w:val="18"/>
                <w:color w:val="auto"/>
              </w:rPr>
              <w:t>(21.3)%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2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43.8</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143.7</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(23.6)</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(57.7)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2540" w:type="dxa"/>
            <w:vAlign w:val="bottom"/>
          </w:tcPr>
          <w:p>
            <w:pPr>
              <w:jc w:val="right"/>
              <w:ind w:right="254"/>
              <w:spacing w:after="0"/>
              <w:rPr>
                <w:sz w:val="20"/>
                <w:szCs w:val="20"/>
                <w:color w:val="auto"/>
              </w:rPr>
            </w:pPr>
            <w:r>
              <w:rPr>
                <w:rFonts w:ascii="Arial" w:cs="Arial" w:eastAsia="Arial" w:hAnsi="Arial"/>
                <w:sz w:val="18"/>
                <w:szCs w:val="18"/>
                <w:color w:val="auto"/>
              </w:rPr>
              <w:t>3.2</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3.9</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60.4</w:t>
            </w:r>
          </w:p>
        </w:tc>
        <w:tc>
          <w:tcPr>
            <w:tcW w:w="680" w:type="dxa"/>
            <w:vAlign w:val="bottom"/>
          </w:tcPr>
          <w:p>
            <w:pPr>
              <w:ind w:left="60"/>
              <w:spacing w:after="0"/>
              <w:rPr>
                <w:sz w:val="20"/>
                <w:szCs w:val="20"/>
                <w:color w:val="auto"/>
              </w:rPr>
            </w:pPr>
            <w:r>
              <w:rPr>
                <w:rFonts w:ascii="Arial" w:cs="Arial" w:eastAsia="Arial" w:hAnsi="Arial"/>
                <w:sz w:val="18"/>
                <w:szCs w:val="18"/>
                <w:color w:val="auto"/>
              </w:rPr>
              <w:t>(25.0)</w:t>
            </w:r>
          </w:p>
        </w:tc>
        <w:tc>
          <w:tcPr>
            <w:tcW w:w="1120" w:type="dxa"/>
            <w:vAlign w:val="bottom"/>
          </w:tcPr>
          <w:p>
            <w:pPr>
              <w:ind w:left="260"/>
              <w:spacing w:after="0"/>
              <w:rPr>
                <w:sz w:val="20"/>
                <w:szCs w:val="20"/>
                <w:color w:val="auto"/>
              </w:rPr>
            </w:pPr>
            <w:r>
              <w:rPr>
                <w:rFonts w:ascii="Arial" w:cs="Arial" w:eastAsia="Arial" w:hAnsi="Arial"/>
                <w:sz w:val="18"/>
                <w:szCs w:val="18"/>
                <w:color w:val="auto"/>
              </w:rPr>
              <w:t>(17.9)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Grade Corporate Debt</w:t>
            </w:r>
          </w:p>
        </w:tc>
        <w:tc>
          <w:tcPr>
            <w:tcW w:w="2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7.3</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84.3</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(22.8)</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High Yield Corporate Debt</w:t>
            </w:r>
          </w:p>
        </w:tc>
        <w:tc>
          <w:tcPr>
            <w:tcW w:w="2540" w:type="dxa"/>
            <w:vAlign w:val="bottom"/>
          </w:tcPr>
          <w:p>
            <w:pPr>
              <w:jc w:val="right"/>
              <w:ind w:right="194"/>
              <w:spacing w:after="0"/>
              <w:rPr>
                <w:sz w:val="20"/>
                <w:szCs w:val="20"/>
                <w:color w:val="auto"/>
              </w:rPr>
            </w:pPr>
            <w:r>
              <w:rPr>
                <w:rFonts w:ascii="Arial" w:cs="Arial" w:eastAsia="Arial" w:hAnsi="Arial"/>
                <w:sz w:val="18"/>
                <w:szCs w:val="18"/>
                <w:color w:val="auto"/>
              </w:rPr>
              <w:t>(1.5)</w:t>
            </w:r>
          </w:p>
        </w:tc>
        <w:tc>
          <w:tcPr>
            <w:tcW w:w="880" w:type="dxa"/>
            <w:vAlign w:val="bottom"/>
          </w:tcPr>
          <w:p>
            <w:pPr>
              <w:jc w:val="right"/>
              <w:ind w:right="254"/>
              <w:spacing w:after="0"/>
              <w:rPr>
                <w:sz w:val="20"/>
                <w:szCs w:val="20"/>
                <w:color w:val="auto"/>
              </w:rPr>
            </w:pPr>
            <w:r>
              <w:rPr>
                <w:rFonts w:ascii="Arial" w:cs="Arial" w:eastAsia="Arial" w:hAnsi="Arial"/>
                <w:sz w:val="18"/>
                <w:szCs w:val="18"/>
                <w:color w:val="auto"/>
              </w:rPr>
              <w:t>10.7</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105.7</w:t>
            </w:r>
          </w:p>
        </w:tc>
        <w:tc>
          <w:tcPr>
            <w:tcW w:w="680" w:type="dxa"/>
            <w:vAlign w:val="bottom"/>
          </w:tcPr>
          <w:p>
            <w:pPr>
              <w:ind w:left="60"/>
              <w:spacing w:after="0"/>
              <w:rPr>
                <w:sz w:val="20"/>
                <w:szCs w:val="20"/>
                <w:color w:val="auto"/>
              </w:rPr>
            </w:pPr>
            <w:r>
              <w:rPr>
                <w:rFonts w:ascii="Arial" w:cs="Arial" w:eastAsia="Arial" w:hAnsi="Arial"/>
                <w:sz w:val="18"/>
                <w:szCs w:val="18"/>
                <w:color w:val="auto"/>
              </w:rPr>
              <w:t>(20.3)</w:t>
            </w:r>
          </w:p>
        </w:tc>
        <w:tc>
          <w:tcPr>
            <w:tcW w:w="1120" w:type="dxa"/>
            <w:vAlign w:val="bottom"/>
          </w:tcPr>
          <w:p>
            <w:pPr>
              <w:ind w:left="260"/>
              <w:spacing w:after="0"/>
              <w:rPr>
                <w:sz w:val="20"/>
                <w:szCs w:val="20"/>
                <w:color w:val="auto"/>
              </w:rPr>
            </w:pPr>
            <w:r>
              <w:rPr>
                <w:rFonts w:ascii="Arial" w:cs="Arial" w:eastAsia="Arial" w:hAnsi="Arial"/>
                <w:sz w:val="18"/>
                <w:szCs w:val="18"/>
                <w:color w:val="auto"/>
              </w:rPr>
              <w:t>(24.6)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TSLX</w:t>
            </w:r>
            <w:r>
              <w:rPr>
                <w:rFonts w:ascii="Arial" w:cs="Arial" w:eastAsia="Arial" w:hAnsi="Arial"/>
                <w:sz w:val="15"/>
                <w:szCs w:val="15"/>
                <w:b w:val="1"/>
                <w:bCs w:val="1"/>
                <w:color w:val="auto"/>
              </w:rPr>
              <w:t>5</w:t>
            </w:r>
          </w:p>
        </w:tc>
        <w:tc>
          <w:tcPr>
            <w:tcW w:w="25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51.6%</w:t>
            </w: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(33.8)%</w:t>
            </w:r>
          </w:p>
        </w:tc>
        <w:tc>
          <w:tcPr>
            <w:tcW w:w="1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(65.5)%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Wells Fargo - September 18, 2015.</w:t>
      </w:r>
    </w:p>
    <w:p>
      <w:pPr>
        <w:spacing w:after="0" w:line="2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TICC and benchmark returns to 21-Nov-2003.</w:t>
      </w:r>
    </w:p>
    <w:p>
      <w:pPr>
        <w:spacing w:after="0" w:line="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pacing w:after="0" w:line="21" w:lineRule="exact"/>
        <w:rPr>
          <w:sz w:val="20"/>
          <w:szCs w:val="20"/>
          <w:color w:val="auto"/>
        </w:rPr>
      </w:pPr>
    </w:p>
    <w:p>
      <w:pPr>
        <w:ind w:left="460" w:right="420" w:hanging="452"/>
        <w:spacing w:after="0" w:line="262"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TSLX 3-year total return based off of 30-Jun-2012 NAV per share, 15-Sep-2015 closing stock price, and cumulative dividends declared during the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ind w:left="13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Market data as of 15-Sep-2015; Source: Bloomberg, fixed income benchmark data from Markit iBoxx</w:t>
      </w:r>
    </w:p>
    <w:p>
      <w:pPr>
        <w:spacing w:after="0" w:line="117" w:lineRule="exact"/>
        <w:rPr>
          <w:sz w:val="20"/>
          <w:szCs w:val="20"/>
          <w:color w:val="auto"/>
        </w:rPr>
      </w:pPr>
    </w:p>
    <w:p>
      <w:pPr>
        <w:ind w:left="912" w:right="40" w:firstLine="420"/>
        <w:spacing w:after="0" w:line="259" w:lineRule="auto"/>
        <w:rPr>
          <w:sz w:val="20"/>
          <w:szCs w:val="20"/>
          <w:color w:val="auto"/>
        </w:rPr>
      </w:pPr>
      <w:r>
        <w:rPr>
          <w:rFonts w:ascii="Arial" w:cs="Arial" w:eastAsia="Arial" w:hAnsi="Arial"/>
          <w:sz w:val="18"/>
          <w:szCs w:val="18"/>
          <w:color w:val="auto"/>
        </w:rPr>
        <w:t>[Benefit Street commenced operations as a sub-advisor to Griffin Street Partners on May 1, 2015. Griffin reports that their total return from May 1, 2015 to June 30, 2015 was 1.37% on approximately $2.5 million of assets under management. After taking into account selling commissions and dealer manager fees (which TSLX does not impose) reported by Griffin to be $1.00 per share, the load-adjusted return for investors who purchased Griffin shares in its initial offering is (8.77)%.]</w:t>
      </w:r>
    </w:p>
    <w:p>
      <w:pPr>
        <w:spacing w:after="0" w:line="79" w:lineRule="exact"/>
        <w:rPr>
          <w:sz w:val="20"/>
          <w:szCs w:val="20"/>
          <w:color w:val="auto"/>
        </w:rPr>
      </w:pPr>
    </w:p>
    <w:p>
      <w:pPr>
        <w:ind w:left="912" w:right="200" w:firstLine="420"/>
        <w:spacing w:after="0" w:line="308" w:lineRule="auto"/>
        <w:rPr>
          <w:sz w:val="20"/>
          <w:szCs w:val="20"/>
          <w:color w:val="auto"/>
        </w:rPr>
      </w:pPr>
      <w:r>
        <w:rPr>
          <w:rFonts w:ascii="Arial" w:cs="Arial" w:eastAsia="Arial" w:hAnsi="Arial"/>
          <w:sz w:val="17"/>
          <w:szCs w:val="17"/>
          <w:color w:val="auto"/>
        </w:rPr>
        <w:t>QUESTION 3: Why should the TICC external manager that oversaw this massive underperformance now be paid a premium [by Benefit Street to purchase the adviser entity]? Can’t the board simply replace the manager following the end of its contract?</w:t>
      </w:r>
    </w:p>
    <w:p>
      <w:pPr>
        <w:spacing w:after="0" w:line="38" w:lineRule="exact"/>
        <w:rPr>
          <w:sz w:val="20"/>
          <w:szCs w:val="20"/>
          <w:color w:val="auto"/>
        </w:rPr>
      </w:pPr>
    </w:p>
    <w:p>
      <w:pPr>
        <w:ind w:left="912" w:right="160" w:firstLine="420"/>
        <w:spacing w:after="0" w:line="257" w:lineRule="auto"/>
        <w:rPr>
          <w:sz w:val="20"/>
          <w:szCs w:val="20"/>
          <w:color w:val="auto"/>
        </w:rPr>
      </w:pPr>
      <w:r>
        <w:rPr>
          <w:rFonts w:ascii="Arial" w:cs="Arial" w:eastAsia="Arial" w:hAnsi="Arial"/>
          <w:sz w:val="18"/>
          <w:szCs w:val="18"/>
          <w:color w:val="auto"/>
        </w:rPr>
        <w:t>We believe that TICC’s management has massively underperformed against all significant measurements of stockholder value since its IPO. We do not agree that there is reason the existing manager should be paid for TICC to change managers when it has failed so miserably. By engaging in this transaction with Benefit Street, the TICC board of directors has already acknowledged the external manager can and should be changed. Furthermore, in this case, the nature of the current TICC assets, which are highly liquid, we believe this is an easily manageable change.</w:t>
      </w:r>
    </w:p>
    <w:p>
      <w:pPr>
        <w:spacing w:after="0" w:line="80" w:lineRule="exact"/>
        <w:rPr>
          <w:sz w:val="20"/>
          <w:szCs w:val="20"/>
          <w:color w:val="auto"/>
        </w:rPr>
      </w:pPr>
    </w:p>
    <w:p>
      <w:pPr>
        <w:ind w:left="912" w:right="60" w:firstLine="420"/>
        <w:spacing w:after="0" w:line="259" w:lineRule="auto"/>
        <w:rPr>
          <w:sz w:val="20"/>
          <w:szCs w:val="20"/>
          <w:color w:val="auto"/>
        </w:rPr>
      </w:pPr>
      <w:r>
        <w:rPr>
          <w:rFonts w:ascii="Arial" w:cs="Arial" w:eastAsia="Arial" w:hAnsi="Arial"/>
          <w:sz w:val="18"/>
          <w:szCs w:val="18"/>
          <w:color w:val="auto"/>
        </w:rPr>
        <w:t>Our proposal offers no compensation to TICC’s external manager while delivering an immediate premium to stockholders. [Of course, TSLX’s adviser would benefit from incremental base management and incentive fees that would accrue as a result of increased assets under management following consummation of the TSLX Proposal to the extent TSLX does not return capital to stockholders through share buy-backs or otherwise, which it has already committed to do if it can’t rotate the portfolio.]</w:t>
      </w:r>
    </w:p>
    <w:p>
      <w:pPr>
        <w:spacing w:after="0" w:line="7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4: Is TICC’s dividend sustainable? Is TICC currently earning enough to deliver its dividend?</w:t>
      </w:r>
    </w:p>
    <w:p>
      <w:pPr>
        <w:spacing w:after="0" w:line="117" w:lineRule="exact"/>
        <w:rPr>
          <w:sz w:val="20"/>
          <w:szCs w:val="20"/>
          <w:color w:val="auto"/>
        </w:rPr>
      </w:pPr>
    </w:p>
    <w:p>
      <w:pPr>
        <w:ind w:left="912" w:right="40" w:firstLine="420"/>
        <w:spacing w:after="0" w:line="297" w:lineRule="auto"/>
        <w:rPr>
          <w:sz w:val="20"/>
          <w:szCs w:val="20"/>
          <w:color w:val="auto"/>
        </w:rPr>
      </w:pPr>
      <w:r>
        <w:rPr>
          <w:rFonts w:ascii="Arial" w:cs="Arial" w:eastAsia="Arial" w:hAnsi="Arial"/>
          <w:sz w:val="16"/>
          <w:szCs w:val="16"/>
          <w:color w:val="auto"/>
        </w:rPr>
        <w:t>We believe the current dividend at TICC is highly unsustainable. At least five industry analysts have already indicated the TICC dividend will need to be cut because it is not possible to sustain a dividend that exceeds net investment income.</w:t>
      </w:r>
      <w:r>
        <w:rPr>
          <w:rFonts w:ascii="Arial" w:cs="Arial" w:eastAsia="Arial" w:hAnsi="Arial"/>
          <w:sz w:val="13"/>
          <w:szCs w:val="13"/>
          <w:color w:val="auto"/>
        </w:rPr>
        <w:t>6</w:t>
      </w:r>
      <w:r>
        <w:rPr>
          <w:rFonts w:ascii="Arial" w:cs="Arial" w:eastAsia="Arial" w:hAnsi="Arial"/>
          <w:sz w:val="16"/>
          <w:szCs w:val="16"/>
          <w:color w:val="auto"/>
        </w:rPr>
        <w:t xml:space="preserve"> Most recently, it paid a dividend in the second quarter of 2015 that exceeded its net investment income by 38%. By delivering you a dividend that exceeds net investment income, TICC has essentially been paying you a dividend out of the capital you invested – not out of the earnings from its investment strategy. This strategy has led to significant and consistent declines in net asset value from $10.02 in Q1 2013 to $8.60 as of Q2 2015, depleting your principal investment.</w:t>
      </w:r>
    </w:p>
    <w:p>
      <w:pPr>
        <w:spacing w:after="0" w:line="50" w:lineRule="exact"/>
        <w:rPr>
          <w:sz w:val="20"/>
          <w:szCs w:val="20"/>
          <w:color w:val="auto"/>
        </w:rPr>
      </w:pPr>
    </w:p>
    <w:p>
      <w:pPr>
        <w:ind w:left="912" w:right="180" w:firstLine="420"/>
        <w:spacing w:after="0" w:line="255" w:lineRule="auto"/>
        <w:rPr>
          <w:sz w:val="20"/>
          <w:szCs w:val="20"/>
          <w:color w:val="auto"/>
        </w:rPr>
      </w:pPr>
      <w:r>
        <w:rPr>
          <w:rFonts w:ascii="Arial" w:cs="Arial" w:eastAsia="Arial" w:hAnsi="Arial"/>
          <w:sz w:val="18"/>
          <w:szCs w:val="18"/>
          <w:color w:val="auto"/>
        </w:rPr>
        <w:t>Because TSLX would acquire TICC versus simply replacing the external manager, stockholders would receive dividends in line with our current policy. We have committed to maintaining our current dividend policy. This policy is based on a clear ability to deliver sustainable and growing dividends over time. TSLX has earned net investment income (including realized gains in 2012) in excess of its dividend every year since commencement of our investing activities in July 2011 so the dividend we pay [has to date been] sustainable. To the extent we are successful in rotating the TICC portfolio into higher yielding investments, this dividend policy would result in increased dividend payments for stockholders over time.</w:t>
      </w:r>
    </w:p>
    <w:p>
      <w:pPr>
        <w:spacing w:after="0" w:line="85" w:lineRule="exact"/>
        <w:rPr>
          <w:sz w:val="20"/>
          <w:szCs w:val="20"/>
          <w:color w:val="auto"/>
        </w:rPr>
      </w:pPr>
    </w:p>
    <w:p>
      <w:pPr>
        <w:ind w:left="1332"/>
        <w:spacing w:after="0"/>
        <w:rPr>
          <w:sz w:val="20"/>
          <w:szCs w:val="20"/>
          <w:color w:val="auto"/>
        </w:rPr>
      </w:pPr>
      <w:r>
        <w:rPr>
          <w:rFonts w:ascii="Arial" w:cs="Arial" w:eastAsia="Arial" w:hAnsi="Arial"/>
          <w:sz w:val="17"/>
          <w:szCs w:val="17"/>
          <w:color w:val="auto"/>
        </w:rPr>
        <w:t>QUESTION 5: As a stockholder, will I receive any immediate value as part of the Benefit Street transaction? The TSLX Proposal?</w:t>
      </w:r>
    </w:p>
    <w:p>
      <w:pPr>
        <w:spacing w:after="0" w:line="129" w:lineRule="exact"/>
        <w:rPr>
          <w:sz w:val="20"/>
          <w:szCs w:val="20"/>
          <w:color w:val="auto"/>
        </w:rPr>
      </w:pPr>
    </w:p>
    <w:p>
      <w:pPr>
        <w:ind w:left="912" w:right="380" w:firstLine="420"/>
        <w:spacing w:after="0" w:line="277" w:lineRule="auto"/>
        <w:rPr>
          <w:sz w:val="20"/>
          <w:szCs w:val="20"/>
          <w:color w:val="auto"/>
        </w:rPr>
      </w:pPr>
      <w:r>
        <w:rPr>
          <w:rFonts w:ascii="Arial" w:cs="Arial" w:eastAsia="Arial" w:hAnsi="Arial"/>
          <w:sz w:val="18"/>
          <w:szCs w:val="18"/>
          <w:color w:val="auto"/>
        </w:rPr>
        <w:t>TICC/Benefit Street: There is no direct consideration being offered for your shares as part of this transaction other than the prospect of lower fees going forward. We believe the prospect of lower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52" w:hanging="452"/>
        <w:spacing w:after="0" w:line="257" w:lineRule="auto"/>
        <w:tabs>
          <w:tab w:leader="none" w:pos="452" w:val="left"/>
        </w:tabs>
        <w:numPr>
          <w:ilvl w:val="0"/>
          <w:numId w:val="21"/>
        </w:numPr>
        <w:rPr>
          <w:rFonts w:ascii="Arial" w:cs="Arial" w:eastAsia="Arial" w:hAnsi="Arial"/>
          <w:sz w:val="15"/>
          <w:szCs w:val="15"/>
          <w:color w:val="auto"/>
        </w:rPr>
      </w:pPr>
      <w:r>
        <w:rPr>
          <w:rFonts w:ascii="Arial" w:cs="Arial" w:eastAsia="Arial" w:hAnsi="Arial"/>
          <w:sz w:val="18"/>
          <w:szCs w:val="18"/>
          <w:color w:val="auto"/>
        </w:rPr>
        <w:t>TICC Reiterates Rejection Of TSLX’s offer, Wells Fargo, September 22, 2015 and TICC: Writes Letter To Shareholders Urging Them To Vote For BSP, Wells Fargo, September 24, 2015; Board Making a Poor Deal? Should Shareholders Reject the Current Proposal?, Keefe, Bruyette &amp; Woods, September 16, 2015; Brouhaha with TICC Could Spread to Other Out-of-Favor BDCs, Cantor Fitzgerald, September 16, 2015; TICC Capital Corp.: Takeover Heats Up – Maintain Neutral, Ladenburg Thalmann, September 16, 2015; BDC Update: Observations from the TICC rejection of the TSLX proposal, Gilford Securities Inc., September 21, 2015.</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74" w:right="239" w:bottom="1440" w:gutter="0" w:footer="0" w:header="0"/>
        </w:sectPr>
      </w:pPr>
    </w:p>
    <w:bookmarkStart w:id="21" w:name="page22"/>
    <w:bookmarkEnd w:id="21"/>
    <w:p>
      <w:pPr>
        <w:ind w:left="912"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a highly misleading distraction for stockholders as it would still leave stockholders’ investment in the hands of an external manager [with no experience in the public BDC sector, and very limited experience in the management of an unlisted BDC (which resulted in a 1.4% return on approximately $2.5 million in assets under management—after taking into account selling commissions and dealer manager fees (which TSLX does not impose) reported by Griffin to be $1.00 per share, the load-adjusted return for investors who purchased Griffin shares in its initial offering is (8.77)%). We are aware that Benefit Street has additional assets under management held in other private vehicles, but to our knowledge, there is no public information available to investors to assess these vehicles’ performance. Even if such information were available, BDCs are managed under fundamentally different constraints than private vehicles and, as a result, these vehicles are not a relevant benchmark for purposes of evaluating a BDC’s performance.]</w:t>
      </w:r>
    </w:p>
    <w:p>
      <w:pPr>
        <w:spacing w:after="0" w:line="71" w:lineRule="exact"/>
        <w:rPr>
          <w:sz w:val="20"/>
          <w:szCs w:val="20"/>
          <w:color w:val="auto"/>
        </w:rPr>
      </w:pPr>
    </w:p>
    <w:p>
      <w:pPr>
        <w:ind w:left="912" w:right="80" w:firstLine="420"/>
        <w:spacing w:after="0" w:line="279" w:lineRule="auto"/>
        <w:rPr>
          <w:sz w:val="20"/>
          <w:szCs w:val="20"/>
          <w:color w:val="auto"/>
        </w:rPr>
      </w:pPr>
      <w:r>
        <w:rPr>
          <w:rFonts w:ascii="Arial" w:cs="Arial" w:eastAsia="Arial" w:hAnsi="Arial"/>
          <w:sz w:val="17"/>
          <w:szCs w:val="17"/>
          <w:color w:val="auto"/>
        </w:rPr>
        <w:t>TSLX: Under the TSLX offer you will receive a premium to the share price, which is what the market considers TICC to be worth. We are offering consideration of $7.50 per share, which is a 20% premium to the undisturbed trading price of TICC shares on September 15, 2015, the day before TSLX publicly announced its proposal. Our proposal represents a 12.8% discount to TICC’s net asset value as of June 30, 2015, although this discount is less than the discount to net asset value at which the shares have traded since June 30th.</w:t>
      </w:r>
    </w:p>
    <w:p>
      <w:pPr>
        <w:spacing w:after="0" w:line="63" w:lineRule="exact"/>
        <w:rPr>
          <w:sz w:val="20"/>
          <w:szCs w:val="20"/>
          <w:color w:val="auto"/>
        </w:rPr>
      </w:pPr>
    </w:p>
    <w:p>
      <w:pPr>
        <w:ind w:left="912" w:right="80" w:firstLine="420"/>
        <w:spacing w:after="0" w:line="264" w:lineRule="auto"/>
        <w:rPr>
          <w:sz w:val="20"/>
          <w:szCs w:val="20"/>
          <w:color w:val="auto"/>
        </w:rPr>
      </w:pPr>
      <w:r>
        <w:rPr>
          <w:rFonts w:ascii="Arial" w:cs="Arial" w:eastAsia="Arial" w:hAnsi="Arial"/>
          <w:sz w:val="18"/>
          <w:szCs w:val="18"/>
          <w:color w:val="auto"/>
        </w:rPr>
        <w:t>There are and have been many ways for TICC to raise this value itself, including through share buy-backs, but it has NEVER chosen to take this action [in any meaningful fashion]. Stockholders know well the value destruction of TICC including consistent losses in net asset value and drastic falls in TICC’s share price.</w:t>
      </w:r>
    </w:p>
    <w:p>
      <w:pPr>
        <w:spacing w:after="0" w:line="73"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6: How will the management fees and expenses to the external manager impact me as a shareholder?</w:t>
      </w:r>
    </w:p>
    <w:p>
      <w:pPr>
        <w:spacing w:after="0" w:line="117" w:lineRule="exact"/>
        <w:rPr>
          <w:sz w:val="20"/>
          <w:szCs w:val="20"/>
          <w:color w:val="auto"/>
        </w:rPr>
      </w:pPr>
    </w:p>
    <w:p>
      <w:pPr>
        <w:ind w:left="912" w:firstLine="420"/>
        <w:spacing w:after="0" w:line="290" w:lineRule="auto"/>
        <w:rPr>
          <w:sz w:val="20"/>
          <w:szCs w:val="20"/>
          <w:color w:val="auto"/>
        </w:rPr>
      </w:pPr>
      <w:r>
        <w:rPr>
          <w:rFonts w:ascii="Arial" w:cs="Arial" w:eastAsia="Arial" w:hAnsi="Arial"/>
          <w:sz w:val="16"/>
          <w:szCs w:val="16"/>
          <w:color w:val="auto"/>
        </w:rPr>
        <w:t>Management fees and expenses are another area where a highly complex topic is often simplistically represented to give stockholders a false sense of comfort. To be clear, TSLX has a highly competitive management fee and expenses structure that supports our core focus on stockholder value. One of the industry’s most respected research analysts at Wells Fargo did detailed research into management fees and expenses as a representation of costs to stockholders. In this independent report, TSLX’s management fees as a percentage of the company’s total economics (defined as earnings before operating fees and expenses) were found to be BELOW TICC’s management fees against the same metric.</w:t>
      </w:r>
      <w:r>
        <w:rPr>
          <w:rFonts w:ascii="Arial" w:cs="Arial" w:eastAsia="Arial" w:hAnsi="Arial"/>
          <w:sz w:val="13"/>
          <w:szCs w:val="13"/>
          <w:color w:val="auto"/>
        </w:rPr>
        <w:t>7</w:t>
      </w:r>
      <w:r>
        <w:rPr>
          <w:rFonts w:ascii="Arial" w:cs="Arial" w:eastAsia="Arial" w:hAnsi="Arial"/>
          <w:sz w:val="16"/>
          <w:szCs w:val="16"/>
          <w:color w:val="auto"/>
        </w:rPr>
        <w:t xml:space="preserve"> Specifically, 34% of the total economics of your investment will go to the external manager in TSLX versus 40% under TICC. Under TSLX, your investment would be less impacted by management fees and expenses than it is currently with TICC. [Please see Annex I for a reconciliation of these figures to the most comparable financial measures calculated and presented in accordance with GAAP.]</w:t>
      </w:r>
    </w:p>
    <w:p>
      <w:pPr>
        <w:spacing w:after="0" w:line="58"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QUESTION 7: Have other stockholders voiced their opinion on the recent events at TICC?</w:t>
      </w:r>
    </w:p>
    <w:p>
      <w:pPr>
        <w:spacing w:after="0" w:line="117" w:lineRule="exact"/>
        <w:rPr>
          <w:sz w:val="20"/>
          <w:szCs w:val="20"/>
          <w:color w:val="auto"/>
        </w:rPr>
      </w:pPr>
    </w:p>
    <w:p>
      <w:pPr>
        <w:ind w:left="912" w:right="160" w:firstLine="420"/>
        <w:spacing w:after="0" w:line="259" w:lineRule="auto"/>
        <w:rPr>
          <w:sz w:val="20"/>
          <w:szCs w:val="20"/>
          <w:color w:val="auto"/>
        </w:rPr>
      </w:pPr>
      <w:r>
        <w:rPr>
          <w:rFonts w:ascii="Arial" w:cs="Arial" w:eastAsia="Arial" w:hAnsi="Arial"/>
          <w:sz w:val="18"/>
          <w:szCs w:val="18"/>
          <w:color w:val="auto"/>
        </w:rPr>
        <w:t>Stockholders should know that two of TICC’s largest stockholders, Raging Capital, LLC and Muzinich &amp; Co., Inc. have already issued public letters imploring the TICC board to pursue all avenues to deliver stockholder value and to halt its efforts to approve the Benefit Street transaction immediately. We believe these letters are a clear condemnation of TICC’s proposed transaction with BSP. We welcome these views, as our proposal is fundamentally about delivering value to stockholders.</w:t>
      </w:r>
    </w:p>
    <w:p>
      <w:pPr>
        <w:spacing w:after="0" w:line="79"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VOTE AGAINST TICC’S PROPOSALS – DON’T LET OTHERS DECIDE THE FATE OF YOUR INVESTMENT</w:t>
      </w:r>
    </w:p>
    <w:p>
      <w:pPr>
        <w:spacing w:after="0" w:line="117" w:lineRule="exact"/>
        <w:rPr>
          <w:sz w:val="20"/>
          <w:szCs w:val="20"/>
          <w:color w:val="auto"/>
        </w:rPr>
      </w:pPr>
    </w:p>
    <w:p>
      <w:pPr>
        <w:ind w:left="912" w:right="100" w:firstLine="420"/>
        <w:spacing w:after="0" w:line="259" w:lineRule="auto"/>
        <w:rPr>
          <w:sz w:val="20"/>
          <w:szCs w:val="20"/>
          <w:color w:val="auto"/>
        </w:rPr>
      </w:pPr>
      <w:r>
        <w:rPr>
          <w:rFonts w:ascii="Arial" w:cs="Arial" w:eastAsia="Arial" w:hAnsi="Arial"/>
          <w:sz w:val="18"/>
          <w:szCs w:val="18"/>
          <w:color w:val="auto"/>
        </w:rPr>
        <w:t xml:space="preserve">We remain focused and determined on realizing the superior value of our proposal for TICC stockholders. We urge you to vote AGAINST the management proposals to protect your investment. For more information go to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Your vote will stop TICC from pursuing a value destructive transaction and send a clear message that it MUST engage with TSLX to unlock stockholder value. Note, however, that voting against one or all of the TICC proposals is not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Q4 2015 BDC Scorecard, Wells Fargo, September 10, 2015.</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2" w:name="page23"/>
    <w:bookmarkEnd w:id="22"/>
    <w:p>
      <w:pPr>
        <w:jc w:val="both"/>
        <w:ind w:left="92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voting in favor of the TSLX Proposal.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73" w:lineRule="exact"/>
        <w:rPr>
          <w:sz w:val="20"/>
          <w:szCs w:val="20"/>
          <w:color w:val="auto"/>
        </w:rPr>
      </w:pPr>
    </w:p>
    <w:p>
      <w:pPr>
        <w:ind w:left="920" w:right="140" w:firstLine="420"/>
        <w:spacing w:after="0" w:line="342" w:lineRule="auto"/>
        <w:rPr>
          <w:sz w:val="20"/>
          <w:szCs w:val="20"/>
          <w:color w:val="auto"/>
        </w:rPr>
      </w:pPr>
      <w:r>
        <w:rPr>
          <w:rFonts w:ascii="Arial" w:cs="Arial" w:eastAsia="Arial" w:hAnsi="Arial"/>
          <w:sz w:val="16"/>
          <w:szCs w:val="16"/>
          <w:color w:val="auto"/>
        </w:rPr>
        <w:t>TICC has over 30,000 stockholders – every vote is important in this election – no matter how many shares you own – vote AGAINST the proposal that lines the pockets of the current external manager who has been well rewarded while stockholders like you have suffered losses.</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During the afternoon of September 28, 2015, Georgica Advisors and Selz Capital, both stockholders of TICC, issued a letter to TICC stockholders in support of the TICC proposal, but calling for TICC to implement a stock repurchase program.</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evening of September 28, 2015, TICC re-issued a revised version of the letter it first sent to its stockholders on September 24, 2015 in order to correct disclosure about how TICC’s distributions to stockholders have been comprised of, in part, a return of capital.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morning of September 29, 2015, TICC issued a letter to stockholders attacking the TSLX and Nexpoint proposals.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29, 2015, NexPoint issued a press release advocating for TICC stockholders to vote against management’s proposal.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30, 2015, TSLX issued the following press release: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 Corrects Misleading Statements from TICC Capital Corp.</w:t>
      </w:r>
    </w:p>
    <w:p>
      <w:pPr>
        <w:spacing w:after="0" w:line="229" w:lineRule="exact"/>
        <w:rPr>
          <w:sz w:val="20"/>
          <w:szCs w:val="20"/>
          <w:color w:val="auto"/>
        </w:rPr>
      </w:pPr>
    </w:p>
    <w:p>
      <w:pPr>
        <w:ind w:left="920" w:right="220" w:firstLine="420"/>
        <w:spacing w:after="0" w:line="286" w:lineRule="auto"/>
        <w:rPr>
          <w:sz w:val="20"/>
          <w:szCs w:val="20"/>
          <w:color w:val="auto"/>
        </w:rPr>
      </w:pPr>
      <w:r>
        <w:rPr>
          <w:rFonts w:ascii="Arial" w:cs="Arial" w:eastAsia="Arial" w:hAnsi="Arial"/>
          <w:sz w:val="17"/>
          <w:szCs w:val="17"/>
          <w:color w:val="auto"/>
        </w:rPr>
        <w:t>NEW YORK – (BUSINESS WIRE) – TPG Specialty Lending, Inc. (“TSLX”; NYSE: TSLX), a specialty finance company focused on lending to middle-market companies, corrected statements made by TICC Capital Corp. (“TICC”; Nasdaq: TICC) in its September 29 letter to stockholders regarding TSLX’s offer to acquire TICC in a stock-for-stock transaction valuing TICC at $7.50 per share.</w:t>
      </w:r>
    </w:p>
    <w:p>
      <w:pPr>
        <w:spacing w:after="0" w:line="57" w:lineRule="exact"/>
        <w:rPr>
          <w:sz w:val="20"/>
          <w:szCs w:val="20"/>
          <w:color w:val="auto"/>
        </w:rPr>
      </w:pPr>
    </w:p>
    <w:p>
      <w:pPr>
        <w:ind w:left="920" w:firstLine="420"/>
        <w:spacing w:after="0" w:line="287" w:lineRule="auto"/>
        <w:rPr>
          <w:sz w:val="20"/>
          <w:szCs w:val="20"/>
          <w:color w:val="auto"/>
        </w:rPr>
      </w:pPr>
      <w:r>
        <w:rPr>
          <w:rFonts w:ascii="Arial" w:cs="Arial" w:eastAsia="Arial" w:hAnsi="Arial"/>
          <w:sz w:val="16"/>
          <w:szCs w:val="16"/>
          <w:color w:val="auto"/>
        </w:rPr>
        <w:t>Josh Easterly, Chairman and Co-Chief Executive Officer of TSLX stated: “We believe that TICC’s statements hide the clear facts of our proposal. Only the TSLX proposal would put immediate and substantial value in the hands of TICC stockholders. Under the TICC Management proposal where Benefit Street would manage the assets, there is no direct consideration to TICC stockholders, who under management’s proposal, only get the prospect of paying reduced fees going forward to a manager with no public BDC experience[, and very limited experience in the management of an unlisted BDC (which resulted in a 1.4% return on approximately $2.5 million in assets under management—after taking into account selling commissions and dealer manager fees (which TSLX does not impose) reported by Griffin to be $1.00 per share, the load-adjusted return for investors who purchased Griffin shares in its initial offering is (8.77)%). We are aware that Benefit Street has additional assets under management held in other private vehicles, but to our knowledge, there is no public information available to investors to assess these vehicles’ performance. Even if such information were available, BDCs are managed under fundamentally different constraints than private vehicles and, as a result, these vehicles are not a relevant benchmark for purposes of evaluating a BDC’s performance.] We are confident the long-suffering TICC stockholders will see that our proposal offers superior value for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stockholders to remember the following in reviewing TICC materials: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TICC DIVIDEND IS UNSUSTAINABLE</w:t>
      </w:r>
    </w:p>
    <w:p>
      <w:pPr>
        <w:spacing w:after="0" w:line="135" w:lineRule="exact"/>
        <w:rPr>
          <w:sz w:val="20"/>
          <w:szCs w:val="20"/>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TICC re-issued its first letter to stockholders with amended statements regarding its dividend.</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TICC admitted that its dividend is in part a return of capital.</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 dividend by returning investors’ capital is clearly unsustainable.</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five equity analysts have indicated that the dividend will be cut – TICC and Benefit Street have not refuted these reports.</w:t>
      </w:r>
    </w:p>
    <w:p>
      <w:pPr>
        <w:spacing w:after="0" w:line="130" w:lineRule="exact"/>
        <w:rPr>
          <w:rFonts w:ascii="Arial" w:cs="Arial" w:eastAsia="Arial" w:hAnsi="Arial"/>
          <w:sz w:val="18"/>
          <w:szCs w:val="18"/>
          <w:color w:val="auto"/>
        </w:rPr>
      </w:pPr>
    </w:p>
    <w:p>
      <w:pPr>
        <w:ind w:left="440" w:right="60" w:hanging="325"/>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TSLX proposal, TICC stockholders would gain the opportunity to receive a stable and sustainable dividend that has the opportunity to grow over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TSLX PROPOSAL DOES NOT “TAKE-OUT” INVESTORS AND OFFERS A PREMIUM TO THE MARKET PRICE</w:t>
      </w:r>
    </w:p>
    <w:p>
      <w:pPr>
        <w:spacing w:after="0" w:line="135" w:lineRule="exact"/>
        <w:rPr>
          <w:sz w:val="20"/>
          <w:szCs w:val="20"/>
          <w:color w:val="auto"/>
        </w:rPr>
      </w:pPr>
    </w:p>
    <w:p>
      <w:pPr>
        <w:ind w:left="440" w:right="340" w:hanging="325"/>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Investors would be able to exchange their shares of TICC for shares of TSLX, thereby realizing a 20% premium to the trading price of TICC shares prior to the public announcement of our proposal.</w:t>
      </w:r>
    </w:p>
    <w:p>
      <w:pPr>
        <w:spacing w:after="0" w:line="75" w:lineRule="exact"/>
        <w:rPr>
          <w:rFonts w:ascii="Arial" w:cs="Arial" w:eastAsia="Arial" w:hAnsi="Arial"/>
          <w:sz w:val="18"/>
          <w:szCs w:val="18"/>
          <w:color w:val="auto"/>
        </w:rPr>
      </w:pPr>
    </w:p>
    <w:p>
      <w:pPr>
        <w:ind w:left="440" w:right="500" w:hanging="325"/>
        <w:spacing w:after="0" w:line="277"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top of that premium, TICC investors would be able to participate in any upside of TSLX and the benefits of a leading platform that has outperformed TICC by 66.5% over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IS TRYING TO OBSCURE THE PREMIUM BY SWITCHING THE DISCUSSION TO NET ASSET VALUE</w:t>
      </w:r>
    </w:p>
    <w:p>
      <w:pPr>
        <w:spacing w:after="0" w:line="135" w:lineRule="exact"/>
        <w:rPr>
          <w:sz w:val="20"/>
          <w:szCs w:val="20"/>
          <w:color w:val="auto"/>
        </w:rPr>
      </w:pPr>
    </w:p>
    <w:p>
      <w:pPr>
        <w:ind w:left="440" w:right="220" w:hanging="325"/>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TICC notes the TSLX offer is a 12.8% discount to TICC’s net asset value as of June 30, 2015 but stockholders know full well that they cannot realize net asset value for their shares, only what the market is willing to pay.</w:t>
      </w:r>
    </w:p>
    <w:p>
      <w:pPr>
        <w:spacing w:after="0" w:line="75" w:lineRule="exact"/>
        <w:rPr>
          <w:rFonts w:ascii="Arial" w:cs="Arial" w:eastAsia="Arial" w:hAnsi="Arial"/>
          <w:sz w:val="18"/>
          <w:szCs w:val="18"/>
          <w:color w:val="auto"/>
        </w:rPr>
      </w:pPr>
    </w:p>
    <w:p>
      <w:pPr>
        <w:ind w:left="440" w:hanging="325"/>
        <w:spacing w:after="0" w:line="277"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TICC has focused on the wrong metric – and glossed over the fact that TICC’s shares traded at a 27.1% discount to June 30 net asset value on the day prior to the public announcement of our proposal.</w:t>
      </w:r>
    </w:p>
    <w:p>
      <w:pPr>
        <w:spacing w:after="0" w:line="75" w:lineRule="exact"/>
        <w:rPr>
          <w:rFonts w:ascii="Arial" w:cs="Arial" w:eastAsia="Arial" w:hAnsi="Arial"/>
          <w:sz w:val="18"/>
          <w:szCs w:val="18"/>
          <w:color w:val="auto"/>
        </w:rPr>
      </w:pPr>
    </w:p>
    <w:p>
      <w:pPr>
        <w:ind w:left="1020" w:hanging="446"/>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is not a temporary issue either – TICC shares have traded at a discount to net asset value every trading day of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AGAINST TICC’S PROPOSALS – DON’T LET OTHERS DECIDE THE FATE OF YOUR INVESTMENT</w:t>
      </w:r>
    </w:p>
    <w:p>
      <w:pPr>
        <w:spacing w:after="0" w:line="121" w:lineRule="exact"/>
        <w:rPr>
          <w:sz w:val="20"/>
          <w:szCs w:val="20"/>
          <w:color w:val="auto"/>
        </w:rPr>
      </w:pPr>
    </w:p>
    <w:p>
      <w:pPr>
        <w:ind w:left="460" w:right="940" w:firstLine="420"/>
        <w:spacing w:after="0" w:line="277" w:lineRule="auto"/>
        <w:rPr>
          <w:sz w:val="20"/>
          <w:szCs w:val="20"/>
          <w:color w:val="auto"/>
        </w:rPr>
      </w:pPr>
      <w:r>
        <w:rPr>
          <w:rFonts w:ascii="Arial" w:cs="Arial" w:eastAsia="Arial" w:hAnsi="Arial"/>
          <w:sz w:val="18"/>
          <w:szCs w:val="18"/>
          <w:color w:val="auto"/>
        </w:rPr>
        <w:t>TSLX urges stockholders to visit www.changeTICCnow.com for more information about TSLX’s offer and the deficiencies of management’s proposals. Hold TICC management accountable for their performance.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74"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NEW ADVISORY AGREEMENT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TICC is asking you to approve the New Advisory Agreement. For the reasons discussed below, we oppose the proposed New Advisory Agreement, and are therefore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1.</w:t>
      </w:r>
    </w:p>
    <w:p>
      <w:pPr>
        <w:spacing w:after="0" w:line="16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We urge you to demonstrate your opposition to the proposed New Advisory Agreement – and to send a message to the Special Committee that it should immediately engage substantively with TSLX regarding the TSLX Proposal –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TO VOTE AGAINST THE PROPOSED NEW ADVISORY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 The New Advisory Agreement Proposal Rewards the External Manager and Does Not Offer Immediate Value to TICC Stockholders.</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stockholder of TICC, we oppose the proposed New Advisory Agreement because we believe that the BSP Transaction provides tangible and immediate economic benefits for external managers while offering no immediate value to TICC stockholders, i.e., no delivery of upfront consideration other than the prospect of lower fees going forward and the possibility of potential share buy-backs. In contrast, under the TSLX Proposal, TICC stockholders would have received a number of shares of TSLX common stock having a market value of $7.50 per TICC share as of the signing date of a definitive agreement. The TSLX Proposal represents a 12.8% discount to TICC’s net asset value as of June 30, 2015, a narrower discount than the price at which the shares have traded since June 30th. It also represents approximately a 20% premium to TICC’s undisturbed trading price, i.e., on September 15, 2015, the day immediately preceding the public announcement of the TSLX Proposal. As of June 30, 2015, TICC’s net asset value per share was $8.60. Following consummation of the TSLX Proposal, net asset value per share for former TICC stockholders would, on a combined basis, be $7.45.</w:t>
      </w:r>
    </w:p>
    <w:p>
      <w:pPr>
        <w:spacing w:after="0" w:line="166" w:lineRule="exact"/>
        <w:rPr>
          <w:sz w:val="20"/>
          <w:szCs w:val="20"/>
          <w:color w:val="auto"/>
        </w:rPr>
      </w:pPr>
    </w:p>
    <w:p>
      <w:pPr>
        <w:ind w:right="60" w:firstLine="464"/>
        <w:spacing w:after="0" w:line="277" w:lineRule="auto"/>
        <w:tabs>
          <w:tab w:leader="none" w:pos="636"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Under the TSLX Proposal, TICC Stockholders Would Have the Opportunity to Participate in the Future Value Creation of TSLX’s Industry-Leading Platform.</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the substantial up-front premium that the TSLX Proposal offers to TICC stockholders, the TSLX Proposal offers TICC stockholders the opportunity to participate in the future value creation of TSLX’s industry-leading platform. In particular:</w:t>
      </w:r>
    </w:p>
    <w:p>
      <w:pPr>
        <w:spacing w:after="0" w:line="76" w:lineRule="exact"/>
        <w:rPr>
          <w:sz w:val="20"/>
          <w:szCs w:val="20"/>
          <w:color w:val="auto"/>
        </w:rPr>
      </w:pPr>
    </w:p>
    <w:p>
      <w:pPr>
        <w:jc w:val="both"/>
        <w:ind w:left="90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Accretive to Net Asset Value</w:t>
      </w:r>
      <w:r>
        <w:rPr>
          <w:rFonts w:ascii="Arial" w:cs="Arial" w:eastAsia="Arial" w:hAnsi="Arial"/>
          <w:sz w:val="18"/>
          <w:szCs w:val="18"/>
          <w:color w:val="auto"/>
        </w:rPr>
        <w:t>. The TSLX Proposal would be immediately accretive to net asset value per share for TSLX stockholders and,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 could drive a higher market price for TSLX common stock . This in turn would result in greater value for TICC stockholders of the TSLX common stock that they would receive under the TSLX Proposal.</w:t>
      </w:r>
    </w:p>
    <w:p>
      <w:pPr>
        <w:spacing w:after="0" w:line="86"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Proven Track Record</w:t>
      </w:r>
      <w:r>
        <w:rPr>
          <w:rFonts w:ascii="Arial" w:cs="Arial" w:eastAsia="Arial" w:hAnsi="Arial"/>
          <w:sz w:val="18"/>
          <w:szCs w:val="18"/>
          <w:color w:val="auto"/>
        </w:rPr>
        <w:t>. TSLX has a proven track record since the commencement of TSLX’s investing activities in July 2011 of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returns and stable dividends to stockholders.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Increased Liquidity</w:t>
      </w:r>
      <w:r>
        <w:rPr>
          <w:rFonts w:ascii="Arial" w:cs="Arial" w:eastAsia="Arial" w:hAnsi="Arial"/>
          <w:sz w:val="18"/>
          <w:szCs w:val="18"/>
          <w:color w:val="auto"/>
        </w:rPr>
        <w:t>. TICC stockholders would benefit from potential increased liquidity, by owning shares in a combined company having a pro</w:t>
      </w:r>
      <w:r>
        <w:rPr>
          <w:rFonts w:ascii="Arial" w:cs="Arial" w:eastAsia="Arial" w:hAnsi="Arial"/>
          <w:sz w:val="18"/>
          <w:szCs w:val="18"/>
          <w:i w:val="1"/>
          <w:iCs w:val="1"/>
          <w:color w:val="auto"/>
        </w:rPr>
        <w:t xml:space="preserve"> </w:t>
      </w:r>
      <w:r>
        <w:rPr>
          <w:rFonts w:ascii="Arial" w:cs="Arial" w:eastAsia="Arial" w:hAnsi="Arial"/>
          <w:sz w:val="18"/>
          <w:szCs w:val="18"/>
          <w:color w:val="auto"/>
        </w:rPr>
        <w:t>forma market capitalization potentially in excess of $1.3 billion, as compared to TICC’s current market capitalization of approximately $380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5" w:name="page26"/>
    <w:bookmarkEnd w:id="25"/>
    <w:p>
      <w:pPr>
        <w:jc w:val="both"/>
        <w:ind w:left="900" w:right="100" w:hanging="325"/>
        <w:spacing w:after="0" w:line="28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and Stable Dividend</w:t>
      </w:r>
      <w:r>
        <w:rPr>
          <w:rFonts w:ascii="Arial" w:cs="Arial" w:eastAsia="Arial" w:hAnsi="Arial"/>
          <w:sz w:val="16"/>
          <w:szCs w:val="16"/>
          <w:color w:val="auto"/>
        </w:rPr>
        <w:t>. TSLX believes business development companies should maintain consistent dividends that are well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net investment income. TSLX has earned per share net investment income [including realized gains in 2012] in excess of its dividend every year since the commencement of TSLX’s investing activities in July 2011. In contrast, the current dividend policy at TICC is highly unsustainable.</w:t>
      </w: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Although TICC stockholders would receive dividends on a combined basis under the TSLX Proposal lower than they have on a historical basis, we, and significant voices in the analyst community,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 On the other hand, it is expected that TSLX will continue its current dividend policy, which is expected to result in increased dividends to the extent TSLX is successful in rotating the TICC portfolio into higher yielding investments as described below.</w:t>
      </w:r>
    </w:p>
    <w:p>
      <w:pPr>
        <w:spacing w:after="0" w:line="69"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Proven Ability to Generate Return on Equity for Stockholders</w:t>
      </w:r>
      <w:r>
        <w:rPr>
          <w:rFonts w:ascii="Arial" w:cs="Arial" w:eastAsia="Arial" w:hAnsi="Arial"/>
          <w:sz w:val="17"/>
          <w:szCs w:val="17"/>
          <w:color w:val="auto"/>
        </w:rPr>
        <w:t>. TICC stockholders would benefit from TSLX’s superior investment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TSLX generated approximately a 13% return on equity based on net investment income compared to an industry return of approximately 9%</w:t>
      </w:r>
      <w:r>
        <w:rPr>
          <w:rFonts w:ascii="Arial" w:cs="Arial" w:eastAsia="Arial" w:hAnsi="Arial"/>
          <w:sz w:val="14"/>
          <w:szCs w:val="14"/>
          <w:color w:val="auto"/>
        </w:rPr>
        <w:t>2</w:t>
      </w:r>
      <w:r>
        <w:rPr>
          <w:rFonts w:ascii="Arial" w:cs="Arial" w:eastAsia="Arial" w:hAnsi="Arial"/>
          <w:sz w:val="17"/>
          <w:szCs w:val="17"/>
          <w:color w:val="auto"/>
        </w:rPr>
        <w:t>, due to its ability to originate high risk adjusted return credit opportunities and its competitive cost structure.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TSLX expects to utilize its expertise to rotate the TICC portfolio into less liquid but higher earning credit investments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to protect net asset value per share accretion that was created in the transaction.</w:t>
      </w:r>
    </w:p>
    <w:p>
      <w:pPr>
        <w:spacing w:after="0" w:line="171" w:lineRule="exact"/>
        <w:rPr>
          <w:sz w:val="20"/>
          <w:szCs w:val="20"/>
          <w:color w:val="auto"/>
        </w:rPr>
      </w:pPr>
    </w:p>
    <w:p>
      <w:pPr>
        <w:ind w:right="200" w:firstLine="464"/>
        <w:spacing w:after="0" w:line="277" w:lineRule="auto"/>
        <w:tabs>
          <w:tab w:leader="none" w:pos="636"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A Vote “AGAINST” the Proposed New Advisory Agreement Encourages the Special Committee to Pursue the </w:t>
      </w:r>
      <w:r>
        <w:rPr>
          <w:rFonts w:ascii="Arial" w:cs="Arial" w:eastAsia="Arial" w:hAnsi="Arial"/>
          <w:sz w:val="18"/>
          <w:szCs w:val="18"/>
          <w:i w:val="1"/>
          <w:iCs w:val="1"/>
          <w:u w:val="single" w:color="auto"/>
          <w:color w:val="auto"/>
        </w:rPr>
        <w:t>Superior</w:t>
      </w:r>
      <w:r>
        <w:rPr>
          <w:rFonts w:ascii="Arial" w:cs="Arial" w:eastAsia="Arial" w:hAnsi="Arial"/>
          <w:sz w:val="18"/>
          <w:szCs w:val="18"/>
          <w:u w:val="single" w:color="auto"/>
          <w:color w:val="auto"/>
        </w:rPr>
        <w:t xml:space="preserve"> TSLX Proposal, Which to Date It Has Refused to Do.</w:t>
      </w:r>
    </w:p>
    <w:p>
      <w:pPr>
        <w:spacing w:after="0" w:line="170"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As described under “Background of the Solicitation,” above, TSLX has attempted on several occasions to engage in constructive discussions with the Special Committee regarding the TSLX Proposal. Nevertheless, TICC’s Special Committee rejected the TSLX Proposal out of hand without engaging TSLX or its advisors in negotiations or any discussion of the substance of the TSLX Proposal. While the TSLX Proposal is non-binding and is subject to change or withdrawal, we remain fully committed to pursuing the TSLX Proposal for the benefit of TICC stockholders if and when the Special Committee is willing to engage with us.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voting “AGAINST” the proposed New Advisory Agreement, you will send a message to the TICC Special Committee that you expect them to act in your best interest to maximize the value of your TICC investment by engaging with TSLX to unlock the immediate and substantial premium and significant long-term value offered by the TSLX Proposal. It is important to note that TICC stockholders will not have an opportunity to consider and approve the TSLX Proposal unless and until it is approved by the TICC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New Advisory Agreement Proposal by signing, dating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returning the enclosed GOLD proxy card as soon as possible.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TICC is asking you to vote on the election of six director nominees named in the TICC Proxy Statement and in the proxy card attached hereto to serve on the Board for the terms specified in the TICC Proxy Statement. Because, according to the TICC Proxy Statement, the BSP Transaction is conditioned on approval of this Proposal and we oppose the BSP Transaction for the reasons discussed above under Proposal No. 1, we oppose the proposed nominees. To that end, we are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2.</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We urge you to demonstrate your opposition to the proposed nominees and to send a message to the Board that the election of the proposed director nominees is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in the best interest of TICC stockholders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88" w:lineRule="exact"/>
        <w:rPr>
          <w:sz w:val="20"/>
          <w:szCs w:val="20"/>
          <w:color w:val="auto"/>
        </w:rPr>
      </w:pPr>
    </w:p>
    <w:p>
      <w:pPr>
        <w:jc w:val="center"/>
        <w:ind w:left="260" w:right="100"/>
        <w:spacing w:after="0" w:line="454" w:lineRule="auto"/>
        <w:rPr>
          <w:sz w:val="20"/>
          <w:szCs w:val="20"/>
          <w:color w:val="auto"/>
        </w:rPr>
      </w:pPr>
      <w:r>
        <w:rPr>
          <w:rFonts w:ascii="Arial" w:cs="Arial" w:eastAsia="Arial" w:hAnsi="Arial"/>
          <w:sz w:val="18"/>
          <w:szCs w:val="18"/>
          <w:b w:val="1"/>
          <w:bCs w:val="1"/>
          <w:color w:val="auto"/>
        </w:rPr>
        <w:t xml:space="preserve">TSLX urges you to vote against each of the director nominees by signing, dating and returning the enclosed GOLD proxy card as soon as possible. </w:t>
      </w: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ADJOURNMENT OF THE SPECIAL MEETING</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TICC is asking you to approve a proposal to grant the Company authority to vote your Shares to adjourn the meeting, if necessary, to provide additional time to solicit additional proxies if there are insufficient votes at the time of the Special Meeting to adopt any or all of the other proposals set forth in the TICC Proxy Statement. Because we oppose Proposals 1 and 2, we are soliciting your proxy to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Proposal No. 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Adjournment Proposal by signing, dating and returning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enclosed GOLD proxy card as soon as possible.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AND PROXY PROCEDURES</w:t>
      </w:r>
    </w:p>
    <w:p>
      <w:pPr>
        <w:spacing w:after="0" w:line="229" w:lineRule="exact"/>
        <w:rPr>
          <w:sz w:val="20"/>
          <w:szCs w:val="20"/>
          <w:color w:val="auto"/>
        </w:rPr>
      </w:pPr>
    </w:p>
    <w:p>
      <w:pPr>
        <w:ind w:right="860" w:firstLine="456"/>
        <w:spacing w:after="0" w:line="291" w:lineRule="auto"/>
        <w:rPr>
          <w:sz w:val="20"/>
          <w:szCs w:val="20"/>
          <w:color w:val="auto"/>
        </w:rPr>
      </w:pPr>
      <w:r>
        <w:rPr>
          <w:rFonts w:ascii="Arial" w:cs="Arial" w:eastAsia="Arial" w:hAnsi="Arial"/>
          <w:sz w:val="16"/>
          <w:szCs w:val="16"/>
          <w:color w:val="auto"/>
        </w:rPr>
        <w:t>Only stockholders of record on the Record Date will be entitled to notice of and to vote at the Special Meeting. Each Share is entitled to one vote. Stockholders who sell Shares before the Record Date (or acquire them without voting rights after the Record Date) may not vote such</w:t>
      </w:r>
    </w:p>
    <w:p>
      <w:pPr>
        <w:ind w:right="60"/>
        <w:spacing w:after="0" w:line="255" w:lineRule="auto"/>
        <w:rPr>
          <w:sz w:val="20"/>
          <w:szCs w:val="20"/>
          <w:color w:val="auto"/>
        </w:rPr>
      </w:pPr>
      <w:r>
        <w:rPr>
          <w:rFonts w:ascii="Arial" w:cs="Arial" w:eastAsia="Arial" w:hAnsi="Arial"/>
          <w:sz w:val="18"/>
          <w:szCs w:val="18"/>
          <w:color w:val="auto"/>
        </w:rPr>
        <w:t>Shares. Stockholders of record on the Record Date will retain their voting rights in connection with the Special Meeting even if they sell such Shares after the Record Date. Based on publicly available information, TSLX believes that the only outstanding class of securities of TICC entitled to vote at the Special Meeting is the Shares.</w:t>
      </w:r>
    </w:p>
    <w:p>
      <w:pPr>
        <w:spacing w:after="0" w:line="18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Shares represented by properly executed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cards will be voted at the Special Meeting as marked and, in the absence of specific instructions, will be voted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and in the discretion of the proxies with respect to such other business as may properly come before the Special Meeting or any postponement or adjournment thereof.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BROKER NON-VOTES; DISCRETIONARY VOTING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 quorum of stockholders must be present at the Special Meeting for any business to be conducted. The presence at the Special Meeting, in person or by proxy, of the holders of a majority of the Shares outstanding on the Record Date will constitute a quorum. Abstentions will be treated as Shares present for quorum purposes.</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a quorum is not present at the Special Meeting, the TICC stockholders who are represented may adjourn the Special Meeting until a quorum is present. On the Record Date, there were 59,987,986 Shares outstanding and entitled to vote. Thus, 29,993,994 Shares must be represented by stockholders present at the Special Meeting or by proxy to have a quorum. TSLX may determine not to vote shares represented by the proxies of TICC stockholders it holds if necessary to prevent a quorum from being achieved at the Special Meeting.</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the stockholder of record of your Shares and you do not vote by proxy card, via telephone or the Internet or in person at the Special Meeting, your Shares will not be voted at the Special Meeting. If you are the beneficial owner of your Shares, your broker or nominee may vote your Shares only on those proposals on which it has discretion to vote. “Broker non-votes” represent votes that could have been cast on a particular matter by a brokerage firm, as a stockholder of record, but that were not cast because the brokerage firm lacked discretionary voting authority on the matter and did not receive voting instructions from the beneficial owner of the Shares. Under the rules of the New York Stock Exchange, your brokerage firm or other nominee does not have discretion to vote your Shares on non-routine matters such as Proposals 1, 2 and 3. Accordingly, there will be no broker non-votes with respect to Proposals 1, 2 and 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APPROVAL</w:t>
      </w:r>
    </w:p>
    <w:p>
      <w:pPr>
        <w:spacing w:after="0" w:line="121"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i w:val="1"/>
          <w:iCs w:val="1"/>
          <w:color w:val="auto"/>
        </w:rPr>
        <w:t xml:space="preserve">Approval of the New Advisory Agreement </w:t>
      </w:r>
      <w:r>
        <w:rPr>
          <w:rFonts w:ascii="Arial" w:cs="Arial" w:eastAsia="Arial" w:hAnsi="Arial"/>
          <w:sz w:val="18"/>
          <w:szCs w:val="18"/>
          <w:color w:val="auto"/>
        </w:rPr>
        <w:t>– Stockholders may vote “FOR” or “AGAINST” or may “ABSTAIN” from voting on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Advisory Agreement. 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 Broker discretionary voting is not allowed and abstentions will have the same effect as a vote “AGAINST” this proposal.</w:t>
      </w:r>
    </w:p>
    <w:p>
      <w:pPr>
        <w:spacing w:after="0" w:line="189" w:lineRule="exact"/>
        <w:rPr>
          <w:sz w:val="20"/>
          <w:szCs w:val="20"/>
          <w:color w:val="auto"/>
        </w:rPr>
      </w:pPr>
    </w:p>
    <w:p>
      <w:pPr>
        <w:jc w:val="both"/>
        <w:ind w:right="500" w:firstLine="456"/>
        <w:spacing w:after="0" w:line="312" w:lineRule="auto"/>
        <w:rPr>
          <w:sz w:val="20"/>
          <w:szCs w:val="20"/>
          <w:color w:val="auto"/>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 Stockholders may vote “FOR” or “AGAINST” or may “ABSTAIN” from voting on each of the nominated directors.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election of each of the nominated directors requires the affirmative vote of the holders of a plurality of all the votes cast at the Special Meeting either in person or by proxy (i.e., the director nominees receiving the greatest number of votes cast for each of the director positions being voted upon). Broker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9" w:name="page30"/>
    <w:bookmarkEnd w:id="29"/>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discretionary voting is not allowed and because the election of a director requires a plurality of the votes cast, abstentions will not be counted as votes cast and will have no effect on the result of the vote. According to the TICC Proxy Statement, however, failure of the New Advisory Agreement to be approved will also result in the failure of the proposed new directors to be elected.</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Approval of the Adjournment of the Special Meeting </w:t>
      </w:r>
      <w:r>
        <w:rPr>
          <w:rFonts w:ascii="Arial" w:cs="Arial" w:eastAsia="Arial" w:hAnsi="Arial"/>
          <w:sz w:val="18"/>
          <w:szCs w:val="18"/>
          <w:color w:val="auto"/>
        </w:rPr>
        <w:t>– Stockholders may vote “FOR” or “AGAINST” or may “ABSTAIN” from voting on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adjournment of the Special Meeting, if necessary or appropriate, to provide additional time to solicit additional proxies if there are insufficient votes at the time of the Special Meeting to adopt any or all of the other proposals set forth in the TICC Proxy Statement. The approval of the adjournment proposal by the Company’s stockholders requires the affirmative vote of a majority of the votes cast at the Special Meeting. Broker discretionary voting is not allowed and abstentions will have no effect on this proposal.</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To vote, please complete,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or, to appoint a proxy over the Internet or by telephone, follow the instructions provided herein. If you attend the Special Meeting and wish to vote in person, you may withdraw your proxy and vote in person. If your Shares are held in the name of your broker, bank or other nominee, you must obtain a proxy, executed in your favor, from the holder of record to be able to vote at the Special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Stockholders of TICC may revoke their proxies after sending in their proxy card or authorizing their Shares by telephone or through the Internet by following these procedures. To revoke their proxy, TICC stockholders may:</w:t>
      </w:r>
    </w:p>
    <w:p>
      <w:pPr>
        <w:spacing w:after="0" w:line="76" w:lineRule="exact"/>
        <w:rPr>
          <w:sz w:val="20"/>
          <w:szCs w:val="20"/>
          <w:color w:val="auto"/>
        </w:rPr>
      </w:pPr>
    </w:p>
    <w:p>
      <w:pPr>
        <w:ind w:left="900" w:right="140" w:hanging="325"/>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 a written revocation notice prior to 9:00 a.m., Eastern Time, on October 26, 2015 to TICC Capital Corp., c/o Computershare, 250 Royall Street, Canton, MA 02021 or to TPG Specialty Lending, Inc., c/o MacKenzie Partners, 105 Madison Avenue, New York, New York 10016;</w:t>
      </w:r>
    </w:p>
    <w:p>
      <w:pPr>
        <w:spacing w:after="0" w:line="29"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indicate their revocation prior to 9:00 a.m., Eastern Time, on October 26, 2015 by calling Computershare toll free at 1-800-652-8683 or through the Internet website of Computershare at </w:t>
      </w:r>
      <w:r>
        <w:rPr>
          <w:rFonts w:ascii="Arial" w:cs="Arial" w:eastAsia="Arial" w:hAnsi="Arial"/>
          <w:sz w:val="18"/>
          <w:szCs w:val="18"/>
          <w:u w:val="single" w:color="auto"/>
          <w:color w:val="auto"/>
        </w:rPr>
        <w:t>www.envisionreports.com/TICC</w:t>
      </w:r>
      <w:r>
        <w:rPr>
          <w:rFonts w:ascii="Arial" w:cs="Arial" w:eastAsia="Arial" w:hAnsi="Arial"/>
          <w:sz w:val="18"/>
          <w:szCs w:val="18"/>
          <w:color w:val="auto"/>
        </w:rPr>
        <w:t xml:space="preserve"> or by calling MacKenzie Partners toll free at (800) 322-2885 or by e-mailing MacKenzie Partners at TPG@mackenziepartners.com;</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 a later-dated proxy to TICC Capital Corp., c/o Computershare, 250 Royall Street, Canton, MA 02021 or to TPG Specialty Lending, Inc., c/o MacKenzie Partners at 105 Madison Avenue, New York, New York 10016 that is received prior to 9:00 a.m., Eastern Time, on October 26, 2015;</w:t>
      </w:r>
    </w:p>
    <w:p>
      <w:pPr>
        <w:spacing w:after="0" w:line="86" w:lineRule="exact"/>
        <w:rPr>
          <w:rFonts w:ascii="Arial" w:cs="Arial" w:eastAsia="Arial" w:hAnsi="Arial"/>
          <w:sz w:val="18"/>
          <w:szCs w:val="18"/>
          <w:color w:val="auto"/>
        </w:rPr>
      </w:pPr>
    </w:p>
    <w:p>
      <w:pPr>
        <w:jc w:val="both"/>
        <w:ind w:left="900" w:right="92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submit a later-dated proxy by calling Computershare toll free at 1-800-652-8683 or through the Internet website of Computershare at www.envisionreports.com/TICC or by calling MacKenzie Partners toll free at (800) 322-2885 or by e-mailing MacKenzie Partners at TPG@mackenziepartners.com prior to 9:00 a.m., Eastern Time, on October 26, 2015;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vote in person at the Special Meeting on October 27, 2015.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stockholders of TICC hold Shares through a broker, bank or other nominee, they must follow the instructions they receive from your broker, bank or other nominee in order to revoke their voting instructions.</w:t>
      </w:r>
    </w:p>
    <w:p>
      <w:pPr>
        <w:spacing w:after="0" w:line="16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IF YOU WISH TO VOTE AGAINST THE PROPOSALS TO BE CONSIDERED AT THE SPECIAL MEETING, PLEASE SIGN, DATE AND RETURN PROMPTLY THE ENCLOSED GOLD PROXY CARD IN THE POSTAGE-PAID ENVELOPE PROVIDED.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SOLICITATION OF PROXIES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TSLX. Proxies may be solicited by mail, facsimile, telephone, telegraph, Internet, in person and by advertisements.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TSLX has entered into an agreement with MacKenzie Partners for solicitation and advisory services in connection with this solicitation, for which</w:t>
      </w:r>
    </w:p>
    <w:p>
      <w:pPr>
        <w:spacing w:after="0" w:line="35"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MacKenzie Partners will receive a fee estimated at $[ ], together with reimbursement for its reasonable out-of-pocket expenses. MacKenzie Partners will solicit proxies from individuals, brokers, banks, bank nominees and other institutional holders. TSLX has requested banks, brokerage houses and other custodians, nominees and fiduciaries to forward all solicitation materials to the beneficial owners of the Shares they hold of record. TSLX will reimburse</w:t>
      </w:r>
    </w:p>
    <w:p>
      <w:pPr>
        <w:spacing w:after="0" w:line="2" w:lineRule="exact"/>
        <w:rPr>
          <w:sz w:val="20"/>
          <w:szCs w:val="20"/>
          <w:color w:val="auto"/>
        </w:rPr>
      </w:pPr>
    </w:p>
    <w:p>
      <w:pPr>
        <w:jc w:val="both"/>
        <w:ind w:right="220"/>
        <w:spacing w:after="0" w:line="261" w:lineRule="auto"/>
        <w:rPr>
          <w:sz w:val="20"/>
          <w:szCs w:val="20"/>
          <w:color w:val="auto"/>
        </w:rPr>
      </w:pPr>
      <w:r>
        <w:rPr>
          <w:rFonts w:ascii="Arial" w:cs="Arial" w:eastAsia="Arial" w:hAnsi="Arial"/>
          <w:sz w:val="18"/>
          <w:szCs w:val="18"/>
          <w:color w:val="auto"/>
        </w:rPr>
        <w:t>these record holders for their reasonable out-of-pocket expenses in so doing. It is anticipated that MacKenzie Partners will employ approximately [ ] persons to solicit TICC’s stockholders for the Special Meeting.</w:t>
      </w:r>
    </w:p>
    <w:p>
      <w:pPr>
        <w:spacing w:after="0" w:line="1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TSLX is successful in its solicitation of proxies to defeat the proposed New Advisory Agreement at the Special Meeting, then it intends to seek reimbursement from the Company for its expenses incurred in connection therewith. The question of such reimbursement will not be submitted to a vote of TICC stockholders. The Maryland General Corporation Law does not impose on a Maryland corporation any obligation to reimburse the successful bidder in a proxy contest and the TICC board may deny a request for such reimbursement.</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If the TSLX Proposal is accepted and a merger of TICC with TSLX or its subsidiary were to occur, TICC stockholders would indirectly bear a portion of TSLX’s expenses in connection with any solicitation with respect to the merger transaction contemplated by the TSLX Proposal.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PARTICIPANT INFORMATION</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TSLX is a participant in this solicitation of proxies for the Special Meeting. Certain other individuals identified in Annex II to this Proxy Statement may also be deemed to be participants in such solicitation. Information concerning TSLX and other persons who may also be deemed to be participants in this solicitation of proxies for the Special Meeting is set forth in Annex II to this Proxy Statement and is incorporated into this Proxy Statement by reference.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According to the TICC Proxy Statement, TICC is a Maryland corporation with its principal executive office located at 8 Sound Shore Drive, Suite 255, Greenwich, Connecticut 06830; Telephone No. (203) 983-5275.</w:t>
      </w:r>
    </w:p>
    <w:p>
      <w:pPr>
        <w:spacing w:after="0" w:line="170" w:lineRule="exact"/>
        <w:rPr>
          <w:sz w:val="20"/>
          <w:szCs w:val="20"/>
          <w:color w:val="auto"/>
        </w:rPr>
      </w:pPr>
    </w:p>
    <w:p>
      <w:pPr>
        <w:jc w:val="both"/>
        <w:ind w:right="540" w:firstLine="456"/>
        <w:spacing w:after="0" w:line="312" w:lineRule="auto"/>
        <w:rPr>
          <w:sz w:val="20"/>
          <w:szCs w:val="20"/>
          <w:color w:val="auto"/>
        </w:rPr>
      </w:pPr>
      <w:r>
        <w:rPr>
          <w:rFonts w:ascii="Arial" w:cs="Arial" w:eastAsia="Arial" w:hAnsi="Arial"/>
          <w:sz w:val="16"/>
          <w:szCs w:val="16"/>
          <w:color w:val="auto"/>
        </w:rPr>
        <w:t xml:space="preserve">TICC is subject to the informational requirements of the Securities Exchange Act of 1934, as amended (the “Exchange Act”), and in accordance therewith is required to file reports, proxy statements and other information with the SEC. Reports, registration statements, proxy statements and other information filed by TICC with the SEC, including the TICC Proxy Statement, are publicly available at the SEC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taken from the TICC Proxy Statement:</w:t>
      </w:r>
    </w:p>
    <w:p>
      <w:pPr>
        <w:spacing w:after="0" w:line="62"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The Company expects that the 2016 Annual Meeting of Stockholders will be held in June 2016, but the exact date, time, and location of such meeting have yet to be determined. A stockholder who intends to present a proposal at the 2016 Annual Meeting of Stockholders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For any proposal that is not submitted for inclusion in next year’s proxy statement (as described in the preceding paragraph) but is instead sought to be presented directly at the 2016 Annual Meeting of Stockholders,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80"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Notices of intention to present proposals at the 2016 Annual Meeting of Stockholders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incorporation of this information in this Proxy Statement should not be construed as an admission by TSLX that such procedures are legal, valid or binding.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information concerning TICC and the BSP Transaction contained herein has been taken from, or is based upon, publicly available documents on file with the SEC and other publicly available information. Although TSLX has no knowledge that would indicate that statements relating to TICC and the BSP Transaction contained in this Proxy Statement, in reliance upon publicly available information, are inaccurate or incomplete, to date TSLX has not had access to the full books and records of TICC, was not involved in the preparation of such information and statements, and is not in a position to verify any such information or statements.</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Pursuant to Rule 14a-5 promulgated under the Exchange Act, reference is made to the TICC Proxy Statement for information concerning the New Advisory Agreement and related documents, the BSP Transaction, the TICC Special Meeting Proposals, Shares of TICC, the beneficial ownership of Shares of TICC by the principal holders thereof, other information concerning TICC’s management, and certain other matters regarding TICC and the Special Meeting. TSLX assumes no responsibility for the accuracy or completeness of any such information.</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See Annex III for information regarding persons who beneficially own more than 5% of the Shares and the ownership of the Shares by the management and directors of TICC.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TSLX is unaware of any other matters to be considered at the Special Meeting. However, should other matters, which TSLX is not aware of a reasonable time before this solicitation, be brought before the Special Meeting, the persons named as proxies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predications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2014, its Quarterly Reports on Form 10-Q for the quarters ended March 31 and June 30, 2015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Total economics of your investment, as set forth in the press release dated September 28, 2015 issued by TSLX, may be considered a non-GAAP financial measure. TSLX provides this information to stockholders because TSLX believes it enhances stockholders’ understanding of the relative costs stockholder bear in relation to the assets generated by operations of TSLX and TICC,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illustrates a reconciliation of the increase in net assets resulting from operations over the years TSLX and TICC had operations to the ratio of shareholder expenses to economic profit: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TSLX</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(through</w:t>
            </w:r>
          </w:p>
        </w:tc>
        <w:tc>
          <w:tcPr>
            <w:tcW w:w="16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58"/>
        </w:trPr>
        <w:tc>
          <w:tcPr>
            <w:tcW w:w="6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June 30)</w:t>
            </w:r>
          </w:p>
        </w:tc>
        <w:tc>
          <w:tcPr>
            <w:tcW w:w="1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Increase in Net Assets Resulting from Operations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39,595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$66,983</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$85,050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$58,573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251,014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Shareholder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Management fees (GAAP)</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8,892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$18,296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$10,247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Incentive fees (GAAP)</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6,996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11,790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17,839</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12,137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1,563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Directors’ fees (GAAP)</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(GAAP)</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Compensation expense (GAAP)</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5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 Expenses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20,620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31,576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45,087</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27,488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129,292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Economic Profit*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380,306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Expenses to Economic Profit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30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management fees waived by TSLX’s investment advisor prior to TSLX’s IPO in 2014, which totaled $7 in 2011, $3,704 in 2012, $7,135 in 2013 and $2,464 in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(through</w:t>
            </w:r>
          </w:p>
        </w:tc>
        <w:tc>
          <w:tcPr>
            <w:tcW w:w="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58"/>
        </w:trPr>
        <w:tc>
          <w:tcPr>
            <w:tcW w:w="1980" w:type="dxa"/>
            <w:vAlign w:val="bottom"/>
            <w:gridSpan w:val="3"/>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960" w:type="dxa"/>
            <w:vAlign w:val="bottom"/>
            <w:gridSpan w:val="2"/>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Increase (Decrease) in Net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Assets Resulting from</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248,620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Operations (GAAP)</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(578)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3,364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16,304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26,331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(11,649)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(53,266)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35,182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63,947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14,209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68,323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8"/>
              </w:rPr>
              <w:t>58,945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(3,348)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30,856</w:t>
            </w:r>
          </w:p>
        </w:tc>
        <w:tc>
          <w:tcPr>
            <w:tcW w:w="2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gridSpan w:val="3"/>
          </w:tcPr>
          <w:p>
            <w:pPr>
              <w:spacing w:after="0"/>
              <w:rPr>
                <w:sz w:val="20"/>
                <w:szCs w:val="20"/>
                <w:color w:val="auto"/>
              </w:rPr>
            </w:pPr>
            <w:r>
              <w:rPr>
                <w:rFonts w:ascii="Arial" w:cs="Arial" w:eastAsia="Arial" w:hAnsi="Arial"/>
                <w:sz w:val="14"/>
                <w:szCs w:val="14"/>
                <w:color w:val="auto"/>
              </w:rPr>
              <w:t>Shareholder Expenses:</w:t>
            </w:r>
            <w:r>
              <w:rPr>
                <w:rFonts w:ascii="Arial" w:cs="Arial" w:eastAsia="Arial" w:hAnsi="Arial"/>
                <w:sz w:val="12"/>
                <w:szCs w:val="12"/>
                <w:color w:val="auto"/>
              </w:rPr>
              <w:t>(2)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Compensation expense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(GAAP)</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Investment advisory fees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2,774</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6,240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7,462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7,001</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4,070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5,044</w:t>
            </w: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7,317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11,223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w w:val="88"/>
              </w:rPr>
              <w:t>19,096</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21,150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10,319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106,301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Professional fees (GAAP)</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587</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1,306</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1,512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w w:val="99"/>
              </w:rPr>
              <w:t>General and administrative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r>
              <w:rPr>
                <w:rFonts w:ascii="Arial" w:cs="Arial" w:eastAsia="Arial" w:hAnsi="Arial"/>
                <w:sz w:val="12"/>
                <w:szCs w:val="12"/>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401</w:t>
            </w: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1,590</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1,398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1,184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Directors’ Fees (GAAP)</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Total incentive fees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color w:val="auto"/>
              </w:rPr>
              <w:t>(GAAP)</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1,404</w:t>
            </w: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10,969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5,388</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1,731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21,389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 Expenses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3,855</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10,119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6,842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9,083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13,759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26,538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8"/>
              </w:rPr>
              <w:t>30,041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8"/>
              </w:rPr>
              <w:t>28,607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12,386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166,478</w:t>
            </w:r>
          </w:p>
        </w:tc>
        <w:tc>
          <w:tcPr>
            <w:tcW w:w="0" w:type="dxa"/>
            <w:vAlign w:val="bottom"/>
          </w:tcPr>
          <w:p>
            <w:pPr>
              <w:spacing w:after="0"/>
              <w:rPr>
                <w:sz w:val="1"/>
                <w:szCs w:val="1"/>
                <w:color w:val="auto"/>
              </w:rPr>
            </w:pPr>
          </w:p>
        </w:tc>
      </w:tr>
      <w:tr>
        <w:trPr>
          <w:trHeight w:val="272"/>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Economic Profit*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415,098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9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Ratio of Total Shareholder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w w:val="92"/>
              </w:rPr>
              <w:t>Expenses to Economic Profit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6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TICC has recategorized and renamed certain line items in its statement of operations since it began reporting in 2003. From 2003 to 2008, incentive fees were included in “Investment advisory fees.” For years after 2008, incentive fees have been reported separately. For the six months ended June 30, 2015, directors’ fees, which previously had been separately reported, were included in “General and administrative.” Prior to 2006, TICC reported the line “Compensation expense” as “Salaries and benefits.”</w:t>
      </w:r>
    </w:p>
    <w:p>
      <w:pPr>
        <w:spacing w:after="0" w:line="92" w:lineRule="exact"/>
        <w:rPr>
          <w:rFonts w:ascii="Arial" w:cs="Arial" w:eastAsia="Arial" w:hAnsi="Arial"/>
          <w:sz w:val="18"/>
          <w:szCs w:val="18"/>
          <w:color w:val="auto"/>
        </w:rPr>
      </w:pPr>
    </w:p>
    <w:p>
      <w:pPr>
        <w:jc w:val="both"/>
        <w:ind w:left="460" w:right="140" w:hanging="452"/>
        <w:spacing w:after="0" w:line="34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Does not include “Insurance” or “Transfer agent and custodian fees” for periods prior to 2015. Prior to 2015, these expenses were included as separate line items on TICC’s statement of operations. For the six months ended June 30, 2015, these expenses were included in “General and administrative.”</w:t>
      </w:r>
    </w:p>
    <w:p>
      <w:pPr>
        <w:spacing w:after="0" w:line="29" w:lineRule="exact"/>
        <w:rPr>
          <w:sz w:val="20"/>
          <w:szCs w:val="20"/>
          <w:color w:val="auto"/>
        </w:rPr>
      </w:pPr>
    </w:p>
    <w:p>
      <w:pPr>
        <w:ind w:left="5600" w:right="3700" w:hanging="5592"/>
        <w:spacing w:after="0" w:line="449" w:lineRule="auto"/>
        <w:tabs>
          <w:tab w:leader="none" w:pos="5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Profit = Increase in Net Assets Resulting from Operations + Total Shareholder Expenses I-2</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REGARDING PARTICIPANTS IN THIS SOLICITATION OF PROXIES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TPG Specialty Lending, Inc. (“TSLX”) is a participant in this solicitation of proxies for the special meeting of stockholders for the purpose of approving the proposed entry into a new investment advisory agreement between TICC Capital Corp. (“TICC”) and TICC Management, LLC (the “Special Meeting”). In addition, the directors and officers of TSLX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may also be deemed participants in this solicitation of proxies for the Special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Businesses of the Participants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TSLX, a Delaware corporation, is a specialty finance company focused on lending to middle-market companies. TSLX leverages the deep investment, sector, and operating resources of TPG Special Situations Partners which, with over $12 billion of assets under management, is the dedicated special situations and credit platform of TPG, a global private investment firm with over $74 billion of assets under management.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principal occupation of each of the directors and officers of TSLX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been convicted in a criminal proceeding (excluding traffic violations or similar misdemeanors).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Offices of TSLX</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address of the principal business and the address of the principal office of TSLX is TPG Specialty Lending, Inc., 301 Commerce Street, Suite 3300, Fort Worth, Texas 76102.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and Record Ownership of the Participants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As of October 1, 2015, TSLX holds in street name and beneficially owns, 1,633,660 shares of TICC common stock, $0.01 par value per share (“TICC Common Stock”). The record holder of such shares of TICC Common Stock is Cede &amp; Co. None of the persons listed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are owners of record of any shares of TICC Common Stock, and none of them may be deemed to beneficially own shares of TICC Common Stock.</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than as disclosed in this Proxy Statement, to the best of TSLX’s knowledge, none of TSLX, its directors and officers, or any of their respective associates, has any substantial interests, direct or indirect, by security holding or otherwise, in any matter to be acted upon pursuant to this Proxy Statement. Other than as disclosed in this Proxy Statement, to the best of TSLX’s knowledge, none of TSLX, its directors and officers, or any of their respective associates has any arrangement or understanding with any person with respect to any future employment by TICC or its affiliates, or any future transactions to which TICC or any of its affiliates will or may be a party.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Purchased or Sold</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neither TSLX nor, to the best of TSLX’s knowledge,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effected any transaction in any TICC Common Stock within the last two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Arrangements, Understandings or Relationships with Respect to Securities of TICC</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Except for the engagement of MacKenzie Partners as proxy solicitor for TSLX, as further described herein under “Solicitation of Proxies,” neither TSLX nor any of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is, or was within the past year, a party to any contract, arrangements or understandings with any person with respect to any securities of TICC, including, but not limited to, joint ventures, loan or option arrangements, puts or calls, guarantees against loss or guarantees of profit, division of losses or profits, or the giving or withholding of proxies.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TSLX</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list of the executive officers and directors of TSLX, setting forth the present principal occupation or employment and the name, principal business and address of any corporation or other organization in which such employment is conducted for each such person. Except as otherwise set forth below, the current business address of each such person is TPG Specialty Lending, Inc., 301 Commerce Street, Suite 3300, Fort Worth, Texas 76102. All executive officers and directors listed below are citizens of the United States of America.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Director and Chairman of the Board of Directors and Co-Chief Executive</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446"/>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Co-Chief Executive Officer and 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418"/>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 Deputy Chief</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Vice President and Chief Compliance Officer, TPG Specialty Lending,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Counsel,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Secretary, TPG Specialty Lending, 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Chief Financial Officer and Chief Risk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431"/>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20"/>
          </w:cols>
          <w:pgMar w:left="240" w:top="27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Required by Item 5 of Schedule 14A</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past two years, TSLX purchased shares of TICC Common Stock in open market transactions as indicated below. The prices per share exclude brokerage commissions and have been rounded to the nearest cent.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 (Trade Settle Date)</w:t>
            </w:r>
          </w:p>
        </w:tc>
        <w:tc>
          <w:tcPr>
            <w:tcW w:w="3600" w:type="dxa"/>
            <w:vAlign w:val="bottom"/>
          </w:tcPr>
          <w:p>
            <w:pPr>
              <w:spacing w:after="0"/>
              <w:rPr>
                <w:sz w:val="16"/>
                <w:szCs w:val="16"/>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3"/>
              </w:rPr>
              <w:t>Identity of Purchaser</w:t>
            </w:r>
          </w:p>
        </w:tc>
        <w:tc>
          <w:tcPr>
            <w:tcW w:w="20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1"/>
              </w:rPr>
              <w:t>Amount of Shares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Price per Share</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8/5/2015</w:t>
            </w:r>
          </w:p>
        </w:tc>
        <w:tc>
          <w:tcPr>
            <w:tcW w:w="3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TSLX</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234,000</w:t>
            </w:r>
          </w:p>
        </w:tc>
        <w:tc>
          <w:tcPr>
            <w:tcW w:w="9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8/6/2015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126,000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207,000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74,000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8/12/2015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25,000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8/14/2015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4,660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8/18/2015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33,000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8/20/2015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85,000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571,000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8/24/2015</w:t>
            </w:r>
          </w:p>
        </w:tc>
        <w:tc>
          <w:tcPr>
            <w:tcW w:w="3600" w:type="dxa"/>
            <w:vAlign w:val="bottom"/>
          </w:tcPr>
          <w:p>
            <w:pPr>
              <w:spacing w:after="0"/>
              <w:rPr>
                <w:sz w:val="20"/>
                <w:szCs w:val="20"/>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indebtedness was incurred by TSLX for the purpose of acquiring or holding TICC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According to TICC Capital Corp.’s (“TICC” or the “Company”) Proxy Statement, the following table sets forth, as of the Record Date, the beneficial ownership of TICC common stock of each current director of TICC, the director nominees, TICC’s executive officers, each person known to TICC to beneficially own 5% or more of the outstanding shares of TICC common stock, and the executive officers and directors as a group.</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(“SEC”) and includes voting or investment power with respect to the securities. Ownership information for those persons who beneficially own 5% or more of TICC shares of common stock is based upon Schedule 13G filings by such persons with the SEC and other information obtained from such persons, if available.</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400" w:type="dxa"/>
            <w:vAlign w:val="bottom"/>
            <w:vMerge w:val="restart"/>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Shares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74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0"/>
              </w:rPr>
              <w:t>Beneficially(1)</w:t>
            </w:r>
          </w:p>
        </w:tc>
        <w:tc>
          <w:tcPr>
            <w:tcW w:w="9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of Class(2)</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Jonathan H. Cohen(3)</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310,337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Royce(4)</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Current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Rosenthal(3)</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Bruce L. Rubin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8,212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Incoming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R. Martoken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Alexander H. McMillan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 and Directors as a Group</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1,045,583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right="40" w:hanging="446"/>
        <w:spacing w:after="0" w:line="254" w:lineRule="auto"/>
        <w:tabs>
          <w:tab w:leader="none" w:pos="90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Securities Exchange Act of 1934, as amended (the “Exchange Act”). Assumes no other purchases or sales of TICC common stock since the information most recently available to us. This assumption has been made under the rules and regulations of the SEC and does not reflect any knowledge that we have with regard to the present intent of the beneficial owners of TICC common stock listed in this table.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39" w:name="page40"/>
    <w:bookmarkEnd w:id="39"/>
    <w:p>
      <w:pPr>
        <w:ind w:left="446" w:hanging="446"/>
        <w:spacing w:after="0"/>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total of 59,987,986 shares of the Company’s common stock issued and outstanding on the Record Date.</w:t>
      </w:r>
    </w:p>
    <w:p>
      <w:pPr>
        <w:spacing w:after="0" w:line="23" w:lineRule="exact"/>
        <w:rPr>
          <w:rFonts w:ascii="Arial" w:cs="Arial" w:eastAsia="Arial" w:hAnsi="Arial"/>
          <w:sz w:val="18"/>
          <w:szCs w:val="18"/>
          <w:i w:val="1"/>
          <w:iCs w:val="1"/>
          <w:color w:val="auto"/>
        </w:rPr>
      </w:pPr>
    </w:p>
    <w:p>
      <w:pPr>
        <w:ind w:left="446" w:right="260" w:hanging="446"/>
        <w:spacing w:after="0" w:line="250" w:lineRule="auto"/>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337 shares held by BDC Partners, which may be deemed to be beneficially owned by Messrs. Cohen and Rosenthal by virtue of their ownership interests therein.</w:t>
      </w:r>
    </w:p>
    <w:p>
      <w:pPr>
        <w:ind w:left="446" w:hanging="446"/>
        <w:spacing w:after="0" w:line="255" w:lineRule="auto"/>
        <w:tabs>
          <w:tab w:leader="none" w:pos="44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58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Owned (1)(2)</w:t>
            </w: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1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85725</wp:posOffset>
            </wp:positionV>
            <wp:extent cx="7200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026" w:hanging="567"/>
        <w:spacing w:after="0"/>
        <w:tabs>
          <w:tab w:leader="none" w:pos="102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026" w:right="180" w:hanging="567"/>
        <w:spacing w:after="0" w:line="255" w:lineRule="auto"/>
        <w:tabs>
          <w:tab w:leader="none" w:pos="102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us is based on the closing price for TICC common stock of $6.73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0926"/>
          </w:cols>
          <w:pgMar w:left="694" w:top="274" w:right="2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Tell your Board what you think! Your vote is important. No matter how many Shares you own, please give TSLX your proxy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by taking three steps:</w:t>
      </w:r>
    </w:p>
    <w:p>
      <w:pPr>
        <w:spacing w:after="0" w:line="6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If any of your Shares are held in the name of a brokerage firm, bank, bank nominee or other institution, only it can vote such Shares and only upon receipt of your specific instructions.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TSLX urges you to confirm in writing your instructions to TSLX in care of MacKenzie Partners at the address provided below so that TSLX will be aware of all instructions given and can attempt to ensure that such instructions are followed.</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600" w:firstLine="18"/>
        <w:spacing w:after="0" w:line="281" w:lineRule="auto"/>
        <w:tabs>
          <w:tab w:leader="none" w:pos="5078"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CALL TOLL FREE (800) 322-2885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OCTOBER 2,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ectPr>
          <w:pgSz w:w="11900" w:h="16838" w:orient="portrait"/>
          <w:cols w:equalWidth="0" w:num="1">
            <w:col w:w="11420"/>
          </w:cols>
          <w:pgMar w:left="240" w:top="27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 R O X Y</w:t>
      </w:r>
    </w:p>
    <w:p>
      <w:pPr>
        <w:spacing w:after="0" w:line="229" w:lineRule="exact"/>
        <w:rPr>
          <w:sz w:val="20"/>
          <w:szCs w:val="20"/>
          <w:color w:val="auto"/>
        </w:rPr>
      </w:pPr>
    </w:p>
    <w:p>
      <w:pPr>
        <w:spacing w:after="0"/>
        <w:tabs>
          <w:tab w:leader="none" w:pos="2500" w:val="left"/>
          <w:tab w:leader="none" w:pos="3500" w:val="left"/>
        </w:tabs>
        <w:rPr>
          <w:sz w:val="20"/>
          <w:szCs w:val="20"/>
          <w:color w:val="auto"/>
        </w:rPr>
      </w:pPr>
      <w:r>
        <w:rPr>
          <w:rFonts w:ascii="Arial" w:cs="Arial" w:eastAsia="Arial" w:hAnsi="Arial"/>
          <w:sz w:val="18"/>
          <w:szCs w:val="18"/>
          <w:color w:val="auto"/>
        </w:rPr>
        <w:t>The undersigned appoints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and each of them, attorneys and agents with full power of substitution to vote all shares of common stock</w:t>
      </w:r>
    </w:p>
    <w:p>
      <w:pPr>
        <w:spacing w:after="0" w:line="23" w:lineRule="exact"/>
        <w:rPr>
          <w:sz w:val="20"/>
          <w:szCs w:val="20"/>
          <w:color w:val="auto"/>
        </w:rPr>
      </w:pPr>
    </w:p>
    <w:p>
      <w:pPr>
        <w:jc w:val="both"/>
        <w:ind w:right="160"/>
        <w:spacing w:after="0" w:line="290" w:lineRule="auto"/>
        <w:rPr>
          <w:sz w:val="20"/>
          <w:szCs w:val="20"/>
          <w:color w:val="auto"/>
        </w:rPr>
      </w:pPr>
      <w:r>
        <w:rPr>
          <w:rFonts w:ascii="Arial" w:cs="Arial" w:eastAsia="Arial" w:hAnsi="Arial"/>
          <w:sz w:val="17"/>
          <w:szCs w:val="17"/>
          <w:color w:val="auto"/>
        </w:rPr>
        <w:t>of TICC Capital Corp. (the “Company”) which the undersigned would be entitled to vote if personally present at the Special Meeting of Stockholders of the Company, and including at any adjournments or postponements thereof and at any meeting called in lieu thereof (the “Special Meeting”).</w:t>
      </w:r>
    </w:p>
    <w:p>
      <w:pPr>
        <w:spacing w:after="0" w:line="16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their discretion with respect to any other matters as may properly come before the Special Meeting that are unknown to TPG Specialty Lending, Inc. (“TSLX”) a reasonable time before this solicitation.</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NO DIRECTION IS INDICATED WITH RESPECT TO THE PROPOSALS ON THE REVERSE, THIS PROXY WILL BE VOTED AGAINST PROPOSALS 1, 2 AND 3, and in the discretion of the proxies with respect to such other business as may properly come before the Special Meeting or any postponement or adjournment thereof.</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Special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0" w:hanging="212"/>
        <w:spacing w:after="0"/>
        <w:tabs>
          <w:tab w:leader="none" w:pos="220" w:val="left"/>
        </w:tabs>
        <w:numPr>
          <w:ilvl w:val="0"/>
          <w:numId w:val="40"/>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right="260" w:hanging="452"/>
        <w:spacing w:after="0" w:line="277"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Company’s proposal to approve a new advisory agreement between the Company and TICC Management, LCC, to take effect upon a change of control of TICC Management, LLC.</w:t>
      </w:r>
    </w:p>
    <w:p>
      <w:pPr>
        <w:sectPr>
          <w:pgSz w:w="11900" w:h="16838" w:orient="portrait"/>
          <w:cols w:equalWidth="0" w:num="1">
            <w:col w:w="11400"/>
          </w:cols>
          <w:pgMar w:left="240" w:top="270" w:right="25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80"/>
          </w:cols>
          <w:pgMar w:left="240" w:top="270" w:right="2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80"/>
          </w:cols>
          <w:pgMar w:left="240" w:top="270" w:right="2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1.</w:t>
      </w:r>
    </w:p>
    <w:p>
      <w:pPr>
        <w:sectPr>
          <w:pgSz w:w="11900" w:h="16838" w:orient="portrait"/>
          <w:cols w:equalWidth="0" w:num="1">
            <w:col w:w="11400"/>
          </w:cols>
          <w:pgMar w:left="240" w:top="270" w:right="259" w:bottom="1440" w:gutter="0" w:footer="0" w:header="0"/>
          <w:type w:val="continuous"/>
        </w:sectPr>
      </w:pPr>
    </w:p>
    <w:p>
      <w:pPr>
        <w:spacing w:after="0" w:line="279" w:lineRule="exact"/>
        <w:rPr>
          <w:sz w:val="20"/>
          <w:szCs w:val="20"/>
          <w:color w:val="auto"/>
        </w:rPr>
      </w:pPr>
    </w:p>
    <w:p>
      <w:pPr>
        <w:ind w:left="460" w:hanging="452"/>
        <w:spacing w:after="0" w:line="277"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w:t>
      </w:r>
    </w:p>
    <w:p>
      <w:pPr>
        <w:spacing w:after="0" w:line="19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Arial" w:cs="Arial" w:eastAsia="Arial" w:hAnsi="Arial"/>
                <w:sz w:val="18"/>
                <w:szCs w:val="18"/>
                <w:b w:val="1"/>
                <w:bCs w:val="1"/>
                <w:color w:val="auto"/>
              </w:rPr>
              <w:t>WITHHOLD</w:t>
            </w:r>
          </w:p>
        </w:tc>
        <w:tc>
          <w:tcPr>
            <w:tcW w:w="1980" w:type="dxa"/>
            <w:vAlign w:val="bottom"/>
          </w:tcPr>
          <w:p>
            <w:pPr>
              <w:spacing w:after="0"/>
              <w:rPr>
                <w:sz w:val="18"/>
                <w:szCs w:val="18"/>
                <w:color w:val="auto"/>
              </w:rPr>
            </w:pPr>
          </w:p>
        </w:tc>
      </w:tr>
      <w:tr>
        <w:trPr>
          <w:trHeight w:val="201"/>
        </w:trPr>
        <w:tc>
          <w:tcPr>
            <w:tcW w:w="1180" w:type="dxa"/>
            <w:vAlign w:val="bottom"/>
          </w:tcPr>
          <w:p>
            <w:pPr>
              <w:jc w:val="center"/>
              <w:ind w:right="710"/>
              <w:spacing w:after="0" w:line="201" w:lineRule="exact"/>
              <w:rPr>
                <w:sz w:val="20"/>
                <w:szCs w:val="20"/>
                <w:color w:val="auto"/>
              </w:rPr>
            </w:pPr>
            <w:r>
              <w:rPr>
                <w:rFonts w:ascii="Arial" w:cs="Arial" w:eastAsia="Arial" w:hAnsi="Arial"/>
                <w:sz w:val="18"/>
                <w:szCs w:val="18"/>
                <w:b w:val="1"/>
                <w:bCs w:val="1"/>
                <w:color w:val="auto"/>
                <w:w w:val="99"/>
              </w:rPr>
              <w:t>FOR</w:t>
            </w:r>
          </w:p>
        </w:tc>
        <w:tc>
          <w:tcPr>
            <w:tcW w:w="246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auto"/>
              </w:rPr>
              <w:t>AUTHORITY</w:t>
            </w:r>
          </w:p>
        </w:tc>
        <w:tc>
          <w:tcPr>
            <w:tcW w:w="1980" w:type="dxa"/>
            <w:vAlign w:val="bottom"/>
          </w:tcPr>
          <w:p>
            <w:pPr>
              <w:jc w:val="center"/>
              <w:ind w:left="470"/>
              <w:spacing w:after="0" w:line="201" w:lineRule="exact"/>
              <w:rPr>
                <w:sz w:val="20"/>
                <w:szCs w:val="20"/>
                <w:color w:val="auto"/>
              </w:rPr>
            </w:pPr>
            <w:r>
              <w:rPr>
                <w:rFonts w:ascii="Arial" w:cs="Arial" w:eastAsia="Arial" w:hAnsi="Arial"/>
                <w:sz w:val="18"/>
                <w:szCs w:val="18"/>
                <w:b w:val="1"/>
                <w:bCs w:val="1"/>
                <w:color w:val="auto"/>
                <w:w w:val="90"/>
              </w:rPr>
              <w:t>Nominee:</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0"/>
              </w:rPr>
              <w:t>Dennis M. Schaney</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3"/>
              </w:rPr>
              <w:t>Lee S. Hillman</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9"/>
              </w:rPr>
              <w:t>Ronald J. Kramer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2"/>
              </w:rPr>
              <w:t>Gary Katcher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8"/>
              </w:rPr>
              <w:t>Thomas J. Gahan</w:t>
            </w:r>
          </w:p>
        </w:tc>
      </w:tr>
      <w:tr>
        <w:trPr>
          <w:trHeight w:val="283"/>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1"/>
              </w:rPr>
              <w:t>Richard J. Byrne</w:t>
            </w:r>
          </w:p>
        </w:tc>
      </w:tr>
    </w:tbl>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recommends a vote “WITHHOLD AUTHORITY” each of the director nominees described in Proposal 2.</w:t>
      </w:r>
    </w:p>
    <w:p>
      <w:pPr>
        <w:sectPr>
          <w:pgSz w:w="11900" w:h="16838" w:orient="portrait"/>
          <w:cols w:equalWidth="0" w:num="1">
            <w:col w:w="11400"/>
          </w:cols>
          <w:pgMar w:left="240" w:top="270" w:right="259" w:bottom="1440" w:gutter="0" w:footer="0" w:header="0"/>
          <w:type w:val="continuous"/>
        </w:sectPr>
      </w:pPr>
    </w:p>
    <w:bookmarkStart w:id="42" w:name="page43"/>
    <w:bookmarkEnd w:id="42"/>
    <w:p>
      <w:pPr>
        <w:ind w:left="460" w:hanging="452"/>
        <w:spacing w:after="0"/>
        <w:tabs>
          <w:tab w:leader="none" w:pos="4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proposal to approve the adjournment of the Special Meeting, if necessary or appropriate, to solicit additional proxies.</w:t>
      </w:r>
    </w:p>
    <w:p>
      <w:pPr>
        <w:sectPr>
          <w:pgSz w:w="11900" w:h="16838" w:orient="portrait"/>
          <w:cols w:equalWidth="0" w:num="1">
            <w:col w:w="11000"/>
          </w:cols>
          <w:pgMar w:left="240" w:top="274" w:right="65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380"/>
          </w:cols>
          <w:pgMar w:left="240" w:top="274" w:right="6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080"/>
          </w:cols>
          <w:pgMar w:left="240" w:top="274" w:right="6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3.</w:t>
      </w:r>
    </w:p>
    <w:p>
      <w:pPr>
        <w:sectPr>
          <w:pgSz w:w="11900" w:h="16838" w:orient="portrait"/>
          <w:cols w:equalWidth="0" w:num="1">
            <w:col w:w="11000"/>
          </w:cols>
          <w:pgMar w:left="240" w:top="274" w:right="659" w:bottom="1440" w:gutter="0" w:footer="0" w:header="0"/>
          <w:type w:val="continuous"/>
        </w:sectPr>
      </w:pP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SPECIAL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000"/>
      </w:cols>
      <w:pgMar w:left="240" w:top="27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lvl w:ilvl="1">
      <w:lvlJc w:val="left"/>
      <w:lvlText w:val="(%2)"/>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212"/>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2"/>
      <w:numFmt w:val="bullet"/>
      <w:start w:val="1"/>
    </w:lvl>
  </w:abstractNum>
  <w:abstractNum w:abstractNumId="17">
    <w:nsid w:val="1E7FF521"/>
    <w:multiLevelType w:val="hybridMultilevel"/>
    <w:lvl w:ilvl="0">
      <w:lvlJc w:val="left"/>
      <w:lvlText w:val="3"/>
      <w:numFmt w:val="bullet"/>
      <w:start w:val="1"/>
    </w:lvl>
  </w:abstractNum>
  <w:abstractNum w:abstractNumId="18">
    <w:nsid w:val="7C3DBD3D"/>
    <w:multiLevelType w:val="hybridMultilevel"/>
    <w:lvl w:ilvl="0">
      <w:lvlJc w:val="left"/>
      <w:lvlText w:val="4"/>
      <w:numFmt w:val="bullet"/>
      <w:start w:val="1"/>
    </w:lvl>
  </w:abstractNum>
  <w:abstractNum w:abstractNumId="19">
    <w:nsid w:val="737B8DDC"/>
    <w:multiLevelType w:val="hybridMultilevel"/>
    <w:lvl w:ilvl="0">
      <w:lvlJc w:val="left"/>
      <w:lvlText w:val="5"/>
      <w:numFmt w:val="bullet"/>
      <w:start w:val="1"/>
    </w:lvl>
  </w:abstractNum>
  <w:abstractNum w:abstractNumId="20">
    <w:nsid w:val="6CEAF087"/>
    <w:multiLevelType w:val="hybridMultilevel"/>
    <w:lvl w:ilvl="0">
      <w:lvlJc w:val="left"/>
      <w:lvlText w:val="6"/>
      <w:numFmt w:val="bullet"/>
      <w:start w:val="1"/>
    </w:lvl>
  </w:abstractNum>
  <w:abstractNum w:abstractNumId="21">
    <w:nsid w:val="22221A70"/>
    <w:multiLevelType w:val="hybridMultilevel"/>
    <w:lvl w:ilvl="0">
      <w:lvlJc w:val="left"/>
      <w:lvlText w:val="7"/>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lvl w:ilvl="1">
      <w:lvlJc w:val="left"/>
      <w:lvlText w:val="•"/>
      <w:numFmt w:val="bullet"/>
      <w:start w:val="1"/>
    </w:lvl>
  </w:abstractNum>
  <w:abstractNum w:abstractNumId="25">
    <w:nsid w:val="419AC241"/>
    <w:multiLevelType w:val="hybridMultilevel"/>
    <w:lvl w:ilvl="0">
      <w:lvlJc w:val="left"/>
      <w:lvlText w:val="%1."/>
      <w:numFmt w:val="decimal"/>
      <w:start w:val="2"/>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212"/>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2"/>
    </w:lvl>
  </w:abstractNum>
  <w:abstractNum w:abstractNumId="42">
    <w:nsid w:val="2A487CB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2019-12-20T23:18:24Z</dcterms:created>
  <dcterms:modified xsi:type="dcterms:W3CDTF">2019-12-20T23:18:24Z</dcterms:modified>
</cp:coreProperties>
</file>