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June 14, 2018, TPG Specialty Lending, Inc. (“the Company”) issued $50 million aggregate principal amount of 4.50% Convertible Notes due 2022 (the “Notes”). The Notes have identical terms, are fungible with and are a part of a single series with the outstanding $115 million aggregate principal amount of the Company’s 4.50% Convertible Notes due 2022 issued in February 2017 in a private offering (the “Existing Notes”). The Notes were issued pursuant to an indenture, dated February 1, 2017 (the “Base Indenture”), as supplemented by a First Supplemental Indenture, dated June 19, 2018 (the “First Supplemental Indenture” and together with the Base Indenture, the “Indenture”), between the Company and Wells Fargo Bank, National Association, as trustee (the “Trustee”). The sale of the Notes generated net proceeds of approximately $49.1 million.</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also granted the underwriters an option to purchase up to an additional $7.5 million aggregate principal amount of the Notes to cover over-allotments,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today used the net proceeds of this offering to pay down debt under its revolving credit facility.</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Notes mature on August 1, 2022 (the “Maturity Date”), unless previously converted or repurchased in accordance with their terms. The Notes bear interest at a rate of 4.50% per year payable semiannually in arrears on February 1 and August 1 of each year, commencing on August 1, 2018. The Notes are the Company’s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existing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Prior to the close of business on the business day immediately preceding February 1, 2022, holders may convert their Notes only under certain circumstances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set forth in the Indenture. On or after February 1, 2022 until the close of business on the scheduled trading day immediately preceding the Maturity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may convert their Notes at any time. Upon conversion, the Company will pay or deliver, as the case may be, at its election, cash, shares of its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or a combination of cash and shares of its common stock. The conversion rate on the Existing Notes when issued in February 2017 was initially 46.8516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per $1,000 principal amount of Existing Notes (equivalent to an initial conversion price of approximately $21.34 per share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After giving effect to certain adjustments, as of the date hereof, the conversion rate on the Notes is 47.5093 shares of common stock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Notes (equivalent to a conversion price of approximately $21.05 per share of common stock). The conversion rate will be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further adjustment in some events but will not be adjusted for any accrued and unpaid interest. In addition, if certain corporate events occur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Maturity Date, the conversion rate will be increased for converting holders.</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It is the Company’s current intent and policy to settle conversions through a combination of cash and shares of its common stock with a specified dollar amount of $1,000, and the Company expects to account for the Notes using the treasury stock method, the effect of which is that the shares issuable upon conversion of the Notes are not included in the calculation of diluted earnings per share except to the extent that the conversion value of the Notes exceeds their principal amount.</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may not redeem the Notes at its option prior to maturity. No sinking fund is provided for the Notes. In addition, if certain corporate events occur in respect of the Company, holders of the Notes may require the Company to repurchase for cash all or part of their Notes at a repurchase price equal to 100% of the principal amount of the Notes to be repurchased, plus accrued and unpaid interest through, but excluding, the required repurchase date.</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Indenture contains certain covenants, including covenants requiring the Company to comply with Section 18(a)(1)(A) as modified by Section 61(a)(1) of the Investment Company Act of 1940, as amended, and to provide financial information to the holders of the Notes and the Trustee if the Company ceases to be subject to the reporting requirements of the Securities Exchange Act of 1934, as amended. These covenants are subject to important limitations and exceptions that are described in the Indenture.</w:t>
      </w:r>
    </w:p>
    <w:p>
      <w:pPr>
        <w:sectPr>
          <w:pgSz w:w="11900" w:h="16838" w:orient="portrait"/>
          <w:cols w:equalWidth="0" w:num="1">
            <w:col w:w="11420"/>
          </w:cols>
          <w:pgMar w:left="240" w:top="270" w:right="239" w:bottom="1440" w:gutter="0" w:footer="0" w:header="0"/>
        </w:sectPr>
      </w:pPr>
    </w:p>
    <w:bookmarkStart w:id="2" w:name="page3"/>
    <w:bookmarkEnd w:id="2"/>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Notes were offered and sold pursuant to the Registration Statement on Form N-2 (File No. 333-223986), the preliminary prospectus supplement filed with the Securities and Exchange Commission on June 14, 2018 and the pricing term sheet filed with the Securities and Exchange Commission on June 14, 2018. The transaction closed on June 19, 2018.</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foregoing description of the Base Indenture, the First Supplemental Indenture and the Notes does not purport to be complete and is qualified in its entirety by reference to the full text of the Base Indenture (including the Form of the 4.50% Notes due 2022), filed as an exhibit to the Company’s Current Report on Form 8-K filed on February 1, 2017, and the full text of the First Supplemental Indenture, filed as an exhibit hereto, and in each case incorporated by reference herein.</w:t>
      </w:r>
    </w:p>
    <w:p>
      <w:pPr>
        <w:spacing w:after="0" w:line="291" w:lineRule="exact"/>
        <w:rPr>
          <w:sz w:val="20"/>
          <w:szCs w:val="20"/>
          <w:color w:val="auto"/>
        </w:rPr>
      </w:pPr>
    </w:p>
    <w:p>
      <w:pPr>
        <w:ind w:right="1560"/>
        <w:spacing w:after="0" w:line="407" w:lineRule="auto"/>
        <w:rPr>
          <w:sz w:val="20"/>
          <w:szCs w:val="20"/>
          <w:color w:val="auto"/>
        </w:rPr>
      </w:pPr>
      <w:r>
        <w:rPr>
          <w:rFonts w:ascii="Arial" w:cs="Arial" w:eastAsia="Arial" w:hAnsi="Arial"/>
          <w:sz w:val="18"/>
          <w:szCs w:val="18"/>
          <w:b w:val="1"/>
          <w:bCs w:val="1"/>
          <w:color w:val="auto"/>
        </w:rPr>
        <w:t xml:space="preserve">Item 2.03 – Creation of a Direct Financial Obligation or an Obligation Under an Off-Balance Sheet Arrangement of a Registrant </w:t>
      </w:r>
      <w:r>
        <w:rPr>
          <w:rFonts w:ascii="Arial" w:cs="Arial" w:eastAsia="Arial" w:hAnsi="Arial"/>
          <w:sz w:val="18"/>
          <w:szCs w:val="18"/>
          <w:color w:val="auto"/>
        </w:rPr>
        <w:t>The information set forth under Item 1.01 of this Form 8-K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520" w:type="dxa"/>
            <w:vAlign w:val="bottom"/>
            <w:gridSpan w:val="2"/>
            <w:vMerge w:val="restart"/>
          </w:tcPr>
          <w:p>
            <w:pPr>
              <w:ind w:left="40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5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2"/>
                <w:szCs w:val="22"/>
                <w:color w:val="auto"/>
              </w:rPr>
            </w:pPr>
          </w:p>
        </w:tc>
        <w:tc>
          <w:tcPr>
            <w:tcW w:w="101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First Supplemental Indenture, dated as of June 19, 2018, between TPG Specialty Lending, Inc. and Wells Fargo Bank, National Association,</w:t>
              </w:r>
            </w:hyperlink>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as Trustee</w:t>
              </w:r>
            </w:hyperlink>
          </w:p>
        </w:tc>
        <w:tc>
          <w:tcPr>
            <w:tcW w:w="95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19, 2018</w:t>
      </w:r>
      <w:r>
        <w:rPr>
          <w:sz w:val="20"/>
          <w:szCs w:val="20"/>
          <w:color w:val="auto"/>
        </w:rPr>
        <w:tab/>
      </w:r>
      <w:r>
        <w:rPr>
          <w:rFonts w:ascii="Arial" w:cs="Arial" w:eastAsia="Arial" w:hAnsi="Arial"/>
          <w:sz w:val="16"/>
          <w:szCs w:val="16"/>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WELLS FARGO BANK, NATIONAL ASSOCIATION,</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June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80" w:type="dxa"/>
            <w:vAlign w:val="bottom"/>
            <w:gridSpan w:val="2"/>
          </w:tcPr>
          <w:p>
            <w:pPr>
              <w:jc w:val="center"/>
              <w:ind w:right="2634"/>
              <w:spacing w:after="0"/>
              <w:rPr>
                <w:sz w:val="20"/>
                <w:szCs w:val="20"/>
                <w:color w:val="auto"/>
              </w:rPr>
            </w:pPr>
            <w:r>
              <w:rPr>
                <w:rFonts w:ascii="Arial" w:cs="Arial" w:eastAsia="Arial" w:hAnsi="Arial"/>
                <w:sz w:val="18"/>
                <w:szCs w:val="18"/>
                <w:color w:val="auto"/>
                <w:w w:val="91"/>
              </w:rPr>
              <w:t>Reconciliation and tie between Trust Indenture Act of 1939</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80" w:type="dxa"/>
            <w:vAlign w:val="bottom"/>
            <w:gridSpan w:val="2"/>
          </w:tcPr>
          <w:p>
            <w:pPr>
              <w:jc w:val="center"/>
              <w:ind w:right="2654"/>
              <w:spacing w:after="0"/>
              <w:rPr>
                <w:sz w:val="20"/>
                <w:szCs w:val="20"/>
                <w:color w:val="auto"/>
              </w:rPr>
            </w:pPr>
            <w:r>
              <w:rPr>
                <w:rFonts w:ascii="Arial" w:cs="Arial" w:eastAsia="Arial" w:hAnsi="Arial"/>
                <w:sz w:val="18"/>
                <w:szCs w:val="18"/>
                <w:color w:val="auto"/>
                <w:w w:val="89"/>
              </w:rPr>
              <w:t>and the Indenture</w:t>
            </w:r>
          </w:p>
        </w:tc>
      </w:tr>
      <w:tr>
        <w:trPr>
          <w:trHeight w:val="405"/>
        </w:trPr>
        <w:tc>
          <w:tcPr>
            <w:tcW w:w="2740" w:type="dxa"/>
            <w:vAlign w:val="bottom"/>
            <w:gridSpan w:val="4"/>
          </w:tcPr>
          <w:p>
            <w:pPr>
              <w:spacing w:after="0"/>
              <w:rPr>
                <w:sz w:val="20"/>
                <w:szCs w:val="20"/>
                <w:color w:val="auto"/>
              </w:rPr>
            </w:pPr>
            <w:r>
              <w:rPr>
                <w:rFonts w:ascii="Arial" w:cs="Arial" w:eastAsia="Arial" w:hAnsi="Arial"/>
                <w:sz w:val="14"/>
                <w:szCs w:val="14"/>
                <w:b w:val="1"/>
                <w:bCs w:val="1"/>
                <w:color w:val="auto"/>
              </w:rPr>
              <w:t>Trust Indenture Act Section</w:t>
            </w:r>
          </w:p>
        </w:tc>
        <w:tc>
          <w:tcPr>
            <w:tcW w:w="52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4"/>
                <w:szCs w:val="14"/>
                <w:b w:val="1"/>
                <w:bCs w:val="1"/>
                <w:color w:val="auto"/>
              </w:rPr>
              <w:t>Section</w:t>
            </w:r>
          </w:p>
        </w:tc>
      </w:tr>
      <w:tr>
        <w:trPr>
          <w:trHeight w:val="195"/>
        </w:trPr>
        <w:tc>
          <w:tcPr>
            <w:tcW w:w="2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§310</w:t>
            </w:r>
          </w:p>
        </w:tc>
        <w:tc>
          <w:tcPr>
            <w:tcW w:w="12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(a)(1)</w:t>
            </w:r>
          </w:p>
        </w:tc>
        <w:tc>
          <w:tcPr>
            <w:tcW w:w="10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7.08</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(a)(2)</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7.08</w:t>
            </w: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(a)(5)</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7.08</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§311</w:t>
            </w: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(b)</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6.12</w:t>
            </w: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6.13</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§312</w:t>
            </w: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5.03</w:t>
            </w:r>
          </w:p>
        </w:tc>
      </w:tr>
      <w:tr>
        <w:trPr>
          <w:trHeight w:val="230"/>
        </w:trPr>
        <w:tc>
          <w:tcPr>
            <w:tcW w:w="500" w:type="dxa"/>
            <w:vAlign w:val="bottom"/>
            <w:gridSpan w:val="2"/>
          </w:tcPr>
          <w:p>
            <w:pPr>
              <w:spacing w:after="0"/>
              <w:rPr>
                <w:sz w:val="20"/>
                <w:szCs w:val="20"/>
                <w:color w:val="auto"/>
              </w:rPr>
            </w:pPr>
            <w:r>
              <w:rPr>
                <w:rFonts w:ascii="Arial" w:cs="Arial" w:eastAsia="Arial" w:hAnsi="Arial"/>
                <w:sz w:val="18"/>
                <w:szCs w:val="18"/>
                <w:color w:val="auto"/>
              </w:rPr>
              <w:t>§313</w:t>
            </w: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7.13</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§314</w:t>
            </w: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52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4.06(a)-(c)</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(a)(4)</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4.09</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(c)(1)</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16.05</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(c)(2)</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16.05</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16.05</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§315</w:t>
            </w: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7.01</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(b)</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6.10</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7.01</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(d)</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7.01</w:t>
            </w: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6.11</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§316</w:t>
            </w: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(a) (last sentence)</w:t>
            </w:r>
          </w:p>
        </w:tc>
        <w:tc>
          <w:tcPr>
            <w:tcW w:w="52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1.01 (“Outstanding”)</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(a)(1)(A)</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6.02, 8.05</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(a)(1)(B)</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6.09</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(b)</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6.06</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§317</w:t>
            </w: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(a)(1)</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6.04</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(a)(2)</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6.04</w:t>
            </w: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(b)</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4.04</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§318</w:t>
            </w: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1.03</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680" w:type="dxa"/>
            <w:vAlign w:val="bottom"/>
            <w:gridSpan w:val="2"/>
          </w:tcPr>
          <w:p>
            <w:pPr>
              <w:ind w:left="5260"/>
              <w:spacing w:after="0"/>
              <w:rPr>
                <w:sz w:val="20"/>
                <w:szCs w:val="20"/>
                <w:color w:val="auto"/>
              </w:rPr>
            </w:pPr>
            <w:r>
              <w:rPr>
                <w:rFonts w:ascii="Arial" w:cs="Arial" w:eastAsia="Arial" w:hAnsi="Arial"/>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ectPr>
          <w:pgSz w:w="11900" w:h="16838" w:orient="portrait"/>
          <w:cols w:equalWidth="0" w:num="1">
            <w:col w:w="11420"/>
          </w:cols>
          <w:pgMar w:left="240" w:top="274"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SUPPLEMENTAL INDENTURE</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FIRST SUPPLEMENTAL INDENTURE (this “Supplemental Indenture”), dated as of June 19, 2018, between TPG Specialty Lending, Inc., a Delaware corporation (the “Company”), and Wells Fargo Bank, National Association, as trustee (the “Trustee”).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WHEREAS; the Company and the Trustee executed and delivered an Indenture, dated as of February 1, 2017 (the “Original Indenture” and, together with this Supplemental Indenture, the “Indenture”), providing for the issuance by the Company from time to time of the Company’s 4.50% Convertible Notes due 2022;</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pursuant to the Original Indenture, the Company initially issued $115,000,000 aggregate principal amount of its 4.50% Convertible Notes due 2022 (the “Initial Notes”);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WHEREAS; the Company may, without the consent of the Holders and notwithstanding Section 2.01 of the Indenture, reopen the Indenture and issue additional Notes under the Indenture with the same terms as the Initial Notes (except that the first Interest Payment Date and the date from which interest may accrue may be different) in an unlimited aggregate principal amount;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WHEREAS, the Company wishes to issue up to an additional $57,500,000 aggregate principal amount of its 4.50% Convertible Notes due 2022 as additional Notes under the Indenture (the “Additional Securities”);</w:t>
      </w:r>
    </w:p>
    <w:p>
      <w:pPr>
        <w:spacing w:after="0" w:line="17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WHEREAS; pursuant to Section 10.01 of the Indenture the Company may, without the consent of the Holders, enter into a supplemental indenture to make any change to the Indenture that does not adversely affect the rights of any Holder as determined in good faith by the Company;</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WHEREAS, the Company wishes to incorporate into the Indenture the mandatory provisions of the Trust Indenture Act that were provided for by law pursuant to Section 318 of the Trust Indenture Act;</w:t>
      </w:r>
    </w:p>
    <w:p>
      <w:pPr>
        <w:spacing w:after="0" w:line="170"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WHEREAS, pursuant to Sections 2.01, 2.10, 10.01 and 10.05 of the Indenture, the parties hereto are authorized to execute and deliver this Supplemental Indenture to amend the Indenture, without the consent of any Holder; and</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WHEREAS, the Company has duly authorized the execution and delivery of this Supplemental Indenture to provide for the issuance of the Additional Securities and to amend certain terms of the Indenture, and all acts and things necessary to make this Supplemental Indenture a valid, binding, and legal obligation of the Company and to constitute a valid agreement of the Company, in accordance with its terms, have been done and performed.</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Company and the Trustee mutually covenant and agree for the benefit of the Holders of the Notes as follows:</w:t>
      </w:r>
    </w:p>
    <w:p>
      <w:pPr>
        <w:spacing w:after="0" w:line="62" w:lineRule="exact"/>
        <w:rPr>
          <w:sz w:val="20"/>
          <w:szCs w:val="20"/>
          <w:color w:val="auto"/>
        </w:rPr>
      </w:pPr>
    </w:p>
    <w:p>
      <w:pPr>
        <w:ind w:left="640" w:hanging="176"/>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Defined Terms</w:t>
      </w:r>
      <w:r>
        <w:rPr>
          <w:rFonts w:ascii="Arial" w:cs="Arial" w:eastAsia="Arial" w:hAnsi="Arial"/>
          <w:sz w:val="16"/>
          <w:szCs w:val="16"/>
          <w:color w:val="auto"/>
        </w:rPr>
        <w:t>. As used in this Supplemental Indenture, terms defined in the Indenture or in the preamble or recitals hereto are used herein as so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defined.</w:t>
      </w:r>
    </w:p>
    <w:p>
      <w:pPr>
        <w:sectPr>
          <w:pgSz w:w="11900" w:h="16838" w:orient="portrait"/>
          <w:cols w:equalWidth="0" w:num="1">
            <w:col w:w="11400"/>
          </w:cols>
          <w:pgMar w:left="240" w:top="274" w:right="259" w:bottom="1440" w:gutter="0" w:footer="0" w:header="0"/>
        </w:sectPr>
      </w:pPr>
    </w:p>
    <w:bookmarkStart w:id="7" w:name="page8"/>
    <w:bookmarkEnd w:id="7"/>
    <w:p>
      <w:pPr>
        <w:ind w:firstLine="464"/>
        <w:spacing w:after="0" w:line="255"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Notes</w:t>
      </w:r>
      <w:r>
        <w:rPr>
          <w:rFonts w:ascii="Arial" w:cs="Arial" w:eastAsia="Arial" w:hAnsi="Arial"/>
          <w:sz w:val="18"/>
          <w:szCs w:val="18"/>
          <w:color w:val="auto"/>
        </w:rPr>
        <w:t>. The Additional Securities issued pursuant to this Supplemental Indenture constitute additional Notes issued pursuant to Sections</w:t>
      </w:r>
      <w:r>
        <w:rPr>
          <w:rFonts w:ascii="Arial" w:cs="Arial" w:eastAsia="Arial" w:hAnsi="Arial"/>
          <w:sz w:val="18"/>
          <w:szCs w:val="18"/>
          <w:i w:val="1"/>
          <w:iCs w:val="1"/>
          <w:color w:val="auto"/>
        </w:rPr>
        <w:t xml:space="preserve"> </w:t>
      </w:r>
      <w:r>
        <w:rPr>
          <w:rFonts w:ascii="Arial" w:cs="Arial" w:eastAsia="Arial" w:hAnsi="Arial"/>
          <w:sz w:val="18"/>
          <w:szCs w:val="18"/>
          <w:color w:val="auto"/>
        </w:rPr>
        <w:t>2.01 and 2.10 of the Indenture and shall be consolidated with and form a single class with the Initial Notes previously established pursuant to the Indenture. The Additional Securities shall have the same terms in all respects as the Initial Notes, except that the first interest payment date with respect to the Additional Securities shall be August 1, 2018, the Additional Securities shall accrue interest from February 1, 2018, the Additional Securities shall have a different issue date, and the Additional Securities shall be issued as Unrestricted Global Notes. Subject to the foregoing, the Additional Securities shall be substantially in the form of Exhibit A to the Indenture.</w:t>
      </w:r>
    </w:p>
    <w:p>
      <w:pPr>
        <w:spacing w:after="0" w:line="85" w:lineRule="exact"/>
        <w:rPr>
          <w:rFonts w:ascii="Arial" w:cs="Arial" w:eastAsia="Arial" w:hAnsi="Arial"/>
          <w:sz w:val="18"/>
          <w:szCs w:val="18"/>
          <w:color w:val="auto"/>
        </w:rPr>
      </w:pPr>
    </w:p>
    <w:p>
      <w:pPr>
        <w:ind w:right="200" w:firstLine="464"/>
        <w:spacing w:after="0" w:line="277"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Aggregate Principal Amount</w:t>
      </w:r>
      <w:r>
        <w:rPr>
          <w:rFonts w:ascii="Arial" w:cs="Arial" w:eastAsia="Arial" w:hAnsi="Arial"/>
          <w:sz w:val="18"/>
          <w:szCs w:val="18"/>
          <w:color w:val="auto"/>
        </w:rPr>
        <w:t>. The aggregate principal amount of the Additional Securities that may be authenticated and delivered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shall be limited to $57,500,000.</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Amendments to the Original Indenture</w:t>
      </w:r>
      <w:r>
        <w:rPr>
          <w:rFonts w:ascii="Arial" w:cs="Arial" w:eastAsia="Arial" w:hAnsi="Arial"/>
          <w:sz w:val="18"/>
          <w:szCs w:val="18"/>
          <w:color w:val="auto"/>
        </w:rPr>
        <w:t>. The Indenture is hereby amended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hereby added as new Section 1.03 of the Indenture: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Conflict with Trust Indenture Act</w:t>
      </w:r>
      <w:r>
        <w:rPr>
          <w:rFonts w:ascii="Arial" w:cs="Arial" w:eastAsia="Arial" w:hAnsi="Arial"/>
          <w:sz w:val="18"/>
          <w:szCs w:val="18"/>
          <w:color w:val="auto"/>
        </w:rPr>
        <w:t>. 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hereby added as new Section 5.03 of the Indenture: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Disclosure of Names and Addresses of Holders</w:t>
      </w:r>
      <w:r>
        <w:rPr>
          <w:rFonts w:ascii="Arial" w:cs="Arial" w:eastAsia="Arial" w:hAnsi="Arial"/>
          <w:sz w:val="18"/>
          <w:szCs w:val="18"/>
          <w:color w:val="auto"/>
        </w:rPr>
        <w:t>. Every Holder of Notes, by receiving and holding the same, agrees with the Company and the Trustee that neither the Company nor the Trustee nor any authenticating agent nor any Paying Agent nor any Note Registrar nor any Bid Solicitation Agent nor any Conversion Agent nor any agent of any of them shall be held accountable by reason of the disclosure of any information as to the names and addresses of the Holders of Notes in accordance with Trust Indenture Act Section 312, regardless of the source from which such information was derived, and that the Trustee shall not be held accountable by reason of mailing or sending any material pursuant to a request made under Trust Indenture Act Section 312(b).”</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hereby added as new Section 6.12 of the Indenture: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Disqualification; Conflicting Interests</w:t>
      </w:r>
      <w:r>
        <w:rPr>
          <w:rFonts w:ascii="Arial" w:cs="Arial" w:eastAsia="Arial" w:hAnsi="Arial"/>
          <w:sz w:val="18"/>
          <w:szCs w:val="18"/>
          <w:color w:val="auto"/>
        </w:rPr>
        <w:t>. If the Trustee has or shall acquire a conflicting interest within the meaning of the Trust Indenture Act, the Trustee shall either eliminate such interest, apply to the Commission for permission to continue as trustee or resign, to the extent and in the manner provided by, and subject to the provisions of, the Trust Indenture Act and this Indenture. To the extent permitted by such Act, the Trustee shall not be deemed to have a conflicting interest with respect to the Notes or the securities of any other indenture of the Company by virtue of being a trustee under this Indenture with respect to the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hereby added as new Section 6.13 of the Indenture: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Preferential Collection of Claims Against Company</w:t>
      </w:r>
      <w:r>
        <w:rPr>
          <w:rFonts w:ascii="Arial" w:cs="Arial" w:eastAsia="Arial" w:hAnsi="Arial"/>
          <w:sz w:val="18"/>
          <w:szCs w:val="18"/>
          <w:color w:val="auto"/>
        </w:rPr>
        <w:t>. The Trustee is subject to Trust Indenture Act Section 311(a), excluding any creditor relationship listed in Trust Indenture Act Section 311(b). A Trustee who has resigned or been removed shall be subject to Trust Indenture Act Section 311(a) to the extent indicated therein.”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hereby added as new Section 7.13 of the Indenture: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Reports by Trustee</w:t>
      </w:r>
      <w:r>
        <w:rPr>
          <w:rFonts w:ascii="Arial" w:cs="Arial" w:eastAsia="Arial" w:hAnsi="Arial"/>
          <w:sz w:val="18"/>
          <w:szCs w:val="18"/>
          <w:color w:val="auto"/>
        </w:rPr>
        <w:t>. Within 60 days after May 15 of each year commencing with the first May 15 after the additional issuance of Notes pursuant to the Supplemental Indenture, the Trustee shall transmit by mail or send to all Holders of Notes as provided in Trust Indenture Act Section 313(c) a brief report dated as of such May 15 which meets the requirements of Trust Indenture Act Section 313(a).</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if any, upon which the Notes are listed, with the Commission and with the Company. The Company will promptly notify the Trustee of the listing of the Notes on any stock exchange. In the event that, on any such reporting date, no events have occurred under the applicable sections of the Trust Indenture Act within the 12 months preceding such reporting date, the Trustee shall be under no duty or obligation to provide such reports.”</w:t>
      </w:r>
    </w:p>
    <w:p>
      <w:pPr>
        <w:spacing w:after="0" w:line="187" w:lineRule="exact"/>
        <w:rPr>
          <w:sz w:val="20"/>
          <w:szCs w:val="20"/>
          <w:color w:val="auto"/>
        </w:rPr>
      </w:pPr>
    </w:p>
    <w:p>
      <w:pPr>
        <w:ind w:right="20" w:firstLine="464"/>
        <w:spacing w:after="0" w:line="276"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Governing Law; Jurisdiction</w:t>
      </w:r>
      <w:r>
        <w:rPr>
          <w:rFonts w:ascii="Arial" w:cs="Arial" w:eastAsia="Arial" w:hAnsi="Arial"/>
          <w:sz w:val="17"/>
          <w:szCs w:val="17"/>
          <w:color w:val="auto"/>
        </w:rPr>
        <w:t>. THIS SUPPLEMENTAL INDENTURE SHALL BE GOVERNED BY, AND CONSTRUED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LAWS OF THE STATE OF NEW YORK (WITHOUT REGARD TO THE CONFLICTS OF LAWS PROVISIONS THEREOF THAT WOULD CAUSE THE APPLICATION OF THE LAWS OF ANOTHER JURISDICTION). THE PARTIES HERETO AGREE TO SUBMIT TO THE JURISDICTION OF ANY UNITED STATES FEDERAL OR STATE COURT LOCATED IN THE BOROUGH OF MANHATTAN, IN THE CITY OF NEW YORK IN ANY ACTION OR PROCEEDING ARISING OUT OF OR RELATING TO THIS SUPPLEMENTAL INDENTURE.</w:t>
      </w:r>
    </w:p>
    <w:p>
      <w:pPr>
        <w:spacing w:after="0" w:line="64" w:lineRule="exact"/>
        <w:rPr>
          <w:rFonts w:ascii="Arial" w:cs="Arial" w:eastAsia="Arial" w:hAnsi="Arial"/>
          <w:sz w:val="17"/>
          <w:szCs w:val="17"/>
          <w:color w:val="auto"/>
        </w:rPr>
      </w:pPr>
    </w:p>
    <w:p>
      <w:pPr>
        <w:ind w:right="320" w:firstLine="464"/>
        <w:spacing w:after="0" w:line="277"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Headings, Etc</w:t>
      </w:r>
      <w:r>
        <w:rPr>
          <w:rFonts w:ascii="Arial" w:cs="Arial" w:eastAsia="Arial" w:hAnsi="Arial"/>
          <w:sz w:val="18"/>
          <w:szCs w:val="18"/>
          <w:color w:val="auto"/>
        </w:rPr>
        <w:t>. The headings of this Supplemental Indenture have been inserted for convenience of reference only, are not to be considered a part</w:t>
      </w:r>
      <w:r>
        <w:rPr>
          <w:rFonts w:ascii="Arial" w:cs="Arial" w:eastAsia="Arial" w:hAnsi="Arial"/>
          <w:sz w:val="18"/>
          <w:szCs w:val="18"/>
          <w:i w:val="1"/>
          <w:iCs w:val="1"/>
          <w:color w:val="auto"/>
        </w:rPr>
        <w:t xml:space="preserve"> </w:t>
      </w:r>
      <w:r>
        <w:rPr>
          <w:rFonts w:ascii="Arial" w:cs="Arial" w:eastAsia="Arial" w:hAnsi="Arial"/>
          <w:sz w:val="18"/>
          <w:szCs w:val="18"/>
          <w:color w:val="auto"/>
        </w:rPr>
        <w:t>hereof, and shall in no way modify or restrict any of the terms or provisions hereof.</w:t>
      </w:r>
    </w:p>
    <w:p>
      <w:pPr>
        <w:spacing w:after="0" w:line="62" w:lineRule="exact"/>
        <w:rPr>
          <w:rFonts w:ascii="Arial" w:cs="Arial" w:eastAsia="Arial" w:hAnsi="Arial"/>
          <w:sz w:val="18"/>
          <w:szCs w:val="18"/>
          <w:color w:val="auto"/>
        </w:rPr>
      </w:pPr>
    </w:p>
    <w:p>
      <w:pPr>
        <w:jc w:val="both"/>
        <w:ind w:firstLine="464"/>
        <w:spacing w:after="0" w:line="264"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Execution in Counterparts</w:t>
      </w:r>
      <w:r>
        <w:rPr>
          <w:rFonts w:ascii="Arial" w:cs="Arial" w:eastAsia="Arial" w:hAnsi="Arial"/>
          <w:sz w:val="18"/>
          <w:szCs w:val="18"/>
          <w:color w:val="auto"/>
        </w:rPr>
        <w:t>. This Supplemental Indenture may be executed in any number of counterparts, each of which shall be an original, but such</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together constitute but one and the same instrument. Delivery of an executed counterpart by facsimile, “portable document format” (pdf) or any other electronic means shall be effective as delivery of a manually executed counterpart thereof.</w:t>
      </w:r>
    </w:p>
    <w:p>
      <w:pPr>
        <w:spacing w:after="0" w:line="73" w:lineRule="exact"/>
        <w:rPr>
          <w:rFonts w:ascii="Arial" w:cs="Arial" w:eastAsia="Arial" w:hAnsi="Arial"/>
          <w:sz w:val="18"/>
          <w:szCs w:val="18"/>
          <w:color w:val="auto"/>
        </w:rPr>
      </w:pPr>
    </w:p>
    <w:p>
      <w:pPr>
        <w:ind w:right="20" w:firstLine="464"/>
        <w:spacing w:after="0" w:line="277"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In the event any provision of this Supplemental Indenture shall be invalid, illegal or unenforceable, then (to the extent permitted by law)</w:t>
      </w:r>
      <w:r>
        <w:rPr>
          <w:rFonts w:ascii="Arial" w:cs="Arial" w:eastAsia="Arial" w:hAnsi="Arial"/>
          <w:sz w:val="18"/>
          <w:szCs w:val="18"/>
          <w:i w:val="1"/>
          <w:iCs w:val="1"/>
          <w:color w:val="auto"/>
        </w:rPr>
        <w:t xml:space="preserve"> </w:t>
      </w:r>
      <w:r>
        <w:rPr>
          <w:rFonts w:ascii="Arial" w:cs="Arial" w:eastAsia="Arial" w:hAnsi="Arial"/>
          <w:sz w:val="18"/>
          <w:szCs w:val="18"/>
          <w:color w:val="auto"/>
        </w:rPr>
        <w:t>the validity, legality or enforceability of the remaining provisions shall not in any way be affected or impaired.</w:t>
      </w:r>
    </w:p>
    <w:p>
      <w:pPr>
        <w:spacing w:after="0" w:line="62" w:lineRule="exact"/>
        <w:rPr>
          <w:rFonts w:ascii="Arial" w:cs="Arial" w:eastAsia="Arial" w:hAnsi="Arial"/>
          <w:sz w:val="18"/>
          <w:szCs w:val="18"/>
          <w:color w:val="auto"/>
        </w:rPr>
      </w:pPr>
    </w:p>
    <w:p>
      <w:pPr>
        <w:ind w:right="360" w:firstLine="464"/>
        <w:spacing w:after="0" w:line="286"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Waiver of Jury Trial</w:t>
      </w:r>
      <w:r>
        <w:rPr>
          <w:rFonts w:ascii="Arial" w:cs="Arial" w:eastAsia="Arial" w:hAnsi="Arial"/>
          <w:sz w:val="17"/>
          <w:szCs w:val="17"/>
          <w:color w:val="auto"/>
        </w:rPr>
        <w:t>. EACH OF THE COMPANY AND THE TRUSTEE HEREBY IRREVOCABLY WAIVES, TO THE FULLEST EXTENT</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BY APPLICABLE LAW, ANY AND ALL RIGHT TO TRIAL BY JURY IN ANY LEGAL PROCEEDING ARISING OUT OF OR RELATING TO THIS SUPPLEMENTAL INDENTURE, THE ADDITIONAL SECURITIES OR THE TRANSACTION CONTEMPLATED HEREBY.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 w:name="page10"/>
    <w:bookmarkEnd w:id="9"/>
    <w:p>
      <w:pPr>
        <w:ind w:left="-180" w:firstLine="464"/>
        <w:spacing w:after="0" w:line="276" w:lineRule="auto"/>
        <w:tabs>
          <w:tab w:leader="none" w:pos="54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Concerning the Trustee</w:t>
      </w:r>
      <w:r>
        <w:rPr>
          <w:rFonts w:ascii="Arial" w:cs="Arial" w:eastAsia="Arial" w:hAnsi="Arial"/>
          <w:sz w:val="17"/>
          <w:szCs w:val="17"/>
          <w:color w:val="auto"/>
        </w:rPr>
        <w:t>. The Trustee makes no representation as to and shall not be responsible in any manner whatsoever for or in respect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validity or sufficiency of this Supplemental Indenture or for or in respect of the recitals contained herein, all of which recitals are made solely by the Company. All of the provisions contained in the Indenture in respect of the rights, powers, privileges, and immunities of the Trustee shall be applicable in respect of this Supplemental Indenture as fully and with like force and effect as though fully set forth in full herein. The Trustee shall not be accountable for the use or application by the Company of the Additional Securities or the proceeds thereof.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420" w:top="274" w:right="41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Supplemental Indenture to be duly executed as of the date first written above.</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Ian Simmonds</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Stefan Victory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Stefan Victory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w:t>
      </w:r>
    </w:p>
    <w:sectPr>
      <w:pgSz w:w="11900" w:h="16838" w:orient="portrait"/>
      <w:cols w:equalWidth="0" w:num="1">
        <w:col w:w="10660"/>
      </w:cols>
      <w:pgMar w:left="70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2019-12-28T21:26:17Z</dcterms:created>
  <dcterms:modified xsi:type="dcterms:W3CDTF">2019-12-28T21:26:17Z</dcterms:modified>
</cp:coreProperties>
</file>